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45DA3"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r w:rsidRPr="006A2C62">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0214DC70" wp14:editId="7559641D">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6308F753"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p>
    <w:p w14:paraId="6A05256F"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p>
    <w:p w14:paraId="6279FDF2"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bookmarkStart w:id="0" w:name="_GoBack"/>
      <w:bookmarkEnd w:id="0"/>
    </w:p>
    <w:p w14:paraId="7D1018F5"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p>
    <w:p w14:paraId="6D9A6C5B" w14:textId="77777777" w:rsidR="006A2C62" w:rsidRPr="006A2C62" w:rsidRDefault="006A2C62" w:rsidP="006A2C62">
      <w:pPr>
        <w:autoSpaceDE w:val="0"/>
        <w:autoSpaceDN w:val="0"/>
        <w:adjustRightInd w:val="0"/>
        <w:spacing w:line="240" w:lineRule="auto"/>
        <w:jc w:val="both"/>
        <w:rPr>
          <w:rFonts w:ascii="Times New Roman" w:eastAsia="Calibri" w:hAnsi="Times New Roman" w:cs="Times New Roman"/>
          <w:sz w:val="24"/>
          <w:szCs w:val="24"/>
          <w:lang w:eastAsia="en-US"/>
        </w:rPr>
      </w:pPr>
    </w:p>
    <w:p w14:paraId="583BDAEA"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0B4A2697"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36B731B1"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2CFA2E0A"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14C50E33"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color w:val="222222"/>
          <w:sz w:val="56"/>
          <w:szCs w:val="56"/>
          <w:shd w:val="clear" w:color="auto" w:fill="FFFFFF"/>
          <w:lang w:eastAsia="en-US"/>
        </w:rPr>
      </w:pPr>
      <w:r w:rsidRPr="006A2C62">
        <w:rPr>
          <w:rFonts w:ascii="Times New Roman" w:eastAsia="Calibri" w:hAnsi="Times New Roman" w:cs="Times New Roman"/>
          <w:b/>
          <w:bCs/>
          <w:color w:val="222222"/>
          <w:sz w:val="56"/>
          <w:szCs w:val="56"/>
          <w:shd w:val="clear" w:color="auto" w:fill="FFFFFF"/>
          <w:lang w:eastAsia="en-US"/>
        </w:rPr>
        <w:t xml:space="preserve">The Metamodern Moment </w:t>
      </w:r>
    </w:p>
    <w:p w14:paraId="66BE88D3" w14:textId="7EF7555E"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i/>
          <w:iCs/>
          <w:color w:val="222222"/>
          <w:sz w:val="44"/>
          <w:szCs w:val="44"/>
          <w:shd w:val="clear" w:color="auto" w:fill="FFFFFF"/>
          <w:lang w:eastAsia="en-US"/>
        </w:rPr>
      </w:pPr>
      <w:r w:rsidRPr="006A2C62">
        <w:rPr>
          <w:rFonts w:ascii="Times New Roman" w:eastAsia="Calibri" w:hAnsi="Times New Roman" w:cs="Times New Roman"/>
          <w:b/>
          <w:bCs/>
          <w:i/>
          <w:iCs/>
          <w:color w:val="222222"/>
          <w:sz w:val="44"/>
          <w:szCs w:val="44"/>
          <w:shd w:val="clear" w:color="auto" w:fill="FFFFFF"/>
          <w:lang w:eastAsia="en-US"/>
        </w:rPr>
        <w:t xml:space="preserve">Post-Postmodernism and its </w:t>
      </w:r>
      <w:r w:rsidR="0060139B">
        <w:rPr>
          <w:rFonts w:ascii="Times New Roman" w:eastAsia="Calibri" w:hAnsi="Times New Roman" w:cs="Times New Roman"/>
          <w:b/>
          <w:bCs/>
          <w:i/>
          <w:iCs/>
          <w:color w:val="222222"/>
          <w:sz w:val="44"/>
          <w:szCs w:val="44"/>
          <w:shd w:val="clear" w:color="auto" w:fill="FFFFFF"/>
          <w:lang w:eastAsia="en-US"/>
        </w:rPr>
        <w:t>e</w:t>
      </w:r>
      <w:r w:rsidR="0060139B" w:rsidRPr="006A2C62">
        <w:rPr>
          <w:rFonts w:ascii="Times New Roman" w:eastAsia="Calibri" w:hAnsi="Times New Roman" w:cs="Times New Roman"/>
          <w:b/>
          <w:bCs/>
          <w:i/>
          <w:iCs/>
          <w:color w:val="222222"/>
          <w:sz w:val="44"/>
          <w:szCs w:val="44"/>
          <w:shd w:val="clear" w:color="auto" w:fill="FFFFFF"/>
          <w:lang w:eastAsia="en-US"/>
        </w:rPr>
        <w:t>ffect</w:t>
      </w:r>
      <w:r w:rsidRPr="006A2C62">
        <w:rPr>
          <w:rFonts w:ascii="Times New Roman" w:eastAsia="Calibri" w:hAnsi="Times New Roman" w:cs="Times New Roman"/>
          <w:b/>
          <w:bCs/>
          <w:i/>
          <w:iCs/>
          <w:color w:val="222222"/>
          <w:sz w:val="44"/>
          <w:szCs w:val="44"/>
          <w:shd w:val="clear" w:color="auto" w:fill="FFFFFF"/>
          <w:lang w:eastAsia="en-US"/>
        </w:rPr>
        <w:t xml:space="preserve"> on Contemporary, Gothic, and </w:t>
      </w:r>
    </w:p>
    <w:p w14:paraId="3693FFBD"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i/>
          <w:iCs/>
          <w:color w:val="222222"/>
          <w:sz w:val="44"/>
          <w:szCs w:val="44"/>
          <w:shd w:val="clear" w:color="auto" w:fill="FFFFFF"/>
          <w:lang w:eastAsia="en-US"/>
        </w:rPr>
      </w:pPr>
      <w:r w:rsidRPr="006A2C62">
        <w:rPr>
          <w:rFonts w:ascii="Times New Roman" w:eastAsia="Calibri" w:hAnsi="Times New Roman" w:cs="Times New Roman"/>
          <w:b/>
          <w:bCs/>
          <w:i/>
          <w:iCs/>
          <w:color w:val="222222"/>
          <w:sz w:val="44"/>
          <w:szCs w:val="44"/>
          <w:shd w:val="clear" w:color="auto" w:fill="FFFFFF"/>
          <w:lang w:eastAsia="en-US"/>
        </w:rPr>
        <w:t xml:space="preserve">Metafictional Literature </w:t>
      </w:r>
    </w:p>
    <w:p w14:paraId="66C6BD84"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color w:val="222222"/>
          <w:sz w:val="28"/>
          <w:szCs w:val="28"/>
          <w:shd w:val="clear" w:color="auto" w:fill="FFFFFF"/>
          <w:lang w:eastAsia="en-US"/>
        </w:rPr>
      </w:pPr>
    </w:p>
    <w:p w14:paraId="71615235"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color w:val="222222"/>
          <w:sz w:val="28"/>
          <w:szCs w:val="28"/>
          <w:shd w:val="clear" w:color="auto" w:fill="FFFFFF"/>
          <w:lang w:eastAsia="en-US"/>
        </w:rPr>
      </w:pPr>
    </w:p>
    <w:p w14:paraId="3D9BB29D"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color w:val="222222"/>
          <w:sz w:val="28"/>
          <w:szCs w:val="28"/>
          <w:shd w:val="clear" w:color="auto" w:fill="FFFFFF"/>
          <w:lang w:eastAsia="en-US"/>
        </w:rPr>
      </w:pPr>
    </w:p>
    <w:p w14:paraId="19201884"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b/>
          <w:bCs/>
          <w:color w:val="222222"/>
          <w:sz w:val="28"/>
          <w:szCs w:val="28"/>
          <w:shd w:val="clear" w:color="auto" w:fill="FFFFFF"/>
          <w:lang w:eastAsia="en-US"/>
        </w:rPr>
      </w:pPr>
    </w:p>
    <w:p w14:paraId="7F592D82" w14:textId="522C9427" w:rsidR="006A2C62" w:rsidRPr="006A2C62" w:rsidRDefault="006A2C62" w:rsidP="000401C6">
      <w:pPr>
        <w:autoSpaceDE w:val="0"/>
        <w:autoSpaceDN w:val="0"/>
        <w:adjustRightInd w:val="0"/>
        <w:spacing w:line="240" w:lineRule="auto"/>
        <w:jc w:val="center"/>
        <w:rPr>
          <w:rFonts w:ascii="Times New Roman" w:eastAsia="Calibri" w:hAnsi="Times New Roman" w:cs="Times New Roman"/>
          <w:sz w:val="32"/>
          <w:szCs w:val="32"/>
          <w:lang w:eastAsia="en-US"/>
        </w:rPr>
      </w:pPr>
      <w:r w:rsidRPr="006A2C62">
        <w:rPr>
          <w:rFonts w:ascii="Times New Roman" w:eastAsia="Calibri" w:hAnsi="Times New Roman" w:cs="Times New Roman"/>
          <w:color w:val="222222"/>
          <w:sz w:val="32"/>
          <w:szCs w:val="32"/>
          <w:shd w:val="clear" w:color="auto" w:fill="FFFFFF"/>
          <w:lang w:eastAsia="en-US"/>
        </w:rPr>
        <w:t xml:space="preserve">VOLUME </w:t>
      </w:r>
      <w:r w:rsidR="000401C6">
        <w:rPr>
          <w:rFonts w:ascii="Times New Roman" w:eastAsia="Calibri" w:hAnsi="Times New Roman" w:cs="Times New Roman"/>
          <w:color w:val="222222"/>
          <w:sz w:val="32"/>
          <w:szCs w:val="32"/>
          <w:shd w:val="clear" w:color="auto" w:fill="FFFFFF"/>
          <w:lang w:eastAsia="en-US"/>
        </w:rPr>
        <w:t>I</w:t>
      </w:r>
      <w:r w:rsidRPr="006A2C62">
        <w:rPr>
          <w:rFonts w:ascii="Times New Roman" w:eastAsia="Calibri" w:hAnsi="Times New Roman" w:cs="Times New Roman"/>
          <w:color w:val="222222"/>
          <w:sz w:val="32"/>
          <w:szCs w:val="32"/>
          <w:shd w:val="clear" w:color="auto" w:fill="FFFFFF"/>
          <w:lang w:eastAsia="en-US"/>
        </w:rPr>
        <w:t xml:space="preserve">I: </w:t>
      </w:r>
      <w:r w:rsidR="000401C6">
        <w:rPr>
          <w:rFonts w:ascii="Times New Roman" w:eastAsia="Calibri" w:hAnsi="Times New Roman" w:cs="Times New Roman"/>
          <w:color w:val="222222"/>
          <w:sz w:val="32"/>
          <w:szCs w:val="32"/>
          <w:shd w:val="clear" w:color="auto" w:fill="FFFFFF"/>
          <w:lang w:eastAsia="en-US"/>
        </w:rPr>
        <w:t>ESSAYS</w:t>
      </w:r>
      <w:r w:rsidRPr="006A2C62">
        <w:rPr>
          <w:rFonts w:ascii="Times New Roman" w:eastAsia="Calibri" w:hAnsi="Times New Roman" w:cs="Times New Roman"/>
          <w:color w:val="222222"/>
          <w:sz w:val="32"/>
          <w:szCs w:val="32"/>
          <w:lang w:eastAsia="en-US"/>
        </w:rPr>
        <w:br/>
      </w:r>
      <w:r w:rsidRPr="006A2C62">
        <w:rPr>
          <w:rFonts w:ascii="Times New Roman" w:eastAsia="Calibri" w:hAnsi="Times New Roman" w:cs="Times New Roman"/>
          <w:color w:val="222222"/>
          <w:sz w:val="32"/>
          <w:szCs w:val="32"/>
          <w:lang w:eastAsia="en-US"/>
        </w:rPr>
        <w:br/>
      </w:r>
    </w:p>
    <w:p w14:paraId="1B33BEDA"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2B2D76F5"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0A394C9B"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48"/>
          <w:szCs w:val="48"/>
          <w:lang w:eastAsia="en-US"/>
        </w:rPr>
      </w:pPr>
      <w:r w:rsidRPr="006A2C62">
        <w:rPr>
          <w:rFonts w:ascii="Times New Roman" w:eastAsia="Calibri" w:hAnsi="Times New Roman" w:cs="Times New Roman"/>
          <w:sz w:val="48"/>
          <w:szCs w:val="48"/>
          <w:lang w:eastAsia="en-US"/>
        </w:rPr>
        <w:t>Daniel Ian Southward</w:t>
      </w:r>
    </w:p>
    <w:p w14:paraId="533C813E"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8"/>
          <w:szCs w:val="28"/>
          <w:lang w:eastAsia="en-US"/>
        </w:rPr>
      </w:pPr>
    </w:p>
    <w:p w14:paraId="5337046F"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46B03D69"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7230C2BA"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53AB6037"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7097078D"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p>
    <w:p w14:paraId="6D09A9CD"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r w:rsidRPr="006A2C62">
        <w:rPr>
          <w:rFonts w:ascii="Times New Roman" w:eastAsia="Calibri" w:hAnsi="Times New Roman" w:cs="Times New Roman"/>
          <w:sz w:val="24"/>
          <w:szCs w:val="24"/>
          <w:lang w:eastAsia="en-US"/>
        </w:rPr>
        <w:t>A thesis submitted in partial fulfilment of the requirements for the degree of</w:t>
      </w:r>
    </w:p>
    <w:p w14:paraId="26C407CC"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r w:rsidRPr="006A2C62">
        <w:rPr>
          <w:rFonts w:ascii="Times New Roman" w:eastAsia="Calibri" w:hAnsi="Times New Roman" w:cs="Times New Roman"/>
          <w:sz w:val="24"/>
          <w:szCs w:val="24"/>
          <w:lang w:eastAsia="en-US"/>
        </w:rPr>
        <w:t>Doctor of Philosophy</w:t>
      </w:r>
    </w:p>
    <w:p w14:paraId="496BED5B"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4C7DAA81"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0C02E6AA"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6657CC64"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r w:rsidRPr="006A2C62">
        <w:rPr>
          <w:rFonts w:ascii="Times New Roman" w:eastAsia="Calibri" w:hAnsi="Times New Roman" w:cs="Times New Roman"/>
          <w:sz w:val="24"/>
          <w:szCs w:val="24"/>
          <w:lang w:eastAsia="en-US"/>
        </w:rPr>
        <w:t>The University of Sheffield</w:t>
      </w:r>
    </w:p>
    <w:p w14:paraId="514900DA" w14:textId="77777777" w:rsidR="006A2C62" w:rsidRPr="006A2C62" w:rsidRDefault="006A2C62" w:rsidP="006A2C62">
      <w:pPr>
        <w:autoSpaceDE w:val="0"/>
        <w:autoSpaceDN w:val="0"/>
        <w:adjustRightInd w:val="0"/>
        <w:spacing w:line="240" w:lineRule="auto"/>
        <w:jc w:val="center"/>
        <w:rPr>
          <w:rFonts w:ascii="Times New Roman" w:eastAsia="Calibri" w:hAnsi="Times New Roman" w:cs="Times New Roman"/>
          <w:sz w:val="24"/>
          <w:szCs w:val="24"/>
          <w:lang w:eastAsia="en-US"/>
        </w:rPr>
      </w:pPr>
      <w:r w:rsidRPr="006A2C62">
        <w:rPr>
          <w:rFonts w:ascii="Times New Roman" w:eastAsia="Calibri" w:hAnsi="Times New Roman" w:cs="Times New Roman"/>
          <w:sz w:val="24"/>
          <w:szCs w:val="24"/>
          <w:lang w:eastAsia="en-US"/>
        </w:rPr>
        <w:t>Faculty of Arts and Humanities</w:t>
      </w:r>
    </w:p>
    <w:p w14:paraId="78B293F1"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r w:rsidRPr="006A2C62">
        <w:rPr>
          <w:rFonts w:ascii="Times New Roman" w:eastAsia="Calibri" w:hAnsi="Times New Roman" w:cs="Times New Roman"/>
          <w:sz w:val="24"/>
          <w:szCs w:val="24"/>
          <w:lang w:eastAsia="en-US"/>
        </w:rPr>
        <w:t>School of English Literature</w:t>
      </w:r>
    </w:p>
    <w:p w14:paraId="75E28234"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0DA9F643"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4C591512"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108A3E3D" w14:textId="77777777" w:rsidR="006A2C62" w:rsidRPr="006A2C62" w:rsidRDefault="006A2C62" w:rsidP="006A2C62">
      <w:pPr>
        <w:spacing w:line="240" w:lineRule="auto"/>
        <w:jc w:val="center"/>
        <w:rPr>
          <w:rFonts w:ascii="Times New Roman" w:eastAsia="Calibri" w:hAnsi="Times New Roman" w:cs="Times New Roman"/>
          <w:sz w:val="24"/>
          <w:szCs w:val="24"/>
          <w:lang w:eastAsia="en-US"/>
        </w:rPr>
      </w:pPr>
    </w:p>
    <w:p w14:paraId="228276D0" w14:textId="324432F9" w:rsidR="006A2C62" w:rsidRPr="006A2C62" w:rsidRDefault="00A0420E" w:rsidP="006A2C62">
      <w:pPr>
        <w:spacing w:line="24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March 2018</w:t>
      </w:r>
    </w:p>
    <w:p w14:paraId="62BA0370" w14:textId="77777777" w:rsidR="001B760E" w:rsidRDefault="001B760E">
      <w:pPr>
        <w:spacing w:line="240" w:lineRule="auto"/>
        <w:rPr>
          <w:rFonts w:asciiTheme="majorBidi" w:eastAsia="Times New Roman" w:hAnsiTheme="majorBidi" w:cstheme="majorBidi"/>
          <w:b/>
          <w:bCs/>
          <w:sz w:val="32"/>
          <w:szCs w:val="32"/>
          <w:u w:val="single"/>
        </w:rPr>
      </w:pPr>
      <w:r>
        <w:rPr>
          <w:rFonts w:asciiTheme="majorBidi" w:eastAsia="Times New Roman" w:hAnsiTheme="majorBidi" w:cstheme="majorBidi"/>
          <w:b/>
          <w:bCs/>
          <w:sz w:val="32"/>
          <w:szCs w:val="32"/>
          <w:u w:val="single"/>
        </w:rPr>
        <w:lastRenderedPageBreak/>
        <w:br w:type="page"/>
      </w:r>
    </w:p>
    <w:p w14:paraId="13E45FB5" w14:textId="77C88598" w:rsidR="004C29FD" w:rsidRPr="006A2C62" w:rsidRDefault="004C29FD" w:rsidP="00CA79F2">
      <w:pPr>
        <w:spacing w:line="240" w:lineRule="auto"/>
        <w:contextualSpacing/>
        <w:jc w:val="center"/>
        <w:rPr>
          <w:rFonts w:asciiTheme="majorBidi" w:eastAsia="Times New Roman" w:hAnsiTheme="majorBidi" w:cstheme="majorBidi"/>
          <w:b/>
          <w:bCs/>
          <w:sz w:val="32"/>
          <w:szCs w:val="32"/>
        </w:rPr>
      </w:pPr>
      <w:r w:rsidRPr="006A2C62">
        <w:rPr>
          <w:rFonts w:asciiTheme="majorBidi" w:eastAsia="Times New Roman" w:hAnsiTheme="majorBidi" w:cstheme="majorBidi"/>
          <w:b/>
          <w:bCs/>
          <w:sz w:val="32"/>
          <w:szCs w:val="32"/>
        </w:rPr>
        <w:lastRenderedPageBreak/>
        <w:t>Table of Contents</w:t>
      </w:r>
    </w:p>
    <w:p w14:paraId="374DB184" w14:textId="716AAEAA" w:rsidR="008D4785" w:rsidRPr="006A2C62" w:rsidRDefault="006A2C62" w:rsidP="00CA79F2">
      <w:pPr>
        <w:spacing w:line="240" w:lineRule="auto"/>
        <w:contextualSpacing/>
        <w:jc w:val="center"/>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Volume II: Essays</w:t>
      </w:r>
    </w:p>
    <w:p w14:paraId="3A9FEDE5" w14:textId="77777777" w:rsidR="008D4785" w:rsidRPr="00505CF0" w:rsidRDefault="008D4785" w:rsidP="008D4785">
      <w:pPr>
        <w:ind w:left="720"/>
        <w:contextualSpacing/>
        <w:jc w:val="both"/>
        <w:rPr>
          <w:rFonts w:asciiTheme="majorBidi" w:eastAsia="Times New Roman" w:hAnsiTheme="majorBidi" w:cstheme="majorBidi"/>
          <w:sz w:val="24"/>
          <w:szCs w:val="24"/>
          <w:u w:val="single"/>
        </w:rPr>
      </w:pPr>
    </w:p>
    <w:p w14:paraId="719C944D" w14:textId="260BB3E7" w:rsidR="008935DE" w:rsidRDefault="008D4785" w:rsidP="008935DE">
      <w:pPr>
        <w:contextualSpacing/>
        <w:jc w:val="distribute"/>
        <w:rPr>
          <w:rFonts w:asciiTheme="majorBidi" w:eastAsia="Times New Roman" w:hAnsiTheme="majorBidi" w:cstheme="majorBidi"/>
          <w:sz w:val="24"/>
          <w:szCs w:val="24"/>
        </w:rPr>
      </w:pPr>
      <w:r w:rsidRPr="00E374B8">
        <w:rPr>
          <w:rFonts w:asciiTheme="majorBidi" w:eastAsia="Times New Roman" w:hAnsiTheme="majorBidi" w:cstheme="majorBidi"/>
          <w:i/>
          <w:iCs/>
          <w:sz w:val="28"/>
          <w:szCs w:val="28"/>
        </w:rPr>
        <w:t>The Book of Levi: Critical Edition</w:t>
      </w:r>
      <w:r w:rsidR="008935DE">
        <w:rPr>
          <w:rFonts w:asciiTheme="majorBidi" w:eastAsia="Times New Roman" w:hAnsiTheme="majorBidi" w:cstheme="majorBidi"/>
          <w:i/>
          <w:iCs/>
          <w:sz w:val="28"/>
          <w:szCs w:val="28"/>
        </w:rPr>
        <w:t xml:space="preserve"> </w:t>
      </w:r>
      <w:r w:rsidR="008935DE">
        <w:rPr>
          <w:rFonts w:asciiTheme="majorBidi" w:eastAsia="Times New Roman" w:hAnsiTheme="majorBidi" w:cstheme="majorBidi"/>
          <w:sz w:val="28"/>
          <w:szCs w:val="28"/>
        </w:rPr>
        <w:t>……………………………………………</w:t>
      </w:r>
      <w:bookmarkStart w:id="1" w:name="_Hlk506217972"/>
      <w:r w:rsidR="008935DE">
        <w:rPr>
          <w:rFonts w:asciiTheme="majorBidi" w:eastAsia="Times New Roman" w:hAnsiTheme="majorBidi" w:cstheme="majorBidi"/>
          <w:sz w:val="28"/>
          <w:szCs w:val="28"/>
        </w:rPr>
        <w:t>5</w:t>
      </w:r>
    </w:p>
    <w:p w14:paraId="7ADCD4F3" w14:textId="10986AD0" w:rsidR="001D4F1C" w:rsidRDefault="008935DE" w:rsidP="008935DE">
      <w:pPr>
        <w:contextualSpacing/>
        <w:jc w:val="distribute"/>
        <w:rPr>
          <w:rFonts w:asciiTheme="majorBidi" w:eastAsia="Times New Roman" w:hAnsiTheme="majorBidi" w:cstheme="majorBidi"/>
          <w:sz w:val="28"/>
          <w:szCs w:val="28"/>
        </w:rPr>
      </w:pPr>
      <w:r>
        <w:rPr>
          <w:rFonts w:asciiTheme="majorBidi" w:eastAsia="Times New Roman" w:hAnsiTheme="majorBidi" w:cstheme="majorBidi"/>
          <w:i/>
          <w:iCs/>
          <w:sz w:val="28"/>
          <w:szCs w:val="28"/>
        </w:rPr>
        <w:t>Editor’s pr</w:t>
      </w:r>
      <w:r w:rsidR="00CA79F2" w:rsidRPr="00E374B8">
        <w:rPr>
          <w:rFonts w:asciiTheme="majorBidi" w:eastAsia="Times New Roman" w:hAnsiTheme="majorBidi" w:cstheme="majorBidi"/>
          <w:i/>
          <w:iCs/>
          <w:sz w:val="28"/>
          <w:szCs w:val="28"/>
        </w:rPr>
        <w:t>eface</w:t>
      </w:r>
      <w:r w:rsidR="00E374B8">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w:t>
      </w:r>
      <w:r w:rsidR="00E374B8">
        <w:rPr>
          <w:rFonts w:asciiTheme="majorBidi" w:eastAsia="Times New Roman" w:hAnsiTheme="majorBidi" w:cstheme="majorBidi"/>
          <w:sz w:val="28"/>
          <w:szCs w:val="28"/>
        </w:rPr>
        <w:t>9</w:t>
      </w:r>
    </w:p>
    <w:p w14:paraId="0BF33CA1" w14:textId="77777777" w:rsidR="00973D75" w:rsidRPr="00973D75" w:rsidRDefault="00973D75" w:rsidP="008935DE">
      <w:pPr>
        <w:contextualSpacing/>
        <w:rPr>
          <w:rFonts w:asciiTheme="majorBidi" w:eastAsia="Times New Roman" w:hAnsiTheme="majorBidi" w:cstheme="majorBidi"/>
          <w:b/>
          <w:bCs/>
          <w:sz w:val="16"/>
          <w:szCs w:val="16"/>
        </w:rPr>
      </w:pPr>
    </w:p>
    <w:p w14:paraId="1C419228" w14:textId="30D46068" w:rsidR="00C8766F" w:rsidRDefault="001D4F1C" w:rsidP="008935DE">
      <w:pPr>
        <w:contextualSpacing/>
        <w:rPr>
          <w:rFonts w:asciiTheme="majorBidi" w:eastAsia="Times New Roman" w:hAnsiTheme="majorBidi" w:cstheme="majorBidi"/>
          <w:b/>
          <w:bCs/>
          <w:sz w:val="28"/>
          <w:szCs w:val="28"/>
        </w:rPr>
      </w:pPr>
      <w:r w:rsidRPr="00CA79F2">
        <w:rPr>
          <w:rFonts w:asciiTheme="majorBidi" w:eastAsia="Times New Roman" w:hAnsiTheme="majorBidi" w:cstheme="majorBidi"/>
          <w:b/>
          <w:bCs/>
          <w:sz w:val="28"/>
          <w:szCs w:val="28"/>
        </w:rPr>
        <w:t xml:space="preserve">Chapter </w:t>
      </w:r>
      <w:r w:rsidR="00A329D1">
        <w:rPr>
          <w:rFonts w:asciiTheme="majorBidi" w:eastAsia="Times New Roman" w:hAnsiTheme="majorBidi" w:cstheme="majorBidi"/>
          <w:b/>
          <w:bCs/>
          <w:sz w:val="28"/>
          <w:szCs w:val="28"/>
        </w:rPr>
        <w:t xml:space="preserve">I – </w:t>
      </w:r>
      <w:r w:rsidR="00CA79F2">
        <w:rPr>
          <w:rFonts w:asciiTheme="majorBidi" w:eastAsia="Times New Roman" w:hAnsiTheme="majorBidi" w:cstheme="majorBidi"/>
          <w:b/>
          <w:bCs/>
          <w:sz w:val="28"/>
          <w:szCs w:val="28"/>
        </w:rPr>
        <w:t>Southward vs Society</w:t>
      </w:r>
    </w:p>
    <w:p w14:paraId="5BC6C18C" w14:textId="4339CCC2" w:rsidR="001D4F1C" w:rsidRDefault="00C8766F" w:rsidP="008935DE">
      <w:pPr>
        <w:contextualSpacing/>
        <w:jc w:val="distribute"/>
        <w:rPr>
          <w:rFonts w:asciiTheme="majorBidi" w:eastAsia="Times New Roman" w:hAnsiTheme="majorBidi" w:cstheme="majorBidi"/>
          <w:sz w:val="28"/>
          <w:szCs w:val="28"/>
        </w:rPr>
      </w:pPr>
      <w:r>
        <w:rPr>
          <w:rFonts w:asciiTheme="majorBidi" w:eastAsia="Times New Roman" w:hAnsiTheme="majorBidi" w:cstheme="majorBidi"/>
          <w:b/>
          <w:bCs/>
          <w:sz w:val="28"/>
          <w:szCs w:val="28"/>
        </w:rPr>
        <w:t>Foreword</w:t>
      </w:r>
      <w:r w:rsidR="00D50A11">
        <w:rPr>
          <w:rFonts w:asciiTheme="majorBidi" w:eastAsia="Times New Roman" w:hAnsiTheme="majorBidi" w:cstheme="majorBidi"/>
          <w:sz w:val="28"/>
          <w:szCs w:val="28"/>
        </w:rPr>
        <w:t xml:space="preserve"> </w:t>
      </w:r>
      <w:r w:rsidR="008935DE">
        <w:rPr>
          <w:rFonts w:asciiTheme="majorBidi" w:eastAsia="Times New Roman" w:hAnsiTheme="majorBidi" w:cstheme="majorBidi"/>
          <w:sz w:val="28"/>
          <w:szCs w:val="28"/>
        </w:rPr>
        <w:t>……………………………………………………………………</w:t>
      </w:r>
      <w:r w:rsidR="0087584A">
        <w:rPr>
          <w:rFonts w:asciiTheme="majorBidi" w:eastAsia="Times New Roman" w:hAnsiTheme="majorBidi" w:cstheme="majorBidi"/>
          <w:sz w:val="28"/>
          <w:szCs w:val="28"/>
        </w:rPr>
        <w:t>11</w:t>
      </w:r>
    </w:p>
    <w:p w14:paraId="0AF7F811" w14:textId="6ACF6922" w:rsidR="008D4785" w:rsidRPr="00A66DED" w:rsidRDefault="008D4785" w:rsidP="008935DE">
      <w:pPr>
        <w:contextualSpacing/>
        <w:rPr>
          <w:rFonts w:asciiTheme="majorBidi" w:eastAsia="Times New Roman" w:hAnsiTheme="majorBidi" w:cstheme="majorBidi"/>
          <w:sz w:val="28"/>
          <w:szCs w:val="28"/>
        </w:rPr>
      </w:pPr>
      <w:r w:rsidRPr="00CA79F2">
        <w:rPr>
          <w:rFonts w:asciiTheme="majorBidi" w:eastAsia="Times New Roman" w:hAnsiTheme="majorBidi" w:cstheme="majorBidi"/>
          <w:b/>
          <w:bCs/>
          <w:i/>
          <w:iCs/>
          <w:sz w:val="28"/>
          <w:szCs w:val="28"/>
        </w:rPr>
        <w:t>The Post</w:t>
      </w:r>
      <w:r w:rsidR="00D95B45">
        <w:rPr>
          <w:rFonts w:asciiTheme="majorBidi" w:eastAsia="Times New Roman" w:hAnsiTheme="majorBidi" w:cstheme="majorBidi"/>
          <w:b/>
          <w:bCs/>
          <w:i/>
          <w:iCs/>
          <w:sz w:val="28"/>
          <w:szCs w:val="28"/>
        </w:rPr>
        <w:t>-post</w:t>
      </w:r>
      <w:r w:rsidRPr="00CA79F2">
        <w:rPr>
          <w:rFonts w:asciiTheme="majorBidi" w:eastAsia="Times New Roman" w:hAnsiTheme="majorBidi" w:cstheme="majorBidi"/>
          <w:b/>
          <w:bCs/>
          <w:i/>
          <w:iCs/>
          <w:sz w:val="28"/>
          <w:szCs w:val="28"/>
        </w:rPr>
        <w:t>modern Problem</w:t>
      </w:r>
    </w:p>
    <w:p w14:paraId="7A55149B" w14:textId="079CC85D" w:rsidR="00E10936" w:rsidRPr="000401C6" w:rsidRDefault="00E10936" w:rsidP="008D0243">
      <w:pPr>
        <w:numPr>
          <w:ilvl w:val="0"/>
          <w:numId w:val="10"/>
        </w:numPr>
        <w:spacing w:line="360" w:lineRule="auto"/>
        <w:contextualSpacing/>
        <w:jc w:val="distribute"/>
        <w:rPr>
          <w:rFonts w:asciiTheme="majorBidi" w:eastAsia="Times New Roman" w:hAnsiTheme="majorBidi" w:cstheme="majorBidi"/>
          <w:sz w:val="24"/>
          <w:szCs w:val="24"/>
        </w:rPr>
      </w:pPr>
      <w:bookmarkStart w:id="2" w:name="_Hlk506218140"/>
      <w:r w:rsidRPr="000401C6">
        <w:rPr>
          <w:rFonts w:asciiTheme="majorBidi" w:eastAsia="Times New Roman" w:hAnsiTheme="majorBidi" w:cstheme="majorBidi"/>
          <w:sz w:val="24"/>
          <w:szCs w:val="24"/>
        </w:rPr>
        <w:t>Introduction</w:t>
      </w:r>
      <w:r w:rsidR="008935DE">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87584A">
        <w:rPr>
          <w:rFonts w:asciiTheme="majorBidi" w:eastAsia="Times New Roman" w:hAnsiTheme="majorBidi" w:cstheme="majorBidi"/>
          <w:sz w:val="28"/>
          <w:szCs w:val="28"/>
        </w:rPr>
        <w:t>13</w:t>
      </w:r>
    </w:p>
    <w:p w14:paraId="54C3F892" w14:textId="57973CEE" w:rsidR="00E10936" w:rsidRPr="000401C6" w:rsidRDefault="00E10936" w:rsidP="008D0243">
      <w:pPr>
        <w:numPr>
          <w:ilvl w:val="0"/>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 xml:space="preserve">Contenders to the </w:t>
      </w:r>
      <w:r w:rsidR="00E114C2" w:rsidRPr="000401C6">
        <w:rPr>
          <w:rFonts w:asciiTheme="majorBidi" w:eastAsia="Times New Roman" w:hAnsiTheme="majorBidi" w:cstheme="majorBidi"/>
          <w:sz w:val="24"/>
          <w:szCs w:val="24"/>
        </w:rPr>
        <w:t>Throne</w:t>
      </w:r>
      <w:r w:rsidR="00E114C2">
        <w:rPr>
          <w:rFonts w:asciiTheme="majorBidi" w:eastAsia="Times New Roman" w:hAnsiTheme="majorBidi" w:cstheme="majorBidi"/>
          <w:sz w:val="24"/>
          <w:szCs w:val="24"/>
        </w:rPr>
        <w:t xml:space="preserve"> </w:t>
      </w:r>
      <w:r w:rsidR="008935DE">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B9571A">
        <w:rPr>
          <w:rFonts w:asciiTheme="majorBidi" w:eastAsia="Times New Roman" w:hAnsiTheme="majorBidi" w:cstheme="majorBidi"/>
          <w:sz w:val="28"/>
          <w:szCs w:val="28"/>
        </w:rPr>
        <w:t>20</w:t>
      </w:r>
    </w:p>
    <w:p w14:paraId="662F2770" w14:textId="7B687A6E" w:rsidR="00E10936" w:rsidRPr="000401C6" w:rsidRDefault="00E10936" w:rsidP="008D0243">
      <w:pPr>
        <w:numPr>
          <w:ilvl w:val="1"/>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Dystopian Resignation and Anti-Establishmentariani</w:t>
      </w:r>
      <w:r w:rsidR="008935DE">
        <w:rPr>
          <w:rFonts w:asciiTheme="majorBidi" w:eastAsia="Times New Roman" w:hAnsiTheme="majorBidi" w:cstheme="majorBidi"/>
          <w:sz w:val="24"/>
          <w:szCs w:val="24"/>
        </w:rPr>
        <w:t>sm</w:t>
      </w:r>
      <w:r w:rsidR="00AB1143">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8D0243">
        <w:rPr>
          <w:rFonts w:asciiTheme="majorBidi" w:eastAsia="Times New Roman" w:hAnsiTheme="majorBidi" w:cstheme="majorBidi"/>
          <w:sz w:val="28"/>
          <w:szCs w:val="28"/>
        </w:rPr>
        <w:t>.31</w:t>
      </w:r>
    </w:p>
    <w:p w14:paraId="77C46533" w14:textId="722DC492" w:rsidR="00E10936" w:rsidRPr="000401C6" w:rsidRDefault="00E10936" w:rsidP="008D0243">
      <w:pPr>
        <w:numPr>
          <w:ilvl w:val="1"/>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Progress and Change</w:t>
      </w:r>
      <w:r w:rsidR="00860771">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8D0243">
        <w:rPr>
          <w:rFonts w:asciiTheme="majorBidi" w:eastAsia="Times New Roman" w:hAnsiTheme="majorBidi" w:cstheme="majorBidi"/>
          <w:sz w:val="28"/>
          <w:szCs w:val="28"/>
        </w:rPr>
        <w:t>.</w:t>
      </w:r>
      <w:r w:rsidR="00860771">
        <w:rPr>
          <w:rFonts w:asciiTheme="majorBidi" w:eastAsia="Times New Roman" w:hAnsiTheme="majorBidi" w:cstheme="majorBidi"/>
          <w:sz w:val="28"/>
          <w:szCs w:val="28"/>
        </w:rPr>
        <w:t>40</w:t>
      </w:r>
    </w:p>
    <w:p w14:paraId="627BA071" w14:textId="5B8881DF" w:rsidR="00E10936" w:rsidRPr="000401C6" w:rsidRDefault="00E10936" w:rsidP="008D0243">
      <w:pPr>
        <w:numPr>
          <w:ilvl w:val="1"/>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 xml:space="preserve">The Odious </w:t>
      </w:r>
      <w:r w:rsidR="008935DE">
        <w:rPr>
          <w:rFonts w:asciiTheme="majorBidi" w:eastAsia="Times New Roman" w:hAnsiTheme="majorBidi" w:cstheme="majorBidi"/>
          <w:sz w:val="24"/>
          <w:szCs w:val="24"/>
        </w:rPr>
        <w:t xml:space="preserve">Machine  </w:t>
      </w:r>
      <w:r w:rsidR="008935DE">
        <w:rPr>
          <w:rFonts w:asciiTheme="majorBidi" w:eastAsia="Times New Roman" w:hAnsiTheme="majorBidi" w:cstheme="majorBidi"/>
          <w:sz w:val="28"/>
          <w:szCs w:val="28"/>
        </w:rPr>
        <w:t>…………………………………………………</w:t>
      </w:r>
      <w:r w:rsidR="00662A8A">
        <w:rPr>
          <w:rFonts w:asciiTheme="majorBidi" w:eastAsia="Times New Roman" w:hAnsiTheme="majorBidi" w:cstheme="majorBidi"/>
          <w:sz w:val="28"/>
          <w:szCs w:val="28"/>
        </w:rPr>
        <w:t>43</w:t>
      </w:r>
    </w:p>
    <w:p w14:paraId="5BAD044C" w14:textId="60DB038E" w:rsidR="00E10936" w:rsidRPr="000401C6" w:rsidRDefault="00E10936" w:rsidP="008D0243">
      <w:pPr>
        <w:numPr>
          <w:ilvl w:val="1"/>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The Nostalgia Drive</w:t>
      </w:r>
      <w:r w:rsidR="008935DE">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8D0243">
        <w:rPr>
          <w:rFonts w:asciiTheme="majorBidi" w:eastAsia="Times New Roman" w:hAnsiTheme="majorBidi" w:cstheme="majorBidi"/>
          <w:sz w:val="28"/>
          <w:szCs w:val="28"/>
        </w:rPr>
        <w:t>..</w:t>
      </w:r>
      <w:r w:rsidR="00662A8A">
        <w:rPr>
          <w:rFonts w:asciiTheme="majorBidi" w:eastAsia="Times New Roman" w:hAnsiTheme="majorBidi" w:cstheme="majorBidi"/>
          <w:sz w:val="28"/>
          <w:szCs w:val="28"/>
        </w:rPr>
        <w:t>51</w:t>
      </w:r>
    </w:p>
    <w:p w14:paraId="149ACEE2" w14:textId="29F0C98C" w:rsidR="00E10936" w:rsidRPr="000401C6" w:rsidRDefault="00E10936" w:rsidP="008D0243">
      <w:pPr>
        <w:numPr>
          <w:ilvl w:val="1"/>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Infantilization</w:t>
      </w:r>
      <w:r w:rsidR="008935DE">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662A8A" w:rsidRPr="00662A8A">
        <w:rPr>
          <w:rFonts w:asciiTheme="majorBidi" w:eastAsia="Times New Roman" w:hAnsiTheme="majorBidi" w:cstheme="majorBidi"/>
          <w:sz w:val="28"/>
          <w:szCs w:val="28"/>
        </w:rPr>
        <w:t>55</w:t>
      </w:r>
    </w:p>
    <w:p w14:paraId="11FF804F" w14:textId="44F2F8BA" w:rsidR="00E10936" w:rsidRPr="000401C6" w:rsidRDefault="00E10936" w:rsidP="008D0243">
      <w:pPr>
        <w:numPr>
          <w:ilvl w:val="0"/>
          <w:numId w:val="10"/>
        </w:numPr>
        <w:spacing w:line="360" w:lineRule="auto"/>
        <w:contextualSpacing/>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Conclusion</w:t>
      </w:r>
      <w:r w:rsidR="00AB1143">
        <w:rPr>
          <w:rFonts w:asciiTheme="majorBidi" w:eastAsia="Times New Roman" w:hAnsiTheme="majorBidi" w:cstheme="majorBidi"/>
          <w:sz w:val="24"/>
          <w:szCs w:val="24"/>
        </w:rPr>
        <w:t xml:space="preserve"> </w:t>
      </w:r>
      <w:r w:rsidR="008935DE">
        <w:rPr>
          <w:rFonts w:asciiTheme="majorBidi" w:eastAsia="Times New Roman" w:hAnsiTheme="majorBidi" w:cstheme="majorBidi"/>
          <w:sz w:val="28"/>
          <w:szCs w:val="28"/>
        </w:rPr>
        <w:t>……………………………………………………………</w:t>
      </w:r>
      <w:r w:rsidR="00662A8A">
        <w:rPr>
          <w:rFonts w:asciiTheme="majorBidi" w:eastAsia="Times New Roman" w:hAnsiTheme="majorBidi" w:cstheme="majorBidi"/>
          <w:sz w:val="28"/>
          <w:szCs w:val="28"/>
        </w:rPr>
        <w:t>66</w:t>
      </w:r>
    </w:p>
    <w:p w14:paraId="3FE6FAC7" w14:textId="77777777" w:rsidR="000401C6" w:rsidRPr="00973D75" w:rsidRDefault="000401C6" w:rsidP="008935DE">
      <w:pPr>
        <w:ind w:left="1080"/>
        <w:contextualSpacing/>
        <w:rPr>
          <w:rFonts w:asciiTheme="majorBidi" w:eastAsia="Times New Roman" w:hAnsiTheme="majorBidi" w:cstheme="majorBidi"/>
          <w:sz w:val="16"/>
          <w:szCs w:val="16"/>
        </w:rPr>
      </w:pPr>
    </w:p>
    <w:bookmarkEnd w:id="1"/>
    <w:bookmarkEnd w:id="2"/>
    <w:p w14:paraId="69E7DAF3" w14:textId="269681FB" w:rsidR="00CA79F2" w:rsidRDefault="001D4F1C" w:rsidP="00AB1143">
      <w:pPr>
        <w:contextualSpacing/>
        <w:rPr>
          <w:rFonts w:asciiTheme="majorBidi" w:eastAsia="Times New Roman" w:hAnsiTheme="majorBidi" w:cstheme="majorBidi"/>
          <w:b/>
          <w:bCs/>
          <w:sz w:val="28"/>
          <w:szCs w:val="28"/>
        </w:rPr>
      </w:pPr>
      <w:r w:rsidRPr="00CA79F2">
        <w:rPr>
          <w:rFonts w:asciiTheme="majorBidi" w:eastAsia="Times New Roman" w:hAnsiTheme="majorBidi" w:cstheme="majorBidi"/>
          <w:b/>
          <w:bCs/>
          <w:sz w:val="28"/>
          <w:szCs w:val="28"/>
        </w:rPr>
        <w:t xml:space="preserve">Chapter </w:t>
      </w:r>
      <w:r w:rsidR="00A329D1">
        <w:rPr>
          <w:rFonts w:asciiTheme="majorBidi" w:eastAsia="Times New Roman" w:hAnsiTheme="majorBidi" w:cstheme="majorBidi"/>
          <w:b/>
          <w:bCs/>
          <w:sz w:val="28"/>
          <w:szCs w:val="28"/>
        </w:rPr>
        <w:t xml:space="preserve">II – </w:t>
      </w:r>
      <w:r w:rsidR="00CA79F2">
        <w:rPr>
          <w:rFonts w:asciiTheme="majorBidi" w:eastAsia="Times New Roman" w:hAnsiTheme="majorBidi" w:cstheme="majorBidi"/>
          <w:b/>
          <w:bCs/>
          <w:sz w:val="28"/>
          <w:szCs w:val="28"/>
        </w:rPr>
        <w:t>Southward vs Sincerity</w:t>
      </w:r>
    </w:p>
    <w:p w14:paraId="463B2208" w14:textId="17F4B3BB" w:rsidR="00702141" w:rsidRDefault="00702141" w:rsidP="00AB1143">
      <w:pPr>
        <w:contextualSpacing/>
        <w:jc w:val="distribute"/>
        <w:rPr>
          <w:rFonts w:asciiTheme="majorBidi" w:eastAsia="Times New Roman" w:hAnsiTheme="majorBidi" w:cstheme="majorBidi"/>
          <w:sz w:val="28"/>
          <w:szCs w:val="28"/>
        </w:rPr>
      </w:pPr>
      <w:r>
        <w:rPr>
          <w:rFonts w:asciiTheme="majorBidi" w:eastAsia="Times New Roman" w:hAnsiTheme="majorBidi" w:cstheme="majorBidi"/>
          <w:b/>
          <w:bCs/>
          <w:sz w:val="28"/>
          <w:szCs w:val="28"/>
        </w:rPr>
        <w:t>Foreword</w:t>
      </w:r>
      <w:r>
        <w:rPr>
          <w:rFonts w:asciiTheme="majorBidi" w:eastAsia="Times New Roman" w:hAnsiTheme="majorBidi" w:cstheme="majorBidi"/>
          <w:sz w:val="28"/>
          <w:szCs w:val="28"/>
        </w:rPr>
        <w:t xml:space="preserve"> ……………………………………………………………………69</w:t>
      </w:r>
    </w:p>
    <w:p w14:paraId="7DE52410" w14:textId="7EC79ECD" w:rsidR="008D4785" w:rsidRPr="00583596" w:rsidRDefault="008D4785" w:rsidP="00AB1143">
      <w:pPr>
        <w:contextualSpacing/>
        <w:rPr>
          <w:rFonts w:asciiTheme="majorBidi" w:eastAsia="Times New Roman" w:hAnsiTheme="majorBidi" w:cstheme="majorBidi"/>
          <w:b/>
          <w:bCs/>
          <w:i/>
          <w:iCs/>
          <w:sz w:val="28"/>
          <w:szCs w:val="28"/>
        </w:rPr>
      </w:pPr>
      <w:r w:rsidRPr="00583596">
        <w:rPr>
          <w:rFonts w:asciiTheme="majorBidi" w:eastAsia="Times New Roman" w:hAnsiTheme="majorBidi" w:cstheme="majorBidi"/>
          <w:b/>
          <w:bCs/>
          <w:i/>
          <w:iCs/>
          <w:sz w:val="28"/>
          <w:szCs w:val="28"/>
        </w:rPr>
        <w:t>The Metamodern Solution</w:t>
      </w:r>
    </w:p>
    <w:p w14:paraId="5AA58421" w14:textId="5B136E69" w:rsidR="008D4785" w:rsidRPr="000401C6" w:rsidRDefault="00702141" w:rsidP="00AB1143">
      <w:pPr>
        <w:numPr>
          <w:ilvl w:val="0"/>
          <w:numId w:val="7"/>
        </w:numPr>
        <w:spacing w:line="360" w:lineRule="auto"/>
        <w:contextualSpacing/>
        <w:jc w:val="distribute"/>
        <w:rPr>
          <w:rFonts w:asciiTheme="majorBidi" w:eastAsia="Calibri" w:hAnsiTheme="majorBidi" w:cstheme="majorBidi"/>
          <w:sz w:val="24"/>
          <w:szCs w:val="24"/>
        </w:rPr>
      </w:pPr>
      <w:r>
        <w:rPr>
          <w:rFonts w:asciiTheme="majorBidi" w:eastAsia="Calibri" w:hAnsiTheme="majorBidi" w:cstheme="majorBidi"/>
          <w:sz w:val="24"/>
          <w:szCs w:val="24"/>
        </w:rPr>
        <w:t xml:space="preserve">Introduction </w:t>
      </w:r>
      <w:r w:rsidRPr="00702141">
        <w:rPr>
          <w:rFonts w:asciiTheme="majorBidi" w:eastAsia="Calibri" w:hAnsiTheme="majorBidi" w:cstheme="majorBidi"/>
          <w:sz w:val="28"/>
          <w:szCs w:val="28"/>
        </w:rPr>
        <w:t>............................................................</w:t>
      </w:r>
      <w:r>
        <w:rPr>
          <w:rFonts w:asciiTheme="majorBidi" w:eastAsia="Calibri" w:hAnsiTheme="majorBidi" w:cstheme="majorBidi"/>
          <w:sz w:val="28"/>
          <w:szCs w:val="28"/>
        </w:rPr>
        <w:t>................</w:t>
      </w:r>
      <w:r w:rsidRPr="00702141">
        <w:rPr>
          <w:rFonts w:asciiTheme="majorBidi" w:eastAsia="Calibri" w:hAnsiTheme="majorBidi" w:cstheme="majorBidi"/>
          <w:sz w:val="28"/>
          <w:szCs w:val="28"/>
        </w:rPr>
        <w:t>71</w:t>
      </w:r>
    </w:p>
    <w:p w14:paraId="1ACACBAB" w14:textId="18DCDF69" w:rsidR="008D4785" w:rsidRPr="000401C6" w:rsidRDefault="008D4785" w:rsidP="00AB1143">
      <w:pPr>
        <w:numPr>
          <w:ilvl w:val="0"/>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What is Metamodernism</w:t>
      </w:r>
      <w:r w:rsidR="002E1479">
        <w:rPr>
          <w:rFonts w:asciiTheme="majorBidi" w:eastAsia="Calibri" w:hAnsiTheme="majorBidi" w:cstheme="majorBidi"/>
          <w:sz w:val="24"/>
          <w:szCs w:val="24"/>
        </w:rPr>
        <w:t>?</w:t>
      </w:r>
      <w:r w:rsidR="00AB1143">
        <w:rPr>
          <w:rFonts w:asciiTheme="majorBidi" w:eastAsia="Calibri" w:hAnsiTheme="majorBidi" w:cstheme="majorBidi"/>
          <w:sz w:val="24"/>
          <w:szCs w:val="24"/>
        </w:rPr>
        <w:t xml:space="preserve"> </w:t>
      </w:r>
      <w:r w:rsidR="002E1479">
        <w:rPr>
          <w:rFonts w:asciiTheme="majorBidi" w:eastAsia="Calibri" w:hAnsiTheme="majorBidi" w:cstheme="majorBidi"/>
          <w:sz w:val="24"/>
          <w:szCs w:val="24"/>
        </w:rPr>
        <w:t xml:space="preserve">  </w:t>
      </w:r>
      <w:r w:rsidR="002E1479" w:rsidRPr="002E1479">
        <w:rPr>
          <w:rFonts w:asciiTheme="majorBidi" w:eastAsia="Calibri" w:hAnsiTheme="majorBidi" w:cstheme="majorBidi"/>
          <w:sz w:val="28"/>
          <w:szCs w:val="28"/>
        </w:rPr>
        <w:t>……</w:t>
      </w:r>
      <w:r w:rsidR="002E1479">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72</w:t>
      </w:r>
    </w:p>
    <w:p w14:paraId="70F42540" w14:textId="05BD518A" w:rsidR="008D4785" w:rsidRPr="000401C6" w:rsidRDefault="008D4785" w:rsidP="00AB1143">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Metamodern Oscillatio</w:t>
      </w:r>
      <w:r w:rsidR="00702141">
        <w:rPr>
          <w:rFonts w:asciiTheme="majorBidi" w:eastAsia="Calibri" w:hAnsiTheme="majorBidi" w:cstheme="majorBidi"/>
          <w:sz w:val="24"/>
          <w:szCs w:val="24"/>
        </w:rPr>
        <w:t xml:space="preserve">n </w:t>
      </w:r>
      <w:r w:rsidR="002E1479">
        <w:rPr>
          <w:rFonts w:asciiTheme="majorBidi" w:eastAsia="Calibri" w:hAnsiTheme="majorBidi" w:cstheme="majorBidi"/>
          <w:sz w:val="24"/>
          <w:szCs w:val="24"/>
        </w:rPr>
        <w:t xml:space="preserve"> </w:t>
      </w:r>
      <w:r w:rsidR="002E1479">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75</w:t>
      </w:r>
    </w:p>
    <w:p w14:paraId="6146090D" w14:textId="4AEDD01B" w:rsidR="008D4785" w:rsidRPr="000401C6" w:rsidRDefault="002E1479" w:rsidP="00AB1143">
      <w:pPr>
        <w:numPr>
          <w:ilvl w:val="1"/>
          <w:numId w:val="7"/>
        </w:numPr>
        <w:spacing w:line="360" w:lineRule="auto"/>
        <w:contextualSpacing/>
        <w:jc w:val="distribute"/>
        <w:rPr>
          <w:rFonts w:asciiTheme="majorBidi" w:eastAsia="Calibri" w:hAnsiTheme="majorBidi" w:cstheme="majorBidi"/>
          <w:sz w:val="24"/>
          <w:szCs w:val="24"/>
        </w:rPr>
      </w:pPr>
      <w:r>
        <w:rPr>
          <w:rFonts w:asciiTheme="majorBidi" w:eastAsia="Calibri" w:hAnsiTheme="majorBidi" w:cstheme="majorBidi"/>
          <w:sz w:val="24"/>
          <w:szCs w:val="24"/>
        </w:rPr>
        <w:t xml:space="preserve">A Resurgence of Romanticism  </w:t>
      </w:r>
      <w:r>
        <w:rPr>
          <w:rFonts w:asciiTheme="majorBidi" w:eastAsia="Calibri" w:hAnsiTheme="majorBidi" w:cstheme="majorBidi"/>
          <w:sz w:val="28"/>
          <w:szCs w:val="28"/>
        </w:rPr>
        <w:t>…………………………………………78</w:t>
      </w:r>
    </w:p>
    <w:p w14:paraId="0148A863" w14:textId="205585C2" w:rsidR="00E10936" w:rsidRPr="000401C6" w:rsidRDefault="00E10936" w:rsidP="00AB1143">
      <w:pPr>
        <w:spacing w:line="360" w:lineRule="auto"/>
        <w:ind w:left="1152"/>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2.2.1. From Vapourware to Vaporwave</w:t>
      </w:r>
      <w:r w:rsidR="002E1479">
        <w:rPr>
          <w:rFonts w:asciiTheme="majorBidi" w:eastAsia="Calibri" w:hAnsiTheme="majorBidi" w:cstheme="majorBidi"/>
          <w:sz w:val="24"/>
          <w:szCs w:val="24"/>
        </w:rPr>
        <w:t xml:space="preserve">   </w:t>
      </w:r>
      <w:r w:rsidR="002E1479">
        <w:rPr>
          <w:rFonts w:asciiTheme="majorBidi" w:eastAsia="Calibri" w:hAnsiTheme="majorBidi" w:cstheme="majorBidi"/>
          <w:sz w:val="28"/>
          <w:szCs w:val="28"/>
        </w:rPr>
        <w:t>………………………………...</w:t>
      </w:r>
      <w:r w:rsidR="00702141">
        <w:rPr>
          <w:rFonts w:asciiTheme="majorBidi" w:eastAsia="Calibri" w:hAnsiTheme="majorBidi" w:cstheme="majorBidi"/>
          <w:sz w:val="24"/>
          <w:szCs w:val="24"/>
        </w:rPr>
        <w:t xml:space="preserve"> </w:t>
      </w:r>
      <w:r w:rsidR="00702141" w:rsidRPr="00702141">
        <w:rPr>
          <w:rFonts w:asciiTheme="majorBidi" w:eastAsia="Calibri" w:hAnsiTheme="majorBidi" w:cstheme="majorBidi"/>
          <w:sz w:val="28"/>
          <w:szCs w:val="28"/>
        </w:rPr>
        <w:t>81</w:t>
      </w:r>
    </w:p>
    <w:p w14:paraId="6ED102F2" w14:textId="0E91F885" w:rsidR="008D4785" w:rsidRPr="000401C6" w:rsidRDefault="008D4785" w:rsidP="00AC003B">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Neo-Utopianism</w:t>
      </w:r>
      <w:r w:rsidR="00AC003B">
        <w:rPr>
          <w:rFonts w:asciiTheme="majorBidi" w:eastAsia="Calibri" w:hAnsiTheme="majorBidi" w:cstheme="majorBidi"/>
          <w:sz w:val="28"/>
          <w:szCs w:val="28"/>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84</w:t>
      </w:r>
    </w:p>
    <w:p w14:paraId="636AF160" w14:textId="77E3D63F" w:rsidR="008D4785" w:rsidRPr="000401C6" w:rsidRDefault="008D4785" w:rsidP="00AB1143">
      <w:pPr>
        <w:numPr>
          <w:ilvl w:val="0"/>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Metamodern Literature</w:t>
      </w:r>
      <w:r w:rsidR="00AB1143">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86</w:t>
      </w:r>
    </w:p>
    <w:p w14:paraId="18BAECA2" w14:textId="39F602C0" w:rsidR="008D4785" w:rsidRPr="000401C6" w:rsidRDefault="008D4785" w:rsidP="00AC003B">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Mythical Mitigation of Present-Day Pain</w:t>
      </w:r>
      <w:r w:rsidR="00AC003B">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87</w:t>
      </w:r>
    </w:p>
    <w:p w14:paraId="5614C6E3" w14:textId="465C4F56" w:rsidR="008D4785" w:rsidRPr="000401C6" w:rsidRDefault="008D4785" w:rsidP="00AB1143">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Tripping the Metamodern Fantastic</w:t>
      </w:r>
      <w:r w:rsidR="00702141">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98</w:t>
      </w:r>
    </w:p>
    <w:p w14:paraId="761EC99A" w14:textId="755BB3AE" w:rsidR="008D4785" w:rsidRPr="000401C6" w:rsidRDefault="008D4785" w:rsidP="00AB1143">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Sisyphus Transcends Narcissus</w:t>
      </w:r>
      <w:r w:rsidR="00702141">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102</w:t>
      </w:r>
    </w:p>
    <w:p w14:paraId="162922AB" w14:textId="492008C1" w:rsidR="008D4785" w:rsidRPr="000401C6" w:rsidRDefault="008D4785" w:rsidP="00AB1143">
      <w:pPr>
        <w:numPr>
          <w:ilvl w:val="1"/>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Addendum</w:t>
      </w:r>
      <w:r w:rsidR="00702141">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117</w:t>
      </w:r>
    </w:p>
    <w:p w14:paraId="5A744C6B" w14:textId="2B659B6B" w:rsidR="00A66DED" w:rsidRPr="000401C6" w:rsidRDefault="008D4785" w:rsidP="00AB1143">
      <w:pPr>
        <w:numPr>
          <w:ilvl w:val="0"/>
          <w:numId w:val="7"/>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Answering the Charges</w:t>
      </w:r>
      <w:r w:rsidR="00AB1143">
        <w:rPr>
          <w:rFonts w:asciiTheme="majorBidi" w:eastAsia="Calibri" w:hAnsiTheme="majorBidi" w:cstheme="majorBidi"/>
          <w:sz w:val="24"/>
          <w:szCs w:val="24"/>
        </w:rPr>
        <w:t xml:space="preserve"> </w:t>
      </w:r>
      <w:r w:rsidR="00AB1143">
        <w:rPr>
          <w:rFonts w:asciiTheme="majorBidi" w:eastAsia="Calibri" w:hAnsiTheme="majorBidi" w:cstheme="majorBidi"/>
          <w:sz w:val="28"/>
          <w:szCs w:val="28"/>
        </w:rPr>
        <w:t>………………………………………………</w:t>
      </w:r>
      <w:r w:rsidR="00702141" w:rsidRPr="00702141">
        <w:rPr>
          <w:rFonts w:asciiTheme="majorBidi" w:eastAsia="Calibri" w:hAnsiTheme="majorBidi" w:cstheme="majorBidi"/>
          <w:sz w:val="28"/>
          <w:szCs w:val="28"/>
        </w:rPr>
        <w:t>120</w:t>
      </w:r>
    </w:p>
    <w:p w14:paraId="2CB8540F" w14:textId="15603DF4" w:rsidR="00A66DED" w:rsidRPr="00CA79F2" w:rsidRDefault="00A66DED" w:rsidP="00AC003B">
      <w:pPr>
        <w:contextualSpacing/>
        <w:jc w:val="center"/>
        <w:rPr>
          <w:rFonts w:asciiTheme="majorBidi" w:eastAsia="Times New Roman" w:hAnsiTheme="majorBidi" w:cstheme="majorBidi"/>
          <w:b/>
          <w:bCs/>
          <w:sz w:val="32"/>
          <w:szCs w:val="32"/>
        </w:rPr>
      </w:pPr>
      <w:r w:rsidRPr="00CA79F2">
        <w:rPr>
          <w:rFonts w:asciiTheme="majorBidi" w:eastAsia="Times New Roman" w:hAnsiTheme="majorBidi" w:cstheme="majorBidi"/>
          <w:b/>
          <w:bCs/>
          <w:sz w:val="32"/>
          <w:szCs w:val="32"/>
        </w:rPr>
        <w:lastRenderedPageBreak/>
        <w:t>Table of Contents</w:t>
      </w:r>
    </w:p>
    <w:p w14:paraId="05516C98" w14:textId="77777777" w:rsidR="00A66DED" w:rsidRPr="00973D75" w:rsidRDefault="00A66DED" w:rsidP="008935DE">
      <w:pPr>
        <w:contextualSpacing/>
        <w:rPr>
          <w:rFonts w:asciiTheme="majorBidi" w:eastAsia="Times New Roman" w:hAnsiTheme="majorBidi" w:cstheme="majorBidi"/>
          <w:b/>
          <w:bCs/>
          <w:sz w:val="16"/>
          <w:szCs w:val="16"/>
          <w:u w:val="single"/>
        </w:rPr>
      </w:pPr>
    </w:p>
    <w:p w14:paraId="6272FA91" w14:textId="2EA15039" w:rsidR="00A03A85" w:rsidRDefault="00A03A85" w:rsidP="008935DE">
      <w:pPr>
        <w:contextualSpacing/>
        <w:rPr>
          <w:rFonts w:asciiTheme="majorBidi" w:eastAsia="Times New Roman" w:hAnsiTheme="majorBidi" w:cstheme="majorBidi"/>
          <w:b/>
          <w:bCs/>
          <w:sz w:val="28"/>
          <w:szCs w:val="28"/>
        </w:rPr>
      </w:pPr>
      <w:r w:rsidRPr="00CA79F2">
        <w:rPr>
          <w:rFonts w:asciiTheme="majorBidi" w:eastAsia="Times New Roman" w:hAnsiTheme="majorBidi" w:cstheme="majorBidi"/>
          <w:b/>
          <w:bCs/>
          <w:sz w:val="28"/>
          <w:szCs w:val="28"/>
        </w:rPr>
        <w:t xml:space="preserve">Chapter </w:t>
      </w:r>
      <w:r w:rsidR="00A329D1">
        <w:rPr>
          <w:rFonts w:asciiTheme="majorBidi" w:eastAsia="Times New Roman" w:hAnsiTheme="majorBidi" w:cstheme="majorBidi"/>
          <w:b/>
          <w:bCs/>
          <w:sz w:val="28"/>
          <w:szCs w:val="28"/>
        </w:rPr>
        <w:t>III –</w:t>
      </w:r>
      <w:r w:rsidR="00CA79F2" w:rsidRPr="00CA79F2">
        <w:rPr>
          <w:rFonts w:asciiTheme="majorBidi" w:eastAsia="Times New Roman" w:hAnsiTheme="majorBidi" w:cstheme="majorBidi"/>
          <w:b/>
          <w:bCs/>
          <w:sz w:val="28"/>
          <w:szCs w:val="28"/>
        </w:rPr>
        <w:t xml:space="preserve"> Southward vs Sublimity</w:t>
      </w:r>
    </w:p>
    <w:p w14:paraId="219FC4D5" w14:textId="7ADC4630" w:rsidR="00702141" w:rsidRDefault="00702141" w:rsidP="00702141">
      <w:pPr>
        <w:contextualSpacing/>
        <w:jc w:val="distribute"/>
        <w:rPr>
          <w:rFonts w:asciiTheme="majorBidi" w:eastAsia="Times New Roman" w:hAnsiTheme="majorBidi" w:cstheme="majorBidi"/>
          <w:sz w:val="28"/>
          <w:szCs w:val="28"/>
        </w:rPr>
      </w:pPr>
      <w:r>
        <w:rPr>
          <w:rFonts w:asciiTheme="majorBidi" w:eastAsia="Times New Roman" w:hAnsiTheme="majorBidi" w:cstheme="majorBidi"/>
          <w:b/>
          <w:bCs/>
          <w:sz w:val="28"/>
          <w:szCs w:val="28"/>
        </w:rPr>
        <w:t>Foreword</w:t>
      </w:r>
      <w:r>
        <w:rPr>
          <w:rFonts w:asciiTheme="majorBidi" w:eastAsia="Times New Roman" w:hAnsiTheme="majorBidi" w:cstheme="majorBidi"/>
          <w:sz w:val="28"/>
          <w:szCs w:val="28"/>
        </w:rPr>
        <w:t xml:space="preserve"> ……………………………………………………………………125</w:t>
      </w:r>
    </w:p>
    <w:p w14:paraId="49F2E1D3" w14:textId="436327F0" w:rsidR="008D4785" w:rsidRPr="00CA79F2" w:rsidRDefault="00583596" w:rsidP="008935DE">
      <w:pPr>
        <w:contextualSpacing/>
        <w:rPr>
          <w:rFonts w:asciiTheme="majorBidi" w:eastAsia="Times New Roman" w:hAnsiTheme="majorBidi" w:cstheme="majorBidi"/>
          <w:b/>
          <w:bCs/>
          <w:i/>
          <w:iCs/>
          <w:sz w:val="28"/>
          <w:szCs w:val="28"/>
        </w:rPr>
      </w:pPr>
      <w:r w:rsidRPr="00583596">
        <w:rPr>
          <w:rFonts w:asciiTheme="majorBidi" w:eastAsia="Times New Roman" w:hAnsiTheme="majorBidi" w:cstheme="majorBidi"/>
          <w:b/>
          <w:bCs/>
          <w:i/>
          <w:iCs/>
          <w:sz w:val="28"/>
          <w:szCs w:val="28"/>
        </w:rPr>
        <w:t>21st Century Gothic; Transcendence, Sincerity, &amp; the Sublime</w:t>
      </w:r>
    </w:p>
    <w:p w14:paraId="05CE3319" w14:textId="4F977FED" w:rsidR="008D4785" w:rsidRPr="000401C6" w:rsidRDefault="008D4785" w:rsidP="0033628A">
      <w:pPr>
        <w:numPr>
          <w:ilvl w:val="0"/>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Introduction</w:t>
      </w:r>
      <w:r w:rsidR="00AC003B">
        <w:rPr>
          <w:rFonts w:asciiTheme="majorBidi" w:eastAsia="Times New Roman" w:hAnsiTheme="majorBidi" w:cstheme="majorBidi"/>
          <w:sz w:val="24"/>
          <w:szCs w:val="24"/>
        </w:rPr>
        <w:t xml:space="preserve"> </w:t>
      </w:r>
      <w:r w:rsidR="00AC003B">
        <w:rPr>
          <w:rFonts w:asciiTheme="majorBidi" w:eastAsia="Calibri" w:hAnsiTheme="majorBidi" w:cstheme="majorBidi"/>
          <w:sz w:val="28"/>
          <w:szCs w:val="28"/>
        </w:rPr>
        <w:t>…………………………………</w:t>
      </w:r>
      <w:r w:rsidR="0033628A">
        <w:rPr>
          <w:rFonts w:asciiTheme="majorBidi" w:eastAsia="Calibri" w:hAnsiTheme="majorBidi" w:cstheme="majorBidi"/>
          <w:sz w:val="28"/>
          <w:szCs w:val="28"/>
        </w:rPr>
        <w:t>…………………………127</w:t>
      </w:r>
    </w:p>
    <w:p w14:paraId="528AF895" w14:textId="3BC15083" w:rsidR="008D4785" w:rsidRPr="000401C6" w:rsidRDefault="008D4785" w:rsidP="0033628A">
      <w:pPr>
        <w:numPr>
          <w:ilvl w:val="0"/>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Post-Postmodern Gothic</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…………………………………………………130</w:t>
      </w:r>
    </w:p>
    <w:p w14:paraId="386F564E" w14:textId="233C2E3B" w:rsidR="008D4785" w:rsidRPr="000401C6" w:rsidRDefault="008D4785" w:rsidP="0033628A">
      <w:pPr>
        <w:numPr>
          <w:ilvl w:val="1"/>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Anthologies of Interest</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………………………………………………133</w:t>
      </w:r>
    </w:p>
    <w:p w14:paraId="224EB093" w14:textId="728A4251" w:rsidR="008D4785" w:rsidRPr="000401C6" w:rsidRDefault="008D4785" w:rsidP="0033628A">
      <w:pPr>
        <w:numPr>
          <w:ilvl w:val="1"/>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Beyond the Black Hole’s De(con)struction</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……………………………140</w:t>
      </w:r>
    </w:p>
    <w:p w14:paraId="3FD8C0C2" w14:textId="1B8F8DD0" w:rsidR="008D4785" w:rsidRPr="000401C6" w:rsidRDefault="008D4785" w:rsidP="0033628A">
      <w:pPr>
        <w:numPr>
          <w:ilvl w:val="1"/>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Gothic Sincerity</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……………………………………………………155</w:t>
      </w:r>
    </w:p>
    <w:p w14:paraId="7967A5A5" w14:textId="51CF0438" w:rsidR="008D4785" w:rsidRPr="000401C6" w:rsidRDefault="008D4785" w:rsidP="0033628A">
      <w:pPr>
        <w:numPr>
          <w:ilvl w:val="0"/>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The World Must be Romanticized</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…………………………………………158</w:t>
      </w:r>
    </w:p>
    <w:p w14:paraId="184A9C9C" w14:textId="37EB2DA5" w:rsidR="008D4785" w:rsidRPr="000401C6" w:rsidRDefault="008D4785" w:rsidP="0033628A">
      <w:pPr>
        <w:numPr>
          <w:ilvl w:val="1"/>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New Romanticism</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……………………………………………………159</w:t>
      </w:r>
    </w:p>
    <w:p w14:paraId="0166D548" w14:textId="797327AE" w:rsidR="008D4785" w:rsidRPr="000401C6" w:rsidRDefault="008D4785" w:rsidP="0033628A">
      <w:pPr>
        <w:numPr>
          <w:ilvl w:val="1"/>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Sublime Experimentation</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……………………………………………167</w:t>
      </w:r>
    </w:p>
    <w:p w14:paraId="6110DF01" w14:textId="775086E2" w:rsidR="008D4785" w:rsidRPr="000401C6" w:rsidRDefault="008D4785" w:rsidP="0033628A">
      <w:pPr>
        <w:numPr>
          <w:ilvl w:val="0"/>
          <w:numId w:val="8"/>
        </w:numPr>
        <w:spacing w:line="360" w:lineRule="auto"/>
        <w:jc w:val="distribute"/>
        <w:rPr>
          <w:rFonts w:asciiTheme="majorBidi" w:eastAsia="Times New Roman" w:hAnsiTheme="majorBidi" w:cstheme="majorBidi"/>
          <w:sz w:val="24"/>
          <w:szCs w:val="24"/>
        </w:rPr>
      </w:pPr>
      <w:r w:rsidRPr="000401C6">
        <w:rPr>
          <w:rFonts w:asciiTheme="majorBidi" w:eastAsia="Times New Roman" w:hAnsiTheme="majorBidi" w:cstheme="majorBidi"/>
          <w:sz w:val="24"/>
          <w:szCs w:val="24"/>
        </w:rPr>
        <w:t>Conclusion</w:t>
      </w:r>
      <w:r w:rsidR="0033628A">
        <w:rPr>
          <w:rFonts w:asciiTheme="majorBidi" w:eastAsia="Times New Roman" w:hAnsiTheme="majorBidi" w:cstheme="majorBidi"/>
          <w:sz w:val="24"/>
          <w:szCs w:val="24"/>
        </w:rPr>
        <w:t xml:space="preserve"> </w:t>
      </w:r>
      <w:r w:rsidR="0033628A">
        <w:rPr>
          <w:rFonts w:asciiTheme="majorBidi" w:eastAsia="Calibri" w:hAnsiTheme="majorBidi" w:cstheme="majorBidi"/>
          <w:sz w:val="28"/>
          <w:szCs w:val="28"/>
        </w:rPr>
        <w:t>………………………………………………………………182</w:t>
      </w:r>
    </w:p>
    <w:p w14:paraId="63A4F565" w14:textId="77777777" w:rsidR="001D4F1C" w:rsidRPr="00973D75" w:rsidRDefault="001D4F1C" w:rsidP="008935DE">
      <w:pPr>
        <w:contextualSpacing/>
        <w:rPr>
          <w:rFonts w:asciiTheme="majorBidi" w:eastAsia="Times New Roman" w:hAnsiTheme="majorBidi" w:cstheme="majorBidi"/>
          <w:sz w:val="8"/>
          <w:szCs w:val="8"/>
        </w:rPr>
      </w:pPr>
    </w:p>
    <w:p w14:paraId="2D290221" w14:textId="2233F3FD" w:rsidR="00CA79F2" w:rsidRDefault="00A03A85" w:rsidP="008935DE">
      <w:pPr>
        <w:contextualSpacing/>
        <w:rPr>
          <w:rFonts w:asciiTheme="majorBidi" w:eastAsia="Times New Roman" w:hAnsiTheme="majorBidi" w:cstheme="majorBidi"/>
          <w:b/>
          <w:bCs/>
          <w:sz w:val="28"/>
          <w:szCs w:val="28"/>
        </w:rPr>
      </w:pPr>
      <w:r w:rsidRPr="00CA79F2">
        <w:rPr>
          <w:rFonts w:asciiTheme="majorBidi" w:eastAsia="Times New Roman" w:hAnsiTheme="majorBidi" w:cstheme="majorBidi"/>
          <w:b/>
          <w:bCs/>
          <w:sz w:val="28"/>
          <w:szCs w:val="28"/>
        </w:rPr>
        <w:t xml:space="preserve">Chapter </w:t>
      </w:r>
      <w:r w:rsidR="00A329D1">
        <w:rPr>
          <w:rFonts w:asciiTheme="majorBidi" w:eastAsia="Times New Roman" w:hAnsiTheme="majorBidi" w:cstheme="majorBidi"/>
          <w:b/>
          <w:bCs/>
          <w:sz w:val="28"/>
          <w:szCs w:val="28"/>
        </w:rPr>
        <w:t>IV</w:t>
      </w:r>
      <w:r w:rsidR="00CA79F2" w:rsidRPr="00CA79F2">
        <w:rPr>
          <w:rFonts w:asciiTheme="majorBidi" w:eastAsia="Times New Roman" w:hAnsiTheme="majorBidi" w:cstheme="majorBidi"/>
          <w:b/>
          <w:bCs/>
          <w:sz w:val="28"/>
          <w:szCs w:val="28"/>
        </w:rPr>
        <w:t xml:space="preserve"> </w:t>
      </w:r>
      <w:r w:rsidR="00A329D1">
        <w:rPr>
          <w:rFonts w:asciiTheme="majorBidi" w:eastAsia="Times New Roman" w:hAnsiTheme="majorBidi" w:cstheme="majorBidi"/>
          <w:b/>
          <w:bCs/>
          <w:sz w:val="28"/>
          <w:szCs w:val="28"/>
        </w:rPr>
        <w:t xml:space="preserve">– </w:t>
      </w:r>
      <w:r w:rsidR="00CA79F2" w:rsidRPr="00CA79F2">
        <w:rPr>
          <w:rFonts w:asciiTheme="majorBidi" w:eastAsia="Times New Roman" w:hAnsiTheme="majorBidi" w:cstheme="majorBidi"/>
          <w:b/>
          <w:bCs/>
          <w:sz w:val="28"/>
          <w:szCs w:val="28"/>
        </w:rPr>
        <w:t>Southward vs Southward</w:t>
      </w:r>
    </w:p>
    <w:p w14:paraId="4F8FAE8E" w14:textId="7D6554EA" w:rsidR="00C8766F" w:rsidRPr="00702141" w:rsidRDefault="00702141" w:rsidP="00702141">
      <w:pPr>
        <w:contextualSpacing/>
        <w:jc w:val="distribute"/>
        <w:rPr>
          <w:rFonts w:asciiTheme="majorBidi" w:eastAsia="Times New Roman" w:hAnsiTheme="majorBidi" w:cstheme="majorBidi"/>
          <w:sz w:val="28"/>
          <w:szCs w:val="28"/>
        </w:rPr>
      </w:pPr>
      <w:r>
        <w:rPr>
          <w:rFonts w:asciiTheme="majorBidi" w:eastAsia="Times New Roman" w:hAnsiTheme="majorBidi" w:cstheme="majorBidi"/>
          <w:b/>
          <w:bCs/>
          <w:sz w:val="28"/>
          <w:szCs w:val="28"/>
        </w:rPr>
        <w:t>Foreword</w:t>
      </w:r>
      <w:r>
        <w:rPr>
          <w:rFonts w:asciiTheme="majorBidi" w:eastAsia="Times New Roman" w:hAnsiTheme="majorBidi" w:cstheme="majorBidi"/>
          <w:sz w:val="28"/>
          <w:szCs w:val="28"/>
        </w:rPr>
        <w:t xml:space="preserve"> ……………………………………………………………………187</w:t>
      </w:r>
    </w:p>
    <w:p w14:paraId="132B81FF" w14:textId="19438322" w:rsidR="008D4785" w:rsidRPr="00CA79F2" w:rsidRDefault="008D4785" w:rsidP="008935DE">
      <w:pPr>
        <w:contextualSpacing/>
        <w:rPr>
          <w:rFonts w:asciiTheme="majorBidi" w:eastAsia="Times New Roman" w:hAnsiTheme="majorBidi" w:cstheme="majorBidi"/>
          <w:b/>
          <w:bCs/>
          <w:i/>
          <w:iCs/>
          <w:sz w:val="28"/>
          <w:szCs w:val="28"/>
        </w:rPr>
      </w:pPr>
      <w:r w:rsidRPr="00CA79F2">
        <w:rPr>
          <w:rFonts w:asciiTheme="majorBidi" w:eastAsia="Times New Roman" w:hAnsiTheme="majorBidi" w:cstheme="majorBidi"/>
          <w:b/>
          <w:bCs/>
          <w:i/>
          <w:iCs/>
          <w:sz w:val="28"/>
          <w:szCs w:val="28"/>
        </w:rPr>
        <w:t>The Dark History of the Novel</w:t>
      </w:r>
    </w:p>
    <w:p w14:paraId="0726BD13" w14:textId="4B715C8A" w:rsidR="008D4785" w:rsidRPr="0033628A" w:rsidRDefault="008D4785" w:rsidP="00973D75">
      <w:pPr>
        <w:numPr>
          <w:ilvl w:val="0"/>
          <w:numId w:val="9"/>
        </w:numPr>
        <w:spacing w:line="360" w:lineRule="auto"/>
        <w:contextualSpacing/>
        <w:jc w:val="distribute"/>
        <w:rPr>
          <w:rFonts w:asciiTheme="majorBidi" w:eastAsia="Calibri" w:hAnsiTheme="majorBidi" w:cstheme="majorBidi"/>
          <w:sz w:val="24"/>
          <w:szCs w:val="24"/>
          <w:lang w:val="fr-FR"/>
        </w:rPr>
      </w:pPr>
      <w:r w:rsidRPr="0033628A">
        <w:rPr>
          <w:rFonts w:asciiTheme="majorBidi" w:eastAsia="Calibri" w:hAnsiTheme="majorBidi" w:cstheme="majorBidi"/>
          <w:sz w:val="24"/>
          <w:szCs w:val="24"/>
          <w:lang w:val="fr-FR"/>
        </w:rPr>
        <w:t>Metafictional Post-Postmodern Post-Mortem</w:t>
      </w:r>
      <w:r w:rsidR="0033628A">
        <w:rPr>
          <w:rFonts w:asciiTheme="majorBidi" w:eastAsia="Calibri" w:hAnsiTheme="majorBidi" w:cstheme="majorBidi"/>
          <w:sz w:val="24"/>
          <w:szCs w:val="24"/>
          <w:lang w:val="fr-FR"/>
        </w:rPr>
        <w:t xml:space="preserve"> </w:t>
      </w:r>
      <w:r w:rsidR="0033628A" w:rsidRPr="0033628A">
        <w:rPr>
          <w:rFonts w:asciiTheme="majorBidi" w:eastAsia="Calibri" w:hAnsiTheme="majorBidi" w:cstheme="majorBidi"/>
          <w:sz w:val="28"/>
          <w:szCs w:val="28"/>
          <w:lang w:val="fr-FR"/>
        </w:rPr>
        <w:t>…</w:t>
      </w:r>
      <w:r w:rsidR="00973D75" w:rsidRPr="00973D75">
        <w:rPr>
          <w:rFonts w:asciiTheme="majorBidi" w:eastAsia="Calibri" w:hAnsiTheme="majorBidi" w:cstheme="majorBidi"/>
          <w:sz w:val="28"/>
          <w:szCs w:val="28"/>
          <w:lang w:val="fr-FR"/>
        </w:rPr>
        <w:t>……………………………</w:t>
      </w:r>
      <w:r w:rsidR="0033628A">
        <w:rPr>
          <w:rFonts w:asciiTheme="majorBidi" w:eastAsia="Calibri" w:hAnsiTheme="majorBidi" w:cstheme="majorBidi"/>
          <w:sz w:val="28"/>
          <w:szCs w:val="28"/>
          <w:lang w:val="fr-FR"/>
        </w:rPr>
        <w:t>189</w:t>
      </w:r>
    </w:p>
    <w:p w14:paraId="74304689" w14:textId="59E9680B" w:rsidR="008D4785" w:rsidRPr="000401C6" w:rsidRDefault="008D4785" w:rsidP="00973D75">
      <w:pPr>
        <w:numPr>
          <w:ilvl w:val="0"/>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The Dark History of the Novel</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192</w:t>
      </w:r>
    </w:p>
    <w:p w14:paraId="7B0EDE4B" w14:textId="2D0A2881" w:rsidR="008D4785" w:rsidRPr="000401C6" w:rsidRDefault="008D4785" w:rsidP="00973D75">
      <w:pPr>
        <w:numPr>
          <w:ilvl w:val="1"/>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Pre-Modern Metafiction</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192</w:t>
      </w:r>
    </w:p>
    <w:p w14:paraId="0472CC13" w14:textId="303FF1C5" w:rsidR="008D4785" w:rsidRPr="000401C6" w:rsidRDefault="008D4785" w:rsidP="00973D75">
      <w:pPr>
        <w:numPr>
          <w:ilvl w:val="1"/>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Into Postmodern Metafiction</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196</w:t>
      </w:r>
    </w:p>
    <w:p w14:paraId="430BACE0" w14:textId="61F1B62C" w:rsidR="008D4785" w:rsidRPr="000401C6" w:rsidRDefault="008D4785" w:rsidP="00973D75">
      <w:pPr>
        <w:numPr>
          <w:ilvl w:val="1"/>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Past the Post(modern)</w:t>
      </w:r>
      <w:r w:rsidR="0033628A" w:rsidRPr="0033628A">
        <w:rPr>
          <w:rFonts w:asciiTheme="majorBidi" w:eastAsia="Calibri" w:hAnsiTheme="majorBidi" w:cstheme="majorBidi"/>
          <w:sz w:val="28"/>
          <w:szCs w:val="28"/>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212</w:t>
      </w:r>
    </w:p>
    <w:p w14:paraId="31F3DB27" w14:textId="11AB6708" w:rsidR="008D4785" w:rsidRPr="000401C6" w:rsidRDefault="008D4785" w:rsidP="00973D75">
      <w:pPr>
        <w:numPr>
          <w:ilvl w:val="0"/>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The Ouroboros</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219</w:t>
      </w:r>
    </w:p>
    <w:p w14:paraId="732B2F79" w14:textId="6B845E52" w:rsidR="008D4785" w:rsidRPr="000401C6" w:rsidRDefault="008D4785" w:rsidP="00973D75">
      <w:pPr>
        <w:numPr>
          <w:ilvl w:val="1"/>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Post-Postmodern Metafiction</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219</w:t>
      </w:r>
    </w:p>
    <w:p w14:paraId="44C27A01" w14:textId="3779D399" w:rsidR="000C012E" w:rsidRPr="000401C6" w:rsidRDefault="008D4785" w:rsidP="00973D75">
      <w:pPr>
        <w:numPr>
          <w:ilvl w:val="1"/>
          <w:numId w:val="9"/>
        </w:numPr>
        <w:spacing w:line="360" w:lineRule="auto"/>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The Romantic and The Burlesque</w:t>
      </w:r>
      <w:r w:rsidR="0033628A">
        <w:rPr>
          <w:rFonts w:asciiTheme="majorBidi" w:eastAsia="Calibri" w:hAnsiTheme="majorBidi" w:cstheme="majorBidi"/>
          <w:sz w:val="24"/>
          <w:szCs w:val="24"/>
        </w:rPr>
        <w:t xml:space="preserve">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w:t>
      </w:r>
      <w:r w:rsidR="0033628A">
        <w:rPr>
          <w:rFonts w:asciiTheme="majorBidi" w:eastAsia="Calibri" w:hAnsiTheme="majorBidi" w:cstheme="majorBidi"/>
          <w:sz w:val="28"/>
          <w:szCs w:val="28"/>
        </w:rPr>
        <w:t>220</w:t>
      </w:r>
    </w:p>
    <w:p w14:paraId="032D71A3" w14:textId="3A0FB772" w:rsidR="000C012E" w:rsidRPr="000401C6" w:rsidRDefault="000C012E" w:rsidP="00973D75">
      <w:pPr>
        <w:spacing w:line="360" w:lineRule="auto"/>
        <w:ind w:left="1152"/>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 xml:space="preserve">3.2.1. Burlesque Metafictions </w:t>
      </w:r>
      <w:r w:rsidR="0033628A">
        <w:rPr>
          <w:rFonts w:asciiTheme="majorBidi" w:eastAsia="Calibri" w:hAnsiTheme="majorBidi" w:cstheme="majorBidi"/>
          <w:sz w:val="28"/>
          <w:szCs w:val="28"/>
        </w:rPr>
        <w:t>…</w:t>
      </w:r>
      <w:r w:rsidR="00973D75">
        <w:rPr>
          <w:rFonts w:asciiTheme="majorBidi" w:eastAsia="Calibri" w:hAnsiTheme="majorBidi" w:cstheme="majorBidi"/>
          <w:sz w:val="28"/>
          <w:szCs w:val="28"/>
        </w:rPr>
        <w:t>………………………………………222</w:t>
      </w:r>
    </w:p>
    <w:p w14:paraId="016D2946" w14:textId="2C88D597" w:rsidR="000C012E" w:rsidRPr="000401C6" w:rsidRDefault="000C012E" w:rsidP="00973D75">
      <w:pPr>
        <w:spacing w:line="360" w:lineRule="auto"/>
        <w:ind w:left="1152"/>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3.2.2. Romantic Metafictions</w:t>
      </w:r>
      <w:r w:rsidR="00973D75">
        <w:rPr>
          <w:rFonts w:asciiTheme="majorBidi" w:eastAsia="Calibri" w:hAnsiTheme="majorBidi" w:cstheme="majorBidi"/>
          <w:sz w:val="24"/>
          <w:szCs w:val="24"/>
        </w:rPr>
        <w:t xml:space="preserve"> </w:t>
      </w:r>
      <w:r w:rsidR="00973D75">
        <w:rPr>
          <w:rFonts w:asciiTheme="majorBidi" w:eastAsia="Calibri" w:hAnsiTheme="majorBidi" w:cstheme="majorBidi"/>
          <w:sz w:val="28"/>
          <w:szCs w:val="28"/>
        </w:rPr>
        <w:t>…………………………………………225</w:t>
      </w:r>
    </w:p>
    <w:p w14:paraId="500752FC" w14:textId="6CC098F8" w:rsidR="008D4785" w:rsidRPr="000401C6" w:rsidRDefault="008D4785" w:rsidP="00FE6587">
      <w:pPr>
        <w:numPr>
          <w:ilvl w:val="0"/>
          <w:numId w:val="9"/>
        </w:numPr>
        <w:spacing w:line="240" w:lineRule="auto"/>
        <w:ind w:left="714" w:hanging="357"/>
        <w:contextualSpacing/>
        <w:jc w:val="distribute"/>
        <w:rPr>
          <w:rFonts w:asciiTheme="majorBidi" w:eastAsia="Calibri" w:hAnsiTheme="majorBidi" w:cstheme="majorBidi"/>
          <w:sz w:val="24"/>
          <w:szCs w:val="24"/>
        </w:rPr>
      </w:pPr>
      <w:r w:rsidRPr="000401C6">
        <w:rPr>
          <w:rFonts w:asciiTheme="majorBidi" w:eastAsia="Calibri" w:hAnsiTheme="majorBidi" w:cstheme="majorBidi"/>
          <w:sz w:val="24"/>
          <w:szCs w:val="24"/>
        </w:rPr>
        <w:t>Conclusion: Abandon the Dancers</w:t>
      </w:r>
      <w:r w:rsidR="00973D75">
        <w:rPr>
          <w:rFonts w:asciiTheme="majorBidi" w:eastAsia="Calibri" w:hAnsiTheme="majorBidi" w:cstheme="majorBidi"/>
          <w:sz w:val="24"/>
          <w:szCs w:val="24"/>
        </w:rPr>
        <w:t xml:space="preserve"> </w:t>
      </w:r>
      <w:r w:rsidR="00973D75">
        <w:rPr>
          <w:rFonts w:asciiTheme="majorBidi" w:eastAsia="Calibri" w:hAnsiTheme="majorBidi" w:cstheme="majorBidi"/>
          <w:sz w:val="28"/>
          <w:szCs w:val="28"/>
        </w:rPr>
        <w:t>…………………………………………229</w:t>
      </w:r>
    </w:p>
    <w:p w14:paraId="46125838" w14:textId="77777777" w:rsidR="001B64FC" w:rsidRPr="00AE4944" w:rsidRDefault="001B64FC" w:rsidP="00AE4944">
      <w:pPr>
        <w:contextualSpacing/>
        <w:rPr>
          <w:rFonts w:asciiTheme="majorBidi" w:eastAsia="Times New Roman" w:hAnsiTheme="majorBidi" w:cstheme="majorBidi"/>
          <w:i/>
          <w:iCs/>
          <w:sz w:val="16"/>
          <w:szCs w:val="16"/>
        </w:rPr>
      </w:pPr>
    </w:p>
    <w:p w14:paraId="2958306D" w14:textId="65408C83" w:rsidR="00AE4944" w:rsidRDefault="00AE4944" w:rsidP="00AE4944">
      <w:pPr>
        <w:contextualSpacing/>
        <w:jc w:val="distribute"/>
        <w:rPr>
          <w:rFonts w:asciiTheme="majorBidi" w:eastAsia="Times New Roman" w:hAnsiTheme="majorBidi" w:cstheme="majorBidi"/>
          <w:sz w:val="28"/>
          <w:szCs w:val="28"/>
        </w:rPr>
      </w:pPr>
      <w:r w:rsidRPr="00AE4944">
        <w:rPr>
          <w:rFonts w:asciiTheme="majorBidi" w:eastAsia="Times New Roman" w:hAnsiTheme="majorBidi" w:cstheme="majorBidi"/>
          <w:i/>
          <w:sz w:val="28"/>
          <w:szCs w:val="28"/>
        </w:rPr>
        <w:t>Note on the Afterword</w:t>
      </w:r>
      <w:r>
        <w:rPr>
          <w:rFonts w:asciiTheme="majorBidi" w:eastAsia="Times New Roman" w:hAnsiTheme="majorBidi" w:cstheme="majorBidi"/>
          <w:i/>
          <w:sz w:val="28"/>
          <w:szCs w:val="28"/>
        </w:rPr>
        <w:t xml:space="preserve"> by Dr. Wade J.</w:t>
      </w:r>
      <w:r w:rsidR="00D95B45">
        <w:rPr>
          <w:rFonts w:asciiTheme="majorBidi" w:eastAsia="Times New Roman" w:hAnsiTheme="majorBidi" w:cstheme="majorBidi"/>
          <w:i/>
          <w:sz w:val="28"/>
          <w:szCs w:val="28"/>
        </w:rPr>
        <w:t xml:space="preserve"> </w:t>
      </w:r>
      <w:r>
        <w:rPr>
          <w:rFonts w:asciiTheme="majorBidi" w:eastAsia="Times New Roman" w:hAnsiTheme="majorBidi" w:cstheme="majorBidi"/>
          <w:i/>
          <w:sz w:val="28"/>
          <w:szCs w:val="28"/>
        </w:rPr>
        <w:t>Arapaima</w:t>
      </w:r>
      <w:r>
        <w:rPr>
          <w:rFonts w:asciiTheme="majorBidi" w:eastAsia="Times New Roman" w:hAnsiTheme="majorBidi" w:cstheme="majorBidi"/>
          <w:sz w:val="28"/>
          <w:szCs w:val="28"/>
        </w:rPr>
        <w:t>……………………………239</w:t>
      </w:r>
    </w:p>
    <w:p w14:paraId="1B9337A6" w14:textId="723F04D4" w:rsidR="00AE4944" w:rsidRDefault="008D4785" w:rsidP="00973D75">
      <w:pPr>
        <w:contextualSpacing/>
        <w:jc w:val="distribute"/>
        <w:rPr>
          <w:rFonts w:asciiTheme="majorBidi" w:eastAsia="Times New Roman" w:hAnsiTheme="majorBidi" w:cstheme="majorBidi"/>
          <w:sz w:val="28"/>
          <w:szCs w:val="28"/>
        </w:rPr>
      </w:pPr>
      <w:r w:rsidRPr="00E374B8">
        <w:rPr>
          <w:rFonts w:asciiTheme="majorBidi" w:eastAsia="Times New Roman" w:hAnsiTheme="majorBidi" w:cstheme="majorBidi"/>
          <w:i/>
          <w:iCs/>
          <w:sz w:val="28"/>
          <w:szCs w:val="28"/>
        </w:rPr>
        <w:t xml:space="preserve">Afterword from </w:t>
      </w:r>
      <w:r w:rsidR="00684BD2">
        <w:rPr>
          <w:rFonts w:asciiTheme="majorBidi" w:eastAsia="Times New Roman" w:hAnsiTheme="majorBidi" w:cstheme="majorBidi"/>
          <w:i/>
          <w:iCs/>
          <w:sz w:val="28"/>
          <w:szCs w:val="28"/>
        </w:rPr>
        <w:t>t</w:t>
      </w:r>
      <w:r w:rsidRPr="00E374B8">
        <w:rPr>
          <w:rFonts w:asciiTheme="majorBidi" w:eastAsia="Times New Roman" w:hAnsiTheme="majorBidi" w:cstheme="majorBidi"/>
          <w:i/>
          <w:iCs/>
          <w:sz w:val="28"/>
          <w:szCs w:val="28"/>
        </w:rPr>
        <w:t>he Editor</w:t>
      </w:r>
      <w:r w:rsidR="00684BD2">
        <w:rPr>
          <w:rFonts w:asciiTheme="majorBidi" w:eastAsia="Times New Roman" w:hAnsiTheme="majorBidi" w:cstheme="majorBidi"/>
          <w:sz w:val="28"/>
          <w:szCs w:val="28"/>
        </w:rPr>
        <w:t>……………………………………………………2</w:t>
      </w:r>
      <w:r w:rsidR="00AE4944">
        <w:rPr>
          <w:rFonts w:asciiTheme="majorBidi" w:eastAsia="Times New Roman" w:hAnsiTheme="majorBidi" w:cstheme="majorBidi"/>
          <w:sz w:val="28"/>
          <w:szCs w:val="28"/>
        </w:rPr>
        <w:t>41</w:t>
      </w:r>
    </w:p>
    <w:p w14:paraId="6DE049FD" w14:textId="0892B9E8" w:rsidR="008D4785" w:rsidRPr="00E374B8" w:rsidRDefault="008D4785" w:rsidP="00973D75">
      <w:pPr>
        <w:contextualSpacing/>
        <w:jc w:val="distribute"/>
        <w:rPr>
          <w:rFonts w:asciiTheme="majorBidi" w:eastAsia="Times New Roman" w:hAnsiTheme="majorBidi" w:cstheme="majorBidi"/>
          <w:i/>
          <w:iCs/>
          <w:sz w:val="28"/>
          <w:szCs w:val="28"/>
        </w:rPr>
      </w:pPr>
      <w:r w:rsidRPr="00E374B8">
        <w:rPr>
          <w:rFonts w:asciiTheme="majorBidi" w:eastAsia="Times New Roman" w:hAnsiTheme="majorBidi" w:cstheme="majorBidi"/>
          <w:i/>
          <w:iCs/>
          <w:sz w:val="28"/>
          <w:szCs w:val="28"/>
        </w:rPr>
        <w:t>Bibliography</w:t>
      </w:r>
      <w:r w:rsidR="00684BD2">
        <w:rPr>
          <w:rFonts w:asciiTheme="majorBidi" w:eastAsia="Times New Roman" w:hAnsiTheme="majorBidi" w:cstheme="majorBidi"/>
          <w:i/>
          <w:iCs/>
          <w:sz w:val="28"/>
          <w:szCs w:val="28"/>
        </w:rPr>
        <w:t xml:space="preserve"> </w:t>
      </w:r>
      <w:r w:rsidR="00684BD2">
        <w:rPr>
          <w:rFonts w:asciiTheme="majorBidi" w:eastAsia="Times New Roman" w:hAnsiTheme="majorBidi" w:cstheme="majorBidi"/>
          <w:sz w:val="28"/>
          <w:szCs w:val="28"/>
        </w:rPr>
        <w:t>…………………………………………………………………2</w:t>
      </w:r>
      <w:r w:rsidR="00FE6587">
        <w:rPr>
          <w:rFonts w:asciiTheme="majorBidi" w:eastAsia="Times New Roman" w:hAnsiTheme="majorBidi" w:cstheme="majorBidi"/>
          <w:sz w:val="28"/>
          <w:szCs w:val="28"/>
        </w:rPr>
        <w:t>53</w:t>
      </w:r>
    </w:p>
    <w:p w14:paraId="4B837294" w14:textId="39AAFC1E" w:rsidR="00F32E51" w:rsidRPr="00505CF0" w:rsidRDefault="00F078A8" w:rsidP="00C16DBE">
      <w:pPr>
        <w:spacing w:line="240" w:lineRule="auto"/>
        <w:jc w:val="center"/>
        <w:rPr>
          <w:rFonts w:asciiTheme="majorBidi" w:eastAsia="Times New Roman" w:hAnsiTheme="majorBidi" w:cstheme="majorBidi"/>
          <w:b/>
          <w:sz w:val="44"/>
          <w:szCs w:val="44"/>
          <w:u w:val="single"/>
          <w:lang w:eastAsia="en-US"/>
        </w:rPr>
      </w:pPr>
      <w:r w:rsidRPr="001C5831">
        <w:rPr>
          <w:rFonts w:asciiTheme="majorBidi" w:eastAsia="Times New Roman" w:hAnsiTheme="majorBidi" w:cstheme="majorBidi"/>
          <w:b/>
          <w:sz w:val="52"/>
          <w:szCs w:val="44"/>
          <w:u w:val="single"/>
          <w:lang w:eastAsia="en-US"/>
        </w:rPr>
        <w:lastRenderedPageBreak/>
        <w:t>T</w:t>
      </w:r>
      <w:r w:rsidRPr="001C5831">
        <w:rPr>
          <w:rFonts w:asciiTheme="majorBidi" w:eastAsia="Times New Roman" w:hAnsiTheme="majorBidi" w:cstheme="majorBidi"/>
          <w:b/>
          <w:sz w:val="40"/>
          <w:szCs w:val="44"/>
          <w:u w:val="single"/>
          <w:lang w:eastAsia="en-US"/>
        </w:rPr>
        <w:t>HE</w:t>
      </w:r>
      <w:r w:rsidRPr="00505CF0">
        <w:rPr>
          <w:rFonts w:asciiTheme="majorBidi" w:eastAsia="Times New Roman" w:hAnsiTheme="majorBidi" w:cstheme="majorBidi"/>
          <w:b/>
          <w:sz w:val="44"/>
          <w:szCs w:val="44"/>
          <w:u w:val="single"/>
          <w:lang w:eastAsia="en-US"/>
        </w:rPr>
        <w:t xml:space="preserve"> </w:t>
      </w:r>
      <w:r w:rsidRPr="001C5831">
        <w:rPr>
          <w:rFonts w:asciiTheme="majorBidi" w:eastAsia="Times New Roman" w:hAnsiTheme="majorBidi" w:cstheme="majorBidi"/>
          <w:b/>
          <w:sz w:val="52"/>
          <w:szCs w:val="44"/>
          <w:u w:val="single"/>
          <w:lang w:eastAsia="en-US"/>
        </w:rPr>
        <w:t>B</w:t>
      </w:r>
      <w:r w:rsidRPr="001C5831">
        <w:rPr>
          <w:rFonts w:asciiTheme="majorBidi" w:eastAsia="Times New Roman" w:hAnsiTheme="majorBidi" w:cstheme="majorBidi"/>
          <w:b/>
          <w:sz w:val="40"/>
          <w:szCs w:val="44"/>
          <w:u w:val="single"/>
          <w:lang w:eastAsia="en-US"/>
        </w:rPr>
        <w:t>OOK</w:t>
      </w:r>
      <w:r w:rsidRPr="00505CF0">
        <w:rPr>
          <w:rFonts w:asciiTheme="majorBidi" w:eastAsia="Times New Roman" w:hAnsiTheme="majorBidi" w:cstheme="majorBidi"/>
          <w:b/>
          <w:sz w:val="44"/>
          <w:szCs w:val="44"/>
          <w:u w:val="single"/>
          <w:lang w:eastAsia="en-US"/>
        </w:rPr>
        <w:t xml:space="preserve"> </w:t>
      </w:r>
      <w:r w:rsidRPr="001C5831">
        <w:rPr>
          <w:rFonts w:asciiTheme="majorBidi" w:eastAsia="Times New Roman" w:hAnsiTheme="majorBidi" w:cstheme="majorBidi"/>
          <w:b/>
          <w:sz w:val="40"/>
          <w:szCs w:val="44"/>
          <w:u w:val="single"/>
          <w:lang w:eastAsia="en-US"/>
        </w:rPr>
        <w:t>OF</w:t>
      </w:r>
      <w:r w:rsidRPr="00505CF0">
        <w:rPr>
          <w:rFonts w:asciiTheme="majorBidi" w:eastAsia="Times New Roman" w:hAnsiTheme="majorBidi" w:cstheme="majorBidi"/>
          <w:b/>
          <w:sz w:val="44"/>
          <w:szCs w:val="44"/>
          <w:u w:val="single"/>
          <w:lang w:eastAsia="en-US"/>
        </w:rPr>
        <w:t xml:space="preserve"> </w:t>
      </w:r>
      <w:r w:rsidRPr="001C5831">
        <w:rPr>
          <w:rFonts w:asciiTheme="majorBidi" w:eastAsia="Times New Roman" w:hAnsiTheme="majorBidi" w:cstheme="majorBidi"/>
          <w:b/>
          <w:sz w:val="52"/>
          <w:szCs w:val="44"/>
          <w:u w:val="single"/>
          <w:lang w:eastAsia="en-US"/>
        </w:rPr>
        <w:t>L</w:t>
      </w:r>
      <w:r w:rsidRPr="001C5831">
        <w:rPr>
          <w:rFonts w:asciiTheme="majorBidi" w:eastAsia="Times New Roman" w:hAnsiTheme="majorBidi" w:cstheme="majorBidi"/>
          <w:b/>
          <w:sz w:val="40"/>
          <w:szCs w:val="44"/>
          <w:u w:val="single"/>
          <w:lang w:eastAsia="en-US"/>
        </w:rPr>
        <w:t>EVI</w:t>
      </w:r>
    </w:p>
    <w:p w14:paraId="0D3311C5" w14:textId="4524AFC1" w:rsidR="00F078A8" w:rsidRPr="00505CF0" w:rsidRDefault="00F078A8" w:rsidP="00C16DBE">
      <w:pPr>
        <w:spacing w:line="240" w:lineRule="auto"/>
        <w:jc w:val="center"/>
        <w:rPr>
          <w:rFonts w:asciiTheme="majorBidi" w:eastAsia="Times New Roman" w:hAnsiTheme="majorBidi" w:cstheme="majorBidi"/>
          <w:b/>
          <w:i/>
          <w:sz w:val="36"/>
          <w:szCs w:val="36"/>
          <w:lang w:eastAsia="en-US"/>
        </w:rPr>
      </w:pPr>
      <w:r w:rsidRPr="00505CF0">
        <w:rPr>
          <w:rFonts w:asciiTheme="majorBidi" w:eastAsia="Times New Roman" w:hAnsiTheme="majorBidi" w:cstheme="majorBidi"/>
          <w:b/>
          <w:i/>
          <w:sz w:val="36"/>
          <w:szCs w:val="36"/>
          <w:lang w:eastAsia="en-US"/>
        </w:rPr>
        <w:t>Critical Collected Edition</w:t>
      </w:r>
    </w:p>
    <w:p w14:paraId="4D606038" w14:textId="7D063F8D" w:rsidR="00F078A8" w:rsidRPr="00505CF0" w:rsidRDefault="00F078A8" w:rsidP="00C16DBE">
      <w:pPr>
        <w:spacing w:line="240" w:lineRule="auto"/>
        <w:jc w:val="center"/>
        <w:rPr>
          <w:rFonts w:asciiTheme="majorBidi" w:eastAsia="Times New Roman" w:hAnsiTheme="majorBidi" w:cstheme="majorBidi"/>
          <w:b/>
          <w:i/>
          <w:sz w:val="36"/>
          <w:szCs w:val="36"/>
          <w:lang w:eastAsia="en-US"/>
        </w:rPr>
      </w:pPr>
      <w:r w:rsidRPr="00505CF0">
        <w:rPr>
          <w:rFonts w:asciiTheme="majorBidi" w:eastAsia="Times New Roman" w:hAnsiTheme="majorBidi" w:cstheme="majorBidi"/>
          <w:b/>
          <w:i/>
          <w:noProof/>
          <w:sz w:val="36"/>
          <w:szCs w:val="36"/>
        </w:rPr>
        <mc:AlternateContent>
          <mc:Choice Requires="wps">
            <w:drawing>
              <wp:anchor distT="0" distB="0" distL="114300" distR="114300" simplePos="0" relativeHeight="251660288" behindDoc="0" locked="0" layoutInCell="1" allowOverlap="1" wp14:anchorId="73C0F91C" wp14:editId="791E6D45">
                <wp:simplePos x="0" y="0"/>
                <wp:positionH relativeFrom="column">
                  <wp:posOffset>847287</wp:posOffset>
                </wp:positionH>
                <wp:positionV relativeFrom="paragraph">
                  <wp:posOffset>260257</wp:posOffset>
                </wp:positionV>
                <wp:extent cx="4085439" cy="16778"/>
                <wp:effectExtent l="0" t="0" r="29845" b="21590"/>
                <wp:wrapNone/>
                <wp:docPr id="2" name="Straight Connector 2"/>
                <wp:cNvGraphicFramePr/>
                <a:graphic xmlns:a="http://schemas.openxmlformats.org/drawingml/2006/main">
                  <a:graphicData uri="http://schemas.microsoft.com/office/word/2010/wordprocessingShape">
                    <wps:wsp>
                      <wps:cNvCnPr/>
                      <wps:spPr>
                        <a:xfrm flipV="1">
                          <a:off x="0" y="0"/>
                          <a:ext cx="4085439" cy="167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A6826C"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6.7pt,20.5pt" to="388.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" strokecolor="black [3200]" strokeweight=".5pt">
                <v:stroke joinstyle="miter"/>
              </v:line>
            </w:pict>
          </mc:Fallback>
        </mc:AlternateContent>
      </w:r>
    </w:p>
    <w:p w14:paraId="13DCF87B" w14:textId="4AF35812" w:rsidR="00F078A8" w:rsidRPr="00505CF0" w:rsidRDefault="00F078A8" w:rsidP="00C16DBE">
      <w:pPr>
        <w:spacing w:line="240" w:lineRule="auto"/>
        <w:jc w:val="center"/>
        <w:rPr>
          <w:rFonts w:asciiTheme="majorBidi" w:eastAsia="Times New Roman" w:hAnsiTheme="majorBidi" w:cstheme="majorBidi"/>
          <w:b/>
          <w:i/>
          <w:sz w:val="36"/>
          <w:szCs w:val="36"/>
          <w:lang w:eastAsia="en-US"/>
        </w:rPr>
      </w:pPr>
    </w:p>
    <w:p w14:paraId="748679D0" w14:textId="77777777" w:rsidR="00F078A8" w:rsidRPr="00505CF0" w:rsidRDefault="00F078A8" w:rsidP="00C16DBE">
      <w:pPr>
        <w:spacing w:line="240" w:lineRule="auto"/>
        <w:jc w:val="center"/>
        <w:rPr>
          <w:rFonts w:asciiTheme="majorBidi" w:eastAsia="Times New Roman" w:hAnsiTheme="majorBidi" w:cstheme="majorBidi"/>
          <w:b/>
          <w:i/>
          <w:sz w:val="36"/>
          <w:szCs w:val="36"/>
          <w:lang w:eastAsia="en-US"/>
        </w:rPr>
      </w:pPr>
    </w:p>
    <w:p w14:paraId="0536046C" w14:textId="646F2E41" w:rsidR="00F078A8" w:rsidRPr="00505CF0" w:rsidRDefault="00F078A8" w:rsidP="00C16DBE">
      <w:pPr>
        <w:spacing w:line="240" w:lineRule="auto"/>
        <w:jc w:val="center"/>
        <w:rPr>
          <w:rFonts w:asciiTheme="majorBidi" w:eastAsia="Times New Roman" w:hAnsiTheme="majorBidi" w:cstheme="majorBidi"/>
          <w:i/>
          <w:sz w:val="36"/>
          <w:szCs w:val="36"/>
          <w:lang w:eastAsia="en-US"/>
        </w:rPr>
      </w:pPr>
      <w:r w:rsidRPr="00505CF0">
        <w:rPr>
          <w:rFonts w:asciiTheme="majorBidi" w:eastAsia="Times New Roman" w:hAnsiTheme="majorBidi" w:cstheme="majorBidi"/>
          <w:i/>
          <w:sz w:val="36"/>
          <w:szCs w:val="36"/>
          <w:lang w:eastAsia="en-US"/>
        </w:rPr>
        <w:t>Edited and Introduced by</w:t>
      </w:r>
    </w:p>
    <w:p w14:paraId="4B25D26A" w14:textId="026A9E66"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4F4B6693" w14:textId="3C4067C3" w:rsidR="00F078A8" w:rsidRPr="00505CF0" w:rsidRDefault="00F078A8" w:rsidP="00C16DBE">
      <w:pPr>
        <w:spacing w:line="240" w:lineRule="auto"/>
        <w:jc w:val="center"/>
        <w:rPr>
          <w:rFonts w:asciiTheme="majorBidi" w:eastAsia="Times New Roman" w:hAnsiTheme="majorBidi" w:cstheme="majorBidi"/>
          <w:sz w:val="40"/>
          <w:szCs w:val="36"/>
          <w:lang w:eastAsia="en-US"/>
        </w:rPr>
      </w:pPr>
      <w:r w:rsidRPr="00505CF0">
        <w:rPr>
          <w:rFonts w:asciiTheme="majorBidi" w:eastAsia="Times New Roman" w:hAnsiTheme="majorBidi" w:cstheme="majorBidi"/>
          <w:sz w:val="40"/>
          <w:szCs w:val="36"/>
          <w:lang w:eastAsia="en-US"/>
        </w:rPr>
        <w:t xml:space="preserve">ARCOT </w:t>
      </w:r>
      <w:r w:rsidR="00320983" w:rsidRPr="00505CF0">
        <w:rPr>
          <w:rFonts w:asciiTheme="majorBidi" w:eastAsia="Times New Roman" w:hAnsiTheme="majorBidi" w:cstheme="majorBidi"/>
          <w:sz w:val="40"/>
          <w:szCs w:val="36"/>
          <w:lang w:eastAsia="en-US"/>
        </w:rPr>
        <w:t xml:space="preserve">CLERVAL </w:t>
      </w:r>
      <w:r w:rsidRPr="00505CF0">
        <w:rPr>
          <w:rFonts w:asciiTheme="majorBidi" w:eastAsia="Times New Roman" w:hAnsiTheme="majorBidi" w:cstheme="majorBidi"/>
          <w:sz w:val="40"/>
          <w:szCs w:val="36"/>
          <w:lang w:eastAsia="en-US"/>
        </w:rPr>
        <w:t>OSBEORN</w:t>
      </w:r>
    </w:p>
    <w:p w14:paraId="74BA8820"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658D8472"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48428FDF"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5C0F3ED3"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63A8861A" w14:textId="572C5D9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r w:rsidRPr="00505CF0">
        <w:rPr>
          <w:rFonts w:asciiTheme="majorBidi" w:eastAsia="Times New Roman" w:hAnsiTheme="majorBidi" w:cstheme="majorBidi"/>
          <w:b/>
          <w:sz w:val="36"/>
          <w:szCs w:val="36"/>
          <w:u w:val="single"/>
          <w:lang w:eastAsia="en-US"/>
        </w:rPr>
        <w:t>Volume 2</w:t>
      </w:r>
    </w:p>
    <w:p w14:paraId="40A5E1A6" w14:textId="0F447440" w:rsidR="00F32E51" w:rsidRPr="00505CF0" w:rsidRDefault="00F078A8" w:rsidP="00C16DBE">
      <w:pPr>
        <w:spacing w:line="240" w:lineRule="auto"/>
        <w:jc w:val="center"/>
        <w:rPr>
          <w:rFonts w:asciiTheme="majorBidi" w:eastAsia="Times New Roman" w:hAnsiTheme="majorBidi" w:cstheme="majorBidi"/>
          <w:b/>
          <w:sz w:val="36"/>
          <w:szCs w:val="36"/>
          <w:u w:val="single"/>
          <w:lang w:eastAsia="en-US"/>
        </w:rPr>
      </w:pPr>
      <w:r w:rsidRPr="00505CF0">
        <w:rPr>
          <w:rFonts w:asciiTheme="majorBidi" w:eastAsia="Times New Roman" w:hAnsiTheme="majorBidi" w:cstheme="majorBidi"/>
          <w:b/>
          <w:sz w:val="36"/>
          <w:szCs w:val="36"/>
          <w:u w:val="single"/>
          <w:lang w:eastAsia="en-US"/>
        </w:rPr>
        <w:t>Essays</w:t>
      </w:r>
    </w:p>
    <w:p w14:paraId="33DE5680" w14:textId="77777777" w:rsidR="00F32E51" w:rsidRPr="00505CF0" w:rsidRDefault="00F32E51" w:rsidP="00C16DBE">
      <w:pPr>
        <w:spacing w:line="240" w:lineRule="auto"/>
        <w:jc w:val="center"/>
        <w:rPr>
          <w:rFonts w:asciiTheme="majorBidi" w:eastAsia="Times New Roman" w:hAnsiTheme="majorBidi" w:cstheme="majorBidi"/>
          <w:b/>
          <w:sz w:val="36"/>
          <w:szCs w:val="36"/>
          <w:u w:val="single"/>
          <w:lang w:eastAsia="en-US"/>
        </w:rPr>
      </w:pPr>
    </w:p>
    <w:p w14:paraId="08098091" w14:textId="4AF3873B"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7B97B3F4" w14:textId="1325C4CF"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2AFC0374"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12B45DF6" w14:textId="3627E86C" w:rsidR="00F078A8" w:rsidRPr="00505CF0" w:rsidRDefault="00F078A8" w:rsidP="00C16DBE">
      <w:pPr>
        <w:spacing w:line="240" w:lineRule="auto"/>
        <w:jc w:val="center"/>
        <w:rPr>
          <w:rFonts w:asciiTheme="majorBidi" w:eastAsia="Times New Roman" w:hAnsiTheme="majorBidi" w:cstheme="majorBidi"/>
          <w:sz w:val="40"/>
          <w:szCs w:val="40"/>
          <w:lang w:eastAsia="en-US"/>
        </w:rPr>
      </w:pPr>
    </w:p>
    <w:p w14:paraId="571DBE57"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39F7A74C" w14:textId="77777777" w:rsidR="00F078A8" w:rsidRPr="00505CF0" w:rsidRDefault="00F078A8" w:rsidP="00C16DBE">
      <w:pPr>
        <w:keepNext/>
        <w:tabs>
          <w:tab w:val="left" w:pos="720"/>
        </w:tabs>
        <w:spacing w:line="240" w:lineRule="auto"/>
        <w:jc w:val="center"/>
        <w:outlineLvl w:val="0"/>
        <w:rPr>
          <w:rFonts w:asciiTheme="majorBidi" w:eastAsia="Times New Roman" w:hAnsiTheme="majorBidi" w:cstheme="majorBidi"/>
          <w:b/>
          <w:sz w:val="36"/>
          <w:szCs w:val="36"/>
          <w:u w:val="single"/>
          <w:lang w:eastAsia="en-US"/>
        </w:rPr>
      </w:pPr>
    </w:p>
    <w:p w14:paraId="2F39D090" w14:textId="1424C010"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60E8DE3B" w14:textId="25C4F914"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7AED9C1C" w14:textId="14731870"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4C60BFCC" w14:textId="6006FF62"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0FE2F38C" w14:textId="46E505A9"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00F42351" w14:textId="5B170D85" w:rsidR="00F078A8" w:rsidRPr="00505CF0" w:rsidRDefault="00ED4DDA" w:rsidP="00C16DBE">
      <w:pPr>
        <w:spacing w:line="240" w:lineRule="auto"/>
        <w:jc w:val="center"/>
        <w:rPr>
          <w:rFonts w:asciiTheme="majorBidi" w:eastAsia="Times New Roman" w:hAnsiTheme="majorBidi" w:cstheme="majorBidi"/>
          <w:b/>
          <w:sz w:val="36"/>
          <w:szCs w:val="36"/>
          <w:u w:val="single"/>
          <w:lang w:eastAsia="en-US"/>
        </w:rPr>
      </w:pPr>
      <w:r w:rsidRPr="00505CF0">
        <w:rPr>
          <w:rFonts w:asciiTheme="majorBidi" w:eastAsia="Times New Roman" w:hAnsiTheme="majorBidi" w:cstheme="majorBidi"/>
          <w:b/>
          <w:noProof/>
          <w:sz w:val="36"/>
          <w:szCs w:val="36"/>
          <w:u w:val="single"/>
        </w:rPr>
        <w:drawing>
          <wp:anchor distT="0" distB="0" distL="114300" distR="114300" simplePos="0" relativeHeight="251661312" behindDoc="1" locked="0" layoutInCell="1" allowOverlap="1" wp14:anchorId="47172367" wp14:editId="1E6E7B17">
            <wp:simplePos x="0" y="0"/>
            <wp:positionH relativeFrom="margin">
              <wp:posOffset>2286000</wp:posOffset>
            </wp:positionH>
            <wp:positionV relativeFrom="paragraph">
              <wp:posOffset>31115</wp:posOffset>
            </wp:positionV>
            <wp:extent cx="1257935" cy="13874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93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C7997" w14:textId="2BF632AA"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06252990" w14:textId="705B8819"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5DC10CF4" w14:textId="77777777" w:rsidR="00F078A8" w:rsidRPr="00505CF0" w:rsidRDefault="00F078A8" w:rsidP="00C16DBE">
      <w:pPr>
        <w:spacing w:line="240" w:lineRule="auto"/>
        <w:jc w:val="center"/>
        <w:rPr>
          <w:rFonts w:asciiTheme="majorBidi" w:eastAsia="Times New Roman" w:hAnsiTheme="majorBidi" w:cstheme="majorBidi"/>
          <w:b/>
          <w:sz w:val="36"/>
          <w:szCs w:val="36"/>
          <w:u w:val="single"/>
          <w:lang w:eastAsia="en-US"/>
        </w:rPr>
      </w:pPr>
    </w:p>
    <w:p w14:paraId="00C8FC9C" w14:textId="77777777" w:rsidR="00ED4DDA" w:rsidRPr="00505CF0" w:rsidRDefault="00ED4DDA" w:rsidP="00C16DBE">
      <w:pPr>
        <w:spacing w:line="240" w:lineRule="auto"/>
        <w:jc w:val="center"/>
        <w:rPr>
          <w:rFonts w:asciiTheme="majorBidi" w:eastAsia="Times New Roman" w:hAnsiTheme="majorBidi" w:cstheme="majorBidi"/>
          <w:sz w:val="24"/>
          <w:szCs w:val="24"/>
          <w:lang w:eastAsia="en-US"/>
        </w:rPr>
      </w:pPr>
    </w:p>
    <w:p w14:paraId="398FA7DE" w14:textId="77777777" w:rsidR="00ED4DDA" w:rsidRPr="00505CF0" w:rsidRDefault="00ED4DDA" w:rsidP="00C16DBE">
      <w:pPr>
        <w:spacing w:line="240" w:lineRule="auto"/>
        <w:jc w:val="center"/>
        <w:rPr>
          <w:rFonts w:asciiTheme="majorBidi" w:eastAsia="Times New Roman" w:hAnsiTheme="majorBidi" w:cstheme="majorBidi"/>
          <w:sz w:val="24"/>
          <w:szCs w:val="24"/>
          <w:lang w:eastAsia="en-US"/>
        </w:rPr>
      </w:pPr>
    </w:p>
    <w:p w14:paraId="0C84E6C4" w14:textId="54656D42" w:rsidR="00F078A8" w:rsidRPr="00505CF0" w:rsidRDefault="00247EBA" w:rsidP="00C16DBE">
      <w:pPr>
        <w:spacing w:line="240" w:lineRule="auto"/>
        <w:jc w:val="center"/>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Ouroboros</w:t>
      </w:r>
    </w:p>
    <w:p w14:paraId="521D7190" w14:textId="137A50B4" w:rsidR="00247EBA" w:rsidRPr="00505CF0" w:rsidRDefault="001C0F57" w:rsidP="00C16DBE">
      <w:pPr>
        <w:spacing w:line="240" w:lineRule="auto"/>
        <w:jc w:val="center"/>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Dan</w:t>
      </w:r>
      <w:r w:rsidR="00EC19BD" w:rsidRPr="00505CF0">
        <w:rPr>
          <w:rFonts w:asciiTheme="majorBidi" w:eastAsia="Times New Roman" w:hAnsiTheme="majorBidi" w:cstheme="majorBidi"/>
          <w:sz w:val="24"/>
          <w:szCs w:val="24"/>
          <w:lang w:eastAsia="en-US"/>
        </w:rPr>
        <w:t>don and Neo</w:t>
      </w:r>
      <w:r w:rsidR="00247EBA" w:rsidRPr="00505CF0">
        <w:rPr>
          <w:rFonts w:asciiTheme="majorBidi" w:eastAsia="Times New Roman" w:hAnsiTheme="majorBidi" w:cstheme="majorBidi"/>
          <w:sz w:val="24"/>
          <w:szCs w:val="24"/>
          <w:lang w:eastAsia="en-US"/>
        </w:rPr>
        <w:t xml:space="preserve"> York</w:t>
      </w:r>
    </w:p>
    <w:p w14:paraId="036DA347" w14:textId="451CE479"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lastRenderedPageBreak/>
        <w:t>Ouroboros Group Limited</w:t>
      </w:r>
    </w:p>
    <w:p w14:paraId="2A3D520B" w14:textId="653F0FA2"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Ouroboros House, Burnt Mill,</w:t>
      </w:r>
    </w:p>
    <w:p w14:paraId="3F47A021" w14:textId="0E3F6020"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Scunthorpe, North Lincs, DN15 1PE, England</w:t>
      </w:r>
    </w:p>
    <w:p w14:paraId="3057615A" w14:textId="269F3A51" w:rsidR="00CC7D0C" w:rsidRPr="00505CF0" w:rsidRDefault="00CC7D0C" w:rsidP="004C3EE0">
      <w:pPr>
        <w:spacing w:line="240" w:lineRule="auto"/>
        <w:jc w:val="both"/>
        <w:rPr>
          <w:rFonts w:asciiTheme="majorBidi" w:eastAsia="Times New Roman" w:hAnsiTheme="majorBidi" w:cstheme="majorBidi"/>
          <w:i/>
          <w:sz w:val="24"/>
          <w:szCs w:val="24"/>
          <w:lang w:eastAsia="en-US"/>
        </w:rPr>
      </w:pPr>
      <w:r w:rsidRPr="00505CF0">
        <w:rPr>
          <w:rFonts w:asciiTheme="majorBidi" w:eastAsia="Times New Roman" w:hAnsiTheme="majorBidi" w:cstheme="majorBidi"/>
          <w:i/>
          <w:sz w:val="24"/>
          <w:szCs w:val="24"/>
          <w:lang w:eastAsia="en-US"/>
        </w:rPr>
        <w:t>And Associated Companies throughout the world</w:t>
      </w:r>
    </w:p>
    <w:p w14:paraId="458CF5CA" w14:textId="59996E38" w:rsidR="00CC7D0C" w:rsidRPr="00505CF0" w:rsidRDefault="00CC7D0C" w:rsidP="004C3EE0">
      <w:pPr>
        <w:spacing w:line="240" w:lineRule="auto"/>
        <w:jc w:val="both"/>
        <w:rPr>
          <w:rFonts w:asciiTheme="majorBidi" w:eastAsia="Times New Roman" w:hAnsiTheme="majorBidi" w:cstheme="majorBidi"/>
          <w:i/>
          <w:sz w:val="24"/>
          <w:szCs w:val="24"/>
          <w:lang w:eastAsia="en-US"/>
        </w:rPr>
      </w:pPr>
    </w:p>
    <w:p w14:paraId="6E264F9B" w14:textId="69473CFA" w:rsidR="00CC7D0C" w:rsidRPr="00505CF0" w:rsidRDefault="00CC7D0C" w:rsidP="004C3EE0">
      <w:pPr>
        <w:spacing w:line="240" w:lineRule="auto"/>
        <w:jc w:val="both"/>
        <w:rPr>
          <w:rFonts w:asciiTheme="majorBidi" w:eastAsia="Times New Roman" w:hAnsiTheme="majorBidi" w:cstheme="majorBidi"/>
          <w:i/>
          <w:sz w:val="24"/>
          <w:szCs w:val="24"/>
          <w:lang w:eastAsia="en-US"/>
        </w:rPr>
      </w:pPr>
      <w:r w:rsidRPr="00505CF0">
        <w:rPr>
          <w:rFonts w:asciiTheme="majorBidi" w:eastAsia="Times New Roman" w:hAnsiTheme="majorBidi" w:cstheme="majorBidi"/>
          <w:i/>
          <w:sz w:val="24"/>
          <w:szCs w:val="24"/>
          <w:lang w:eastAsia="en-US"/>
        </w:rPr>
        <w:t xml:space="preserve">Published in the </w:t>
      </w:r>
      <w:r w:rsidR="000A6973">
        <w:rPr>
          <w:rFonts w:asciiTheme="majorBidi" w:eastAsia="Times New Roman" w:hAnsiTheme="majorBidi" w:cstheme="majorBidi"/>
          <w:i/>
          <w:sz w:val="24"/>
          <w:szCs w:val="24"/>
          <w:lang w:eastAsia="en-US"/>
        </w:rPr>
        <w:t>Western Dandom</w:t>
      </w:r>
    </w:p>
    <w:p w14:paraId="17AFDC6B" w14:textId="78606DB4" w:rsidR="00CC7D0C" w:rsidRPr="00505CF0" w:rsidRDefault="00CC7D0C" w:rsidP="004C3EE0">
      <w:pPr>
        <w:spacing w:line="240" w:lineRule="auto"/>
        <w:jc w:val="both"/>
        <w:rPr>
          <w:rFonts w:asciiTheme="majorBidi" w:eastAsia="Times New Roman" w:hAnsiTheme="majorBidi" w:cstheme="majorBidi"/>
          <w:i/>
          <w:sz w:val="24"/>
          <w:szCs w:val="24"/>
          <w:lang w:eastAsia="en-US"/>
        </w:rPr>
      </w:pPr>
      <w:r w:rsidRPr="00505CF0">
        <w:rPr>
          <w:rFonts w:asciiTheme="majorBidi" w:eastAsia="Times New Roman" w:hAnsiTheme="majorBidi" w:cstheme="majorBidi"/>
          <w:i/>
          <w:sz w:val="24"/>
          <w:szCs w:val="24"/>
          <w:lang w:eastAsia="en-US"/>
        </w:rPr>
        <w:t>By Ouroboros Publishing, Neo York</w:t>
      </w:r>
    </w:p>
    <w:p w14:paraId="265D7A2B" w14:textId="471849A6" w:rsidR="00CC7D0C" w:rsidRPr="00505CF0" w:rsidRDefault="00CC7D0C" w:rsidP="004C3EE0">
      <w:pPr>
        <w:spacing w:line="240" w:lineRule="auto"/>
        <w:jc w:val="both"/>
        <w:rPr>
          <w:rFonts w:asciiTheme="majorBidi" w:eastAsia="Times New Roman" w:hAnsiTheme="majorBidi" w:cstheme="majorBidi"/>
          <w:i/>
          <w:sz w:val="24"/>
          <w:szCs w:val="24"/>
          <w:lang w:eastAsia="en-US"/>
        </w:rPr>
      </w:pPr>
    </w:p>
    <w:p w14:paraId="09CE50C1" w14:textId="03CA13A8"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 Ouroboros Group Limited 2</w:t>
      </w:r>
      <w:r w:rsidR="00753B69" w:rsidRPr="00505CF0">
        <w:rPr>
          <w:rFonts w:asciiTheme="majorBidi" w:eastAsia="Times New Roman" w:hAnsiTheme="majorBidi" w:cstheme="majorBidi"/>
          <w:sz w:val="24"/>
          <w:szCs w:val="24"/>
          <w:lang w:eastAsia="en-US"/>
        </w:rPr>
        <w:t>1</w:t>
      </w:r>
      <w:r w:rsidRPr="00505CF0">
        <w:rPr>
          <w:rFonts w:asciiTheme="majorBidi" w:eastAsia="Times New Roman" w:hAnsiTheme="majorBidi" w:cstheme="majorBidi"/>
          <w:sz w:val="24"/>
          <w:szCs w:val="24"/>
          <w:lang w:eastAsia="en-US"/>
        </w:rPr>
        <w:t>58</w:t>
      </w:r>
    </w:p>
    <w:p w14:paraId="0FABCF7B" w14:textId="74819110" w:rsidR="00CC7D0C" w:rsidRPr="00505CF0" w:rsidRDefault="00CC7D0C" w:rsidP="004C3EE0">
      <w:pPr>
        <w:spacing w:line="240" w:lineRule="auto"/>
        <w:jc w:val="both"/>
        <w:rPr>
          <w:rFonts w:asciiTheme="majorBidi" w:eastAsia="Times New Roman" w:hAnsiTheme="majorBidi" w:cstheme="majorBidi"/>
          <w:sz w:val="24"/>
          <w:szCs w:val="24"/>
          <w:lang w:eastAsia="en-US"/>
        </w:rPr>
      </w:pPr>
    </w:p>
    <w:p w14:paraId="29A70F6C" w14:textId="14295708"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All rights reserved; no part of this publication may be</w:t>
      </w:r>
    </w:p>
    <w:p w14:paraId="37944000" w14:textId="77777777" w:rsidR="00CC7D0C"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reproduced</w:t>
      </w:r>
      <w:proofErr w:type="gramEnd"/>
      <w:r w:rsidRPr="00505CF0">
        <w:rPr>
          <w:rFonts w:asciiTheme="majorBidi" w:eastAsia="Times New Roman" w:hAnsiTheme="majorBidi" w:cstheme="majorBidi"/>
          <w:sz w:val="24"/>
          <w:szCs w:val="24"/>
          <w:lang w:eastAsia="en-US"/>
        </w:rPr>
        <w:t>, stored in a retrieval system, or transmitted</w:t>
      </w:r>
    </w:p>
    <w:p w14:paraId="2FCEA8A8" w14:textId="46F7EE51" w:rsidR="00CC7D0C"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in</w:t>
      </w:r>
      <w:proofErr w:type="gramEnd"/>
      <w:r w:rsidRPr="00505CF0">
        <w:rPr>
          <w:rFonts w:asciiTheme="majorBidi" w:eastAsia="Times New Roman" w:hAnsiTheme="majorBidi" w:cstheme="majorBidi"/>
          <w:sz w:val="24"/>
          <w:szCs w:val="24"/>
          <w:lang w:eastAsia="en-US"/>
        </w:rPr>
        <w:t xml:space="preserve"> any form of or by any means, electronic, mechanical,</w:t>
      </w:r>
    </w:p>
    <w:p w14:paraId="307E772A" w14:textId="0978C41F" w:rsidR="00CC7D0C"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sexual</w:t>
      </w:r>
      <w:proofErr w:type="gramEnd"/>
      <w:r w:rsidRPr="00505CF0">
        <w:rPr>
          <w:rFonts w:asciiTheme="majorBidi" w:eastAsia="Times New Roman" w:hAnsiTheme="majorBidi" w:cstheme="majorBidi"/>
          <w:sz w:val="24"/>
          <w:szCs w:val="24"/>
          <w:lang w:eastAsia="en-US"/>
        </w:rPr>
        <w:t>, photocopying, recording, minor quoting, academic</w:t>
      </w:r>
    </w:p>
    <w:p w14:paraId="79088132" w14:textId="3B76512B" w:rsidR="00CC7D0C"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quibbling</w:t>
      </w:r>
      <w:proofErr w:type="gramEnd"/>
      <w:r w:rsidRPr="00505CF0">
        <w:rPr>
          <w:rFonts w:asciiTheme="majorBidi" w:eastAsia="Times New Roman" w:hAnsiTheme="majorBidi" w:cstheme="majorBidi"/>
          <w:sz w:val="24"/>
          <w:szCs w:val="24"/>
          <w:lang w:eastAsia="en-US"/>
        </w:rPr>
        <w:t>, brain-reading, or otherwise without either the</w:t>
      </w:r>
    </w:p>
    <w:p w14:paraId="4514A906" w14:textId="0BAE7672" w:rsidR="00CC7D0C"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prior</w:t>
      </w:r>
      <w:proofErr w:type="gramEnd"/>
      <w:r w:rsidRPr="00505CF0">
        <w:rPr>
          <w:rFonts w:asciiTheme="majorBidi" w:eastAsia="Times New Roman" w:hAnsiTheme="majorBidi" w:cstheme="majorBidi"/>
          <w:sz w:val="24"/>
          <w:szCs w:val="24"/>
          <w:lang w:eastAsia="en-US"/>
        </w:rPr>
        <w:t xml:space="preserve"> written permission</w:t>
      </w:r>
      <w:r w:rsidR="00FA5A4A" w:rsidRPr="00505CF0">
        <w:rPr>
          <w:rFonts w:asciiTheme="majorBidi" w:eastAsia="Times New Roman" w:hAnsiTheme="majorBidi" w:cstheme="majorBidi"/>
          <w:sz w:val="24"/>
          <w:szCs w:val="24"/>
          <w:lang w:eastAsia="en-US"/>
        </w:rPr>
        <w:t xml:space="preserve"> (good luck)</w:t>
      </w:r>
      <w:r w:rsidRPr="00505CF0">
        <w:rPr>
          <w:rFonts w:asciiTheme="majorBidi" w:eastAsia="Times New Roman" w:hAnsiTheme="majorBidi" w:cstheme="majorBidi"/>
          <w:sz w:val="24"/>
          <w:szCs w:val="24"/>
          <w:lang w:eastAsia="en-US"/>
        </w:rPr>
        <w:t xml:space="preserve"> of the Publishers or </w:t>
      </w:r>
    </w:p>
    <w:p w14:paraId="3C2FC96C" w14:textId="77777777" w:rsidR="005B2788" w:rsidRPr="00505CF0" w:rsidRDefault="00CC7D0C"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a</w:t>
      </w:r>
      <w:proofErr w:type="gramEnd"/>
      <w:r w:rsidRPr="00505CF0">
        <w:rPr>
          <w:rFonts w:asciiTheme="majorBidi" w:eastAsia="Times New Roman" w:hAnsiTheme="majorBidi" w:cstheme="majorBidi"/>
          <w:sz w:val="24"/>
          <w:szCs w:val="24"/>
          <w:lang w:eastAsia="en-US"/>
        </w:rPr>
        <w:t xml:space="preserve"> license permitting restricted copying in the United </w:t>
      </w:r>
    </w:p>
    <w:p w14:paraId="54D83563" w14:textId="77777777" w:rsidR="005B2788" w:rsidRPr="00505CF0" w:rsidRDefault="005B2788"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South</w:t>
      </w:r>
      <w:r w:rsidR="00CC7D0C" w:rsidRPr="00505CF0">
        <w:rPr>
          <w:rFonts w:asciiTheme="majorBidi" w:eastAsia="Times New Roman" w:hAnsiTheme="majorBidi" w:cstheme="majorBidi"/>
          <w:sz w:val="24"/>
          <w:szCs w:val="24"/>
          <w:lang w:eastAsia="en-US"/>
        </w:rPr>
        <w:t>dom</w:t>
      </w:r>
      <w:r w:rsidRPr="00505CF0">
        <w:rPr>
          <w:rFonts w:asciiTheme="majorBidi" w:eastAsia="Times New Roman" w:hAnsiTheme="majorBidi" w:cstheme="majorBidi"/>
          <w:sz w:val="24"/>
          <w:szCs w:val="24"/>
          <w:lang w:eastAsia="en-US"/>
        </w:rPr>
        <w:t xml:space="preserve"> </w:t>
      </w:r>
      <w:r w:rsidR="00CC7D0C" w:rsidRPr="00505CF0">
        <w:rPr>
          <w:rFonts w:asciiTheme="majorBidi" w:eastAsia="Times New Roman" w:hAnsiTheme="majorBidi" w:cstheme="majorBidi"/>
          <w:sz w:val="24"/>
          <w:szCs w:val="24"/>
          <w:lang w:eastAsia="en-US"/>
        </w:rPr>
        <w:t xml:space="preserve">issued by the Copyright Licensing Agency, </w:t>
      </w:r>
    </w:p>
    <w:p w14:paraId="4F72ABED" w14:textId="22C6DCC0"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Ltd.,</w:t>
      </w:r>
      <w:r w:rsidR="005B2788" w:rsidRPr="00505CF0">
        <w:rPr>
          <w:rFonts w:asciiTheme="majorBidi" w:eastAsia="Times New Roman" w:hAnsiTheme="majorBidi" w:cstheme="majorBidi"/>
          <w:sz w:val="24"/>
          <w:szCs w:val="24"/>
          <w:lang w:eastAsia="en-US"/>
        </w:rPr>
        <w:t xml:space="preserve"> </w:t>
      </w:r>
      <w:r w:rsidRPr="00505CF0">
        <w:rPr>
          <w:rFonts w:asciiTheme="majorBidi" w:eastAsia="Times New Roman" w:hAnsiTheme="majorBidi" w:cstheme="majorBidi"/>
          <w:sz w:val="24"/>
          <w:szCs w:val="24"/>
          <w:lang w:eastAsia="en-US"/>
        </w:rPr>
        <w:t>90 Totteringham Court Road, Dandon, W1P 9HE</w:t>
      </w:r>
    </w:p>
    <w:p w14:paraId="0F5F6B7E" w14:textId="5372DA95" w:rsidR="00CC7D0C" w:rsidRPr="00505CF0" w:rsidRDefault="00CC7D0C" w:rsidP="004C3EE0">
      <w:pPr>
        <w:spacing w:line="240" w:lineRule="auto"/>
        <w:jc w:val="both"/>
        <w:rPr>
          <w:rFonts w:asciiTheme="majorBidi" w:eastAsia="Times New Roman" w:hAnsiTheme="majorBidi" w:cstheme="majorBidi"/>
          <w:sz w:val="24"/>
          <w:szCs w:val="24"/>
          <w:lang w:eastAsia="en-US"/>
        </w:rPr>
      </w:pPr>
    </w:p>
    <w:p w14:paraId="7838764B" w14:textId="0EA1FA01"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First Published 2</w:t>
      </w:r>
      <w:r w:rsidR="00753B69" w:rsidRPr="00505CF0">
        <w:rPr>
          <w:rFonts w:asciiTheme="majorBidi" w:eastAsia="Times New Roman" w:hAnsiTheme="majorBidi" w:cstheme="majorBidi"/>
          <w:sz w:val="24"/>
          <w:szCs w:val="24"/>
          <w:lang w:eastAsia="en-US"/>
        </w:rPr>
        <w:t>1</w:t>
      </w:r>
      <w:r w:rsidRPr="00505CF0">
        <w:rPr>
          <w:rFonts w:asciiTheme="majorBidi" w:eastAsia="Times New Roman" w:hAnsiTheme="majorBidi" w:cstheme="majorBidi"/>
          <w:sz w:val="24"/>
          <w:szCs w:val="24"/>
          <w:lang w:eastAsia="en-US"/>
        </w:rPr>
        <w:t>58</w:t>
      </w:r>
    </w:p>
    <w:p w14:paraId="7B4EE5E1" w14:textId="50F0124C" w:rsidR="00CC7D0C" w:rsidRPr="00505CF0" w:rsidRDefault="00CC7D0C" w:rsidP="004C3EE0">
      <w:pPr>
        <w:spacing w:line="240" w:lineRule="auto"/>
        <w:jc w:val="both"/>
        <w:rPr>
          <w:rFonts w:asciiTheme="majorBidi" w:eastAsia="Times New Roman" w:hAnsiTheme="majorBidi" w:cstheme="majorBidi"/>
          <w:sz w:val="24"/>
          <w:szCs w:val="24"/>
          <w:lang w:eastAsia="en-US"/>
        </w:rPr>
      </w:pPr>
    </w:p>
    <w:p w14:paraId="24FACE6B" w14:textId="4A49E92A"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ISBN 0 582 21291 X CSDD</w:t>
      </w:r>
    </w:p>
    <w:p w14:paraId="1082C0CF" w14:textId="59B5C058" w:rsidR="00CC7D0C" w:rsidRPr="00505CF0" w:rsidRDefault="00CC7D0C"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ISBN 0 582 212928 PPDR</w:t>
      </w:r>
    </w:p>
    <w:p w14:paraId="2CA0E1C9" w14:textId="7BF06FC6"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51FCFEC2" w14:textId="4BC95A1A" w:rsidR="005B2788" w:rsidRPr="00505CF0" w:rsidRDefault="005B2788" w:rsidP="004C3EE0">
      <w:pPr>
        <w:spacing w:line="240" w:lineRule="auto"/>
        <w:jc w:val="both"/>
        <w:rPr>
          <w:rFonts w:asciiTheme="majorBidi" w:eastAsia="Times New Roman" w:hAnsiTheme="majorBidi" w:cstheme="majorBidi"/>
          <w:b/>
          <w:sz w:val="24"/>
          <w:szCs w:val="24"/>
          <w:lang w:eastAsia="en-US"/>
        </w:rPr>
      </w:pPr>
      <w:r w:rsidRPr="00505CF0">
        <w:rPr>
          <w:rFonts w:asciiTheme="majorBidi" w:eastAsia="Times New Roman" w:hAnsiTheme="majorBidi" w:cstheme="majorBidi"/>
          <w:b/>
          <w:sz w:val="24"/>
          <w:szCs w:val="24"/>
          <w:lang w:eastAsia="en-US"/>
        </w:rPr>
        <w:t>Southish Library Cataloguing-in-Publication Data</w:t>
      </w:r>
    </w:p>
    <w:p w14:paraId="06928525" w14:textId="37E002E3" w:rsidR="005B2788" w:rsidRPr="00505CF0" w:rsidRDefault="005B2788" w:rsidP="004C3EE0">
      <w:pPr>
        <w:spacing w:line="240" w:lineRule="auto"/>
        <w:jc w:val="both"/>
        <w:rPr>
          <w:rFonts w:asciiTheme="majorBidi" w:eastAsia="Times New Roman" w:hAnsiTheme="majorBidi" w:cstheme="majorBidi"/>
          <w:b/>
          <w:sz w:val="24"/>
          <w:szCs w:val="24"/>
          <w:lang w:eastAsia="en-US"/>
        </w:rPr>
      </w:pPr>
    </w:p>
    <w:p w14:paraId="27DB7D42" w14:textId="641FFE86" w:rsidR="005B2788" w:rsidRPr="00505CF0" w:rsidRDefault="005B2788"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 catalogue record for this book is</w:t>
      </w:r>
    </w:p>
    <w:p w14:paraId="3A7459FC" w14:textId="6AB64984" w:rsidR="005B2788" w:rsidRPr="00505CF0" w:rsidRDefault="005B2788"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Available from the Southish Library</w:t>
      </w:r>
    </w:p>
    <w:p w14:paraId="6E2F3BC5" w14:textId="6B20E5A2"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68167534" w14:textId="21A302D7" w:rsidR="005B2788" w:rsidRPr="00505CF0" w:rsidRDefault="005B2788" w:rsidP="004C3EE0">
      <w:pPr>
        <w:spacing w:line="240" w:lineRule="auto"/>
        <w:jc w:val="both"/>
        <w:rPr>
          <w:rFonts w:asciiTheme="majorBidi" w:eastAsia="Times New Roman" w:hAnsiTheme="majorBidi" w:cstheme="majorBidi"/>
          <w:b/>
          <w:sz w:val="24"/>
          <w:szCs w:val="24"/>
          <w:lang w:eastAsia="en-US"/>
        </w:rPr>
      </w:pPr>
      <w:r w:rsidRPr="00505CF0">
        <w:rPr>
          <w:rFonts w:asciiTheme="majorBidi" w:eastAsia="Times New Roman" w:hAnsiTheme="majorBidi" w:cstheme="majorBidi"/>
          <w:b/>
          <w:sz w:val="24"/>
          <w:szCs w:val="24"/>
          <w:lang w:eastAsia="en-US"/>
        </w:rPr>
        <w:t>Library of Congaress Cataloging-in-Publication Data</w:t>
      </w:r>
    </w:p>
    <w:p w14:paraId="05B0AAAE" w14:textId="7884BA42" w:rsidR="005B2788" w:rsidRPr="00505CF0" w:rsidRDefault="005B2788" w:rsidP="004C3EE0">
      <w:pPr>
        <w:spacing w:line="240" w:lineRule="auto"/>
        <w:jc w:val="both"/>
        <w:rPr>
          <w:rFonts w:asciiTheme="majorBidi" w:eastAsia="Times New Roman" w:hAnsiTheme="majorBidi" w:cstheme="majorBidi"/>
          <w:b/>
          <w:sz w:val="24"/>
          <w:szCs w:val="24"/>
          <w:lang w:eastAsia="en-US"/>
        </w:rPr>
      </w:pPr>
    </w:p>
    <w:p w14:paraId="16EA7BBA" w14:textId="2F70EFFF" w:rsidR="005B2788" w:rsidRPr="00505CF0" w:rsidRDefault="005B2788"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Applied for.</w:t>
      </w:r>
      <w:proofErr w:type="gramEnd"/>
    </w:p>
    <w:p w14:paraId="1AB3D8C3" w14:textId="3E02FF38"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1405DE30" w14:textId="2AF5C05F"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30E1D826" w14:textId="3C5882F3"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2AA469E3" w14:textId="732BEA32"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76C47BA5" w14:textId="69FA77A1"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48CC5672" w14:textId="21B22966"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4AEAF05E" w14:textId="1E42973C"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7BB088F9" w14:textId="2A335151"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0DC356F0" w14:textId="1D241C18"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0D5677F9" w14:textId="317245BC"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07EA180A" w14:textId="601B0FC4"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0938B257" w14:textId="165087A4"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70F0088D" w14:textId="2E8B7802" w:rsidR="005B2788" w:rsidRPr="00505CF0" w:rsidRDefault="005B2788" w:rsidP="004C3EE0">
      <w:pPr>
        <w:spacing w:line="240" w:lineRule="auto"/>
        <w:jc w:val="both"/>
        <w:rPr>
          <w:rFonts w:asciiTheme="majorBidi" w:eastAsia="Times New Roman" w:hAnsiTheme="majorBidi" w:cstheme="majorBidi"/>
          <w:sz w:val="24"/>
          <w:szCs w:val="24"/>
          <w:lang w:eastAsia="en-US"/>
        </w:rPr>
      </w:pPr>
    </w:p>
    <w:p w14:paraId="3787A325" w14:textId="77777777" w:rsidR="00CF27D8" w:rsidRPr="00505CF0" w:rsidRDefault="00CF27D8" w:rsidP="004C3EE0">
      <w:pPr>
        <w:spacing w:line="240" w:lineRule="auto"/>
        <w:jc w:val="both"/>
        <w:rPr>
          <w:rFonts w:asciiTheme="majorBidi" w:eastAsia="Times New Roman" w:hAnsiTheme="majorBidi" w:cstheme="majorBidi"/>
          <w:sz w:val="24"/>
          <w:szCs w:val="24"/>
          <w:lang w:eastAsia="en-US"/>
        </w:rPr>
      </w:pPr>
    </w:p>
    <w:p w14:paraId="1246FCEF" w14:textId="1EE5B593" w:rsidR="005B2788" w:rsidRPr="00505CF0" w:rsidRDefault="005B2788"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Set 19K in 12 on 23 Palatino</w:t>
      </w:r>
    </w:p>
    <w:p w14:paraId="6D738FA8" w14:textId="1EB9655C" w:rsidR="005B2788" w:rsidRPr="00505CF0" w:rsidRDefault="005B2788"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Produced by Ouroboros Neo York Publishers (Pte) Ltd</w:t>
      </w:r>
    </w:p>
    <w:p w14:paraId="49722A60" w14:textId="1C58E1A3" w:rsidR="005B2788" w:rsidRPr="00505CF0" w:rsidRDefault="005B2788" w:rsidP="004C3EE0">
      <w:pPr>
        <w:spacing w:line="240" w:lineRule="auto"/>
        <w:jc w:val="both"/>
        <w:rPr>
          <w:rFonts w:asciiTheme="majorBidi" w:eastAsia="Times New Roman" w:hAnsiTheme="majorBidi" w:cstheme="majorBidi"/>
          <w:sz w:val="24"/>
          <w:szCs w:val="24"/>
          <w:lang w:eastAsia="en-US"/>
        </w:rPr>
      </w:pPr>
      <w:proofErr w:type="gramStart"/>
      <w:r w:rsidRPr="00505CF0">
        <w:rPr>
          <w:rFonts w:asciiTheme="majorBidi" w:eastAsia="Times New Roman" w:hAnsiTheme="majorBidi" w:cstheme="majorBidi"/>
          <w:sz w:val="24"/>
          <w:szCs w:val="24"/>
          <w:lang w:eastAsia="en-US"/>
        </w:rPr>
        <w:t>Printed in Good Faith.</w:t>
      </w:r>
      <w:proofErr w:type="gramEnd"/>
    </w:p>
    <w:p w14:paraId="18D4F512" w14:textId="0739BC68" w:rsidR="005B2788" w:rsidRPr="00505CF0" w:rsidRDefault="005B2788" w:rsidP="00B9022C">
      <w:pPr>
        <w:spacing w:line="240" w:lineRule="auto"/>
        <w:jc w:val="center"/>
        <w:rPr>
          <w:rFonts w:asciiTheme="majorBidi" w:eastAsia="Times New Roman" w:hAnsiTheme="majorBidi" w:cstheme="majorBidi"/>
          <w:sz w:val="36"/>
          <w:szCs w:val="36"/>
          <w:lang w:eastAsia="en-US"/>
        </w:rPr>
      </w:pPr>
      <w:r w:rsidRPr="00505CF0">
        <w:rPr>
          <w:rFonts w:asciiTheme="majorBidi" w:eastAsia="Times New Roman" w:hAnsiTheme="majorBidi" w:cstheme="majorBidi"/>
          <w:sz w:val="36"/>
          <w:szCs w:val="36"/>
          <w:lang w:eastAsia="en-US"/>
        </w:rPr>
        <w:lastRenderedPageBreak/>
        <w:t>Contents</w:t>
      </w:r>
    </w:p>
    <w:p w14:paraId="56D621D2"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6FDC527F"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7255D0D6" w14:textId="08A5A8B3"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56457F5E" w14:textId="77777777" w:rsidR="00F90134" w:rsidRPr="00505CF0" w:rsidRDefault="00F90134" w:rsidP="004C3EE0">
      <w:pPr>
        <w:spacing w:line="240" w:lineRule="auto"/>
        <w:jc w:val="both"/>
        <w:rPr>
          <w:rFonts w:asciiTheme="majorBidi" w:eastAsia="Times New Roman" w:hAnsiTheme="majorBidi" w:cstheme="majorBidi"/>
          <w:sz w:val="36"/>
          <w:szCs w:val="36"/>
          <w:lang w:eastAsia="en-US"/>
        </w:rPr>
      </w:pPr>
    </w:p>
    <w:p w14:paraId="6139A7F0"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7BEC8850"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47BCD614" w14:textId="77777777" w:rsidR="004D7B37" w:rsidRDefault="001B760E" w:rsidP="004D7B37">
      <w:pPr>
        <w:spacing w:line="240" w:lineRule="auto"/>
        <w:jc w:val="center"/>
        <w:rPr>
          <w:rFonts w:asciiTheme="majorBidi" w:eastAsia="Times New Roman" w:hAnsiTheme="majorBidi" w:cstheme="majorBidi"/>
          <w:iCs/>
          <w:sz w:val="28"/>
          <w:szCs w:val="28"/>
          <w:lang w:eastAsia="en-US"/>
        </w:rPr>
      </w:pPr>
      <w:r w:rsidRPr="00D37D00">
        <w:rPr>
          <w:rFonts w:asciiTheme="majorBidi" w:eastAsia="Times New Roman" w:hAnsiTheme="majorBidi" w:cstheme="majorBidi"/>
          <w:iCs/>
          <w:sz w:val="28"/>
          <w:szCs w:val="28"/>
          <w:lang w:eastAsia="en-US"/>
        </w:rPr>
        <w:t>Acknowledgements</w:t>
      </w:r>
    </w:p>
    <w:p w14:paraId="11FEC6BA" w14:textId="507FD7D3" w:rsidR="005B2788" w:rsidRDefault="004D7B37" w:rsidP="004D7B37">
      <w:pPr>
        <w:spacing w:line="240" w:lineRule="auto"/>
        <w:jc w:val="center"/>
        <w:rPr>
          <w:rFonts w:asciiTheme="majorBidi" w:eastAsia="Times New Roman" w:hAnsiTheme="majorBidi" w:cstheme="majorBidi"/>
          <w:iCs/>
          <w:sz w:val="28"/>
          <w:szCs w:val="28"/>
          <w:lang w:eastAsia="en-US"/>
        </w:rPr>
      </w:pPr>
      <w:r w:rsidRPr="00171C98">
        <w:rPr>
          <w:rFonts w:asciiTheme="majorBidi" w:eastAsiaTheme="majorEastAsia" w:hAnsiTheme="majorBidi" w:cstheme="majorBidi"/>
          <w:sz w:val="28"/>
          <w:szCs w:val="28"/>
        </w:rPr>
        <w:t>-</w:t>
      </w:r>
      <w:r>
        <w:rPr>
          <w:rFonts w:asciiTheme="majorBidi" w:eastAsiaTheme="majorEastAsia" w:hAnsiTheme="majorBidi" w:cstheme="majorBidi"/>
          <w:sz w:val="28"/>
          <w:szCs w:val="28"/>
        </w:rPr>
        <w:t>8</w:t>
      </w:r>
      <w:r w:rsidRPr="00171C98">
        <w:rPr>
          <w:rFonts w:asciiTheme="majorBidi" w:eastAsiaTheme="majorEastAsia" w:hAnsiTheme="majorBidi" w:cstheme="majorBidi"/>
          <w:i/>
          <w:iCs/>
          <w:noProof/>
          <w:sz w:val="28"/>
          <w:szCs w:val="28"/>
        </w:rPr>
        <w:t>-</w:t>
      </w:r>
    </w:p>
    <w:p w14:paraId="39F3BBBC" w14:textId="77777777" w:rsidR="004D7B37" w:rsidRPr="00D37D00" w:rsidRDefault="004D7B37" w:rsidP="004D7B37">
      <w:pPr>
        <w:spacing w:line="240" w:lineRule="auto"/>
        <w:jc w:val="center"/>
        <w:rPr>
          <w:rFonts w:asciiTheme="majorBidi" w:eastAsia="Times New Roman" w:hAnsiTheme="majorBidi" w:cstheme="majorBidi"/>
          <w:iCs/>
          <w:sz w:val="28"/>
          <w:szCs w:val="28"/>
          <w:lang w:eastAsia="en-US"/>
        </w:rPr>
      </w:pPr>
    </w:p>
    <w:p w14:paraId="32C5BC39" w14:textId="35905AB0" w:rsidR="005B2788" w:rsidRPr="00D37D00" w:rsidRDefault="001B760E" w:rsidP="004D7B37">
      <w:pPr>
        <w:spacing w:line="240" w:lineRule="auto"/>
        <w:jc w:val="center"/>
        <w:rPr>
          <w:rFonts w:asciiTheme="majorBidi" w:eastAsia="Times New Roman" w:hAnsiTheme="majorBidi" w:cstheme="majorBidi"/>
          <w:iCs/>
          <w:sz w:val="28"/>
          <w:szCs w:val="28"/>
          <w:lang w:eastAsia="en-US"/>
        </w:rPr>
      </w:pPr>
      <w:r w:rsidRPr="00D37D00">
        <w:rPr>
          <w:rFonts w:asciiTheme="majorBidi" w:eastAsia="Times New Roman" w:hAnsiTheme="majorBidi" w:cstheme="majorBidi"/>
          <w:iCs/>
          <w:sz w:val="28"/>
          <w:szCs w:val="28"/>
          <w:lang w:eastAsia="en-US"/>
        </w:rPr>
        <w:t>Editor’s Preface</w:t>
      </w:r>
    </w:p>
    <w:p w14:paraId="5D27FCE0" w14:textId="04AF5B9A" w:rsidR="004D7B37" w:rsidRDefault="004D7B37" w:rsidP="004D7B37">
      <w:pPr>
        <w:spacing w:line="240" w:lineRule="auto"/>
        <w:jc w:val="center"/>
        <w:rPr>
          <w:rFonts w:asciiTheme="majorBidi" w:eastAsia="Times New Roman" w:hAnsiTheme="majorBidi" w:cstheme="majorBidi"/>
          <w:iCs/>
          <w:sz w:val="28"/>
          <w:szCs w:val="28"/>
          <w:lang w:eastAsia="en-US"/>
        </w:rPr>
      </w:pPr>
      <w:r w:rsidRPr="00171C98">
        <w:rPr>
          <w:rFonts w:asciiTheme="majorBidi" w:eastAsiaTheme="majorEastAsia" w:hAnsiTheme="majorBidi" w:cstheme="majorBidi"/>
          <w:sz w:val="28"/>
          <w:szCs w:val="28"/>
        </w:rPr>
        <w:t>-</w:t>
      </w:r>
      <w:r>
        <w:rPr>
          <w:rFonts w:asciiTheme="majorBidi" w:eastAsiaTheme="majorEastAsia" w:hAnsiTheme="majorBidi" w:cstheme="majorBidi"/>
          <w:sz w:val="28"/>
          <w:szCs w:val="28"/>
        </w:rPr>
        <w:t>9</w:t>
      </w:r>
      <w:r w:rsidRPr="00171C98">
        <w:rPr>
          <w:rFonts w:asciiTheme="majorBidi" w:eastAsiaTheme="majorEastAsia" w:hAnsiTheme="majorBidi" w:cstheme="majorBidi"/>
          <w:i/>
          <w:iCs/>
          <w:noProof/>
          <w:sz w:val="28"/>
          <w:szCs w:val="28"/>
        </w:rPr>
        <w:t>-</w:t>
      </w:r>
    </w:p>
    <w:p w14:paraId="0344D42E" w14:textId="77777777" w:rsidR="004D7B37" w:rsidRPr="00505CF0" w:rsidRDefault="004D7B37" w:rsidP="004D7B37">
      <w:pPr>
        <w:spacing w:line="240" w:lineRule="auto"/>
        <w:jc w:val="center"/>
        <w:rPr>
          <w:rFonts w:asciiTheme="majorBidi" w:eastAsia="Times New Roman" w:hAnsiTheme="majorBidi" w:cstheme="majorBidi"/>
          <w:sz w:val="28"/>
          <w:szCs w:val="28"/>
          <w:u w:val="single"/>
        </w:rPr>
      </w:pPr>
    </w:p>
    <w:p w14:paraId="7742571B" w14:textId="2CE32DB5" w:rsidR="00720FEC" w:rsidRPr="00D37D00" w:rsidRDefault="005B2788" w:rsidP="004D7B37">
      <w:pPr>
        <w:spacing w:line="240" w:lineRule="auto"/>
        <w:jc w:val="center"/>
        <w:rPr>
          <w:rFonts w:asciiTheme="majorBidi" w:eastAsia="Times New Roman" w:hAnsiTheme="majorBidi" w:cstheme="majorBidi"/>
          <w:sz w:val="28"/>
          <w:szCs w:val="28"/>
        </w:rPr>
      </w:pPr>
      <w:r w:rsidRPr="00D37D00">
        <w:rPr>
          <w:rFonts w:asciiTheme="majorBidi" w:eastAsia="Times New Roman" w:hAnsiTheme="majorBidi" w:cstheme="majorBidi"/>
          <w:sz w:val="28"/>
          <w:szCs w:val="28"/>
        </w:rPr>
        <w:t>C</w:t>
      </w:r>
      <w:r w:rsidR="00720FEC" w:rsidRPr="00D37D00">
        <w:rPr>
          <w:rFonts w:asciiTheme="majorBidi" w:eastAsia="Times New Roman" w:hAnsiTheme="majorBidi" w:cstheme="majorBidi"/>
          <w:sz w:val="28"/>
          <w:szCs w:val="28"/>
        </w:rPr>
        <w:t xml:space="preserve">hapter </w:t>
      </w:r>
      <w:r w:rsidR="001C5831">
        <w:rPr>
          <w:rFonts w:asciiTheme="majorBidi" w:eastAsia="Times New Roman" w:hAnsiTheme="majorBidi" w:cstheme="majorBidi"/>
          <w:sz w:val="28"/>
          <w:szCs w:val="28"/>
        </w:rPr>
        <w:t>I</w:t>
      </w:r>
      <w:r w:rsidR="00720FEC" w:rsidRPr="00D37D00">
        <w:rPr>
          <w:rFonts w:asciiTheme="majorBidi" w:eastAsia="Times New Roman" w:hAnsiTheme="majorBidi" w:cstheme="majorBidi"/>
          <w:sz w:val="28"/>
          <w:szCs w:val="28"/>
        </w:rPr>
        <w:t>. Southward vs Society</w:t>
      </w:r>
    </w:p>
    <w:p w14:paraId="521CDC10" w14:textId="036D22D9" w:rsidR="00D37D00" w:rsidRDefault="005B2788" w:rsidP="004D7B37">
      <w:pPr>
        <w:spacing w:line="240" w:lineRule="auto"/>
        <w:jc w:val="center"/>
        <w:rPr>
          <w:rFonts w:asciiTheme="majorBidi" w:eastAsia="Times New Roman" w:hAnsiTheme="majorBidi" w:cstheme="majorBidi"/>
          <w:i/>
          <w:iCs/>
          <w:sz w:val="28"/>
          <w:szCs w:val="28"/>
        </w:rPr>
      </w:pPr>
      <w:r w:rsidRPr="00D37D00">
        <w:rPr>
          <w:rFonts w:asciiTheme="majorBidi" w:eastAsia="Times New Roman" w:hAnsiTheme="majorBidi" w:cstheme="majorBidi"/>
          <w:i/>
          <w:iCs/>
          <w:sz w:val="28"/>
          <w:szCs w:val="28"/>
        </w:rPr>
        <w:t>The Post</w:t>
      </w:r>
      <w:r w:rsidR="00D95B45">
        <w:rPr>
          <w:rFonts w:asciiTheme="majorBidi" w:eastAsia="Times New Roman" w:hAnsiTheme="majorBidi" w:cstheme="majorBidi"/>
          <w:i/>
          <w:iCs/>
          <w:sz w:val="28"/>
          <w:szCs w:val="28"/>
        </w:rPr>
        <w:t>-post</w:t>
      </w:r>
      <w:r w:rsidRPr="00D37D00">
        <w:rPr>
          <w:rFonts w:asciiTheme="majorBidi" w:eastAsia="Times New Roman" w:hAnsiTheme="majorBidi" w:cstheme="majorBidi"/>
          <w:i/>
          <w:iCs/>
          <w:sz w:val="28"/>
          <w:szCs w:val="28"/>
        </w:rPr>
        <w:t>modern Problem</w:t>
      </w:r>
    </w:p>
    <w:p w14:paraId="5659D8BE" w14:textId="59526912" w:rsidR="004D7B37" w:rsidRDefault="004D7B37" w:rsidP="00C8766F">
      <w:pPr>
        <w:spacing w:line="240" w:lineRule="auto"/>
        <w:jc w:val="center"/>
        <w:rPr>
          <w:rFonts w:asciiTheme="majorBidi" w:eastAsia="Times New Roman" w:hAnsiTheme="majorBidi" w:cstheme="majorBidi"/>
          <w:i/>
          <w:iCs/>
          <w:sz w:val="28"/>
          <w:szCs w:val="28"/>
        </w:rPr>
      </w:pPr>
      <w:r w:rsidRPr="00171C98">
        <w:rPr>
          <w:rFonts w:asciiTheme="majorBidi" w:eastAsiaTheme="majorEastAsia" w:hAnsiTheme="majorBidi" w:cstheme="majorBidi"/>
          <w:sz w:val="28"/>
          <w:szCs w:val="28"/>
        </w:rPr>
        <w:t>-</w:t>
      </w:r>
      <w:r>
        <w:rPr>
          <w:rFonts w:asciiTheme="majorBidi" w:eastAsiaTheme="majorEastAsia" w:hAnsiTheme="majorBidi" w:cstheme="majorBidi"/>
          <w:sz w:val="28"/>
          <w:szCs w:val="28"/>
        </w:rPr>
        <w:t>1</w:t>
      </w:r>
      <w:r w:rsidR="0087584A">
        <w:rPr>
          <w:rFonts w:asciiTheme="majorBidi" w:eastAsiaTheme="majorEastAsia" w:hAnsiTheme="majorBidi" w:cstheme="majorBidi"/>
          <w:sz w:val="28"/>
          <w:szCs w:val="28"/>
        </w:rPr>
        <w:t>1</w:t>
      </w:r>
      <w:r w:rsidRPr="00171C98">
        <w:rPr>
          <w:rFonts w:asciiTheme="majorBidi" w:eastAsiaTheme="majorEastAsia" w:hAnsiTheme="majorBidi" w:cstheme="majorBidi"/>
          <w:i/>
          <w:iCs/>
          <w:noProof/>
          <w:sz w:val="28"/>
          <w:szCs w:val="28"/>
        </w:rPr>
        <w:t>-</w:t>
      </w:r>
    </w:p>
    <w:p w14:paraId="20465E83" w14:textId="77777777" w:rsidR="00D37D00" w:rsidRDefault="00D37D00" w:rsidP="004D7B37">
      <w:pPr>
        <w:spacing w:line="240" w:lineRule="auto"/>
        <w:jc w:val="center"/>
        <w:rPr>
          <w:rFonts w:asciiTheme="majorBidi" w:eastAsia="Times New Roman" w:hAnsiTheme="majorBidi" w:cstheme="majorBidi"/>
          <w:i/>
          <w:iCs/>
          <w:sz w:val="28"/>
          <w:szCs w:val="28"/>
        </w:rPr>
      </w:pPr>
    </w:p>
    <w:p w14:paraId="7DF35449" w14:textId="4B91831F" w:rsidR="00720FEC" w:rsidRPr="00D37D00" w:rsidRDefault="00720FEC" w:rsidP="004D7B37">
      <w:pPr>
        <w:spacing w:line="240" w:lineRule="auto"/>
        <w:jc w:val="center"/>
        <w:rPr>
          <w:rFonts w:asciiTheme="majorBidi" w:eastAsia="Times New Roman" w:hAnsiTheme="majorBidi" w:cstheme="majorBidi"/>
          <w:sz w:val="28"/>
          <w:szCs w:val="28"/>
        </w:rPr>
      </w:pPr>
      <w:proofErr w:type="gramStart"/>
      <w:r w:rsidRPr="00D37D00">
        <w:rPr>
          <w:rFonts w:asciiTheme="majorBidi" w:eastAsia="Times New Roman" w:hAnsiTheme="majorBidi" w:cstheme="majorBidi"/>
          <w:sz w:val="28"/>
          <w:szCs w:val="28"/>
        </w:rPr>
        <w:t xml:space="preserve">Chapter </w:t>
      </w:r>
      <w:r w:rsidR="001C5831">
        <w:rPr>
          <w:rFonts w:asciiTheme="majorBidi" w:eastAsia="Times New Roman" w:hAnsiTheme="majorBidi" w:cstheme="majorBidi"/>
          <w:sz w:val="28"/>
          <w:szCs w:val="28"/>
        </w:rPr>
        <w:t>II</w:t>
      </w:r>
      <w:r w:rsidRPr="00D37D00">
        <w:rPr>
          <w:rFonts w:asciiTheme="majorBidi" w:eastAsia="Times New Roman" w:hAnsiTheme="majorBidi" w:cstheme="majorBidi"/>
          <w:sz w:val="28"/>
          <w:szCs w:val="28"/>
        </w:rPr>
        <w:t>.</w:t>
      </w:r>
      <w:proofErr w:type="gramEnd"/>
      <w:r w:rsidR="00D37D00">
        <w:rPr>
          <w:rFonts w:asciiTheme="majorBidi" w:eastAsia="Times New Roman" w:hAnsiTheme="majorBidi" w:cstheme="majorBidi"/>
          <w:sz w:val="28"/>
          <w:szCs w:val="28"/>
        </w:rPr>
        <w:t xml:space="preserve"> Southward vs Sincerity</w:t>
      </w:r>
    </w:p>
    <w:p w14:paraId="3CF4BD68" w14:textId="77777777" w:rsidR="00D37D00" w:rsidRDefault="005B2788" w:rsidP="004D7B37">
      <w:pPr>
        <w:spacing w:line="240" w:lineRule="auto"/>
        <w:jc w:val="center"/>
        <w:rPr>
          <w:rFonts w:asciiTheme="majorBidi" w:eastAsia="Times New Roman" w:hAnsiTheme="majorBidi" w:cstheme="majorBidi"/>
          <w:i/>
          <w:iCs/>
          <w:sz w:val="28"/>
          <w:szCs w:val="28"/>
        </w:rPr>
      </w:pPr>
      <w:r w:rsidRPr="00D37D00">
        <w:rPr>
          <w:rFonts w:asciiTheme="majorBidi" w:eastAsia="Times New Roman" w:hAnsiTheme="majorBidi" w:cstheme="majorBidi"/>
          <w:i/>
          <w:iCs/>
          <w:sz w:val="28"/>
          <w:szCs w:val="28"/>
        </w:rPr>
        <w:t>The Metamodern Solution</w:t>
      </w:r>
    </w:p>
    <w:p w14:paraId="46A48901" w14:textId="2B498556" w:rsidR="00D37D00" w:rsidRDefault="00F4055D" w:rsidP="004D7B37">
      <w:pPr>
        <w:spacing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-69-</w:t>
      </w:r>
    </w:p>
    <w:p w14:paraId="63854E0F" w14:textId="77777777" w:rsidR="00F4055D" w:rsidRDefault="00F4055D" w:rsidP="004D7B37">
      <w:pPr>
        <w:spacing w:line="240" w:lineRule="auto"/>
        <w:jc w:val="center"/>
        <w:rPr>
          <w:rFonts w:asciiTheme="majorBidi" w:eastAsia="Times New Roman" w:hAnsiTheme="majorBidi" w:cstheme="majorBidi"/>
          <w:sz w:val="28"/>
          <w:szCs w:val="28"/>
        </w:rPr>
      </w:pPr>
    </w:p>
    <w:p w14:paraId="2D70D1B9" w14:textId="79889B6F" w:rsidR="00720FEC" w:rsidRPr="00D37D00" w:rsidRDefault="00D37D00" w:rsidP="004D7B37">
      <w:pPr>
        <w:spacing w:line="240" w:lineRule="auto"/>
        <w:jc w:val="center"/>
        <w:rPr>
          <w:rFonts w:asciiTheme="majorBidi" w:eastAsia="Times New Roman" w:hAnsiTheme="majorBidi" w:cstheme="majorBidi"/>
          <w:sz w:val="28"/>
          <w:szCs w:val="28"/>
        </w:rPr>
      </w:pPr>
      <w:proofErr w:type="gramStart"/>
      <w:r w:rsidRPr="00D37D00">
        <w:rPr>
          <w:rFonts w:asciiTheme="majorBidi" w:eastAsia="Times New Roman" w:hAnsiTheme="majorBidi" w:cstheme="majorBidi"/>
          <w:sz w:val="28"/>
          <w:szCs w:val="28"/>
        </w:rPr>
        <w:t>Chap</w:t>
      </w:r>
      <w:r w:rsidR="00720FEC" w:rsidRPr="00D37D00">
        <w:rPr>
          <w:rFonts w:asciiTheme="majorBidi" w:eastAsia="Times New Roman" w:hAnsiTheme="majorBidi" w:cstheme="majorBidi"/>
          <w:sz w:val="28"/>
          <w:szCs w:val="28"/>
        </w:rPr>
        <w:t xml:space="preserve">ter </w:t>
      </w:r>
      <w:r w:rsidR="001C5831">
        <w:rPr>
          <w:rFonts w:asciiTheme="majorBidi" w:eastAsia="Times New Roman" w:hAnsiTheme="majorBidi" w:cstheme="majorBidi"/>
          <w:sz w:val="28"/>
          <w:szCs w:val="28"/>
        </w:rPr>
        <w:t>III</w:t>
      </w:r>
      <w:r w:rsidR="00720FEC" w:rsidRPr="00D37D00">
        <w:rPr>
          <w:rFonts w:asciiTheme="majorBidi" w:eastAsia="Times New Roman" w:hAnsiTheme="majorBidi" w:cstheme="majorBidi"/>
          <w:sz w:val="28"/>
          <w:szCs w:val="28"/>
        </w:rPr>
        <w:t>.</w:t>
      </w:r>
      <w:proofErr w:type="gramEnd"/>
      <w:r w:rsidR="005B2788" w:rsidRPr="00D37D00">
        <w:rPr>
          <w:rFonts w:asciiTheme="majorBidi" w:eastAsia="Times New Roman" w:hAnsiTheme="majorBidi" w:cstheme="majorBidi"/>
          <w:sz w:val="28"/>
          <w:szCs w:val="28"/>
        </w:rPr>
        <w:t xml:space="preserve"> Southward vs Sublim</w:t>
      </w:r>
      <w:r>
        <w:rPr>
          <w:rFonts w:asciiTheme="majorBidi" w:eastAsia="Times New Roman" w:hAnsiTheme="majorBidi" w:cstheme="majorBidi"/>
          <w:sz w:val="28"/>
          <w:szCs w:val="28"/>
        </w:rPr>
        <w:t>ity</w:t>
      </w:r>
    </w:p>
    <w:p w14:paraId="0B1B4FCD" w14:textId="77777777" w:rsidR="00D37D00" w:rsidRDefault="005B2788" w:rsidP="004D7B37">
      <w:pPr>
        <w:spacing w:line="240" w:lineRule="auto"/>
        <w:jc w:val="center"/>
        <w:rPr>
          <w:rFonts w:asciiTheme="majorBidi" w:eastAsia="Times New Roman" w:hAnsiTheme="majorBidi" w:cstheme="majorBidi"/>
          <w:i/>
          <w:iCs/>
          <w:sz w:val="28"/>
          <w:szCs w:val="28"/>
        </w:rPr>
      </w:pPr>
      <w:r w:rsidRPr="00D37D00">
        <w:rPr>
          <w:rFonts w:asciiTheme="majorBidi" w:eastAsia="Times New Roman" w:hAnsiTheme="majorBidi" w:cstheme="majorBidi"/>
          <w:i/>
          <w:iCs/>
          <w:sz w:val="28"/>
          <w:szCs w:val="28"/>
        </w:rPr>
        <w:t>21st Century Gothic</w:t>
      </w:r>
    </w:p>
    <w:p w14:paraId="3128B4CB" w14:textId="3E8D102E" w:rsidR="00D37D00" w:rsidRDefault="00F4055D" w:rsidP="004D7B37">
      <w:pPr>
        <w:spacing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-125-</w:t>
      </w:r>
    </w:p>
    <w:p w14:paraId="0C108DCA" w14:textId="77777777" w:rsidR="00F4055D" w:rsidRDefault="00F4055D" w:rsidP="004D7B37">
      <w:pPr>
        <w:spacing w:line="240" w:lineRule="auto"/>
        <w:jc w:val="center"/>
        <w:rPr>
          <w:rFonts w:asciiTheme="majorBidi" w:eastAsia="Times New Roman" w:hAnsiTheme="majorBidi" w:cstheme="majorBidi"/>
          <w:sz w:val="28"/>
          <w:szCs w:val="28"/>
        </w:rPr>
      </w:pPr>
    </w:p>
    <w:p w14:paraId="7A93A7BE" w14:textId="6F70C9FA" w:rsidR="00720FEC" w:rsidRPr="00D37D00" w:rsidRDefault="00720FEC" w:rsidP="004D7B37">
      <w:pPr>
        <w:spacing w:line="240" w:lineRule="auto"/>
        <w:jc w:val="center"/>
        <w:rPr>
          <w:rFonts w:asciiTheme="majorBidi" w:eastAsia="Times New Roman" w:hAnsiTheme="majorBidi" w:cstheme="majorBidi"/>
          <w:sz w:val="28"/>
          <w:szCs w:val="28"/>
        </w:rPr>
      </w:pPr>
      <w:proofErr w:type="gramStart"/>
      <w:r w:rsidRPr="00D37D00">
        <w:rPr>
          <w:rFonts w:asciiTheme="majorBidi" w:eastAsia="Times New Roman" w:hAnsiTheme="majorBidi" w:cstheme="majorBidi"/>
          <w:sz w:val="28"/>
          <w:szCs w:val="28"/>
        </w:rPr>
        <w:t xml:space="preserve">Chapter </w:t>
      </w:r>
      <w:r w:rsidR="001C5831">
        <w:rPr>
          <w:rFonts w:asciiTheme="majorBidi" w:eastAsia="Times New Roman" w:hAnsiTheme="majorBidi" w:cstheme="majorBidi"/>
          <w:sz w:val="28"/>
          <w:szCs w:val="28"/>
        </w:rPr>
        <w:t>IV</w:t>
      </w:r>
      <w:r w:rsidRPr="00D37D00">
        <w:rPr>
          <w:rFonts w:asciiTheme="majorBidi" w:eastAsia="Times New Roman" w:hAnsiTheme="majorBidi" w:cstheme="majorBidi"/>
          <w:sz w:val="28"/>
          <w:szCs w:val="28"/>
        </w:rPr>
        <w:t>.</w:t>
      </w:r>
      <w:proofErr w:type="gramEnd"/>
      <w:r w:rsidRPr="00D37D00">
        <w:rPr>
          <w:rFonts w:asciiTheme="majorBidi" w:eastAsia="Times New Roman" w:hAnsiTheme="majorBidi" w:cstheme="majorBidi"/>
          <w:sz w:val="28"/>
          <w:szCs w:val="28"/>
        </w:rPr>
        <w:t xml:space="preserve"> Southward vs Southward</w:t>
      </w:r>
    </w:p>
    <w:p w14:paraId="1E85A36F" w14:textId="48583B97" w:rsidR="005B2788" w:rsidRPr="00505CF0" w:rsidRDefault="005B2788" w:rsidP="004D7B37">
      <w:pPr>
        <w:spacing w:line="240" w:lineRule="auto"/>
        <w:jc w:val="center"/>
        <w:rPr>
          <w:rFonts w:asciiTheme="majorBidi" w:eastAsia="Times New Roman" w:hAnsiTheme="majorBidi" w:cstheme="majorBidi"/>
          <w:i/>
          <w:sz w:val="28"/>
          <w:szCs w:val="28"/>
          <w:lang w:eastAsia="en-US"/>
        </w:rPr>
      </w:pPr>
      <w:r w:rsidRPr="00D37D00">
        <w:rPr>
          <w:rFonts w:asciiTheme="majorBidi" w:eastAsia="Times New Roman" w:hAnsiTheme="majorBidi" w:cstheme="majorBidi"/>
          <w:i/>
          <w:iCs/>
          <w:sz w:val="28"/>
          <w:szCs w:val="28"/>
        </w:rPr>
        <w:t>The Dark History of the Novel</w:t>
      </w:r>
    </w:p>
    <w:p w14:paraId="3ECCBF25" w14:textId="23694002" w:rsidR="00755896" w:rsidRPr="00684BD2" w:rsidRDefault="00684BD2" w:rsidP="004D7B37">
      <w:pPr>
        <w:spacing w:line="240" w:lineRule="auto"/>
        <w:jc w:val="center"/>
        <w:rPr>
          <w:rFonts w:asciiTheme="majorBidi" w:eastAsia="Times New Roman" w:hAnsiTheme="majorBidi" w:cstheme="majorBidi"/>
          <w:sz w:val="28"/>
          <w:szCs w:val="28"/>
        </w:rPr>
      </w:pPr>
      <w:r w:rsidRPr="00684BD2">
        <w:rPr>
          <w:rFonts w:asciiTheme="majorBidi" w:eastAsia="Times New Roman" w:hAnsiTheme="majorBidi" w:cstheme="majorBidi"/>
          <w:sz w:val="28"/>
          <w:szCs w:val="28"/>
        </w:rPr>
        <w:t>-187-</w:t>
      </w:r>
    </w:p>
    <w:p w14:paraId="721C26EB" w14:textId="77777777" w:rsidR="00F4055D" w:rsidRPr="00505CF0" w:rsidRDefault="00F4055D" w:rsidP="004D7B37">
      <w:pPr>
        <w:spacing w:line="240" w:lineRule="auto"/>
        <w:jc w:val="center"/>
        <w:rPr>
          <w:rFonts w:asciiTheme="majorBidi" w:eastAsia="Times New Roman" w:hAnsiTheme="majorBidi" w:cstheme="majorBidi"/>
          <w:sz w:val="28"/>
          <w:szCs w:val="28"/>
          <w:u w:val="single"/>
        </w:rPr>
      </w:pPr>
    </w:p>
    <w:p w14:paraId="1CCE1B95" w14:textId="7BF2F754" w:rsidR="005B2788" w:rsidRDefault="005B2788" w:rsidP="004D7B37">
      <w:pPr>
        <w:spacing w:line="240" w:lineRule="auto"/>
        <w:jc w:val="center"/>
        <w:rPr>
          <w:rFonts w:asciiTheme="majorBidi" w:eastAsia="Times New Roman" w:hAnsiTheme="majorBidi" w:cstheme="majorBidi"/>
          <w:iCs/>
          <w:sz w:val="28"/>
          <w:szCs w:val="28"/>
        </w:rPr>
      </w:pPr>
      <w:r w:rsidRPr="00D37D00">
        <w:rPr>
          <w:rFonts w:asciiTheme="majorBidi" w:eastAsia="Times New Roman" w:hAnsiTheme="majorBidi" w:cstheme="majorBidi"/>
          <w:iCs/>
          <w:sz w:val="28"/>
          <w:szCs w:val="28"/>
        </w:rPr>
        <w:t xml:space="preserve">Afterword from </w:t>
      </w:r>
      <w:proofErr w:type="gramStart"/>
      <w:r w:rsidRPr="00D37D00">
        <w:rPr>
          <w:rFonts w:asciiTheme="majorBidi" w:eastAsia="Times New Roman" w:hAnsiTheme="majorBidi" w:cstheme="majorBidi"/>
          <w:iCs/>
          <w:sz w:val="28"/>
          <w:szCs w:val="28"/>
        </w:rPr>
        <w:t>The</w:t>
      </w:r>
      <w:proofErr w:type="gramEnd"/>
      <w:r w:rsidRPr="00D37D00">
        <w:rPr>
          <w:rFonts w:asciiTheme="majorBidi" w:eastAsia="Times New Roman" w:hAnsiTheme="majorBidi" w:cstheme="majorBidi"/>
          <w:iCs/>
          <w:sz w:val="28"/>
          <w:szCs w:val="28"/>
        </w:rPr>
        <w:t xml:space="preserve"> Editor</w:t>
      </w:r>
    </w:p>
    <w:p w14:paraId="3D0DE97A" w14:textId="17C9618C" w:rsidR="00F4055D" w:rsidRDefault="00684BD2" w:rsidP="004D7B37">
      <w:pPr>
        <w:spacing w:line="240" w:lineRule="auto"/>
        <w:jc w:val="center"/>
        <w:rPr>
          <w:rFonts w:asciiTheme="majorBidi" w:eastAsia="Times New Roman" w:hAnsiTheme="majorBidi" w:cstheme="majorBidi"/>
          <w:iCs/>
          <w:sz w:val="28"/>
          <w:szCs w:val="28"/>
        </w:rPr>
      </w:pPr>
      <w:r>
        <w:rPr>
          <w:rFonts w:asciiTheme="majorBidi" w:eastAsia="Times New Roman" w:hAnsiTheme="majorBidi" w:cstheme="majorBidi"/>
          <w:iCs/>
          <w:sz w:val="28"/>
          <w:szCs w:val="28"/>
        </w:rPr>
        <w:t>-239-</w:t>
      </w:r>
    </w:p>
    <w:p w14:paraId="59C2BA92" w14:textId="77777777" w:rsidR="00F4055D" w:rsidRPr="00D37D00" w:rsidRDefault="00F4055D" w:rsidP="004D7B37">
      <w:pPr>
        <w:spacing w:line="240" w:lineRule="auto"/>
        <w:jc w:val="center"/>
        <w:rPr>
          <w:rFonts w:asciiTheme="majorBidi" w:eastAsia="Times New Roman" w:hAnsiTheme="majorBidi" w:cstheme="majorBidi"/>
          <w:iCs/>
          <w:sz w:val="28"/>
          <w:szCs w:val="28"/>
        </w:rPr>
      </w:pPr>
    </w:p>
    <w:p w14:paraId="0B7E634C" w14:textId="33074BCD" w:rsidR="005B2788" w:rsidRDefault="005B2788" w:rsidP="004D7B37">
      <w:pPr>
        <w:spacing w:line="240" w:lineRule="auto"/>
        <w:jc w:val="center"/>
        <w:rPr>
          <w:rFonts w:asciiTheme="majorBidi" w:eastAsia="Times New Roman" w:hAnsiTheme="majorBidi" w:cstheme="majorBidi"/>
          <w:iCs/>
          <w:sz w:val="28"/>
          <w:szCs w:val="28"/>
        </w:rPr>
      </w:pPr>
      <w:r w:rsidRPr="00D37D00">
        <w:rPr>
          <w:rFonts w:asciiTheme="majorBidi" w:eastAsia="Times New Roman" w:hAnsiTheme="majorBidi" w:cstheme="majorBidi"/>
          <w:iCs/>
          <w:sz w:val="28"/>
          <w:szCs w:val="28"/>
        </w:rPr>
        <w:t>Bibliography</w:t>
      </w:r>
    </w:p>
    <w:p w14:paraId="1E7C574C" w14:textId="23B00304" w:rsidR="00F4055D" w:rsidRDefault="00684BD2" w:rsidP="004D7B37">
      <w:pPr>
        <w:spacing w:line="240" w:lineRule="auto"/>
        <w:jc w:val="center"/>
        <w:rPr>
          <w:rFonts w:asciiTheme="majorBidi" w:eastAsia="Times New Roman" w:hAnsiTheme="majorBidi" w:cstheme="majorBidi"/>
          <w:iCs/>
          <w:sz w:val="28"/>
          <w:szCs w:val="28"/>
        </w:rPr>
      </w:pPr>
      <w:r>
        <w:rPr>
          <w:rFonts w:asciiTheme="majorBidi" w:eastAsia="Times New Roman" w:hAnsiTheme="majorBidi" w:cstheme="majorBidi"/>
          <w:iCs/>
          <w:sz w:val="28"/>
          <w:szCs w:val="28"/>
        </w:rPr>
        <w:t>-241</w:t>
      </w:r>
    </w:p>
    <w:p w14:paraId="232DB370" w14:textId="77777777" w:rsidR="00F4055D" w:rsidRPr="00D37D00" w:rsidRDefault="00F4055D" w:rsidP="004D7B37">
      <w:pPr>
        <w:spacing w:line="240" w:lineRule="auto"/>
        <w:jc w:val="center"/>
        <w:rPr>
          <w:rFonts w:asciiTheme="majorBidi" w:eastAsia="Times New Roman" w:hAnsiTheme="majorBidi" w:cstheme="majorBidi"/>
          <w:iCs/>
          <w:sz w:val="28"/>
          <w:szCs w:val="28"/>
        </w:rPr>
      </w:pPr>
    </w:p>
    <w:p w14:paraId="292B7A91" w14:textId="361AB967" w:rsidR="005B2788" w:rsidRPr="00D37D00" w:rsidRDefault="005B2788" w:rsidP="004D7B37">
      <w:pPr>
        <w:spacing w:line="240" w:lineRule="auto"/>
        <w:jc w:val="center"/>
        <w:rPr>
          <w:rFonts w:asciiTheme="majorBidi" w:eastAsia="Times New Roman" w:hAnsiTheme="majorBidi" w:cstheme="majorBidi"/>
          <w:iCs/>
          <w:sz w:val="28"/>
          <w:szCs w:val="28"/>
        </w:rPr>
      </w:pPr>
    </w:p>
    <w:p w14:paraId="556CFCC5" w14:textId="77777777" w:rsidR="005B2788" w:rsidRPr="00505CF0" w:rsidRDefault="005B2788" w:rsidP="004C3EE0">
      <w:pPr>
        <w:spacing w:line="240" w:lineRule="auto"/>
        <w:jc w:val="both"/>
        <w:rPr>
          <w:rFonts w:asciiTheme="majorBidi" w:eastAsia="Times New Roman" w:hAnsiTheme="majorBidi" w:cstheme="majorBidi"/>
          <w:i/>
          <w:sz w:val="28"/>
          <w:szCs w:val="28"/>
          <w:lang w:eastAsia="en-US"/>
        </w:rPr>
      </w:pPr>
    </w:p>
    <w:p w14:paraId="768BC66A" w14:textId="08560424" w:rsidR="00FA5A4A" w:rsidRPr="00505CF0" w:rsidRDefault="00FA5A4A"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br w:type="page"/>
      </w:r>
    </w:p>
    <w:p w14:paraId="659F9102" w14:textId="5C75D62E" w:rsidR="00982BB1" w:rsidRPr="00505CF0" w:rsidRDefault="00982BB1" w:rsidP="00B9022C">
      <w:pPr>
        <w:spacing w:line="240" w:lineRule="auto"/>
        <w:jc w:val="center"/>
        <w:rPr>
          <w:rFonts w:asciiTheme="majorBidi" w:eastAsia="Times New Roman" w:hAnsiTheme="majorBidi" w:cstheme="majorBidi"/>
          <w:sz w:val="36"/>
          <w:szCs w:val="36"/>
          <w:lang w:eastAsia="en-US"/>
        </w:rPr>
      </w:pPr>
      <w:r w:rsidRPr="001C5831">
        <w:rPr>
          <w:rFonts w:asciiTheme="majorBidi" w:eastAsia="Times New Roman" w:hAnsiTheme="majorBidi" w:cstheme="majorBidi"/>
          <w:sz w:val="44"/>
          <w:szCs w:val="36"/>
          <w:lang w:eastAsia="en-US"/>
        </w:rPr>
        <w:lastRenderedPageBreak/>
        <w:t>A</w:t>
      </w:r>
      <w:r w:rsidR="001C5831" w:rsidRPr="001C5831">
        <w:rPr>
          <w:rFonts w:asciiTheme="majorBidi" w:eastAsia="Times New Roman" w:hAnsiTheme="majorBidi" w:cstheme="majorBidi"/>
          <w:sz w:val="32"/>
          <w:szCs w:val="36"/>
          <w:lang w:eastAsia="en-US"/>
        </w:rPr>
        <w:t>CKNOWLEDGEMENTS</w:t>
      </w:r>
    </w:p>
    <w:p w14:paraId="5FE7F791" w14:textId="4C094680"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1AE27FDC" w14:textId="77777777" w:rsidR="00F90134" w:rsidRPr="00505CF0" w:rsidRDefault="00F90134" w:rsidP="004C3EE0">
      <w:pPr>
        <w:spacing w:line="240" w:lineRule="auto"/>
        <w:jc w:val="both"/>
        <w:rPr>
          <w:rFonts w:asciiTheme="majorBidi" w:eastAsia="Times New Roman" w:hAnsiTheme="majorBidi" w:cstheme="majorBidi"/>
          <w:sz w:val="36"/>
          <w:szCs w:val="36"/>
          <w:lang w:eastAsia="en-US"/>
        </w:rPr>
      </w:pPr>
    </w:p>
    <w:p w14:paraId="61114DF1"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6FE7EF57"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2FD5BFD0"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362C54EC" w14:textId="77777777" w:rsidR="009311FB" w:rsidRPr="00505CF0" w:rsidRDefault="009311FB" w:rsidP="004C3EE0">
      <w:pPr>
        <w:spacing w:line="240" w:lineRule="auto"/>
        <w:jc w:val="both"/>
        <w:rPr>
          <w:rFonts w:asciiTheme="majorBidi" w:eastAsia="Times New Roman" w:hAnsiTheme="majorBidi" w:cstheme="majorBidi"/>
          <w:sz w:val="36"/>
          <w:szCs w:val="36"/>
          <w:lang w:eastAsia="en-US"/>
        </w:rPr>
      </w:pPr>
    </w:p>
    <w:p w14:paraId="51CC7415" w14:textId="5F91B2A0" w:rsidR="00982BB1" w:rsidRPr="00505CF0" w:rsidRDefault="00982BB1"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I am grateful to the following for permission to reproduce copyright material:</w:t>
      </w:r>
    </w:p>
    <w:p w14:paraId="737E9AF5" w14:textId="6F143229" w:rsidR="00982BB1" w:rsidRPr="00505CF0" w:rsidRDefault="00982BB1" w:rsidP="004C3EE0">
      <w:pPr>
        <w:spacing w:line="240" w:lineRule="auto"/>
        <w:jc w:val="both"/>
        <w:rPr>
          <w:rFonts w:asciiTheme="majorBidi" w:eastAsia="Times New Roman" w:hAnsiTheme="majorBidi" w:cstheme="majorBidi"/>
          <w:sz w:val="24"/>
          <w:szCs w:val="24"/>
          <w:lang w:eastAsia="en-US"/>
        </w:rPr>
      </w:pPr>
    </w:p>
    <w:p w14:paraId="7BFEF375" w14:textId="77777777" w:rsidR="00643F3B" w:rsidRDefault="00982BB1" w:rsidP="004C3EE0">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The estate of the Southward Preservation Foundation for the articles:</w:t>
      </w:r>
      <w:r w:rsidR="005D7878" w:rsidRPr="00505CF0">
        <w:rPr>
          <w:rFonts w:asciiTheme="majorBidi" w:eastAsia="Times New Roman" w:hAnsiTheme="majorBidi" w:cstheme="majorBidi"/>
          <w:sz w:val="24"/>
          <w:szCs w:val="24"/>
          <w:lang w:eastAsia="en-US"/>
        </w:rPr>
        <w:t xml:space="preserve"> </w:t>
      </w:r>
      <w:r w:rsidR="00662948" w:rsidRPr="00505CF0">
        <w:rPr>
          <w:rFonts w:asciiTheme="majorBidi" w:eastAsia="Times New Roman" w:hAnsiTheme="majorBidi" w:cstheme="majorBidi"/>
          <w:sz w:val="24"/>
          <w:szCs w:val="24"/>
          <w:lang w:eastAsia="en-US"/>
        </w:rPr>
        <w:t xml:space="preserve">Southward, D, </w:t>
      </w:r>
      <w:r w:rsidRPr="00505CF0">
        <w:rPr>
          <w:rFonts w:asciiTheme="majorBidi" w:eastAsia="Times New Roman" w:hAnsiTheme="majorBidi" w:cstheme="majorBidi"/>
          <w:sz w:val="24"/>
          <w:szCs w:val="24"/>
          <w:lang w:eastAsia="en-US"/>
        </w:rPr>
        <w:t>‘The Postmodern Problem’</w:t>
      </w:r>
      <w:r w:rsidR="00662948" w:rsidRPr="00505CF0">
        <w:rPr>
          <w:rFonts w:asciiTheme="majorBidi" w:eastAsia="Times New Roman" w:hAnsiTheme="majorBidi" w:cstheme="majorBidi"/>
          <w:sz w:val="24"/>
          <w:szCs w:val="24"/>
          <w:lang w:eastAsia="en-US"/>
        </w:rPr>
        <w:t xml:space="preserve"> in </w:t>
      </w:r>
      <w:r w:rsidR="00662948" w:rsidRPr="00505CF0">
        <w:rPr>
          <w:rFonts w:asciiTheme="majorBidi" w:eastAsia="Times New Roman" w:hAnsiTheme="majorBidi" w:cstheme="majorBidi"/>
          <w:i/>
          <w:sz w:val="24"/>
          <w:szCs w:val="24"/>
          <w:lang w:eastAsia="en-US"/>
        </w:rPr>
        <w:t xml:space="preserve">We Need to Get Away, </w:t>
      </w:r>
      <w:r w:rsidR="00662948" w:rsidRPr="00505CF0">
        <w:rPr>
          <w:rFonts w:asciiTheme="majorBidi" w:eastAsia="Times New Roman" w:hAnsiTheme="majorBidi" w:cstheme="majorBidi"/>
          <w:sz w:val="24"/>
          <w:szCs w:val="24"/>
          <w:lang w:eastAsia="en-US"/>
        </w:rPr>
        <w:t xml:space="preserve">Vol. 12, Iss. 8, (2010), pp. 01-33; Southward, D, </w:t>
      </w:r>
      <w:r w:rsidRPr="00505CF0">
        <w:rPr>
          <w:rFonts w:asciiTheme="majorBidi" w:eastAsia="Times New Roman" w:hAnsiTheme="majorBidi" w:cstheme="majorBidi"/>
          <w:sz w:val="24"/>
          <w:szCs w:val="24"/>
          <w:lang w:eastAsia="en-US"/>
        </w:rPr>
        <w:t>‘The Metamodern Solution,’</w:t>
      </w:r>
      <w:r w:rsidR="00662948" w:rsidRPr="00505CF0">
        <w:rPr>
          <w:rFonts w:asciiTheme="majorBidi" w:eastAsia="Times New Roman" w:hAnsiTheme="majorBidi" w:cstheme="majorBidi"/>
          <w:sz w:val="24"/>
          <w:szCs w:val="24"/>
          <w:lang w:eastAsia="en-US"/>
        </w:rPr>
        <w:t xml:space="preserve"> in </w:t>
      </w:r>
      <w:r w:rsidR="00662948" w:rsidRPr="00505CF0">
        <w:rPr>
          <w:rFonts w:asciiTheme="majorBidi" w:eastAsia="Times New Roman" w:hAnsiTheme="majorBidi" w:cstheme="majorBidi"/>
          <w:i/>
          <w:sz w:val="24"/>
          <w:szCs w:val="24"/>
          <w:lang w:eastAsia="en-US"/>
        </w:rPr>
        <w:t>Help</w:t>
      </w:r>
      <w:proofErr w:type="gramStart"/>
      <w:r w:rsidR="00662948" w:rsidRPr="00505CF0">
        <w:rPr>
          <w:rFonts w:asciiTheme="majorBidi" w:eastAsia="Times New Roman" w:hAnsiTheme="majorBidi" w:cstheme="majorBidi"/>
          <w:i/>
          <w:sz w:val="24"/>
          <w:szCs w:val="24"/>
          <w:lang w:eastAsia="en-US"/>
        </w:rPr>
        <w:t>!</w:t>
      </w:r>
      <w:r w:rsidR="00662948" w:rsidRPr="00505CF0">
        <w:rPr>
          <w:rFonts w:asciiTheme="majorBidi" w:eastAsia="Times New Roman" w:hAnsiTheme="majorBidi" w:cstheme="majorBidi"/>
          <w:sz w:val="24"/>
          <w:szCs w:val="24"/>
          <w:lang w:eastAsia="en-US"/>
        </w:rPr>
        <w:t>,</w:t>
      </w:r>
      <w:proofErr w:type="gramEnd"/>
      <w:r w:rsidR="00662948" w:rsidRPr="00505CF0">
        <w:rPr>
          <w:rFonts w:asciiTheme="majorBidi" w:eastAsia="Times New Roman" w:hAnsiTheme="majorBidi" w:cstheme="majorBidi"/>
          <w:sz w:val="24"/>
          <w:szCs w:val="24"/>
          <w:lang w:eastAsia="en-US"/>
        </w:rPr>
        <w:t xml:space="preserve"> Vol. 2, Iss. 2/3, (2020), pp. 101-31; Southward, D, </w:t>
      </w:r>
      <w:r w:rsidR="00755896" w:rsidRPr="00505CF0">
        <w:rPr>
          <w:rFonts w:asciiTheme="majorBidi" w:eastAsia="Times New Roman" w:hAnsiTheme="majorBidi" w:cstheme="majorBidi"/>
          <w:sz w:val="24"/>
          <w:szCs w:val="24"/>
          <w:lang w:eastAsia="en-US"/>
        </w:rPr>
        <w:t>‘21</w:t>
      </w:r>
      <w:r w:rsidR="00755896" w:rsidRPr="00505CF0">
        <w:rPr>
          <w:rFonts w:asciiTheme="majorBidi" w:eastAsia="Times New Roman" w:hAnsiTheme="majorBidi" w:cstheme="majorBidi"/>
          <w:sz w:val="24"/>
          <w:szCs w:val="24"/>
          <w:vertAlign w:val="superscript"/>
          <w:lang w:eastAsia="en-US"/>
        </w:rPr>
        <w:t>st</w:t>
      </w:r>
      <w:r w:rsidR="00755896" w:rsidRPr="00505CF0">
        <w:rPr>
          <w:rFonts w:asciiTheme="majorBidi" w:eastAsia="Times New Roman" w:hAnsiTheme="majorBidi" w:cstheme="majorBidi"/>
          <w:sz w:val="24"/>
          <w:szCs w:val="24"/>
          <w:lang w:eastAsia="en-US"/>
        </w:rPr>
        <w:t xml:space="preserve"> Century Gothic;</w:t>
      </w:r>
      <w:r w:rsidR="00755896" w:rsidRPr="00505CF0">
        <w:rPr>
          <w:rFonts w:asciiTheme="majorBidi" w:hAnsiTheme="majorBidi" w:cstheme="majorBidi"/>
        </w:rPr>
        <w:t xml:space="preserve"> </w:t>
      </w:r>
      <w:r w:rsidR="00755896" w:rsidRPr="00505CF0">
        <w:rPr>
          <w:rFonts w:asciiTheme="majorBidi" w:eastAsia="Times New Roman" w:hAnsiTheme="majorBidi" w:cstheme="majorBidi"/>
          <w:sz w:val="24"/>
          <w:szCs w:val="24"/>
          <w:lang w:eastAsia="en-US"/>
        </w:rPr>
        <w:t>Transcendence, Sincerity, &amp; the Sublime’</w:t>
      </w:r>
      <w:r w:rsidR="00662948" w:rsidRPr="00505CF0">
        <w:rPr>
          <w:rFonts w:asciiTheme="majorBidi" w:eastAsia="Times New Roman" w:hAnsiTheme="majorBidi" w:cstheme="majorBidi"/>
          <w:sz w:val="24"/>
          <w:szCs w:val="24"/>
          <w:lang w:eastAsia="en-US"/>
        </w:rPr>
        <w:t xml:space="preserve"> in </w:t>
      </w:r>
      <w:r w:rsidR="00662948" w:rsidRPr="00505CF0">
        <w:rPr>
          <w:rFonts w:asciiTheme="majorBidi" w:eastAsia="Times New Roman" w:hAnsiTheme="majorBidi" w:cstheme="majorBidi"/>
          <w:i/>
          <w:sz w:val="24"/>
          <w:szCs w:val="24"/>
          <w:lang w:eastAsia="en-US"/>
        </w:rPr>
        <w:t>Punter’s Pride</w:t>
      </w:r>
      <w:r w:rsidR="00662948" w:rsidRPr="00505CF0">
        <w:rPr>
          <w:rFonts w:asciiTheme="majorBidi" w:eastAsia="Times New Roman" w:hAnsiTheme="majorBidi" w:cstheme="majorBidi"/>
          <w:sz w:val="24"/>
          <w:szCs w:val="24"/>
          <w:lang w:eastAsia="en-US"/>
        </w:rPr>
        <w:t xml:space="preserve">, ed. </w:t>
      </w:r>
      <w:r w:rsidR="005D7878" w:rsidRPr="00505CF0">
        <w:rPr>
          <w:rFonts w:asciiTheme="majorBidi" w:eastAsia="Times New Roman" w:hAnsiTheme="majorBidi" w:cstheme="majorBidi"/>
          <w:sz w:val="24"/>
          <w:szCs w:val="24"/>
          <w:lang w:eastAsia="en-US"/>
        </w:rPr>
        <w:t xml:space="preserve">Tsimmons, Richard (Neo York: </w:t>
      </w:r>
      <w:r w:rsidR="005D7878" w:rsidRPr="00505CF0">
        <w:rPr>
          <w:rFonts w:asciiTheme="majorBidi" w:eastAsia="Times New Roman" w:hAnsiTheme="majorBidi" w:cstheme="majorBidi"/>
          <w:i/>
          <w:sz w:val="24"/>
          <w:szCs w:val="24"/>
          <w:lang w:eastAsia="en-US"/>
        </w:rPr>
        <w:t xml:space="preserve">Ouroboros, </w:t>
      </w:r>
      <w:r w:rsidR="005D7878" w:rsidRPr="00505CF0">
        <w:rPr>
          <w:rFonts w:asciiTheme="majorBidi" w:eastAsia="Times New Roman" w:hAnsiTheme="majorBidi" w:cstheme="majorBidi"/>
          <w:sz w:val="24"/>
          <w:szCs w:val="24"/>
          <w:lang w:eastAsia="en-US"/>
        </w:rPr>
        <w:t xml:space="preserve">2021), pp. 300-343; Southward, D, </w:t>
      </w:r>
      <w:r w:rsidR="00755896" w:rsidRPr="00505CF0">
        <w:rPr>
          <w:rFonts w:asciiTheme="majorBidi" w:eastAsia="Times New Roman" w:hAnsiTheme="majorBidi" w:cstheme="majorBidi"/>
          <w:sz w:val="24"/>
          <w:szCs w:val="24"/>
          <w:lang w:eastAsia="en-US"/>
        </w:rPr>
        <w:t>‘The Dark History of the Novel;</w:t>
      </w:r>
      <w:r w:rsidR="00FF0FF3" w:rsidRPr="00505CF0">
        <w:rPr>
          <w:rFonts w:asciiTheme="majorBidi" w:eastAsia="Times New Roman" w:hAnsiTheme="majorBidi" w:cstheme="majorBidi"/>
          <w:sz w:val="24"/>
          <w:szCs w:val="24"/>
          <w:lang w:eastAsia="en-US"/>
        </w:rPr>
        <w:t xml:space="preserve"> An Exploration of The Metafictional Imperative in Literature’</w:t>
      </w:r>
      <w:r w:rsidR="005D7878" w:rsidRPr="00505CF0">
        <w:rPr>
          <w:rFonts w:asciiTheme="majorBidi" w:eastAsia="Times New Roman" w:hAnsiTheme="majorBidi" w:cstheme="majorBidi"/>
          <w:sz w:val="24"/>
          <w:szCs w:val="24"/>
          <w:lang w:eastAsia="en-US"/>
        </w:rPr>
        <w:t xml:space="preserve"> in </w:t>
      </w:r>
      <w:r w:rsidR="005D7878" w:rsidRPr="00505CF0">
        <w:rPr>
          <w:rFonts w:asciiTheme="majorBidi" w:eastAsia="Times New Roman" w:hAnsiTheme="majorBidi" w:cstheme="majorBidi"/>
          <w:i/>
          <w:sz w:val="24"/>
          <w:szCs w:val="24"/>
          <w:lang w:eastAsia="en-US"/>
        </w:rPr>
        <w:t xml:space="preserve">The Dark Arts Journal, </w:t>
      </w:r>
      <w:r w:rsidR="005D7878" w:rsidRPr="00505CF0">
        <w:rPr>
          <w:rFonts w:asciiTheme="majorBidi" w:eastAsia="Times New Roman" w:hAnsiTheme="majorBidi" w:cstheme="majorBidi"/>
          <w:sz w:val="24"/>
          <w:szCs w:val="24"/>
          <w:lang w:eastAsia="en-US"/>
        </w:rPr>
        <w:t xml:space="preserve">Vol. 15, Iss. 6, (2022); </w:t>
      </w:r>
      <w:r w:rsidR="00662948" w:rsidRPr="00505CF0">
        <w:rPr>
          <w:rFonts w:asciiTheme="majorBidi" w:eastAsia="Times New Roman" w:hAnsiTheme="majorBidi" w:cstheme="majorBidi"/>
          <w:sz w:val="24"/>
          <w:szCs w:val="24"/>
          <w:lang w:eastAsia="en-US"/>
        </w:rPr>
        <w:t xml:space="preserve">Southward, D, ‘Defeat is Good for Art: The Metamodern impulse in Gothic Metafiction’ in </w:t>
      </w:r>
      <w:r w:rsidR="00662948" w:rsidRPr="00505CF0">
        <w:rPr>
          <w:rFonts w:asciiTheme="majorBidi" w:eastAsia="Times New Roman" w:hAnsiTheme="majorBidi" w:cstheme="majorBidi"/>
          <w:i/>
          <w:sz w:val="24"/>
          <w:szCs w:val="24"/>
          <w:lang w:eastAsia="en-US"/>
        </w:rPr>
        <w:t>Studies in Gothic Fiction</w:t>
      </w:r>
      <w:r w:rsidR="00662948" w:rsidRPr="00505CF0">
        <w:rPr>
          <w:rFonts w:asciiTheme="majorBidi" w:eastAsia="Times New Roman" w:hAnsiTheme="majorBidi" w:cstheme="majorBidi"/>
          <w:sz w:val="24"/>
          <w:szCs w:val="24"/>
          <w:lang w:eastAsia="en-US"/>
        </w:rPr>
        <w:t>, Vol 4, Iss 1/2, (2015), pp. 30-41</w:t>
      </w:r>
      <w:r w:rsidR="005D7878" w:rsidRPr="00505CF0">
        <w:rPr>
          <w:rFonts w:asciiTheme="majorBidi" w:eastAsia="Times New Roman" w:hAnsiTheme="majorBidi" w:cstheme="majorBidi"/>
          <w:sz w:val="24"/>
          <w:szCs w:val="24"/>
          <w:lang w:eastAsia="en-US"/>
        </w:rPr>
        <w:t xml:space="preserve">; </w:t>
      </w:r>
      <w:r w:rsidR="00662948" w:rsidRPr="00505CF0">
        <w:rPr>
          <w:rFonts w:asciiTheme="majorBidi" w:eastAsia="Times New Roman" w:hAnsiTheme="majorBidi" w:cstheme="majorBidi"/>
          <w:sz w:val="24"/>
          <w:szCs w:val="24"/>
          <w:lang w:eastAsia="en-US"/>
        </w:rPr>
        <w:t xml:space="preserve">Southward, D, ‘Frame Narratives and the Gothic Subject’ in </w:t>
      </w:r>
      <w:r w:rsidR="00662948" w:rsidRPr="00505CF0">
        <w:rPr>
          <w:rFonts w:asciiTheme="majorBidi" w:eastAsia="Times New Roman" w:hAnsiTheme="majorBidi" w:cstheme="majorBidi"/>
          <w:i/>
          <w:sz w:val="24"/>
          <w:szCs w:val="24"/>
          <w:lang w:eastAsia="en-US"/>
        </w:rPr>
        <w:t xml:space="preserve">The Dark Arts Journal </w:t>
      </w:r>
      <w:r w:rsidR="00662948" w:rsidRPr="00505CF0">
        <w:rPr>
          <w:rFonts w:asciiTheme="majorBidi" w:eastAsia="Times New Roman" w:hAnsiTheme="majorBidi" w:cstheme="majorBidi"/>
          <w:sz w:val="24"/>
          <w:szCs w:val="24"/>
          <w:lang w:eastAsia="en-US"/>
        </w:rPr>
        <w:t>Vol. 1, Iss. 1, (2015)</w:t>
      </w:r>
      <w:r w:rsidR="00840E65" w:rsidRPr="00505CF0">
        <w:rPr>
          <w:rFonts w:asciiTheme="majorBidi" w:eastAsia="Times New Roman" w:hAnsiTheme="majorBidi" w:cstheme="majorBidi"/>
          <w:sz w:val="24"/>
          <w:szCs w:val="24"/>
          <w:lang w:eastAsia="en-US"/>
        </w:rPr>
        <w:t xml:space="preserve">; Southward, D, ‘Dealing with the Creative/Critical Divide: these men as readers cannot know what it is to write,’ in </w:t>
      </w:r>
      <w:r w:rsidR="00840E65" w:rsidRPr="00505CF0">
        <w:rPr>
          <w:rFonts w:asciiTheme="majorBidi" w:eastAsia="Times New Roman" w:hAnsiTheme="majorBidi" w:cstheme="majorBidi"/>
          <w:i/>
          <w:sz w:val="24"/>
          <w:szCs w:val="24"/>
          <w:lang w:eastAsia="en-US"/>
        </w:rPr>
        <w:t xml:space="preserve">New Writing, </w:t>
      </w:r>
      <w:r w:rsidR="00840E65" w:rsidRPr="00505CF0">
        <w:rPr>
          <w:rFonts w:asciiTheme="majorBidi" w:eastAsia="Times New Roman" w:hAnsiTheme="majorBidi" w:cstheme="majorBidi"/>
          <w:sz w:val="24"/>
          <w:szCs w:val="24"/>
          <w:lang w:eastAsia="en-US"/>
        </w:rPr>
        <w:t>Vol. 13, Iss. 2, (2016), pp. 273-80.</w:t>
      </w:r>
    </w:p>
    <w:p w14:paraId="56287436" w14:textId="77777777" w:rsidR="00765E2A" w:rsidRDefault="00765E2A" w:rsidP="004C3EE0">
      <w:pPr>
        <w:spacing w:line="240" w:lineRule="auto"/>
        <w:jc w:val="both"/>
        <w:rPr>
          <w:rFonts w:asciiTheme="majorBidi" w:eastAsia="Times New Roman" w:hAnsiTheme="majorBidi" w:cstheme="majorBidi"/>
          <w:sz w:val="24"/>
          <w:szCs w:val="24"/>
          <w:lang w:eastAsia="en-US"/>
        </w:rPr>
      </w:pPr>
    </w:p>
    <w:p w14:paraId="5C991298" w14:textId="5390E890" w:rsidR="00643F3B" w:rsidRPr="00505CF0" w:rsidRDefault="00135681" w:rsidP="00135681">
      <w:pPr>
        <w:spacing w:line="240" w:lineRule="auto"/>
        <w:jc w:val="center"/>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Also, to my esteemed colleague Arapaima, I can only say thank you for the healthy competition. The best man, it seems won.</w:t>
      </w:r>
    </w:p>
    <w:p w14:paraId="621B5891" w14:textId="77777777" w:rsidR="00B01613" w:rsidRPr="00505CF0" w:rsidRDefault="00B01613" w:rsidP="00B01613">
      <w:pPr>
        <w:spacing w:line="240" w:lineRule="auto"/>
        <w:jc w:val="center"/>
        <w:rPr>
          <w:rFonts w:asciiTheme="majorBidi" w:eastAsia="Times New Roman" w:hAnsiTheme="majorBidi" w:cstheme="majorBidi"/>
          <w:sz w:val="24"/>
          <w:szCs w:val="24"/>
          <w:lang w:eastAsia="en-US"/>
        </w:rPr>
      </w:pPr>
    </w:p>
    <w:p w14:paraId="4E2190DC" w14:textId="77777777" w:rsidR="00B01613" w:rsidRPr="00505CF0" w:rsidRDefault="00B01613" w:rsidP="00B01613">
      <w:pPr>
        <w:spacing w:line="240" w:lineRule="auto"/>
        <w:jc w:val="center"/>
        <w:rPr>
          <w:rFonts w:asciiTheme="majorBidi" w:eastAsia="Times New Roman" w:hAnsiTheme="majorBidi" w:cstheme="majorBidi"/>
          <w:sz w:val="24"/>
          <w:szCs w:val="24"/>
          <w:lang w:eastAsia="en-US"/>
        </w:rPr>
      </w:pPr>
    </w:p>
    <w:p w14:paraId="78BF2E1F" w14:textId="77777777" w:rsidR="00B01613" w:rsidRPr="00505CF0" w:rsidRDefault="00B01613" w:rsidP="00B01613">
      <w:pPr>
        <w:spacing w:line="240" w:lineRule="auto"/>
        <w:jc w:val="center"/>
        <w:rPr>
          <w:rFonts w:asciiTheme="majorBidi" w:eastAsia="Times New Roman" w:hAnsiTheme="majorBidi" w:cstheme="majorBidi"/>
          <w:sz w:val="24"/>
          <w:szCs w:val="24"/>
          <w:lang w:eastAsia="en-US"/>
        </w:rPr>
      </w:pPr>
    </w:p>
    <w:p w14:paraId="5959522C" w14:textId="77777777" w:rsidR="00B01613" w:rsidRPr="00505CF0" w:rsidRDefault="00B01613" w:rsidP="00B01613">
      <w:pPr>
        <w:spacing w:line="240" w:lineRule="auto"/>
        <w:jc w:val="center"/>
        <w:rPr>
          <w:rFonts w:asciiTheme="majorBidi" w:eastAsia="Times New Roman" w:hAnsiTheme="majorBidi" w:cstheme="majorBidi"/>
          <w:sz w:val="24"/>
          <w:szCs w:val="24"/>
          <w:lang w:eastAsia="en-US"/>
        </w:rPr>
      </w:pPr>
    </w:p>
    <w:p w14:paraId="52B24603" w14:textId="77777777" w:rsidR="00B01613" w:rsidRPr="00505CF0" w:rsidRDefault="00B01613" w:rsidP="00B01613">
      <w:pPr>
        <w:spacing w:line="240" w:lineRule="auto"/>
        <w:jc w:val="center"/>
        <w:rPr>
          <w:rFonts w:asciiTheme="majorBidi" w:eastAsia="Times New Roman" w:hAnsiTheme="majorBidi" w:cstheme="majorBidi"/>
          <w:sz w:val="24"/>
          <w:szCs w:val="24"/>
          <w:lang w:eastAsia="en-US"/>
        </w:rPr>
      </w:pPr>
    </w:p>
    <w:p w14:paraId="479E7ABE" w14:textId="735DA1CB" w:rsidR="00662948" w:rsidRPr="00505CF0" w:rsidRDefault="00662948" w:rsidP="00B01613">
      <w:pPr>
        <w:spacing w:line="240" w:lineRule="auto"/>
        <w:jc w:val="center"/>
        <w:rPr>
          <w:rFonts w:asciiTheme="majorBidi" w:eastAsia="Times New Roman" w:hAnsiTheme="majorBidi" w:cstheme="majorBidi"/>
          <w:i/>
          <w:iCs/>
          <w:sz w:val="24"/>
          <w:szCs w:val="24"/>
          <w:lang w:eastAsia="en-US"/>
        </w:rPr>
      </w:pPr>
    </w:p>
    <w:p w14:paraId="7FC6E541" w14:textId="77777777" w:rsidR="00662948" w:rsidRPr="00505CF0" w:rsidRDefault="00662948" w:rsidP="004C3EE0">
      <w:pPr>
        <w:spacing w:line="240" w:lineRule="auto"/>
        <w:jc w:val="both"/>
        <w:rPr>
          <w:rFonts w:asciiTheme="majorBidi" w:eastAsia="Times New Roman" w:hAnsiTheme="majorBidi" w:cstheme="majorBidi"/>
          <w:sz w:val="24"/>
          <w:szCs w:val="24"/>
          <w:lang w:eastAsia="en-US"/>
        </w:rPr>
      </w:pPr>
    </w:p>
    <w:p w14:paraId="3358A3A1" w14:textId="77777777" w:rsidR="00982BB1" w:rsidRPr="00505CF0" w:rsidRDefault="00982BB1" w:rsidP="004C3EE0">
      <w:pPr>
        <w:spacing w:line="240" w:lineRule="auto"/>
        <w:jc w:val="both"/>
        <w:rPr>
          <w:rFonts w:asciiTheme="majorBidi" w:eastAsia="Times New Roman" w:hAnsiTheme="majorBidi" w:cstheme="majorBidi"/>
          <w:sz w:val="24"/>
          <w:szCs w:val="24"/>
          <w:lang w:eastAsia="en-US"/>
        </w:rPr>
      </w:pPr>
    </w:p>
    <w:p w14:paraId="4B7A72D2" w14:textId="77777777" w:rsidR="00F12BEE" w:rsidRPr="00505CF0" w:rsidRDefault="00F12BEE" w:rsidP="004C3EE0">
      <w:pPr>
        <w:spacing w:line="240" w:lineRule="auto"/>
        <w:jc w:val="both"/>
        <w:rPr>
          <w:rFonts w:asciiTheme="majorBidi" w:eastAsia="Times New Roman" w:hAnsiTheme="majorBidi" w:cstheme="majorBidi"/>
          <w:b/>
          <w:sz w:val="36"/>
          <w:szCs w:val="36"/>
          <w:u w:val="single"/>
          <w:lang w:eastAsia="en-US"/>
        </w:rPr>
      </w:pPr>
    </w:p>
    <w:p w14:paraId="53DE09A4"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3B85D5BB"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01179373"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38A225A9"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4CB470AF"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0E2FE28F"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711D64E1"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5272D852" w14:textId="77777777" w:rsidR="00F12BEE" w:rsidRPr="00505CF0" w:rsidRDefault="00F12BEE" w:rsidP="004C3EE0">
      <w:pPr>
        <w:spacing w:line="240" w:lineRule="auto"/>
        <w:jc w:val="both"/>
        <w:rPr>
          <w:rFonts w:asciiTheme="majorBidi" w:eastAsia="Times New Roman" w:hAnsiTheme="majorBidi" w:cstheme="majorBidi"/>
          <w:b/>
          <w:sz w:val="36"/>
          <w:szCs w:val="36"/>
          <w:lang w:eastAsia="en-US"/>
        </w:rPr>
      </w:pPr>
    </w:p>
    <w:p w14:paraId="644621FE" w14:textId="00A77647" w:rsidR="001C5831" w:rsidRPr="00505CF0" w:rsidRDefault="001C5831" w:rsidP="00B9022C">
      <w:pPr>
        <w:spacing w:line="240" w:lineRule="auto"/>
        <w:jc w:val="center"/>
        <w:rPr>
          <w:rFonts w:asciiTheme="majorBidi" w:eastAsia="Times New Roman" w:hAnsiTheme="majorBidi" w:cstheme="majorBidi"/>
          <w:sz w:val="36"/>
          <w:szCs w:val="36"/>
          <w:lang w:eastAsia="en-US"/>
        </w:rPr>
      </w:pPr>
      <w:r w:rsidRPr="001C5831">
        <w:rPr>
          <w:rFonts w:asciiTheme="majorBidi" w:eastAsia="Times New Roman" w:hAnsiTheme="majorBidi" w:cstheme="majorBidi"/>
          <w:sz w:val="44"/>
          <w:szCs w:val="36"/>
          <w:lang w:eastAsia="en-US"/>
        </w:rPr>
        <w:lastRenderedPageBreak/>
        <w:t>E</w:t>
      </w:r>
      <w:r w:rsidRPr="001C5831">
        <w:rPr>
          <w:rFonts w:asciiTheme="majorBidi" w:eastAsia="Times New Roman" w:hAnsiTheme="majorBidi" w:cstheme="majorBidi"/>
          <w:sz w:val="32"/>
          <w:szCs w:val="36"/>
          <w:lang w:eastAsia="en-US"/>
        </w:rPr>
        <w:t>DITOR’S</w:t>
      </w:r>
      <w:r>
        <w:rPr>
          <w:rFonts w:asciiTheme="majorBidi" w:eastAsia="Times New Roman" w:hAnsiTheme="majorBidi" w:cstheme="majorBidi"/>
          <w:sz w:val="36"/>
          <w:szCs w:val="36"/>
          <w:lang w:eastAsia="en-US"/>
        </w:rPr>
        <w:t xml:space="preserve"> </w:t>
      </w:r>
      <w:r w:rsidRPr="001C5831">
        <w:rPr>
          <w:rFonts w:asciiTheme="majorBidi" w:eastAsia="Times New Roman" w:hAnsiTheme="majorBidi" w:cstheme="majorBidi"/>
          <w:sz w:val="44"/>
          <w:szCs w:val="36"/>
          <w:lang w:eastAsia="en-US"/>
        </w:rPr>
        <w:t>P</w:t>
      </w:r>
      <w:r w:rsidRPr="001C5831">
        <w:rPr>
          <w:rFonts w:asciiTheme="majorBidi" w:eastAsia="Times New Roman" w:hAnsiTheme="majorBidi" w:cstheme="majorBidi"/>
          <w:sz w:val="32"/>
          <w:szCs w:val="36"/>
          <w:lang w:eastAsia="en-US"/>
        </w:rPr>
        <w:t>REFACE</w:t>
      </w:r>
    </w:p>
    <w:p w14:paraId="60295B93" w14:textId="77777777" w:rsidR="00967358" w:rsidRPr="00505CF0" w:rsidRDefault="00967358" w:rsidP="00967358">
      <w:pPr>
        <w:spacing w:line="240" w:lineRule="auto"/>
        <w:jc w:val="both"/>
        <w:rPr>
          <w:rFonts w:asciiTheme="majorBidi" w:eastAsia="Times New Roman" w:hAnsiTheme="majorBidi" w:cstheme="majorBidi"/>
          <w:sz w:val="36"/>
          <w:szCs w:val="36"/>
          <w:lang w:eastAsia="en-US"/>
        </w:rPr>
      </w:pPr>
    </w:p>
    <w:p w14:paraId="2DAB072C" w14:textId="77777777" w:rsidR="00967358" w:rsidRPr="00505CF0" w:rsidRDefault="00967358" w:rsidP="00967358">
      <w:pPr>
        <w:spacing w:line="240" w:lineRule="auto"/>
        <w:jc w:val="both"/>
        <w:rPr>
          <w:rFonts w:asciiTheme="majorBidi" w:eastAsia="Times New Roman" w:hAnsiTheme="majorBidi" w:cstheme="majorBidi"/>
          <w:sz w:val="36"/>
          <w:szCs w:val="36"/>
          <w:lang w:eastAsia="en-US"/>
        </w:rPr>
      </w:pPr>
    </w:p>
    <w:p w14:paraId="153EE4A0" w14:textId="77777777" w:rsidR="00967358" w:rsidRPr="00505CF0" w:rsidRDefault="00967358" w:rsidP="00967358">
      <w:pPr>
        <w:spacing w:line="240" w:lineRule="auto"/>
        <w:jc w:val="both"/>
        <w:rPr>
          <w:rFonts w:asciiTheme="majorBidi" w:eastAsia="Times New Roman" w:hAnsiTheme="majorBidi" w:cstheme="majorBidi"/>
          <w:sz w:val="36"/>
          <w:szCs w:val="36"/>
          <w:lang w:eastAsia="en-US"/>
        </w:rPr>
      </w:pPr>
    </w:p>
    <w:p w14:paraId="22863ADC" w14:textId="77777777" w:rsidR="00967358" w:rsidRPr="00505CF0" w:rsidRDefault="00967358" w:rsidP="00967358">
      <w:pPr>
        <w:spacing w:line="240" w:lineRule="auto"/>
        <w:jc w:val="both"/>
        <w:rPr>
          <w:rFonts w:asciiTheme="majorBidi" w:eastAsia="Times New Roman" w:hAnsiTheme="majorBidi" w:cstheme="majorBidi"/>
          <w:sz w:val="36"/>
          <w:szCs w:val="36"/>
          <w:lang w:eastAsia="en-US"/>
        </w:rPr>
      </w:pPr>
    </w:p>
    <w:p w14:paraId="128CD23B" w14:textId="77777777" w:rsidR="00967358" w:rsidRPr="00505CF0" w:rsidRDefault="00967358" w:rsidP="00967358">
      <w:pPr>
        <w:spacing w:line="240" w:lineRule="auto"/>
        <w:jc w:val="both"/>
        <w:rPr>
          <w:rFonts w:asciiTheme="majorBidi" w:eastAsia="Times New Roman" w:hAnsiTheme="majorBidi" w:cstheme="majorBidi"/>
          <w:sz w:val="36"/>
          <w:szCs w:val="36"/>
          <w:lang w:eastAsia="en-US"/>
        </w:rPr>
      </w:pPr>
    </w:p>
    <w:p w14:paraId="3F69DFC6" w14:textId="6CFB342F" w:rsidR="00967358" w:rsidRPr="00505CF0" w:rsidRDefault="00967358" w:rsidP="00967358">
      <w:pPr>
        <w:spacing w:line="240" w:lineRule="auto"/>
        <w:ind w:firstLine="720"/>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 xml:space="preserve">The outlines of contemporary critical theory are now often taught as a standard feature of a degree in literary studies, though the breadth of such studies has been significantly culled following the reign of our late monarch. Daniel Southward (born Arcot O. Southward), first of his name, king of the Engalls, breaker of academic names, is now considered one of the worst literary, if not political, tyrants in human history. To linger too long </w:t>
      </w:r>
      <w:r w:rsidR="00D95B45">
        <w:rPr>
          <w:rFonts w:asciiTheme="majorBidi" w:eastAsia="Times New Roman" w:hAnsiTheme="majorBidi" w:cstheme="majorBidi"/>
          <w:sz w:val="24"/>
          <w:szCs w:val="24"/>
          <w:lang w:eastAsia="en-US"/>
        </w:rPr>
        <w:t>o</w:t>
      </w:r>
      <w:r w:rsidRPr="00505CF0">
        <w:rPr>
          <w:rFonts w:asciiTheme="majorBidi" w:eastAsia="Times New Roman" w:hAnsiTheme="majorBidi" w:cstheme="majorBidi"/>
          <w:sz w:val="24"/>
          <w:szCs w:val="24"/>
          <w:lang w:eastAsia="en-US"/>
        </w:rPr>
        <w:t>n the degrading punishments doled out in his long, terrible reign would, at this point in history, be a significant waste of time; there are few who have not been affected in some manner by the reign of the meta-king, and countless studies devoted to analysis of the madman’s methodology and, if you’ll forgive me, meanness.</w:t>
      </w:r>
      <w:r w:rsidRPr="00505CF0">
        <w:rPr>
          <w:rStyle w:val="FootnoteReference"/>
          <w:rFonts w:asciiTheme="majorBidi" w:eastAsia="Times New Roman" w:hAnsiTheme="majorBidi" w:cstheme="majorBidi"/>
          <w:sz w:val="24"/>
          <w:szCs w:val="24"/>
          <w:lang w:eastAsia="en-US"/>
        </w:rPr>
        <w:footnoteReference w:id="1"/>
      </w:r>
      <w:r w:rsidRPr="00505CF0">
        <w:rPr>
          <w:rFonts w:asciiTheme="majorBidi" w:eastAsia="Times New Roman" w:hAnsiTheme="majorBidi" w:cstheme="majorBidi"/>
          <w:sz w:val="24"/>
          <w:szCs w:val="24"/>
          <w:lang w:eastAsia="en-US"/>
        </w:rPr>
        <w:t xml:space="preserve"> He was a terrible human. Yet, while his influence on society is notorious at best and genocidal at worst, he remains a fascinating figure in the eyes of the few still with a mind to study the greatest monster of our times. </w:t>
      </w:r>
    </w:p>
    <w:p w14:paraId="5BBA8D90" w14:textId="3039378B" w:rsidR="00967358" w:rsidRPr="00505CF0" w:rsidRDefault="00967358" w:rsidP="00967358">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b/>
        <w:t xml:space="preserve">Collected herein please find, for the very first time, a collated collection of the young tyrant’s academic essays – written before, it must be said, his all too late ejection from the scholarly world. One can see in these works a mind obsessed with the word ‘meta,’ a buzzword of the latter century of his reign synonymous with a long death by papercut, alongside forming opinions on the necessity of supplanting the postmodern </w:t>
      </w:r>
      <w:r w:rsidR="009F1E84">
        <w:rPr>
          <w:rFonts w:asciiTheme="majorBidi" w:eastAsia="Times New Roman" w:hAnsiTheme="majorBidi" w:cstheme="majorBidi"/>
          <w:sz w:val="24"/>
          <w:szCs w:val="24"/>
          <w:lang w:eastAsia="en-US"/>
        </w:rPr>
        <w:t>(</w:t>
      </w:r>
      <w:r w:rsidRPr="00505CF0">
        <w:rPr>
          <w:rFonts w:asciiTheme="majorBidi" w:eastAsia="Times New Roman" w:hAnsiTheme="majorBidi" w:cstheme="majorBidi"/>
          <w:sz w:val="24"/>
          <w:szCs w:val="24"/>
          <w:lang w:eastAsia="en-US"/>
        </w:rPr>
        <w:t xml:space="preserve">opinions which would later be explained by the likes of H.N. Voice as fundamental in explaining Southward’s obsession with feeling </w:t>
      </w:r>
      <w:r w:rsidRPr="00505CF0">
        <w:rPr>
          <w:rFonts w:asciiTheme="majorBidi" w:eastAsia="Times New Roman" w:hAnsiTheme="majorBidi" w:cstheme="majorBidi"/>
          <w:i/>
          <w:sz w:val="24"/>
          <w:szCs w:val="24"/>
          <w:lang w:eastAsia="en-US"/>
        </w:rPr>
        <w:t>anything</w:t>
      </w:r>
      <w:r w:rsidRPr="00505CF0">
        <w:rPr>
          <w:rFonts w:asciiTheme="majorBidi" w:eastAsia="Times New Roman" w:hAnsiTheme="majorBidi" w:cstheme="majorBidi"/>
          <w:sz w:val="24"/>
          <w:szCs w:val="24"/>
          <w:lang w:eastAsia="en-US"/>
        </w:rPr>
        <w:t xml:space="preserve"> at all, pain or pleasure</w:t>
      </w:r>
      <w:r w:rsidR="009F1E84">
        <w:rPr>
          <w:rFonts w:asciiTheme="majorBidi" w:eastAsia="Times New Roman" w:hAnsiTheme="majorBidi" w:cstheme="majorBidi"/>
          <w:sz w:val="24"/>
          <w:szCs w:val="24"/>
          <w:lang w:eastAsia="en-US"/>
        </w:rPr>
        <w:t>)</w:t>
      </w:r>
      <w:r w:rsidRPr="00505CF0">
        <w:rPr>
          <w:rFonts w:asciiTheme="majorBidi" w:eastAsia="Times New Roman" w:hAnsiTheme="majorBidi" w:cstheme="majorBidi"/>
          <w:sz w:val="24"/>
          <w:szCs w:val="24"/>
          <w:lang w:eastAsia="en-US"/>
        </w:rPr>
        <w:t>.</w:t>
      </w:r>
    </w:p>
    <w:p w14:paraId="1ED5B6F7" w14:textId="77777777" w:rsidR="00967358" w:rsidRPr="00505CF0" w:rsidRDefault="00967358" w:rsidP="00967358">
      <w:pPr>
        <w:spacing w:line="240" w:lineRule="auto"/>
        <w:jc w:val="both"/>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b/>
      </w:r>
      <w:proofErr w:type="gramStart"/>
      <w:r w:rsidRPr="00505CF0">
        <w:rPr>
          <w:rFonts w:asciiTheme="majorBidi" w:eastAsia="Times New Roman" w:hAnsiTheme="majorBidi" w:cstheme="majorBidi"/>
          <w:sz w:val="24"/>
          <w:szCs w:val="24"/>
          <w:lang w:eastAsia="en-US"/>
        </w:rPr>
        <w:t>A monster, surely, but one that it is better to understand as part of the now-decimated literary history which we must repair.</w:t>
      </w:r>
      <w:proofErr w:type="gramEnd"/>
      <w:r w:rsidRPr="00505CF0">
        <w:rPr>
          <w:rFonts w:asciiTheme="majorBidi" w:eastAsia="Times New Roman" w:hAnsiTheme="majorBidi" w:cstheme="majorBidi"/>
          <w:sz w:val="24"/>
          <w:szCs w:val="24"/>
          <w:lang w:eastAsia="en-US"/>
        </w:rPr>
        <w:t xml:space="preserve"> I have, for your consideration dear reader, collected this small series of essays in the hope that, in conjunction with Southward’s lost text, we may perchance understand </w:t>
      </w:r>
      <w:r w:rsidRPr="00505CF0">
        <w:rPr>
          <w:rFonts w:asciiTheme="majorBidi" w:eastAsia="Times New Roman" w:hAnsiTheme="majorBidi" w:cstheme="majorBidi"/>
          <w:i/>
          <w:sz w:val="24"/>
          <w:szCs w:val="24"/>
          <w:lang w:eastAsia="en-US"/>
        </w:rPr>
        <w:t>why</w:t>
      </w:r>
      <w:r w:rsidRPr="00505CF0">
        <w:rPr>
          <w:rFonts w:asciiTheme="majorBidi" w:eastAsia="Times New Roman" w:hAnsiTheme="majorBidi" w:cstheme="majorBidi"/>
          <w:sz w:val="24"/>
          <w:szCs w:val="24"/>
          <w:lang w:eastAsia="en-US"/>
        </w:rPr>
        <w:t>. There is little more to say, I ask you only to open your mind, to see these as the somewhat awkward ramblings of a young academic desperate to prove himself to a community of vastly superior academic peers. Understand, yes, forgive, no – as the new post-southwardian motto goes.</w:t>
      </w:r>
    </w:p>
    <w:p w14:paraId="07D8D98E" w14:textId="77777777" w:rsidR="00967358" w:rsidRPr="00505CF0" w:rsidRDefault="00967358" w:rsidP="00967358">
      <w:pPr>
        <w:spacing w:line="240" w:lineRule="auto"/>
        <w:jc w:val="right"/>
        <w:rPr>
          <w:rFonts w:asciiTheme="majorBidi" w:eastAsia="Times New Roman" w:hAnsiTheme="majorBidi" w:cstheme="majorBidi"/>
          <w:sz w:val="24"/>
          <w:szCs w:val="24"/>
          <w:lang w:eastAsia="en-US"/>
        </w:rPr>
      </w:pPr>
      <w:r w:rsidRPr="00505CF0">
        <w:rPr>
          <w:rFonts w:asciiTheme="majorBidi" w:eastAsia="Times New Roman" w:hAnsiTheme="majorBidi" w:cstheme="majorBidi"/>
          <w:sz w:val="32"/>
          <w:szCs w:val="32"/>
          <w:lang w:eastAsia="en-US"/>
        </w:rPr>
        <w:t>A</w:t>
      </w:r>
      <w:r w:rsidRPr="00505CF0">
        <w:rPr>
          <w:rFonts w:asciiTheme="majorBidi" w:eastAsia="Times New Roman" w:hAnsiTheme="majorBidi" w:cstheme="majorBidi"/>
          <w:sz w:val="24"/>
          <w:szCs w:val="24"/>
          <w:lang w:eastAsia="en-US"/>
        </w:rPr>
        <w:t>RCOT</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C</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O</w:t>
      </w:r>
      <w:r w:rsidRPr="00505CF0">
        <w:rPr>
          <w:rFonts w:asciiTheme="majorBidi" w:eastAsia="Times New Roman" w:hAnsiTheme="majorBidi" w:cstheme="majorBidi"/>
          <w:sz w:val="24"/>
          <w:szCs w:val="24"/>
          <w:lang w:eastAsia="en-US"/>
        </w:rPr>
        <w:t>SBEORN</w:t>
      </w:r>
    </w:p>
    <w:p w14:paraId="251EDC6D" w14:textId="77777777" w:rsidR="00967358" w:rsidRPr="00505CF0" w:rsidRDefault="00967358" w:rsidP="00967358">
      <w:pPr>
        <w:spacing w:line="240" w:lineRule="auto"/>
        <w:jc w:val="both"/>
        <w:rPr>
          <w:rFonts w:asciiTheme="majorBidi" w:eastAsia="Times New Roman" w:hAnsiTheme="majorBidi" w:cstheme="majorBidi"/>
          <w:sz w:val="24"/>
          <w:szCs w:val="24"/>
          <w:lang w:eastAsia="en-US"/>
        </w:rPr>
      </w:pPr>
    </w:p>
    <w:p w14:paraId="2BFB1226" w14:textId="77777777" w:rsidR="00967358" w:rsidRPr="00505CF0" w:rsidRDefault="00967358" w:rsidP="00967358">
      <w:pPr>
        <w:spacing w:line="240" w:lineRule="auto"/>
        <w:jc w:val="both"/>
        <w:rPr>
          <w:rFonts w:asciiTheme="majorBidi" w:eastAsia="Times New Roman" w:hAnsiTheme="majorBidi" w:cstheme="majorBidi"/>
          <w:sz w:val="24"/>
          <w:szCs w:val="24"/>
          <w:lang w:eastAsia="en-US"/>
        </w:rPr>
      </w:pPr>
    </w:p>
    <w:p w14:paraId="59F3F965" w14:textId="6902FBED" w:rsidR="00967358" w:rsidRPr="00135681" w:rsidRDefault="00967358" w:rsidP="00135681">
      <w:pPr>
        <w:spacing w:line="240" w:lineRule="auto"/>
        <w:jc w:val="both"/>
        <w:rPr>
          <w:rFonts w:asciiTheme="majorBidi" w:eastAsia="Times New Roman" w:hAnsiTheme="majorBidi" w:cstheme="majorBidi"/>
          <w:i/>
          <w:iCs/>
          <w:sz w:val="24"/>
          <w:szCs w:val="24"/>
          <w:lang w:eastAsia="en-US"/>
        </w:rPr>
      </w:pPr>
      <w:r w:rsidRPr="00135681">
        <w:rPr>
          <w:rFonts w:asciiTheme="majorBidi" w:eastAsia="Times New Roman" w:hAnsiTheme="majorBidi" w:cstheme="majorBidi"/>
          <w:i/>
          <w:iCs/>
          <w:sz w:val="24"/>
          <w:szCs w:val="24"/>
          <w:lang w:eastAsia="en-US"/>
        </w:rPr>
        <w:t>The publishers and fellow Series Editor</w:t>
      </w:r>
      <w:r w:rsidR="00135681" w:rsidRPr="00135681">
        <w:rPr>
          <w:rFonts w:asciiTheme="majorBidi" w:eastAsia="Times New Roman" w:hAnsiTheme="majorBidi" w:cstheme="majorBidi"/>
          <w:i/>
          <w:iCs/>
          <w:sz w:val="24"/>
          <w:szCs w:val="24"/>
          <w:lang w:eastAsia="en-US"/>
        </w:rPr>
        <w:t xml:space="preserve">, Wade </w:t>
      </w:r>
      <w:r w:rsidR="00D5724A">
        <w:rPr>
          <w:rFonts w:asciiTheme="majorBidi" w:eastAsia="Times New Roman" w:hAnsiTheme="majorBidi" w:cstheme="majorBidi"/>
          <w:i/>
          <w:iCs/>
          <w:sz w:val="24"/>
          <w:szCs w:val="24"/>
          <w:lang w:eastAsia="en-US"/>
        </w:rPr>
        <w:t xml:space="preserve">J. </w:t>
      </w:r>
      <w:r w:rsidR="00135681" w:rsidRPr="00135681">
        <w:rPr>
          <w:rFonts w:asciiTheme="majorBidi" w:eastAsia="Times New Roman" w:hAnsiTheme="majorBidi" w:cstheme="majorBidi"/>
          <w:i/>
          <w:iCs/>
          <w:sz w:val="24"/>
          <w:szCs w:val="24"/>
          <w:lang w:eastAsia="en-US"/>
        </w:rPr>
        <w:t>Arapaima,</w:t>
      </w:r>
      <w:r w:rsidRPr="00135681">
        <w:rPr>
          <w:rFonts w:asciiTheme="majorBidi" w:eastAsia="Times New Roman" w:hAnsiTheme="majorBidi" w:cstheme="majorBidi"/>
          <w:i/>
          <w:iCs/>
          <w:sz w:val="24"/>
          <w:szCs w:val="24"/>
          <w:lang w:eastAsia="en-US"/>
        </w:rPr>
        <w:t xml:space="preserve"> regret to record that Arcot C. Osbeorn </w:t>
      </w:r>
      <w:r w:rsidR="00BC0234" w:rsidRPr="00135681">
        <w:rPr>
          <w:rFonts w:asciiTheme="majorBidi" w:eastAsia="Times New Roman" w:hAnsiTheme="majorBidi" w:cstheme="majorBidi"/>
          <w:i/>
          <w:iCs/>
          <w:sz w:val="24"/>
          <w:szCs w:val="24"/>
          <w:lang w:eastAsia="en-US"/>
        </w:rPr>
        <w:t>vanished in</w:t>
      </w:r>
      <w:r w:rsidRPr="00135681">
        <w:rPr>
          <w:rFonts w:asciiTheme="majorBidi" w:eastAsia="Times New Roman" w:hAnsiTheme="majorBidi" w:cstheme="majorBidi"/>
          <w:i/>
          <w:iCs/>
          <w:sz w:val="24"/>
          <w:szCs w:val="24"/>
          <w:lang w:eastAsia="en-US"/>
        </w:rPr>
        <w:t xml:space="preserve"> </w:t>
      </w:r>
      <w:r w:rsidR="009F1E84">
        <w:rPr>
          <w:rFonts w:asciiTheme="majorBidi" w:eastAsia="Times New Roman" w:hAnsiTheme="majorBidi" w:cstheme="majorBidi"/>
          <w:i/>
          <w:iCs/>
          <w:sz w:val="24"/>
          <w:szCs w:val="24"/>
          <w:lang w:eastAsia="en-US"/>
        </w:rPr>
        <w:t>January</w:t>
      </w:r>
      <w:r w:rsidRPr="00135681">
        <w:rPr>
          <w:rFonts w:asciiTheme="majorBidi" w:eastAsia="Times New Roman" w:hAnsiTheme="majorBidi" w:cstheme="majorBidi"/>
          <w:i/>
          <w:iCs/>
          <w:sz w:val="24"/>
          <w:szCs w:val="24"/>
          <w:lang w:eastAsia="en-US"/>
        </w:rPr>
        <w:t xml:space="preserve"> 2158. While many blame the production of this text, and the associated lingering Southwardian supporters who adamantly requ</w:t>
      </w:r>
      <w:r w:rsidR="00135681">
        <w:rPr>
          <w:rFonts w:asciiTheme="majorBidi" w:eastAsia="Times New Roman" w:hAnsiTheme="majorBidi" w:cstheme="majorBidi"/>
          <w:i/>
          <w:iCs/>
          <w:sz w:val="24"/>
          <w:szCs w:val="24"/>
          <w:lang w:eastAsia="en-US"/>
        </w:rPr>
        <w:t xml:space="preserve">ested Dr. Osbeorn desist in his, as they presumed it, </w:t>
      </w:r>
      <w:r w:rsidRPr="00135681">
        <w:rPr>
          <w:rFonts w:asciiTheme="majorBidi" w:eastAsia="Times New Roman" w:hAnsiTheme="majorBidi" w:cstheme="majorBidi"/>
          <w:i/>
          <w:iCs/>
          <w:sz w:val="24"/>
          <w:szCs w:val="24"/>
          <w:lang w:eastAsia="en-US"/>
        </w:rPr>
        <w:t>defamatory production, we feel that Arcot would only have wished his project to continue regardless. All those he worked with will remember him with the utmost respect and affection, despite his love of Southward. All profits from this text are, in accordance with Arcot’s wishes, to be donated to the Southwardian Preservation Fund.</w:t>
      </w:r>
    </w:p>
    <w:p w14:paraId="693E537D" w14:textId="77777777" w:rsidR="00967358" w:rsidRDefault="00967358">
      <w:pPr>
        <w:spacing w:line="240" w:lineRule="auto"/>
        <w:rPr>
          <w:rFonts w:asciiTheme="majorBidi" w:eastAsia="Times New Roman" w:hAnsiTheme="majorBidi" w:cstheme="majorBidi"/>
          <w:sz w:val="36"/>
          <w:szCs w:val="36"/>
          <w:lang w:eastAsia="en-US"/>
        </w:rPr>
      </w:pPr>
      <w:r>
        <w:rPr>
          <w:rFonts w:asciiTheme="majorBidi" w:eastAsia="Times New Roman" w:hAnsiTheme="majorBidi" w:cstheme="majorBidi"/>
          <w:sz w:val="36"/>
          <w:szCs w:val="36"/>
          <w:lang w:eastAsia="en-US"/>
        </w:rPr>
        <w:lastRenderedPageBreak/>
        <w:br w:type="page"/>
      </w:r>
    </w:p>
    <w:p w14:paraId="7A62EB01" w14:textId="64847463" w:rsidR="001C5831" w:rsidRPr="00505CF0" w:rsidRDefault="001C5831" w:rsidP="00B9022C">
      <w:pPr>
        <w:spacing w:line="240" w:lineRule="auto"/>
        <w:jc w:val="center"/>
        <w:rPr>
          <w:rFonts w:asciiTheme="majorBidi" w:eastAsia="Times New Roman" w:hAnsiTheme="majorBidi" w:cstheme="majorBidi"/>
          <w:sz w:val="36"/>
          <w:szCs w:val="36"/>
          <w:lang w:eastAsia="en-US"/>
        </w:rPr>
      </w:pPr>
      <w:r w:rsidRPr="001C5831">
        <w:rPr>
          <w:rFonts w:asciiTheme="majorBidi" w:eastAsia="Times New Roman" w:hAnsiTheme="majorBidi" w:cstheme="majorBidi"/>
          <w:sz w:val="44"/>
          <w:szCs w:val="36"/>
          <w:lang w:eastAsia="en-US"/>
        </w:rPr>
        <w:lastRenderedPageBreak/>
        <w:t>C</w:t>
      </w:r>
      <w:r w:rsidRPr="001C5831">
        <w:rPr>
          <w:rFonts w:asciiTheme="majorBidi" w:eastAsia="Times New Roman" w:hAnsiTheme="majorBidi" w:cstheme="majorBidi"/>
          <w:sz w:val="32"/>
          <w:szCs w:val="36"/>
          <w:lang w:eastAsia="en-US"/>
        </w:rPr>
        <w:t>HAPTER</w:t>
      </w:r>
      <w:r>
        <w:rPr>
          <w:rFonts w:asciiTheme="majorBidi" w:eastAsia="Times New Roman" w:hAnsiTheme="majorBidi" w:cstheme="majorBidi"/>
          <w:sz w:val="36"/>
          <w:szCs w:val="36"/>
          <w:lang w:eastAsia="en-US"/>
        </w:rPr>
        <w:t xml:space="preserve"> </w:t>
      </w:r>
      <w:r>
        <w:rPr>
          <w:rFonts w:asciiTheme="majorBidi" w:eastAsia="Times New Roman" w:hAnsiTheme="majorBidi" w:cstheme="majorBidi"/>
          <w:sz w:val="44"/>
          <w:szCs w:val="36"/>
          <w:lang w:eastAsia="en-US"/>
        </w:rPr>
        <w:t>I</w:t>
      </w:r>
      <w:r w:rsidR="009F32A6">
        <w:rPr>
          <w:rFonts w:asciiTheme="majorBidi" w:eastAsia="Times New Roman" w:hAnsiTheme="majorBidi" w:cstheme="majorBidi"/>
          <w:sz w:val="44"/>
          <w:szCs w:val="36"/>
          <w:lang w:eastAsia="en-US"/>
        </w:rPr>
        <w:t xml:space="preserve"> –</w:t>
      </w:r>
      <w:r>
        <w:rPr>
          <w:rFonts w:asciiTheme="majorBidi" w:eastAsia="Times New Roman" w:hAnsiTheme="majorBidi" w:cstheme="majorBidi"/>
          <w:sz w:val="36"/>
          <w:szCs w:val="36"/>
          <w:lang w:eastAsia="en-US"/>
        </w:rPr>
        <w:t xml:space="preserve"> </w:t>
      </w:r>
      <w:r w:rsidRPr="001C5831">
        <w:rPr>
          <w:rFonts w:asciiTheme="majorBidi" w:eastAsia="Times New Roman" w:hAnsiTheme="majorBidi" w:cstheme="majorBidi"/>
          <w:sz w:val="44"/>
          <w:szCs w:val="36"/>
          <w:lang w:eastAsia="en-US"/>
        </w:rPr>
        <w:t>S</w:t>
      </w:r>
      <w:r w:rsidRPr="001C5831">
        <w:rPr>
          <w:rFonts w:asciiTheme="majorBidi" w:eastAsia="Times New Roman" w:hAnsiTheme="majorBidi" w:cstheme="majorBidi"/>
          <w:sz w:val="32"/>
          <w:szCs w:val="36"/>
          <w:lang w:eastAsia="en-US"/>
        </w:rPr>
        <w:t>OUTHWARD</w:t>
      </w:r>
      <w:r>
        <w:rPr>
          <w:rFonts w:asciiTheme="majorBidi" w:eastAsia="Times New Roman" w:hAnsiTheme="majorBidi" w:cstheme="majorBidi"/>
          <w:sz w:val="36"/>
          <w:szCs w:val="36"/>
          <w:lang w:eastAsia="en-US"/>
        </w:rPr>
        <w:t xml:space="preserve"> </w:t>
      </w:r>
      <w:r w:rsidRPr="001C5831">
        <w:rPr>
          <w:rFonts w:asciiTheme="majorBidi" w:eastAsia="Times New Roman" w:hAnsiTheme="majorBidi" w:cstheme="majorBidi"/>
          <w:sz w:val="44"/>
          <w:szCs w:val="36"/>
          <w:lang w:eastAsia="en-US"/>
        </w:rPr>
        <w:t>V</w:t>
      </w:r>
      <w:r w:rsidRPr="001C5831">
        <w:rPr>
          <w:rFonts w:asciiTheme="majorBidi" w:eastAsia="Times New Roman" w:hAnsiTheme="majorBidi" w:cstheme="majorBidi"/>
          <w:sz w:val="32"/>
          <w:szCs w:val="36"/>
          <w:lang w:eastAsia="en-US"/>
        </w:rPr>
        <w:t>S</w:t>
      </w:r>
      <w:r>
        <w:rPr>
          <w:rFonts w:asciiTheme="majorBidi" w:eastAsia="Times New Roman" w:hAnsiTheme="majorBidi" w:cstheme="majorBidi"/>
          <w:sz w:val="36"/>
          <w:szCs w:val="36"/>
          <w:lang w:eastAsia="en-US"/>
        </w:rPr>
        <w:t xml:space="preserve"> </w:t>
      </w:r>
      <w:r w:rsidRPr="001C5831">
        <w:rPr>
          <w:rFonts w:asciiTheme="majorBidi" w:eastAsia="Times New Roman" w:hAnsiTheme="majorBidi" w:cstheme="majorBidi"/>
          <w:sz w:val="44"/>
          <w:szCs w:val="36"/>
          <w:lang w:eastAsia="en-US"/>
        </w:rPr>
        <w:t>S</w:t>
      </w:r>
      <w:r w:rsidRPr="001C5831">
        <w:rPr>
          <w:rFonts w:asciiTheme="majorBidi" w:eastAsia="Times New Roman" w:hAnsiTheme="majorBidi" w:cstheme="majorBidi"/>
          <w:sz w:val="32"/>
          <w:szCs w:val="36"/>
          <w:lang w:eastAsia="en-US"/>
        </w:rPr>
        <w:t>OCIETY</w:t>
      </w:r>
    </w:p>
    <w:p w14:paraId="254832C2" w14:textId="77777777" w:rsidR="00F12BEE" w:rsidRPr="00505CF0" w:rsidRDefault="00F12BEE" w:rsidP="004C3EE0">
      <w:pPr>
        <w:spacing w:line="240" w:lineRule="auto"/>
        <w:jc w:val="both"/>
        <w:rPr>
          <w:rFonts w:asciiTheme="majorBidi" w:eastAsia="Times New Roman" w:hAnsiTheme="majorBidi" w:cstheme="majorBidi"/>
          <w:sz w:val="36"/>
          <w:szCs w:val="36"/>
          <w:lang w:eastAsia="en-US"/>
        </w:rPr>
      </w:pPr>
    </w:p>
    <w:p w14:paraId="230C260A" w14:textId="77777777" w:rsidR="00B01613" w:rsidRPr="00505CF0" w:rsidRDefault="00B01613" w:rsidP="004C3EE0">
      <w:pPr>
        <w:spacing w:line="240" w:lineRule="auto"/>
        <w:jc w:val="both"/>
        <w:rPr>
          <w:rFonts w:asciiTheme="majorBidi" w:eastAsia="Times New Roman" w:hAnsiTheme="majorBidi" w:cstheme="majorBidi"/>
          <w:sz w:val="36"/>
          <w:szCs w:val="36"/>
          <w:lang w:eastAsia="en-US"/>
        </w:rPr>
      </w:pPr>
    </w:p>
    <w:p w14:paraId="613395AF" w14:textId="77777777" w:rsidR="008E510B" w:rsidRDefault="008E510B" w:rsidP="004C3EE0">
      <w:pPr>
        <w:spacing w:line="240" w:lineRule="auto"/>
        <w:jc w:val="both"/>
        <w:rPr>
          <w:rFonts w:asciiTheme="majorBidi" w:eastAsia="Times New Roman" w:hAnsiTheme="majorBidi" w:cstheme="majorBidi"/>
          <w:sz w:val="36"/>
          <w:szCs w:val="36"/>
          <w:lang w:eastAsia="en-US"/>
        </w:rPr>
      </w:pPr>
    </w:p>
    <w:p w14:paraId="53AC4D85" w14:textId="77777777" w:rsidR="00505CF0" w:rsidRDefault="00505CF0" w:rsidP="004C3EE0">
      <w:pPr>
        <w:spacing w:line="240" w:lineRule="auto"/>
        <w:jc w:val="both"/>
        <w:rPr>
          <w:rFonts w:asciiTheme="majorBidi" w:eastAsia="Times New Roman" w:hAnsiTheme="majorBidi" w:cstheme="majorBidi"/>
          <w:sz w:val="36"/>
          <w:szCs w:val="36"/>
          <w:lang w:eastAsia="en-US"/>
        </w:rPr>
      </w:pPr>
    </w:p>
    <w:p w14:paraId="2EC42215" w14:textId="77777777" w:rsidR="00505CF0" w:rsidRPr="00505CF0" w:rsidRDefault="00505CF0" w:rsidP="004C3EE0">
      <w:pPr>
        <w:spacing w:line="240" w:lineRule="auto"/>
        <w:jc w:val="both"/>
        <w:rPr>
          <w:rFonts w:asciiTheme="majorBidi" w:eastAsia="Times New Roman" w:hAnsiTheme="majorBidi" w:cstheme="majorBidi"/>
          <w:sz w:val="36"/>
          <w:szCs w:val="36"/>
          <w:lang w:eastAsia="en-US"/>
        </w:rPr>
      </w:pPr>
    </w:p>
    <w:p w14:paraId="7315A76F" w14:textId="7C0DE874" w:rsidR="0075424B" w:rsidRPr="00505CF0" w:rsidRDefault="00E25B4F" w:rsidP="004C3EE0">
      <w:pPr>
        <w:spacing w:line="480" w:lineRule="auto"/>
        <w:ind w:firstLine="720"/>
        <w:jc w:val="both"/>
        <w:rPr>
          <w:rFonts w:asciiTheme="majorBidi" w:eastAsia="Times New Roman" w:hAnsiTheme="majorBidi" w:cstheme="majorBidi"/>
          <w:b/>
          <w:sz w:val="36"/>
          <w:szCs w:val="36"/>
          <w:u w:val="single"/>
          <w:lang w:eastAsia="en-US"/>
        </w:rPr>
      </w:pPr>
      <w:r w:rsidRPr="00505CF0">
        <w:rPr>
          <w:rFonts w:asciiTheme="majorBidi" w:eastAsia="Times New Roman" w:hAnsiTheme="majorBidi" w:cstheme="majorBidi"/>
          <w:sz w:val="24"/>
          <w:szCs w:val="24"/>
          <w:lang w:eastAsia="en-US"/>
        </w:rPr>
        <w:t>Southward’s first serious published article introduces</w:t>
      </w:r>
      <w:r w:rsidR="00AB618A" w:rsidRPr="00505CF0">
        <w:rPr>
          <w:rFonts w:asciiTheme="majorBidi" w:eastAsia="Times New Roman" w:hAnsiTheme="majorBidi" w:cstheme="majorBidi"/>
          <w:sz w:val="24"/>
          <w:szCs w:val="24"/>
          <w:lang w:eastAsia="en-US"/>
        </w:rPr>
        <w:t xml:space="preserve"> and expands upon the 21</w:t>
      </w:r>
      <w:r w:rsidR="00AB618A" w:rsidRPr="00505CF0">
        <w:rPr>
          <w:rFonts w:asciiTheme="majorBidi" w:eastAsia="Times New Roman" w:hAnsiTheme="majorBidi" w:cstheme="majorBidi"/>
          <w:sz w:val="24"/>
          <w:szCs w:val="24"/>
          <w:vertAlign w:val="superscript"/>
          <w:lang w:eastAsia="en-US"/>
        </w:rPr>
        <w:t>st</w:t>
      </w:r>
      <w:r w:rsidR="00AB618A" w:rsidRPr="00505CF0">
        <w:rPr>
          <w:rFonts w:asciiTheme="majorBidi" w:eastAsia="Times New Roman" w:hAnsiTheme="majorBidi" w:cstheme="majorBidi"/>
          <w:sz w:val="24"/>
          <w:szCs w:val="24"/>
          <w:lang w:eastAsia="en-US"/>
        </w:rPr>
        <w:t xml:space="preserve"> century issue of ‘post-postmodernism.’ </w:t>
      </w:r>
      <w:r w:rsidR="0075424B" w:rsidRPr="00505CF0">
        <w:rPr>
          <w:rFonts w:asciiTheme="majorBidi" w:eastAsia="Times New Roman" w:hAnsiTheme="majorBidi" w:cstheme="majorBidi"/>
          <w:sz w:val="24"/>
          <w:szCs w:val="24"/>
          <w:lang w:eastAsia="en-US"/>
        </w:rPr>
        <w:t>Southward begins with an exploration of the described end of the Postmodern impulse, the dominant cultural mode of the late 20</w:t>
      </w:r>
      <w:r w:rsidR="0075424B" w:rsidRPr="00505CF0">
        <w:rPr>
          <w:rFonts w:asciiTheme="majorBidi" w:eastAsia="Times New Roman" w:hAnsiTheme="majorBidi" w:cstheme="majorBidi"/>
          <w:sz w:val="24"/>
          <w:szCs w:val="24"/>
          <w:vertAlign w:val="superscript"/>
          <w:lang w:eastAsia="en-US"/>
        </w:rPr>
        <w:t>th</w:t>
      </w:r>
      <w:r w:rsidR="0075424B" w:rsidRPr="00505CF0">
        <w:rPr>
          <w:rFonts w:asciiTheme="majorBidi" w:eastAsia="Times New Roman" w:hAnsiTheme="majorBidi" w:cstheme="majorBidi"/>
          <w:sz w:val="24"/>
          <w:szCs w:val="24"/>
          <w:lang w:eastAsia="en-US"/>
        </w:rPr>
        <w:t xml:space="preserve"> and early 21</w:t>
      </w:r>
      <w:r w:rsidR="0075424B" w:rsidRPr="00505CF0">
        <w:rPr>
          <w:rFonts w:asciiTheme="majorBidi" w:eastAsia="Times New Roman" w:hAnsiTheme="majorBidi" w:cstheme="majorBidi"/>
          <w:sz w:val="24"/>
          <w:szCs w:val="24"/>
          <w:vertAlign w:val="superscript"/>
          <w:lang w:eastAsia="en-US"/>
        </w:rPr>
        <w:t>st</w:t>
      </w:r>
      <w:r w:rsidR="0075424B" w:rsidRPr="00505CF0">
        <w:rPr>
          <w:rFonts w:asciiTheme="majorBidi" w:eastAsia="Times New Roman" w:hAnsiTheme="majorBidi" w:cstheme="majorBidi"/>
          <w:sz w:val="24"/>
          <w:szCs w:val="24"/>
          <w:lang w:eastAsia="en-US"/>
        </w:rPr>
        <w:t xml:space="preserve"> century, which was definitively declining in the eyes of cultural critics around the time that Southward received his PhD. Deconstructive and highly ironical, the surface-only years of postmodern pastiche and parody were beginning to wane and in their place new paradigms vied for the opportunity to claim the title as the true heir to the postmodern throne. Interestingly enough, this essay marks the first use by Southward of the term ‘Dystopian </w:t>
      </w:r>
      <w:r w:rsidR="00EF6692">
        <w:rPr>
          <w:rFonts w:asciiTheme="majorBidi" w:eastAsia="Times New Roman" w:hAnsiTheme="majorBidi" w:cstheme="majorBidi"/>
          <w:sz w:val="24"/>
          <w:szCs w:val="24"/>
          <w:lang w:eastAsia="en-US"/>
        </w:rPr>
        <w:t>Resignation</w:t>
      </w:r>
      <w:r w:rsidR="0075424B" w:rsidRPr="00505CF0">
        <w:rPr>
          <w:rFonts w:asciiTheme="majorBidi" w:eastAsia="Times New Roman" w:hAnsiTheme="majorBidi" w:cstheme="majorBidi"/>
          <w:sz w:val="24"/>
          <w:szCs w:val="24"/>
          <w:lang w:eastAsia="en-US"/>
        </w:rPr>
        <w:t>,’ a newly monikered term that would become all too familiar by the time of his scientifically extended reign. While somewhat inchoate, this initial representation of dystopian reluctance, or acceptance, is unique in showcasing a more human side of the tyrant-to-be, particularly through his analysis of children’s television in his argument, evidencing a potential predilection for the cartoon medium that we have hitherto never thought possible of the man.</w:t>
      </w:r>
    </w:p>
    <w:p w14:paraId="61CB7EF3" w14:textId="3C9BB43C" w:rsidR="0075424B" w:rsidRPr="00505CF0" w:rsidRDefault="0075424B" w:rsidP="004C3EE0">
      <w:pPr>
        <w:keepNext/>
        <w:tabs>
          <w:tab w:val="left" w:pos="720"/>
        </w:tabs>
        <w:spacing w:line="480" w:lineRule="auto"/>
        <w:jc w:val="both"/>
        <w:outlineLvl w:val="0"/>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b/>
        <w:t xml:space="preserve">The main argument follows an analysis of the end of the postmodern, the series of potential monikers for the new epoch to come that had arisen in the aftermath, and Southward’s own analysis of contemporary culture based on his research into these </w:t>
      </w:r>
      <w:r w:rsidR="00F12BEE" w:rsidRPr="00505CF0">
        <w:rPr>
          <w:rFonts w:asciiTheme="majorBidi" w:eastAsia="Times New Roman" w:hAnsiTheme="majorBidi" w:cstheme="majorBidi"/>
          <w:sz w:val="24"/>
          <w:szCs w:val="24"/>
          <w:lang w:eastAsia="en-US"/>
        </w:rPr>
        <w:t xml:space="preserve">factors. </w:t>
      </w:r>
      <w:r w:rsidR="004C3EE0" w:rsidRPr="00505CF0">
        <w:rPr>
          <w:rFonts w:asciiTheme="majorBidi" w:eastAsia="Times New Roman" w:hAnsiTheme="majorBidi" w:cstheme="majorBidi"/>
          <w:sz w:val="24"/>
          <w:szCs w:val="24"/>
          <w:lang w:eastAsia="en-US"/>
        </w:rPr>
        <w:t xml:space="preserve">I offer no remarks on it, and make few additions to it, leaving everyone to judge for </w:t>
      </w:r>
      <w:proofErr w:type="gramStart"/>
      <w:r w:rsidR="004C3EE0" w:rsidRPr="00505CF0">
        <w:rPr>
          <w:rFonts w:asciiTheme="majorBidi" w:eastAsia="Times New Roman" w:hAnsiTheme="majorBidi" w:cstheme="majorBidi"/>
          <w:sz w:val="24"/>
          <w:szCs w:val="24"/>
          <w:lang w:eastAsia="en-US"/>
        </w:rPr>
        <w:t>himself</w:t>
      </w:r>
      <w:proofErr w:type="gramEnd"/>
      <w:r w:rsidR="004C3EE0" w:rsidRPr="00505CF0">
        <w:rPr>
          <w:rFonts w:asciiTheme="majorBidi" w:eastAsia="Times New Roman" w:hAnsiTheme="majorBidi" w:cstheme="majorBidi"/>
          <w:sz w:val="24"/>
          <w:szCs w:val="24"/>
          <w:lang w:eastAsia="en-US"/>
        </w:rPr>
        <w:t>. We have heard much of the rage of fanaticism in former days, but nothing to this.</w:t>
      </w:r>
      <w:r w:rsidRPr="00505CF0">
        <w:rPr>
          <w:rFonts w:asciiTheme="majorBidi" w:eastAsia="Times New Roman" w:hAnsiTheme="majorBidi" w:cstheme="majorBidi"/>
          <w:sz w:val="24"/>
          <w:szCs w:val="24"/>
          <w:lang w:eastAsia="en-US"/>
        </w:rPr>
        <w:t xml:space="preserve"> </w:t>
      </w:r>
    </w:p>
    <w:p w14:paraId="3BC133BD" w14:textId="25A4E6BB" w:rsidR="0075424B" w:rsidRPr="00505CF0" w:rsidRDefault="0075424B" w:rsidP="004C3EE0">
      <w:pPr>
        <w:keepNext/>
        <w:tabs>
          <w:tab w:val="left" w:pos="720"/>
        </w:tabs>
        <w:spacing w:line="240" w:lineRule="auto"/>
        <w:jc w:val="right"/>
        <w:outlineLvl w:val="0"/>
        <w:rPr>
          <w:rFonts w:asciiTheme="majorBidi" w:eastAsia="Times New Roman" w:hAnsiTheme="majorBidi" w:cstheme="majorBidi"/>
          <w:sz w:val="24"/>
          <w:szCs w:val="24"/>
          <w:lang w:eastAsia="en-US"/>
        </w:rPr>
      </w:pPr>
      <w:r w:rsidRPr="00505CF0">
        <w:rPr>
          <w:rFonts w:asciiTheme="majorBidi" w:eastAsia="Times New Roman" w:hAnsiTheme="majorBidi" w:cstheme="majorBidi"/>
          <w:sz w:val="24"/>
          <w:szCs w:val="24"/>
          <w:lang w:eastAsia="en-US"/>
        </w:rPr>
        <w:tab/>
      </w:r>
      <w:r w:rsidR="004C3EE0" w:rsidRPr="00505CF0">
        <w:rPr>
          <w:rFonts w:asciiTheme="majorBidi" w:eastAsia="Times New Roman" w:hAnsiTheme="majorBidi" w:cstheme="majorBidi"/>
          <w:sz w:val="32"/>
          <w:szCs w:val="32"/>
          <w:lang w:eastAsia="en-US"/>
        </w:rPr>
        <w:t>A</w:t>
      </w:r>
      <w:r w:rsidR="004C3EE0" w:rsidRPr="00505CF0">
        <w:rPr>
          <w:rFonts w:asciiTheme="majorBidi" w:eastAsia="Times New Roman" w:hAnsiTheme="majorBidi" w:cstheme="majorBidi"/>
          <w:sz w:val="24"/>
          <w:szCs w:val="24"/>
          <w:lang w:eastAsia="en-US"/>
        </w:rPr>
        <w:t>RCOT</w:t>
      </w:r>
      <w:r w:rsidR="004C3EE0" w:rsidRPr="00505CF0">
        <w:rPr>
          <w:rFonts w:asciiTheme="majorBidi" w:eastAsia="Times New Roman" w:hAnsiTheme="majorBidi" w:cstheme="majorBidi"/>
          <w:sz w:val="28"/>
          <w:szCs w:val="28"/>
          <w:lang w:eastAsia="en-US"/>
        </w:rPr>
        <w:t xml:space="preserve"> </w:t>
      </w:r>
      <w:r w:rsidR="008E510B" w:rsidRPr="00505CF0">
        <w:rPr>
          <w:rFonts w:asciiTheme="majorBidi" w:eastAsia="Times New Roman" w:hAnsiTheme="majorBidi" w:cstheme="majorBidi"/>
          <w:sz w:val="32"/>
          <w:szCs w:val="32"/>
          <w:lang w:eastAsia="en-US"/>
        </w:rPr>
        <w:t>C.</w:t>
      </w:r>
      <w:r w:rsidR="008E510B" w:rsidRPr="00505CF0">
        <w:rPr>
          <w:rFonts w:asciiTheme="majorBidi" w:eastAsia="Times New Roman" w:hAnsiTheme="majorBidi" w:cstheme="majorBidi"/>
          <w:sz w:val="28"/>
          <w:szCs w:val="28"/>
          <w:lang w:eastAsia="en-US"/>
        </w:rPr>
        <w:t xml:space="preserve"> </w:t>
      </w:r>
      <w:r w:rsidR="004C3EE0" w:rsidRPr="00505CF0">
        <w:rPr>
          <w:rFonts w:asciiTheme="majorBidi" w:eastAsia="Times New Roman" w:hAnsiTheme="majorBidi" w:cstheme="majorBidi"/>
          <w:sz w:val="32"/>
          <w:szCs w:val="32"/>
          <w:lang w:eastAsia="en-US"/>
        </w:rPr>
        <w:t>O</w:t>
      </w:r>
      <w:r w:rsidR="004C3EE0" w:rsidRPr="00505CF0">
        <w:rPr>
          <w:rFonts w:asciiTheme="majorBidi" w:eastAsia="Times New Roman" w:hAnsiTheme="majorBidi" w:cstheme="majorBidi"/>
          <w:sz w:val="24"/>
          <w:szCs w:val="24"/>
          <w:lang w:eastAsia="en-US"/>
        </w:rPr>
        <w:t>SBEORN</w:t>
      </w:r>
    </w:p>
    <w:p w14:paraId="5046081D" w14:textId="0DA09995" w:rsidR="0075424B" w:rsidRPr="00505CF0" w:rsidRDefault="0075424B" w:rsidP="004C3EE0">
      <w:pPr>
        <w:spacing w:line="240" w:lineRule="auto"/>
        <w:jc w:val="both"/>
        <w:rPr>
          <w:rFonts w:asciiTheme="majorBidi" w:eastAsia="Times New Roman" w:hAnsiTheme="majorBidi" w:cstheme="majorBidi"/>
          <w:b/>
          <w:sz w:val="32"/>
          <w:szCs w:val="20"/>
          <w:u w:val="single"/>
          <w:lang w:eastAsia="en-US"/>
        </w:rPr>
      </w:pPr>
      <w:r w:rsidRPr="00505CF0">
        <w:rPr>
          <w:rFonts w:asciiTheme="majorBidi" w:eastAsia="Times New Roman" w:hAnsiTheme="majorBidi" w:cstheme="majorBidi"/>
          <w:b/>
          <w:sz w:val="32"/>
          <w:szCs w:val="20"/>
          <w:u w:val="single"/>
          <w:lang w:eastAsia="en-US"/>
        </w:rPr>
        <w:br w:type="page"/>
      </w:r>
    </w:p>
    <w:p w14:paraId="39A140E1" w14:textId="77777777" w:rsidR="00967358" w:rsidRDefault="00967358">
      <w:pPr>
        <w:spacing w:line="240" w:lineRule="auto"/>
        <w:rPr>
          <w:rFonts w:asciiTheme="majorBidi" w:eastAsia="Times New Roman" w:hAnsiTheme="majorBidi" w:cstheme="majorBidi"/>
          <w:b/>
          <w:sz w:val="32"/>
          <w:szCs w:val="20"/>
          <w:u w:val="single"/>
          <w:lang w:eastAsia="en-US"/>
        </w:rPr>
      </w:pPr>
      <w:r>
        <w:rPr>
          <w:rFonts w:asciiTheme="majorBidi" w:eastAsia="Times New Roman" w:hAnsiTheme="majorBidi" w:cstheme="majorBidi"/>
          <w:b/>
          <w:sz w:val="32"/>
          <w:szCs w:val="20"/>
          <w:u w:val="single"/>
          <w:lang w:eastAsia="en-US"/>
        </w:rPr>
        <w:lastRenderedPageBreak/>
        <w:br w:type="page"/>
      </w:r>
    </w:p>
    <w:p w14:paraId="72AAEE66" w14:textId="6A7A3BD1" w:rsidR="00A45A4E" w:rsidRPr="00505CF0" w:rsidRDefault="00E37E3E" w:rsidP="00E37E3E">
      <w:pPr>
        <w:keepNext/>
        <w:tabs>
          <w:tab w:val="left" w:pos="737"/>
        </w:tabs>
        <w:spacing w:line="240" w:lineRule="auto"/>
        <w:jc w:val="center"/>
        <w:outlineLvl w:val="0"/>
        <w:rPr>
          <w:rFonts w:asciiTheme="majorBidi" w:eastAsia="Times New Roman" w:hAnsiTheme="majorBidi" w:cstheme="majorBidi"/>
          <w:b/>
          <w:sz w:val="32"/>
          <w:szCs w:val="20"/>
          <w:lang w:eastAsia="en-US"/>
        </w:rPr>
      </w:pPr>
      <w:r w:rsidRPr="00E37E3E">
        <w:rPr>
          <w:rFonts w:asciiTheme="majorBidi" w:eastAsia="Times New Roman" w:hAnsiTheme="majorBidi" w:cstheme="majorBidi"/>
          <w:b/>
          <w:sz w:val="36"/>
          <w:szCs w:val="21"/>
          <w:lang w:eastAsia="en-US"/>
        </w:rPr>
        <w:lastRenderedPageBreak/>
        <w:t>T</w:t>
      </w:r>
      <w:r w:rsidRPr="00E37E3E">
        <w:rPr>
          <w:rFonts w:asciiTheme="majorBidi" w:eastAsia="Times New Roman" w:hAnsiTheme="majorBidi" w:cstheme="majorBidi"/>
          <w:b/>
          <w:sz w:val="28"/>
          <w:szCs w:val="18"/>
          <w:lang w:eastAsia="en-US"/>
        </w:rPr>
        <w:t>HE</w:t>
      </w:r>
      <w:r>
        <w:rPr>
          <w:rFonts w:asciiTheme="majorBidi" w:eastAsia="Times New Roman" w:hAnsiTheme="majorBidi" w:cstheme="majorBidi"/>
          <w:b/>
          <w:sz w:val="32"/>
          <w:szCs w:val="20"/>
          <w:lang w:eastAsia="en-US"/>
        </w:rPr>
        <w:t xml:space="preserve"> </w:t>
      </w:r>
      <w:r w:rsidRPr="00E37E3E">
        <w:rPr>
          <w:rFonts w:asciiTheme="majorBidi" w:eastAsia="Times New Roman" w:hAnsiTheme="majorBidi" w:cstheme="majorBidi"/>
          <w:b/>
          <w:sz w:val="36"/>
          <w:szCs w:val="21"/>
          <w:lang w:eastAsia="en-US"/>
        </w:rPr>
        <w:t>P</w:t>
      </w:r>
      <w:r w:rsidRPr="00E37E3E">
        <w:rPr>
          <w:rFonts w:asciiTheme="majorBidi" w:eastAsia="Times New Roman" w:hAnsiTheme="majorBidi" w:cstheme="majorBidi"/>
          <w:b/>
          <w:sz w:val="28"/>
          <w:szCs w:val="18"/>
          <w:lang w:eastAsia="en-US"/>
        </w:rPr>
        <w:t>OST</w:t>
      </w:r>
      <w:r>
        <w:rPr>
          <w:rFonts w:asciiTheme="majorBidi" w:eastAsia="Times New Roman" w:hAnsiTheme="majorBidi" w:cstheme="majorBidi"/>
          <w:b/>
          <w:sz w:val="32"/>
          <w:szCs w:val="20"/>
          <w:lang w:eastAsia="en-US"/>
        </w:rPr>
        <w:t>-</w:t>
      </w:r>
      <w:r w:rsidRPr="00E37E3E">
        <w:rPr>
          <w:rFonts w:asciiTheme="majorBidi" w:eastAsia="Times New Roman" w:hAnsiTheme="majorBidi" w:cstheme="majorBidi"/>
          <w:b/>
          <w:sz w:val="36"/>
          <w:szCs w:val="21"/>
          <w:lang w:eastAsia="en-US"/>
        </w:rPr>
        <w:t>P</w:t>
      </w:r>
      <w:r w:rsidRPr="00E37E3E">
        <w:rPr>
          <w:rFonts w:asciiTheme="majorBidi" w:eastAsia="Times New Roman" w:hAnsiTheme="majorBidi" w:cstheme="majorBidi"/>
          <w:b/>
          <w:sz w:val="28"/>
          <w:szCs w:val="18"/>
          <w:lang w:eastAsia="en-US"/>
        </w:rPr>
        <w:t xml:space="preserve">OSTMODERN </w:t>
      </w:r>
      <w:r w:rsidRPr="00E37E3E">
        <w:rPr>
          <w:rFonts w:asciiTheme="majorBidi" w:eastAsia="Times New Roman" w:hAnsiTheme="majorBidi" w:cstheme="majorBidi"/>
          <w:b/>
          <w:sz w:val="36"/>
          <w:szCs w:val="21"/>
          <w:lang w:eastAsia="en-US"/>
        </w:rPr>
        <w:t>P</w:t>
      </w:r>
      <w:r w:rsidRPr="00E37E3E">
        <w:rPr>
          <w:rFonts w:asciiTheme="majorBidi" w:eastAsia="Times New Roman" w:hAnsiTheme="majorBidi" w:cstheme="majorBidi"/>
          <w:b/>
          <w:sz w:val="28"/>
          <w:szCs w:val="18"/>
          <w:lang w:eastAsia="en-US"/>
        </w:rPr>
        <w:t>ROBLEM</w:t>
      </w:r>
    </w:p>
    <w:p w14:paraId="1F2BBA99" w14:textId="77777777" w:rsidR="009B748A" w:rsidRDefault="009B748A"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p>
    <w:p w14:paraId="6B08BDA9" w14:textId="77777777" w:rsidR="00E37E3E" w:rsidRPr="00505CF0" w:rsidRDefault="00E37E3E"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p>
    <w:p w14:paraId="3F587C72" w14:textId="661E97DB" w:rsidR="00C111D3" w:rsidRPr="00505CF0" w:rsidRDefault="00C111D3"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r w:rsidRPr="00505CF0">
        <w:rPr>
          <w:rFonts w:asciiTheme="majorBidi" w:eastAsia="Times New Roman" w:hAnsiTheme="majorBidi" w:cstheme="majorBidi"/>
          <w:b/>
          <w:sz w:val="32"/>
          <w:szCs w:val="20"/>
          <w:lang w:eastAsia="en-US"/>
        </w:rPr>
        <w:t>1.</w:t>
      </w:r>
      <w:r w:rsidRPr="00505CF0">
        <w:rPr>
          <w:rFonts w:asciiTheme="majorBidi" w:eastAsia="Times New Roman" w:hAnsiTheme="majorBidi" w:cstheme="majorBidi"/>
          <w:b/>
          <w:sz w:val="32"/>
          <w:szCs w:val="20"/>
          <w:lang w:eastAsia="en-US"/>
        </w:rPr>
        <w:tab/>
        <w:t xml:space="preserve">Introduction </w:t>
      </w:r>
    </w:p>
    <w:p w14:paraId="5031B0E2" w14:textId="1AE7DA98" w:rsidR="002A2E06" w:rsidRPr="00505CF0" w:rsidRDefault="002A2E06" w:rsidP="004C3EE0">
      <w:pPr>
        <w:spacing w:line="480" w:lineRule="auto"/>
        <w:jc w:val="both"/>
        <w:rPr>
          <w:rFonts w:asciiTheme="majorBidi" w:hAnsiTheme="majorBidi" w:cstheme="majorBidi"/>
          <w:sz w:val="24"/>
          <w:szCs w:val="24"/>
        </w:rPr>
      </w:pPr>
    </w:p>
    <w:p w14:paraId="7BDA2E3F" w14:textId="2B31946A"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It has been said that postmodernism, the dominant cultural and artistic paradigm of the last half-century, is dead. Linda Hutcheon, one of the great postmodern voices of our time, with her finger firmly on the pulse – or lack thereof – of society claims that ‘the postmodern moment has passed,’</w:t>
      </w:r>
      <w:r w:rsidRPr="00505CF0">
        <w:rPr>
          <w:rStyle w:val="FootnoteReference"/>
          <w:rFonts w:asciiTheme="majorBidi" w:hAnsiTheme="majorBidi" w:cstheme="majorBidi"/>
          <w:sz w:val="24"/>
          <w:szCs w:val="24"/>
        </w:rPr>
        <w:footnoteReference w:id="2"/>
      </w:r>
      <w:r w:rsidRPr="00505CF0">
        <w:rPr>
          <w:rFonts w:asciiTheme="majorBidi" w:hAnsiTheme="majorBidi" w:cstheme="majorBidi"/>
          <w:sz w:val="24"/>
          <w:szCs w:val="24"/>
        </w:rPr>
        <w:t xml:space="preserve"> and that it is now ‘a thing of the past,’</w:t>
      </w:r>
      <w:r w:rsidRPr="00505CF0">
        <w:rPr>
          <w:rStyle w:val="FootnoteReference"/>
          <w:rFonts w:asciiTheme="majorBidi" w:hAnsiTheme="majorBidi" w:cstheme="majorBidi"/>
          <w:sz w:val="24"/>
          <w:szCs w:val="24"/>
        </w:rPr>
        <w:footnoteReference w:id="3"/>
      </w:r>
      <w:r w:rsidRPr="00505CF0">
        <w:rPr>
          <w:rFonts w:asciiTheme="majorBidi" w:hAnsiTheme="majorBidi" w:cstheme="majorBidi"/>
          <w:sz w:val="24"/>
          <w:szCs w:val="24"/>
        </w:rPr>
        <w:t xml:space="preserve"> famously inviting us to ‘just say it: It's over.’</w:t>
      </w:r>
      <w:r w:rsidRPr="00505CF0">
        <w:rPr>
          <w:rStyle w:val="FootnoteReference"/>
          <w:rFonts w:asciiTheme="majorBidi" w:hAnsiTheme="majorBidi" w:cstheme="majorBidi"/>
          <w:color w:val="000000" w:themeColor="text1"/>
          <w:sz w:val="24"/>
          <w:szCs w:val="24"/>
        </w:rPr>
        <w:footnoteReference w:id="4"/>
      </w:r>
      <w:r w:rsidRPr="00505CF0">
        <w:rPr>
          <w:rFonts w:asciiTheme="majorBidi" w:hAnsiTheme="majorBidi" w:cstheme="majorBidi"/>
          <w:color w:val="000000" w:themeColor="text1"/>
          <w:sz w:val="24"/>
          <w:szCs w:val="24"/>
        </w:rPr>
        <w:t xml:space="preserve"> </w:t>
      </w:r>
      <w:r w:rsidRPr="00505CF0">
        <w:rPr>
          <w:rFonts w:asciiTheme="majorBidi" w:hAnsiTheme="majorBidi" w:cstheme="majorBidi"/>
          <w:sz w:val="24"/>
          <w:szCs w:val="24"/>
        </w:rPr>
        <w:t>Postmodernism, it seems, having been in slow decline and very ill-health since the late 1980s, ‘lingering at death’s door, refusing to pass definitively for some time,’</w:t>
      </w:r>
      <w:r w:rsidRPr="00505CF0">
        <w:rPr>
          <w:rStyle w:val="FootnoteReference"/>
          <w:rFonts w:asciiTheme="majorBidi" w:hAnsiTheme="majorBidi" w:cstheme="majorBidi"/>
          <w:sz w:val="24"/>
          <w:szCs w:val="24"/>
        </w:rPr>
        <w:footnoteReference w:id="5"/>
      </w:r>
      <w:r w:rsidRPr="00505CF0">
        <w:rPr>
          <w:rFonts w:asciiTheme="majorBidi" w:hAnsiTheme="majorBidi" w:cstheme="majorBidi"/>
          <w:sz w:val="24"/>
          <w:szCs w:val="24"/>
        </w:rPr>
        <w:t xml:space="preserve"> died</w:t>
      </w:r>
      <w:r w:rsidR="00EF6692">
        <w:rPr>
          <w:rFonts w:asciiTheme="majorBidi" w:hAnsiTheme="majorBidi" w:cstheme="majorBidi"/>
          <w:sz w:val="24"/>
          <w:szCs w:val="24"/>
        </w:rPr>
        <w:t>, according to David Ciccoricco,</w:t>
      </w:r>
      <w:r w:rsidRPr="00505CF0">
        <w:rPr>
          <w:rFonts w:asciiTheme="majorBidi" w:hAnsiTheme="majorBidi" w:cstheme="majorBidi"/>
          <w:sz w:val="24"/>
          <w:szCs w:val="24"/>
        </w:rPr>
        <w:t xml:space="preserve"> ‘exactly on the morning of September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2001.’</w:t>
      </w:r>
      <w:r w:rsidRPr="00505CF0">
        <w:rPr>
          <w:rStyle w:val="FootnoteReference"/>
          <w:rFonts w:asciiTheme="majorBidi" w:hAnsiTheme="majorBidi" w:cstheme="majorBidi"/>
          <w:sz w:val="24"/>
          <w:szCs w:val="24"/>
        </w:rPr>
        <w:footnoteReference w:id="6"/>
      </w:r>
      <w:r w:rsidRPr="00505CF0">
        <w:rPr>
          <w:rFonts w:asciiTheme="majorBidi" w:hAnsiTheme="majorBidi" w:cstheme="majorBidi"/>
          <w:sz w:val="24"/>
          <w:szCs w:val="24"/>
        </w:rPr>
        <w:t xml:space="preserve"> Brian McHale too puts weight behind this last specific date being the direct end of </w:t>
      </w:r>
      <w:r w:rsidR="004104E4">
        <w:rPr>
          <w:rFonts w:asciiTheme="majorBidi" w:hAnsiTheme="majorBidi" w:cstheme="majorBidi"/>
          <w:sz w:val="24"/>
          <w:szCs w:val="24"/>
        </w:rPr>
        <w:t>postmodernism,</w:t>
      </w:r>
      <w:r w:rsidRPr="00505CF0">
        <w:rPr>
          <w:rFonts w:asciiTheme="majorBidi" w:hAnsiTheme="majorBidi" w:cstheme="majorBidi"/>
          <w:sz w:val="24"/>
          <w:szCs w:val="24"/>
        </w:rPr>
        <w:t xml:space="preserve"> suggesting that ‘on 9/11 history finally caught up with our postmodern imagination of disaster, and we are now living in the aftermath of postmodernism.’</w:t>
      </w:r>
      <w:r w:rsidRPr="00505CF0">
        <w:rPr>
          <w:rStyle w:val="FootnoteReference"/>
          <w:rFonts w:asciiTheme="majorBidi" w:hAnsiTheme="majorBidi" w:cstheme="majorBidi"/>
          <w:sz w:val="24"/>
          <w:szCs w:val="24"/>
        </w:rPr>
        <w:footnoteReference w:id="7"/>
      </w:r>
      <w:r w:rsidRPr="00505CF0">
        <w:rPr>
          <w:rFonts w:asciiTheme="majorBidi" w:hAnsiTheme="majorBidi" w:cstheme="majorBidi"/>
          <w:sz w:val="24"/>
          <w:szCs w:val="24"/>
        </w:rPr>
        <w:t xml:space="preserve"> We have, it is clear, moved on and left postmodernism for dead, interred in the rubble of the eleventh of September, 2001.</w:t>
      </w:r>
      <w:r w:rsidRPr="00505CF0">
        <w:rPr>
          <w:rStyle w:val="FootnoteReference"/>
          <w:rFonts w:asciiTheme="majorBidi" w:hAnsiTheme="majorBidi" w:cstheme="majorBidi"/>
          <w:sz w:val="24"/>
          <w:szCs w:val="24"/>
        </w:rPr>
        <w:footnoteReference w:id="8"/>
      </w:r>
      <w:r w:rsidRPr="00505CF0">
        <w:rPr>
          <w:rFonts w:asciiTheme="majorBidi" w:hAnsiTheme="majorBidi" w:cstheme="majorBidi"/>
          <w:sz w:val="24"/>
          <w:szCs w:val="24"/>
        </w:rPr>
        <w:t xml:space="preserve"> The tragic attacks on the World Trade Centre sparked a global debate about the role of postmodernism in the west, with critical commentators crying out for new ‘transcendent ethical perspectives,’</w:t>
      </w:r>
      <w:r w:rsidRPr="00505CF0">
        <w:rPr>
          <w:rStyle w:val="FootnoteReference"/>
          <w:rFonts w:asciiTheme="majorBidi" w:hAnsiTheme="majorBidi" w:cstheme="majorBidi"/>
          <w:sz w:val="24"/>
          <w:szCs w:val="24"/>
        </w:rPr>
        <w:footnoteReference w:id="9"/>
      </w:r>
      <w:r w:rsidRPr="00505CF0">
        <w:rPr>
          <w:rFonts w:asciiTheme="majorBidi" w:hAnsiTheme="majorBidi" w:cstheme="majorBidi"/>
          <w:sz w:val="24"/>
          <w:szCs w:val="24"/>
        </w:rPr>
        <w:t xml:space="preserve"> along with, naturally, the return of a belief in the grand </w:t>
      </w:r>
      <w:r w:rsidRPr="00505CF0">
        <w:rPr>
          <w:rFonts w:asciiTheme="majorBidi" w:hAnsiTheme="majorBidi" w:cstheme="majorBidi"/>
          <w:sz w:val="24"/>
          <w:szCs w:val="24"/>
        </w:rPr>
        <w:lastRenderedPageBreak/>
        <w:t>narrative of evil, and an end to irony in order to properly respond to the tragedy.</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10"/>
      </w:r>
      <w:r w:rsidRPr="00505CF0">
        <w:rPr>
          <w:rFonts w:asciiTheme="majorBidi" w:hAnsiTheme="majorBidi" w:cstheme="majorBidi"/>
          <w:sz w:val="24"/>
          <w:szCs w:val="24"/>
        </w:rPr>
        <w:t xml:space="preserve"> This last point, in particular, marked a significant change in contemporary culture and the end of the postmodern; irony, so integral to the postmodern agenda, could not possibly explain or examine the attacks of September the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As William Zinsser stated, ‘there was nothing ironic about 9/11. Or about the never-ending wars it ignited in Iraq and Afghanistan. </w:t>
      </w:r>
      <w:proofErr w:type="gramStart"/>
      <w:r w:rsidRPr="00505CF0">
        <w:rPr>
          <w:rFonts w:asciiTheme="majorBidi" w:hAnsiTheme="majorBidi" w:cstheme="majorBidi"/>
          <w:sz w:val="24"/>
          <w:szCs w:val="24"/>
        </w:rPr>
        <w:t>Or about the torture of political prisoners at Guantánamo Bay.</w:t>
      </w:r>
      <w:proofErr w:type="gramEnd"/>
      <w:r w:rsidRPr="00505CF0">
        <w:rPr>
          <w:rFonts w:asciiTheme="majorBidi" w:hAnsiTheme="majorBidi" w:cstheme="majorBidi"/>
          <w:sz w:val="24"/>
          <w:szCs w:val="24"/>
        </w:rPr>
        <w:t xml:space="preserve"> It was a new planet and a new age. </w:t>
      </w:r>
      <w:proofErr w:type="gramStart"/>
      <w:r w:rsidRPr="00505CF0">
        <w:rPr>
          <w:rFonts w:asciiTheme="majorBidi" w:hAnsiTheme="majorBidi" w:cstheme="majorBidi"/>
          <w:sz w:val="24"/>
          <w:szCs w:val="24"/>
        </w:rPr>
        <w:t>Post-ironic.’</w:t>
      </w:r>
      <w:proofErr w:type="gramEnd"/>
      <w:r w:rsidRPr="00505CF0">
        <w:rPr>
          <w:rStyle w:val="FootnoteReference"/>
          <w:rFonts w:asciiTheme="majorBidi" w:hAnsiTheme="majorBidi" w:cstheme="majorBidi"/>
          <w:sz w:val="24"/>
          <w:szCs w:val="24"/>
        </w:rPr>
        <w:footnoteReference w:id="11"/>
      </w:r>
      <w:r w:rsidRPr="00505CF0">
        <w:rPr>
          <w:rFonts w:asciiTheme="majorBidi" w:hAnsiTheme="majorBidi" w:cstheme="majorBidi"/>
          <w:sz w:val="24"/>
          <w:szCs w:val="24"/>
        </w:rPr>
        <w:t xml:space="preserve"> Irony, in the literary (and postmodern) sense that the surface meaning of presented artefacts or actions are definitively dissimilar from the underlying meaning, suddenly appeared an inappropriate tool in answering the charges of contemporary life. September the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began to mark a shift away from irony and towards something altogether more ‘authentic’ – ‘encompassing notions of “the original,” “the real”, sincerity and validity’</w:t>
      </w:r>
      <w:r w:rsidRPr="00505CF0">
        <w:rPr>
          <w:rStyle w:val="FootnoteReference"/>
          <w:rFonts w:asciiTheme="majorBidi" w:hAnsiTheme="majorBidi" w:cstheme="majorBidi"/>
          <w:sz w:val="24"/>
          <w:szCs w:val="24"/>
        </w:rPr>
        <w:footnoteReference w:id="12"/>
      </w:r>
      <w:r w:rsidRPr="00505CF0">
        <w:rPr>
          <w:rFonts w:asciiTheme="majorBidi" w:hAnsiTheme="majorBidi" w:cstheme="majorBidi"/>
          <w:sz w:val="24"/>
          <w:szCs w:val="24"/>
        </w:rPr>
        <w:t xml:space="preserve"> – a shift that has continued to develop until the present day. As other critics have supported, current cultural trends and tendencies can no longer be explained in terms of the postmodern </w:t>
      </w:r>
      <w:r w:rsidRPr="00505CF0">
        <w:rPr>
          <w:rStyle w:val="FootnoteReference"/>
          <w:rFonts w:asciiTheme="majorBidi" w:hAnsiTheme="majorBidi" w:cstheme="majorBidi"/>
          <w:sz w:val="24"/>
          <w:szCs w:val="24"/>
        </w:rPr>
        <w:footnoteReference w:id="13"/>
      </w:r>
      <w:r w:rsidRPr="00505CF0">
        <w:rPr>
          <w:rFonts w:asciiTheme="majorBidi" w:hAnsiTheme="majorBidi" w:cstheme="majorBidi"/>
          <w:sz w:val="24"/>
          <w:szCs w:val="24"/>
        </w:rPr>
        <w:t xml:space="preserve"> and the ‘tyranny of irony,’ as described by Wallace as that which left us ‘feeling not only empty but somehow … oppressed,’</w:t>
      </w:r>
      <w:r w:rsidRPr="00505CF0">
        <w:rPr>
          <w:rStyle w:val="FootnoteReference"/>
          <w:rFonts w:asciiTheme="majorBidi" w:hAnsiTheme="majorBidi" w:cstheme="majorBidi"/>
          <w:sz w:val="24"/>
          <w:szCs w:val="24"/>
        </w:rPr>
        <w:footnoteReference w:id="14"/>
      </w:r>
      <w:r w:rsidRPr="00505CF0">
        <w:rPr>
          <w:rFonts w:asciiTheme="majorBidi" w:hAnsiTheme="majorBidi" w:cstheme="majorBidi"/>
          <w:sz w:val="24"/>
          <w:szCs w:val="24"/>
        </w:rPr>
        <w:t xml:space="preserve"> has seemingly been disrupted, leaving the current cultural zeitgeist in flux.</w:t>
      </w:r>
    </w:p>
    <w:p w14:paraId="7C2D1A59" w14:textId="3C5E32A5"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‘How did we get here?’ one might very well ask. There has, by this point, begun to emerge a great number of essays exploring just that topic, including Niamh Coghlan’s </w:t>
      </w:r>
      <w:r w:rsidRPr="00505CF0">
        <w:rPr>
          <w:rFonts w:asciiTheme="majorBidi" w:hAnsiTheme="majorBidi" w:cstheme="majorBidi"/>
          <w:i/>
          <w:iCs/>
          <w:sz w:val="24"/>
          <w:szCs w:val="24"/>
        </w:rPr>
        <w:t xml:space="preserve">The End of Postmodernism, </w:t>
      </w:r>
      <w:r w:rsidRPr="00505CF0">
        <w:rPr>
          <w:rFonts w:asciiTheme="majorBidi" w:hAnsiTheme="majorBidi" w:cstheme="majorBidi"/>
          <w:sz w:val="24"/>
          <w:szCs w:val="24"/>
        </w:rPr>
        <w:t xml:space="preserve">Nealon’s </w:t>
      </w:r>
      <w:r w:rsidRPr="00505CF0">
        <w:rPr>
          <w:rFonts w:asciiTheme="majorBidi" w:hAnsiTheme="majorBidi" w:cstheme="majorBidi"/>
          <w:i/>
          <w:iCs/>
          <w:sz w:val="24"/>
          <w:szCs w:val="24"/>
        </w:rPr>
        <w:t>Post-Postmodernism; or, The Cultural Logic of Just-in-Time Capitalism</w:t>
      </w:r>
      <w:r w:rsidRPr="00505CF0">
        <w:rPr>
          <w:rFonts w:asciiTheme="majorBidi" w:hAnsiTheme="majorBidi" w:cstheme="majorBidi"/>
          <w:sz w:val="24"/>
          <w:szCs w:val="24"/>
        </w:rPr>
        <w:t xml:space="preserve">, and Andrew Hoberek’s epilogue to </w:t>
      </w:r>
      <w:r w:rsidRPr="00505CF0">
        <w:rPr>
          <w:rFonts w:asciiTheme="majorBidi" w:hAnsiTheme="majorBidi" w:cstheme="majorBidi"/>
          <w:i/>
          <w:iCs/>
          <w:sz w:val="24"/>
          <w:szCs w:val="24"/>
        </w:rPr>
        <w:t xml:space="preserve">The Cambridge History of Postmodern </w:t>
      </w:r>
      <w:r w:rsidRPr="00505CF0">
        <w:rPr>
          <w:rFonts w:asciiTheme="majorBidi" w:hAnsiTheme="majorBidi" w:cstheme="majorBidi"/>
          <w:i/>
          <w:iCs/>
          <w:sz w:val="24"/>
          <w:szCs w:val="24"/>
        </w:rPr>
        <w:lastRenderedPageBreak/>
        <w:t>Literature</w:t>
      </w:r>
      <w:r w:rsidRPr="00505CF0">
        <w:rPr>
          <w:rFonts w:asciiTheme="majorBidi" w:hAnsiTheme="majorBidi" w:cstheme="majorBidi"/>
          <w:sz w:val="24"/>
          <w:szCs w:val="24"/>
        </w:rPr>
        <w:t xml:space="preserve">. Josh Toth’s </w:t>
      </w:r>
      <w:r w:rsidRPr="00505CF0">
        <w:rPr>
          <w:rFonts w:asciiTheme="majorBidi" w:hAnsiTheme="majorBidi" w:cstheme="majorBidi"/>
          <w:i/>
          <w:iCs/>
          <w:sz w:val="24"/>
          <w:szCs w:val="24"/>
        </w:rPr>
        <w:t xml:space="preserve">The Passing of Postmodernism </w:t>
      </w:r>
      <w:r w:rsidRPr="00505CF0">
        <w:rPr>
          <w:rFonts w:asciiTheme="majorBidi" w:hAnsiTheme="majorBidi" w:cstheme="majorBidi"/>
          <w:sz w:val="24"/>
          <w:szCs w:val="24"/>
        </w:rPr>
        <w:t xml:space="preserve">is the most meticulous of these, in which he </w:t>
      </w:r>
      <w:r w:rsidR="00EF6692">
        <w:rPr>
          <w:rFonts w:asciiTheme="majorBidi" w:hAnsiTheme="majorBidi" w:cstheme="majorBidi"/>
          <w:sz w:val="24"/>
          <w:szCs w:val="24"/>
        </w:rPr>
        <w:t>dates</w:t>
      </w:r>
      <w:r w:rsidR="00EF6692"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the end of postmodernism </w:t>
      </w:r>
      <w:r w:rsidR="00EF6692">
        <w:rPr>
          <w:rFonts w:asciiTheme="majorBidi" w:hAnsiTheme="majorBidi" w:cstheme="majorBidi"/>
          <w:sz w:val="24"/>
          <w:szCs w:val="24"/>
        </w:rPr>
        <w:t xml:space="preserve">back </w:t>
      </w:r>
      <w:r w:rsidRPr="00505CF0">
        <w:rPr>
          <w:rFonts w:asciiTheme="majorBidi" w:hAnsiTheme="majorBidi" w:cstheme="majorBidi"/>
          <w:sz w:val="24"/>
          <w:szCs w:val="24"/>
        </w:rPr>
        <w:t>to the breaking down of the Berlin Wall:</w:t>
      </w:r>
    </w:p>
    <w:p w14:paraId="6958C516" w14:textId="77777777" w:rsidR="00C111D3" w:rsidRPr="00505CF0" w:rsidRDefault="00C111D3" w:rsidP="004C3EE0">
      <w:pPr>
        <w:spacing w:line="240" w:lineRule="auto"/>
        <w:jc w:val="both"/>
        <w:rPr>
          <w:rFonts w:asciiTheme="majorBidi" w:hAnsiTheme="majorBidi" w:cstheme="majorBidi"/>
          <w:sz w:val="24"/>
          <w:szCs w:val="24"/>
        </w:rPr>
      </w:pPr>
    </w:p>
    <w:p w14:paraId="0D8DC778" w14:textId="77777777" w:rsidR="00C111D3" w:rsidRPr="00505CF0" w:rsidRDefault="00C111D3" w:rsidP="004C3EE0">
      <w:pPr>
        <w:ind w:left="720" w:right="720"/>
        <w:jc w:val="both"/>
        <w:rPr>
          <w:rFonts w:asciiTheme="majorBidi" w:hAnsiTheme="majorBidi" w:cstheme="majorBidi"/>
          <w:sz w:val="24"/>
          <w:szCs w:val="24"/>
        </w:rPr>
      </w:pPr>
      <w:r w:rsidRPr="00505CF0">
        <w:rPr>
          <w:rFonts w:asciiTheme="majorBidi" w:hAnsiTheme="majorBidi" w:cstheme="majorBidi"/>
          <w:sz w:val="24"/>
          <w:szCs w:val="24"/>
        </w:rPr>
        <w:t>Given that postmodernism is typically defined by its opposition to all latent utopian impulses, the fall of the last viable political alternative (i.e., the utopian promise of communism) seemingly speaks to the victory and hegemony of a distinctly postmodern, or late-capitalist, ideology. Not surprisingly, then, it is at the very moment when this victory is imminent, when postmodernism seems to have become the very thing it aimed to destroy, that we begin to see signs of an emergent epistemological configuration.</w:t>
      </w:r>
      <w:r w:rsidRPr="00505CF0">
        <w:rPr>
          <w:rStyle w:val="FootnoteReference"/>
          <w:rFonts w:asciiTheme="majorBidi" w:hAnsiTheme="majorBidi" w:cstheme="majorBidi"/>
          <w:sz w:val="24"/>
          <w:szCs w:val="24"/>
        </w:rPr>
        <w:footnoteReference w:id="15"/>
      </w:r>
    </w:p>
    <w:p w14:paraId="1329FE58" w14:textId="77777777" w:rsidR="00C111D3" w:rsidRPr="00505CF0" w:rsidRDefault="00C111D3" w:rsidP="004C3EE0">
      <w:pPr>
        <w:spacing w:line="480" w:lineRule="auto"/>
        <w:jc w:val="both"/>
        <w:rPr>
          <w:rFonts w:asciiTheme="majorBidi" w:hAnsiTheme="majorBidi" w:cstheme="majorBidi"/>
          <w:sz w:val="24"/>
          <w:szCs w:val="24"/>
        </w:rPr>
      </w:pPr>
    </w:p>
    <w:p w14:paraId="4D0F2ED7" w14:textId="4A7413F9"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Postmodernism, then, achieved a somewhat pyrrhic victory – negating its own function as an artistic imperative by becoming the dominant, rather than the radical or undermining, cultural force at the very moment of its own imminent victory.</w:t>
      </w:r>
      <w:r w:rsidRPr="00505CF0">
        <w:rPr>
          <w:rStyle w:val="FootnoteReference"/>
          <w:rFonts w:asciiTheme="majorBidi" w:hAnsiTheme="majorBidi" w:cstheme="majorBidi"/>
          <w:sz w:val="24"/>
          <w:szCs w:val="24"/>
        </w:rPr>
        <w:footnoteReference w:id="16"/>
      </w:r>
      <w:r w:rsidRPr="00505CF0">
        <w:rPr>
          <w:rFonts w:asciiTheme="majorBidi" w:hAnsiTheme="majorBidi" w:cstheme="majorBidi"/>
          <w:sz w:val="24"/>
          <w:szCs w:val="24"/>
        </w:rPr>
        <w:t xml:space="preserve"> If to be postmodern was to critique the tired practices of contemporary culture, then what has occurred following these practices becoming the dominant cultural mode? As Raoul Eshelman states, the postmodern, once mainstream, lost all significance and impact: ‘What was once a cleverly subversive, ironic mode of dealing with real social and political problems has become a heavily stylized,</w:t>
      </w:r>
      <w:r w:rsidR="00EB3F5F">
        <w:rPr>
          <w:rStyle w:val="FootnoteReference"/>
          <w:rFonts w:asciiTheme="majorBidi" w:hAnsiTheme="majorBidi" w:cstheme="majorBidi"/>
          <w:sz w:val="24"/>
          <w:szCs w:val="24"/>
        </w:rPr>
        <w:footnoteReference w:id="17"/>
      </w:r>
      <w:r w:rsidRPr="00505CF0">
        <w:rPr>
          <w:rFonts w:asciiTheme="majorBidi" w:hAnsiTheme="majorBidi" w:cstheme="majorBidi"/>
          <w:sz w:val="24"/>
          <w:szCs w:val="24"/>
        </w:rPr>
        <w:t xml:space="preserve"> aesthetically predictable form of social critique that no longer has the power to really move us.’</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18"/>
      </w:r>
      <w:r w:rsidRPr="00505CF0">
        <w:rPr>
          <w:rFonts w:asciiTheme="majorBidi" w:hAnsiTheme="majorBidi" w:cstheme="majorBidi"/>
          <w:sz w:val="24"/>
          <w:szCs w:val="24"/>
        </w:rPr>
        <w:t xml:space="preserve"> The supreme example of this postmodern </w:t>
      </w:r>
      <w:proofErr w:type="gramStart"/>
      <w:r w:rsidR="00DB3276">
        <w:rPr>
          <w:rFonts w:asciiTheme="majorBidi" w:hAnsiTheme="majorBidi" w:cstheme="majorBidi"/>
          <w:sz w:val="24"/>
          <w:szCs w:val="24"/>
        </w:rPr>
        <w:t>pyrrhic</w:t>
      </w:r>
      <w:proofErr w:type="gramEnd"/>
      <w:r w:rsidR="00DB3276">
        <w:rPr>
          <w:rFonts w:asciiTheme="majorBidi" w:hAnsiTheme="majorBidi" w:cstheme="majorBidi"/>
          <w:sz w:val="24"/>
          <w:szCs w:val="24"/>
        </w:rPr>
        <w:t xml:space="preserve"> victory</w:t>
      </w:r>
      <w:r w:rsidRPr="00505CF0">
        <w:rPr>
          <w:rFonts w:asciiTheme="majorBidi" w:hAnsiTheme="majorBidi" w:cstheme="majorBidi"/>
          <w:sz w:val="24"/>
          <w:szCs w:val="24"/>
        </w:rPr>
        <w:t xml:space="preserve"> is that of metafictional narratives, which have now appeared in almost every aspect of contemporary art and media production in some form or another. The recent Oasis cinema advertisements are one such example of this dominance of the postmodern metafictional mode, in which a cartoon image of the product fills the screen while a voice over actor, affecting a faux-amateurism, describes that the major Hollywood star meant to be performing the narrator’s duties has pulled out of </w:t>
      </w:r>
      <w:r w:rsidRPr="00505CF0">
        <w:rPr>
          <w:rFonts w:asciiTheme="majorBidi" w:hAnsiTheme="majorBidi" w:cstheme="majorBidi"/>
          <w:sz w:val="24"/>
          <w:szCs w:val="24"/>
        </w:rPr>
        <w:lastRenderedPageBreak/>
        <w:t>the project, leaving the narrator to perform the task as best he is able. The advert plays with metafictional ideas, highlighting its construction and engaging in self-aware play by asking the audience to ‘enjoy the film’ as it ends, with the commentator seemingly having run out of time.</w:t>
      </w:r>
      <w:r w:rsidRPr="00505CF0">
        <w:rPr>
          <w:rStyle w:val="FootnoteReference"/>
          <w:rFonts w:asciiTheme="majorBidi" w:hAnsiTheme="majorBidi" w:cstheme="majorBidi"/>
          <w:sz w:val="24"/>
          <w:szCs w:val="24"/>
        </w:rPr>
        <w:footnoteReference w:id="19"/>
      </w:r>
      <w:r w:rsidRPr="00505CF0">
        <w:rPr>
          <w:rFonts w:asciiTheme="majorBidi" w:hAnsiTheme="majorBidi" w:cstheme="majorBidi"/>
          <w:sz w:val="24"/>
          <w:szCs w:val="24"/>
        </w:rPr>
        <w:t xml:space="preserve"> Self-awareness in advertising </w:t>
      </w:r>
      <w:r w:rsidR="00DB3276">
        <w:rPr>
          <w:rFonts w:asciiTheme="majorBidi" w:hAnsiTheme="majorBidi" w:cstheme="majorBidi"/>
          <w:sz w:val="24"/>
          <w:szCs w:val="24"/>
        </w:rPr>
        <w:t>is</w:t>
      </w:r>
      <w:r w:rsidRPr="00505CF0">
        <w:rPr>
          <w:rFonts w:asciiTheme="majorBidi" w:hAnsiTheme="majorBidi" w:cstheme="majorBidi"/>
          <w:sz w:val="24"/>
          <w:szCs w:val="24"/>
        </w:rPr>
        <w:t xml:space="preserve"> a well-acknowledged trope, with YouTube advertisers now actively acknowledging the ‘pre-roll’ five seconds before viewers are allowed to skip and incorporating this into their adverts.</w:t>
      </w:r>
      <w:r w:rsidRPr="00505CF0">
        <w:rPr>
          <w:rStyle w:val="FootnoteReference"/>
          <w:rFonts w:asciiTheme="majorBidi" w:hAnsiTheme="majorBidi" w:cstheme="majorBidi"/>
          <w:sz w:val="24"/>
          <w:szCs w:val="24"/>
        </w:rPr>
        <w:footnoteReference w:id="20"/>
      </w:r>
      <w:r w:rsidRPr="00505CF0">
        <w:rPr>
          <w:rFonts w:asciiTheme="majorBidi" w:hAnsiTheme="majorBidi" w:cstheme="majorBidi"/>
          <w:sz w:val="24"/>
          <w:szCs w:val="24"/>
        </w:rPr>
        <w:t xml:space="preserve"> Postmodern meta-analysis has leached into all forms, from the aforementioned adverts to video games, in the form of </w:t>
      </w:r>
      <w:r w:rsidRPr="00505CF0">
        <w:rPr>
          <w:rFonts w:asciiTheme="majorBidi" w:hAnsiTheme="majorBidi" w:cstheme="majorBidi"/>
          <w:i/>
          <w:iCs/>
          <w:sz w:val="24"/>
          <w:szCs w:val="24"/>
        </w:rPr>
        <w:t xml:space="preserve">Portal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Portal 2</w:t>
      </w:r>
      <w:r w:rsidRPr="00505CF0">
        <w:rPr>
          <w:rFonts w:asciiTheme="majorBidi" w:hAnsiTheme="majorBidi" w:cstheme="majorBidi"/>
          <w:sz w:val="24"/>
          <w:szCs w:val="24"/>
        </w:rPr>
        <w:t xml:space="preserve">’s consistent reminders of the tropes of gaming as the games progress. </w:t>
      </w:r>
    </w:p>
    <w:p w14:paraId="5A84C2C6" w14:textId="74C1F610"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Postmodernism, ultimately, has become too mainstream to survive, became too ubiquitous to sustain its core ideology, and collapsed under its own ideological </w:t>
      </w:r>
      <w:proofErr w:type="gramStart"/>
      <w:r w:rsidRPr="00505CF0">
        <w:rPr>
          <w:rFonts w:asciiTheme="majorBidi" w:hAnsiTheme="majorBidi" w:cstheme="majorBidi"/>
          <w:sz w:val="24"/>
          <w:szCs w:val="24"/>
        </w:rPr>
        <w:t>weight,</w:t>
      </w:r>
      <w:proofErr w:type="gramEnd"/>
      <w:r w:rsidRPr="00505CF0">
        <w:rPr>
          <w:rFonts w:asciiTheme="majorBidi" w:hAnsiTheme="majorBidi" w:cstheme="majorBidi"/>
          <w:sz w:val="24"/>
          <w:szCs w:val="24"/>
        </w:rPr>
        <w:t xml:space="preserve"> and inability to create in us the same reactions that it once produced. Toth</w:t>
      </w:r>
      <w:r w:rsidR="00DB3276">
        <w:rPr>
          <w:rFonts w:asciiTheme="majorBidi" w:hAnsiTheme="majorBidi" w:cstheme="majorBidi"/>
          <w:sz w:val="24"/>
          <w:szCs w:val="24"/>
        </w:rPr>
        <w:t xml:space="preserve"> further</w:t>
      </w:r>
      <w:r w:rsidRPr="00505CF0">
        <w:rPr>
          <w:rFonts w:asciiTheme="majorBidi" w:hAnsiTheme="majorBidi" w:cstheme="majorBidi"/>
          <w:sz w:val="24"/>
          <w:szCs w:val="24"/>
        </w:rPr>
        <w:t xml:space="preserve"> points to certain utopian impulses as contributing to the fall of the postmodern</w:t>
      </w:r>
      <w:r w:rsidR="00DB3276">
        <w:rPr>
          <w:rFonts w:asciiTheme="majorBidi" w:hAnsiTheme="majorBidi" w:cstheme="majorBidi"/>
          <w:sz w:val="24"/>
          <w:szCs w:val="24"/>
        </w:rPr>
        <w:t xml:space="preserve"> stating</w:t>
      </w:r>
      <w:r w:rsidRPr="00505CF0">
        <w:rPr>
          <w:rFonts w:asciiTheme="majorBidi" w:hAnsiTheme="majorBidi" w:cstheme="majorBidi"/>
          <w:sz w:val="24"/>
          <w:szCs w:val="24"/>
        </w:rPr>
        <w:t xml:space="preserve"> that</w:t>
      </w:r>
      <w:r w:rsidR="00DB3276">
        <w:rPr>
          <w:rFonts w:asciiTheme="majorBidi" w:hAnsiTheme="majorBidi" w:cstheme="majorBidi"/>
          <w:sz w:val="24"/>
          <w:szCs w:val="24"/>
        </w:rPr>
        <w:t>,</w:t>
      </w:r>
      <w:r w:rsidRPr="00505CF0">
        <w:rPr>
          <w:rFonts w:asciiTheme="majorBidi" w:hAnsiTheme="majorBidi" w:cstheme="majorBidi"/>
          <w:sz w:val="24"/>
          <w:szCs w:val="24"/>
        </w:rPr>
        <w:t xml:space="preserve"> with the end of the Cold War and the seemingly complete hegemony of postmodernist ideals that coincided with such, </w:t>
      </w:r>
      <w:r w:rsidR="00DB3276">
        <w:rPr>
          <w:rFonts w:asciiTheme="majorBidi" w:hAnsiTheme="majorBidi" w:cstheme="majorBidi"/>
          <w:sz w:val="24"/>
          <w:szCs w:val="24"/>
        </w:rPr>
        <w:t>postmodernism</w:t>
      </w:r>
      <w:r w:rsidRPr="00505CF0">
        <w:rPr>
          <w:rFonts w:asciiTheme="majorBidi" w:hAnsiTheme="majorBidi" w:cstheme="majorBidi"/>
          <w:sz w:val="24"/>
          <w:szCs w:val="24"/>
        </w:rPr>
        <w:t xml:space="preserve"> became utopian in its repudiation of all utopian impulses.</w:t>
      </w:r>
      <w:r w:rsidRPr="00505CF0">
        <w:rPr>
          <w:rStyle w:val="FootnoteReference"/>
          <w:rFonts w:asciiTheme="majorBidi" w:hAnsiTheme="majorBidi" w:cstheme="majorBidi"/>
          <w:sz w:val="24"/>
          <w:szCs w:val="24"/>
        </w:rPr>
        <w:footnoteReference w:id="21"/>
      </w:r>
      <w:r w:rsidRPr="00505CF0">
        <w:rPr>
          <w:rFonts w:asciiTheme="majorBidi" w:hAnsiTheme="majorBidi" w:cstheme="majorBidi"/>
          <w:sz w:val="24"/>
          <w:szCs w:val="24"/>
        </w:rPr>
        <w:t xml:space="preserve">  A new-utopian desire has emerged out of the ashes of postmodernism, witnessing the ‘the rebirth of utopia after its own death, after its subjection to postmodernism's severe scepticism, relativism and its anti-utopian consciousness.’</w:t>
      </w:r>
      <w:r w:rsidRPr="00505CF0">
        <w:rPr>
          <w:rStyle w:val="FootnoteReference"/>
          <w:rFonts w:asciiTheme="majorBidi" w:hAnsiTheme="majorBidi" w:cstheme="majorBidi"/>
          <w:sz w:val="24"/>
          <w:szCs w:val="24"/>
        </w:rPr>
        <w:footnoteReference w:id="22"/>
      </w:r>
      <w:r w:rsidRPr="00505CF0">
        <w:rPr>
          <w:rFonts w:asciiTheme="majorBidi" w:hAnsiTheme="majorBidi" w:cstheme="majorBidi"/>
          <w:sz w:val="24"/>
          <w:szCs w:val="24"/>
        </w:rPr>
        <w:t xml:space="preserve"> This neo-utopianism has arisen as an aspect of post-9/11 anxiety, and acted directly against the postmodern agenda – one more knife on the senate-room floor. Postmodernism’s death was not only marked by such a specific seachange in contemporary thinking, but was caused by it. As Adiseshiah and Hildyard describe, the political and social ideologies of the world </w:t>
      </w:r>
      <w:r w:rsidR="00DB3276">
        <w:rPr>
          <w:rFonts w:asciiTheme="majorBidi" w:hAnsiTheme="majorBidi" w:cstheme="majorBidi"/>
          <w:sz w:val="24"/>
          <w:szCs w:val="24"/>
        </w:rPr>
        <w:t>are</w:t>
      </w:r>
      <w:r w:rsidRPr="00505CF0">
        <w:rPr>
          <w:rFonts w:asciiTheme="majorBidi" w:hAnsiTheme="majorBidi" w:cstheme="majorBidi"/>
          <w:sz w:val="24"/>
          <w:szCs w:val="24"/>
        </w:rPr>
        <w:t xml:space="preserve"> changing, and postmodern </w:t>
      </w:r>
      <w:r w:rsidRPr="00505CF0">
        <w:rPr>
          <w:rFonts w:asciiTheme="majorBidi" w:hAnsiTheme="majorBidi" w:cstheme="majorBidi"/>
          <w:sz w:val="24"/>
          <w:szCs w:val="24"/>
        </w:rPr>
        <w:lastRenderedPageBreak/>
        <w:t>thought no longer seem</w:t>
      </w:r>
      <w:r w:rsidR="00DB3276">
        <w:rPr>
          <w:rFonts w:asciiTheme="majorBidi" w:hAnsiTheme="majorBidi" w:cstheme="majorBidi"/>
          <w:sz w:val="24"/>
          <w:szCs w:val="24"/>
        </w:rPr>
        <w:t>s</w:t>
      </w:r>
      <w:r w:rsidRPr="00505CF0">
        <w:rPr>
          <w:rFonts w:asciiTheme="majorBidi" w:hAnsiTheme="majorBidi" w:cstheme="majorBidi"/>
          <w:sz w:val="24"/>
          <w:szCs w:val="24"/>
        </w:rPr>
        <w:t xml:space="preserve"> useful or applicable in explaining or justifying such changes. They cite the latest nightmares of history – ‘9/11, environmental catastrophe, peak oil, financial collapse, the neo-liberal dismembering of the social democratic settlement’</w:t>
      </w:r>
      <w:r w:rsidRPr="00505CF0">
        <w:rPr>
          <w:rStyle w:val="FootnoteReference"/>
          <w:rFonts w:asciiTheme="majorBidi" w:hAnsiTheme="majorBidi" w:cstheme="majorBidi"/>
          <w:sz w:val="24"/>
          <w:szCs w:val="24"/>
        </w:rPr>
        <w:footnoteReference w:id="23"/>
      </w:r>
      <w:r w:rsidRPr="00505CF0">
        <w:rPr>
          <w:rFonts w:asciiTheme="majorBidi" w:hAnsiTheme="majorBidi" w:cstheme="majorBidi"/>
          <w:sz w:val="24"/>
          <w:szCs w:val="24"/>
        </w:rPr>
        <w:t xml:space="preserve"> – as just some of the recent historical changes unanswerable in terms of the postmodern,</w:t>
      </w:r>
      <w:r w:rsidRPr="00505CF0">
        <w:rPr>
          <w:rStyle w:val="FootnoteReference"/>
          <w:rFonts w:asciiTheme="majorBidi" w:hAnsiTheme="majorBidi" w:cstheme="majorBidi"/>
          <w:sz w:val="24"/>
          <w:szCs w:val="24"/>
        </w:rPr>
        <w:footnoteReference w:id="24"/>
      </w:r>
      <w:r w:rsidRPr="00505CF0">
        <w:rPr>
          <w:rFonts w:asciiTheme="majorBidi" w:hAnsiTheme="majorBidi" w:cstheme="majorBidi"/>
          <w:sz w:val="24"/>
          <w:szCs w:val="24"/>
        </w:rPr>
        <w:t xml:space="preserve"> sentiments that align directly with the ‘infernal constellation of unsolvable problems,’ </w:t>
      </w:r>
      <w:r w:rsidR="00DB3276">
        <w:rPr>
          <w:rFonts w:asciiTheme="majorBidi" w:hAnsiTheme="majorBidi" w:cstheme="majorBidi"/>
          <w:sz w:val="24"/>
          <w:szCs w:val="24"/>
        </w:rPr>
        <w:t>that</w:t>
      </w:r>
      <w:r w:rsidRPr="00505CF0">
        <w:rPr>
          <w:rFonts w:asciiTheme="majorBidi" w:hAnsiTheme="majorBidi" w:cstheme="majorBidi"/>
          <w:sz w:val="24"/>
          <w:szCs w:val="24"/>
        </w:rPr>
        <w:t xml:space="preserve"> Yoonsuk Park pronounces: ‘unchecked capitalism, catastrophic climate change, the depletion of natural resources, and a hedonistic society that categorically rejects any limits on individual pleasure.’</w:t>
      </w:r>
      <w:r w:rsidRPr="00505CF0">
        <w:rPr>
          <w:rStyle w:val="FootnoteReference"/>
          <w:rFonts w:asciiTheme="majorBidi" w:hAnsiTheme="majorBidi" w:cstheme="majorBidi"/>
          <w:sz w:val="24"/>
          <w:szCs w:val="24"/>
        </w:rPr>
        <w:footnoteReference w:id="25"/>
      </w:r>
      <w:r w:rsidRPr="00505CF0">
        <w:rPr>
          <w:rFonts w:asciiTheme="majorBidi" w:hAnsiTheme="majorBidi" w:cstheme="majorBidi"/>
          <w:sz w:val="24"/>
          <w:szCs w:val="24"/>
        </w:rPr>
        <w:t xml:space="preserve"> The dominant cultural mode of the world, the postmodern, seen as proliferating during these seemingly deplorable conditions, thus becomes a foil against the frustrations of the new generation of artists and cultural critics desiring relief from such issues. As Luke Turner writes, ‘in the wake of the myriad crises of the past two decades—of climate change, financial meltdown, and the escalation of global conflicts—we have witnessed the emergence of a palpable collective desire for change, for something beyond the prematurely proclaimed “End of History”.’</w:t>
      </w:r>
      <w:r w:rsidRPr="00505CF0">
        <w:rPr>
          <w:rStyle w:val="FootnoteReference"/>
          <w:rFonts w:asciiTheme="majorBidi" w:hAnsiTheme="majorBidi" w:cstheme="majorBidi"/>
          <w:sz w:val="24"/>
          <w:szCs w:val="24"/>
        </w:rPr>
        <w:footnoteReference w:id="26"/>
      </w:r>
      <w:r w:rsidRPr="00505CF0">
        <w:rPr>
          <w:rFonts w:asciiTheme="majorBidi" w:hAnsiTheme="majorBidi" w:cstheme="majorBidi"/>
          <w:sz w:val="24"/>
          <w:szCs w:val="24"/>
        </w:rPr>
        <w:t xml:space="preserve"> A shift in societal modes and expression has occurred - from the ironic, the knowing and the playful, with allusions to knowledge, history and ambivalence, to intellectual states of ignorance, fanaticism and anxiety.</w:t>
      </w:r>
      <w:r w:rsidRPr="00505CF0">
        <w:rPr>
          <w:rStyle w:val="FootnoteReference"/>
          <w:rFonts w:asciiTheme="majorBidi" w:hAnsiTheme="majorBidi" w:cstheme="majorBidi"/>
          <w:sz w:val="24"/>
          <w:szCs w:val="24"/>
        </w:rPr>
        <w:footnoteReference w:id="27"/>
      </w:r>
      <w:r w:rsidRPr="00505CF0">
        <w:rPr>
          <w:rFonts w:asciiTheme="majorBidi" w:hAnsiTheme="majorBidi" w:cstheme="majorBidi"/>
          <w:sz w:val="24"/>
          <w:szCs w:val="24"/>
        </w:rPr>
        <w:t xml:space="preserve"> As Adiseshiah and Hildyard continue:</w:t>
      </w:r>
    </w:p>
    <w:p w14:paraId="32310983" w14:textId="77777777" w:rsidR="00C111D3" w:rsidRPr="00505CF0" w:rsidRDefault="00C111D3" w:rsidP="004C3EE0">
      <w:pPr>
        <w:jc w:val="both"/>
        <w:rPr>
          <w:rFonts w:asciiTheme="majorBidi" w:hAnsiTheme="majorBidi" w:cstheme="majorBidi"/>
          <w:sz w:val="24"/>
          <w:szCs w:val="24"/>
        </w:rPr>
      </w:pPr>
    </w:p>
    <w:p w14:paraId="1E46A96E" w14:textId="77777777" w:rsidR="00C111D3" w:rsidRPr="00505CF0" w:rsidRDefault="00C111D3" w:rsidP="004C3EE0">
      <w:pPr>
        <w:ind w:left="720"/>
        <w:jc w:val="both"/>
        <w:rPr>
          <w:rFonts w:asciiTheme="majorBidi" w:hAnsiTheme="majorBidi" w:cstheme="majorBidi"/>
          <w:sz w:val="24"/>
          <w:szCs w:val="24"/>
        </w:rPr>
      </w:pPr>
      <w:r w:rsidRPr="00505CF0">
        <w:rPr>
          <w:rFonts w:asciiTheme="majorBidi" w:hAnsiTheme="majorBidi" w:cstheme="majorBidi"/>
          <w:sz w:val="24"/>
          <w:szCs w:val="24"/>
        </w:rPr>
        <w:t>A growing consensus is critical of [postmodern] paralysing self-reflexivity, knavish use of irony and the ludic, and relativistic approaches to historiography, none of which inspired much confidence in its capacity to usefully address the serious and urgent problems of the late twentieth century.</w:t>
      </w:r>
      <w:r w:rsidRPr="00505CF0">
        <w:rPr>
          <w:rStyle w:val="FootnoteReference"/>
          <w:rFonts w:asciiTheme="majorBidi" w:hAnsiTheme="majorBidi" w:cstheme="majorBidi"/>
          <w:sz w:val="24"/>
          <w:szCs w:val="24"/>
        </w:rPr>
        <w:footnoteReference w:id="28"/>
      </w:r>
    </w:p>
    <w:p w14:paraId="17DE9557" w14:textId="77777777" w:rsidR="00C111D3" w:rsidRPr="00505CF0" w:rsidRDefault="00C111D3" w:rsidP="004C3EE0">
      <w:pPr>
        <w:jc w:val="both"/>
        <w:rPr>
          <w:rFonts w:asciiTheme="majorBidi" w:hAnsiTheme="majorBidi" w:cstheme="majorBidi"/>
          <w:sz w:val="24"/>
          <w:szCs w:val="24"/>
        </w:rPr>
      </w:pPr>
    </w:p>
    <w:p w14:paraId="5113DCCF" w14:textId="77777777" w:rsidR="00C111D3" w:rsidRPr="00505CF0" w:rsidRDefault="00C111D3" w:rsidP="004C3EE0">
      <w:pPr>
        <w:jc w:val="both"/>
        <w:rPr>
          <w:rFonts w:asciiTheme="majorBidi" w:hAnsiTheme="majorBidi" w:cstheme="majorBidi"/>
          <w:sz w:val="24"/>
          <w:szCs w:val="24"/>
        </w:rPr>
      </w:pPr>
    </w:p>
    <w:p w14:paraId="57038320" w14:textId="77777777" w:rsidR="00DB3276"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project, they argue, has been discredited, and Konstantinou even goes so far as to suggest its utter failure, proposing that ‘it’s hard to argue that [postmodern] artists have done much to change the world,’ suggesting that the postmodern reaction to modernist modes has, in effect, failed to realise very much at all.</w:t>
      </w:r>
      <w:r w:rsidRPr="00505CF0">
        <w:rPr>
          <w:rStyle w:val="FootnoteReference"/>
          <w:rFonts w:asciiTheme="majorBidi" w:hAnsiTheme="majorBidi" w:cstheme="majorBidi"/>
          <w:sz w:val="24"/>
          <w:szCs w:val="24"/>
        </w:rPr>
        <w:footnoteReference w:id="29"/>
      </w:r>
      <w:r w:rsidRPr="00505CF0">
        <w:rPr>
          <w:rFonts w:asciiTheme="majorBidi" w:hAnsiTheme="majorBidi" w:cstheme="majorBidi"/>
          <w:sz w:val="24"/>
          <w:szCs w:val="24"/>
        </w:rPr>
        <w:t xml:space="preserve"> </w:t>
      </w:r>
    </w:p>
    <w:p w14:paraId="020ABF81" w14:textId="00C314D9" w:rsidR="00C111D3" w:rsidRPr="00505CF0" w:rsidRDefault="00C111D3" w:rsidP="00FE7EAF">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The central signifier of the end of the postmodern era is that of a desire to move beyond the ‘knavish irony’ so definitive of the postmodern form. A growing number of critics are beginning to recognise the ‘superannuation of irony,’</w:t>
      </w:r>
      <w:r w:rsidRPr="00505CF0">
        <w:rPr>
          <w:rStyle w:val="FootnoteReference"/>
          <w:rFonts w:asciiTheme="majorBidi" w:hAnsiTheme="majorBidi" w:cstheme="majorBidi"/>
          <w:sz w:val="24"/>
          <w:szCs w:val="24"/>
        </w:rPr>
        <w:footnoteReference w:id="30"/>
      </w:r>
      <w:r w:rsidRPr="00505CF0">
        <w:rPr>
          <w:rFonts w:asciiTheme="majorBidi" w:hAnsiTheme="majorBidi" w:cstheme="majorBidi"/>
          <w:sz w:val="24"/>
          <w:szCs w:val="24"/>
        </w:rPr>
        <w:t xml:space="preserve"> that ironic responses to the situations and horrors of the twenty-first century are no longer appropriate, and, in fact following the 9/11 terrorist attacks on the World Trade Centre, ‘the detached, sarcastic smartass stance just didn’t seem appropriate.’</w:t>
      </w:r>
      <w:r w:rsidRPr="00505CF0">
        <w:rPr>
          <w:rStyle w:val="FootnoteReference"/>
          <w:rFonts w:asciiTheme="majorBidi" w:hAnsiTheme="majorBidi" w:cstheme="majorBidi"/>
          <w:sz w:val="24"/>
          <w:szCs w:val="24"/>
        </w:rPr>
        <w:footnoteReference w:id="31"/>
      </w:r>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Instead, an anti-ironic yearning for meaning, ‘for sincere and constructive progression and expression — has come to shape today’s dominant cultural mode.’</w:t>
      </w:r>
      <w:proofErr w:type="gramEnd"/>
      <w:r w:rsidRPr="00505CF0">
        <w:rPr>
          <w:rStyle w:val="FootnoteReference"/>
          <w:rFonts w:asciiTheme="majorBidi" w:hAnsiTheme="majorBidi" w:cstheme="majorBidi"/>
          <w:sz w:val="24"/>
          <w:szCs w:val="24"/>
        </w:rPr>
        <w:footnoteReference w:id="32"/>
      </w:r>
      <w:r w:rsidRPr="00505CF0">
        <w:rPr>
          <w:rFonts w:asciiTheme="majorBidi" w:hAnsiTheme="majorBidi" w:cstheme="majorBidi"/>
          <w:sz w:val="24"/>
          <w:szCs w:val="24"/>
        </w:rPr>
        <w:t xml:space="preserve"> As one young artist has stated, ‘sincerity [is now] more important than being glib’, an idea that is evidenced by the burgeoning theoretical field of ‘New Sincerity.’</w:t>
      </w:r>
      <w:r w:rsidRPr="00505CF0">
        <w:rPr>
          <w:rStyle w:val="FootnoteReference"/>
          <w:rFonts w:asciiTheme="majorBidi" w:hAnsiTheme="majorBidi" w:cstheme="majorBidi"/>
          <w:sz w:val="24"/>
          <w:szCs w:val="24"/>
        </w:rPr>
        <w:footnoteReference w:id="33"/>
      </w:r>
      <w:r w:rsidRPr="00505CF0">
        <w:rPr>
          <w:rFonts w:asciiTheme="majorBidi" w:hAnsiTheme="majorBidi" w:cstheme="majorBidi"/>
          <w:sz w:val="24"/>
          <w:szCs w:val="24"/>
        </w:rPr>
        <w:t xml:space="preserve"> ‘Irony is out,’ another columnist declares, ‘sincerity is in. […] It seems a generation of ironists is finally running out of steam.’</w:t>
      </w:r>
      <w:r w:rsidRPr="00505CF0">
        <w:rPr>
          <w:rStyle w:val="FootnoteReference"/>
          <w:rFonts w:asciiTheme="majorBidi" w:hAnsiTheme="majorBidi" w:cstheme="majorBidi"/>
          <w:sz w:val="24"/>
          <w:szCs w:val="24"/>
        </w:rPr>
        <w:footnoteReference w:id="34"/>
      </w:r>
      <w:r w:rsidRPr="00505CF0">
        <w:rPr>
          <w:rFonts w:asciiTheme="majorBidi" w:hAnsiTheme="majorBidi" w:cstheme="majorBidi"/>
          <w:sz w:val="24"/>
          <w:szCs w:val="24"/>
        </w:rPr>
        <w:t xml:space="preserve"> Ed Sheeran’s ‘authenticity, realness, earnestness, sincerity,’</w:t>
      </w:r>
      <w:r w:rsidRPr="00505CF0">
        <w:rPr>
          <w:rStyle w:val="FootnoteReference"/>
          <w:rFonts w:asciiTheme="majorBidi" w:hAnsiTheme="majorBidi" w:cstheme="majorBidi"/>
          <w:sz w:val="24"/>
          <w:szCs w:val="24"/>
        </w:rPr>
        <w:footnoteReference w:id="35"/>
      </w:r>
      <w:r w:rsidRPr="00505CF0">
        <w:rPr>
          <w:rFonts w:asciiTheme="majorBidi" w:hAnsiTheme="majorBidi" w:cstheme="majorBidi"/>
          <w:sz w:val="24"/>
          <w:szCs w:val="24"/>
        </w:rPr>
        <w:t xml:space="preserve"> Dave Eggers’</w:t>
      </w:r>
      <w:r w:rsidRPr="00505CF0">
        <w:rPr>
          <w:rStyle w:val="FootnoteReference"/>
          <w:rFonts w:asciiTheme="majorBidi" w:hAnsiTheme="majorBidi" w:cstheme="majorBidi"/>
          <w:sz w:val="24"/>
          <w:szCs w:val="24"/>
        </w:rPr>
        <w:footnoteReference w:id="36"/>
      </w:r>
      <w:r w:rsidRPr="00505CF0">
        <w:rPr>
          <w:rFonts w:asciiTheme="majorBidi" w:hAnsiTheme="majorBidi" w:cstheme="majorBidi"/>
          <w:sz w:val="24"/>
          <w:szCs w:val="24"/>
        </w:rPr>
        <w:t xml:space="preserve"> heartfelt desire for closure in </w:t>
      </w:r>
      <w:r w:rsidRPr="00505CF0">
        <w:rPr>
          <w:rFonts w:asciiTheme="majorBidi" w:hAnsiTheme="majorBidi" w:cstheme="majorBidi"/>
          <w:i/>
          <w:iCs/>
          <w:sz w:val="24"/>
          <w:szCs w:val="24"/>
        </w:rPr>
        <w:t>A Heartbreaking Work of Staggering Genius,</w:t>
      </w:r>
      <w:r w:rsidRPr="00505CF0">
        <w:rPr>
          <w:rFonts w:asciiTheme="majorBidi" w:hAnsiTheme="majorBidi" w:cstheme="majorBidi"/>
          <w:sz w:val="24"/>
          <w:szCs w:val="24"/>
        </w:rPr>
        <w:t xml:space="preserve"> and the ‘proliferation of wholesome, though not traditional, family-</w:t>
      </w:r>
      <w:r w:rsidRPr="00505CF0">
        <w:rPr>
          <w:rFonts w:asciiTheme="majorBidi" w:hAnsiTheme="majorBidi" w:cstheme="majorBidi"/>
          <w:sz w:val="24"/>
          <w:szCs w:val="24"/>
        </w:rPr>
        <w:lastRenderedPageBreak/>
        <w:t xml:space="preserve">centered television shows like </w:t>
      </w:r>
      <w:r w:rsidRPr="00505CF0">
        <w:rPr>
          <w:rFonts w:asciiTheme="majorBidi" w:hAnsiTheme="majorBidi" w:cstheme="majorBidi"/>
          <w:i/>
          <w:iCs/>
          <w:sz w:val="24"/>
          <w:szCs w:val="24"/>
        </w:rPr>
        <w:t>Modern Family</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37"/>
      </w:r>
      <w:r w:rsidRPr="00505CF0">
        <w:rPr>
          <w:rFonts w:asciiTheme="majorBidi" w:hAnsiTheme="majorBidi" w:cstheme="majorBidi"/>
          <w:sz w:val="24"/>
          <w:szCs w:val="24"/>
        </w:rPr>
        <w:t xml:space="preserve"> all evidence the rise of anti-ironic statements in pop-culture and across the arts. There is less room for the detached, ‘sarcastic smartass’ postmodern commentary in today’s culture, and thus, again, no more room for postmodernism. The world shifted, and postmodernism could not shift with it, it deflated under its own pretentions, could not answer the growing questions raised by unchecked capitalism and terror-inspired utopian desires with pure irony and word-play. With this shift, the critical landscape has become a quagmire of new parsed terms – Amerika and Olsen’s </w:t>
      </w:r>
      <w:r w:rsidRPr="00505CF0">
        <w:rPr>
          <w:rFonts w:asciiTheme="majorBidi" w:hAnsiTheme="majorBidi" w:cstheme="majorBidi"/>
          <w:i/>
          <w:iCs/>
          <w:sz w:val="24"/>
          <w:szCs w:val="24"/>
        </w:rPr>
        <w:t xml:space="preserve">Avant-Pop, </w:t>
      </w:r>
      <w:r w:rsidRPr="00505CF0">
        <w:rPr>
          <w:rFonts w:asciiTheme="majorBidi" w:hAnsiTheme="majorBidi" w:cstheme="majorBidi"/>
          <w:sz w:val="24"/>
          <w:szCs w:val="24"/>
        </w:rPr>
        <w:t xml:space="preserve">Eshelman’s </w:t>
      </w:r>
      <w:r w:rsidRPr="00505CF0">
        <w:rPr>
          <w:rFonts w:asciiTheme="majorBidi" w:hAnsiTheme="majorBidi" w:cstheme="majorBidi"/>
          <w:i/>
          <w:iCs/>
          <w:sz w:val="24"/>
          <w:szCs w:val="24"/>
        </w:rPr>
        <w:t xml:space="preserve">Performatism, </w:t>
      </w:r>
      <w:r w:rsidRPr="00505CF0">
        <w:rPr>
          <w:rFonts w:asciiTheme="majorBidi" w:hAnsiTheme="majorBidi" w:cstheme="majorBidi"/>
          <w:sz w:val="24"/>
          <w:szCs w:val="24"/>
        </w:rPr>
        <w:t xml:space="preserve">Kirby’s </w:t>
      </w:r>
      <w:r w:rsidRPr="00505CF0">
        <w:rPr>
          <w:rFonts w:asciiTheme="majorBidi" w:hAnsiTheme="majorBidi" w:cstheme="majorBidi"/>
          <w:i/>
          <w:iCs/>
          <w:sz w:val="24"/>
          <w:szCs w:val="24"/>
        </w:rPr>
        <w:t>Digimodernism</w:t>
      </w:r>
      <w:r w:rsidRPr="00505CF0">
        <w:rPr>
          <w:rFonts w:asciiTheme="majorBidi" w:hAnsiTheme="majorBidi" w:cstheme="majorBidi"/>
          <w:sz w:val="24"/>
          <w:szCs w:val="24"/>
        </w:rPr>
        <w:t xml:space="preserve"> among a myriad of others</w:t>
      </w:r>
      <w:r w:rsidRPr="00505CF0">
        <w:rPr>
          <w:rFonts w:asciiTheme="majorBidi" w:hAnsiTheme="majorBidi" w:cstheme="majorBidi"/>
          <w:i/>
          <w:iCs/>
          <w:sz w:val="24"/>
          <w:szCs w:val="24"/>
        </w:rPr>
        <w:t xml:space="preserve"> –  </w:t>
      </w:r>
      <w:r w:rsidRPr="00505CF0">
        <w:rPr>
          <w:rFonts w:asciiTheme="majorBidi" w:hAnsiTheme="majorBidi" w:cstheme="majorBidi"/>
          <w:sz w:val="24"/>
          <w:szCs w:val="24"/>
        </w:rPr>
        <w:t>each claiming fame as the major moniker for the new age and often including a postmodern post-mortem by way of introduction, and which form a final goodbye to the form</w:t>
      </w:r>
    </w:p>
    <w:p w14:paraId="71616438" w14:textId="19456F78" w:rsidR="00C111D3" w:rsidRPr="00505CF0" w:rsidRDefault="00C111D3" w:rsidP="00EB3F5F">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With that in mind, then, shall we just say it? It’s over. It has ‘disappeared,’</w:t>
      </w:r>
      <w:r w:rsidRPr="00505CF0">
        <w:rPr>
          <w:rStyle w:val="FootnoteReference"/>
          <w:rFonts w:asciiTheme="majorBidi" w:hAnsiTheme="majorBidi" w:cstheme="majorBidi"/>
          <w:sz w:val="24"/>
          <w:szCs w:val="24"/>
        </w:rPr>
        <w:footnoteReference w:id="38"/>
      </w:r>
      <w:r w:rsidRPr="00505CF0">
        <w:rPr>
          <w:rFonts w:asciiTheme="majorBidi" w:hAnsiTheme="majorBidi" w:cstheme="majorBidi"/>
          <w:sz w:val="24"/>
          <w:szCs w:val="24"/>
        </w:rPr>
        <w:t xml:space="preserve"> is ‘dead and buried,’</w:t>
      </w:r>
      <w:r w:rsidRPr="00505CF0">
        <w:rPr>
          <w:rStyle w:val="FootnoteReference"/>
          <w:rFonts w:asciiTheme="majorBidi" w:hAnsiTheme="majorBidi" w:cstheme="majorBidi"/>
          <w:sz w:val="24"/>
          <w:szCs w:val="24"/>
        </w:rPr>
        <w:footnoteReference w:id="39"/>
      </w:r>
      <w:r w:rsidRPr="00505CF0">
        <w:rPr>
          <w:rFonts w:asciiTheme="majorBidi" w:hAnsiTheme="majorBidi" w:cstheme="majorBidi"/>
          <w:sz w:val="24"/>
          <w:szCs w:val="24"/>
        </w:rPr>
        <w:t xml:space="preserve"> has ‘died peacefully in the night, or violently during the day,’</w:t>
      </w:r>
      <w:r w:rsidRPr="00505CF0">
        <w:rPr>
          <w:rStyle w:val="FootnoteReference"/>
          <w:rFonts w:asciiTheme="majorBidi" w:hAnsiTheme="majorBidi" w:cstheme="majorBidi"/>
          <w:sz w:val="24"/>
          <w:szCs w:val="24"/>
        </w:rPr>
        <w:footnoteReference w:id="40"/>
      </w:r>
      <w:r w:rsidRPr="00505CF0">
        <w:rPr>
          <w:rFonts w:asciiTheme="majorBidi" w:hAnsiTheme="majorBidi" w:cstheme="majorBidi"/>
          <w:sz w:val="24"/>
          <w:szCs w:val="24"/>
        </w:rPr>
        <w:t xml:space="preserve"> it is, to paraphrase </w:t>
      </w:r>
      <w:r w:rsidRPr="00505CF0">
        <w:rPr>
          <w:rFonts w:asciiTheme="majorBidi" w:hAnsiTheme="majorBidi" w:cstheme="majorBidi"/>
          <w:i/>
          <w:iCs/>
          <w:sz w:val="24"/>
          <w:szCs w:val="24"/>
        </w:rPr>
        <w:t>Monty Python</w:t>
      </w:r>
      <w:r w:rsidRPr="00505CF0">
        <w:rPr>
          <w:rFonts w:asciiTheme="majorBidi" w:hAnsiTheme="majorBidi" w:cstheme="majorBidi"/>
          <w:sz w:val="24"/>
          <w:szCs w:val="24"/>
        </w:rPr>
        <w:t xml:space="preserve">, an ex-postmodernism. </w:t>
      </w:r>
      <w:proofErr w:type="gramStart"/>
      <w:r w:rsidRPr="00505CF0">
        <w:rPr>
          <w:rFonts w:asciiTheme="majorBidi" w:hAnsiTheme="majorBidi" w:cstheme="majorBidi"/>
          <w:sz w:val="24"/>
          <w:szCs w:val="24"/>
        </w:rPr>
        <w:t>Perhaps not.</w:t>
      </w:r>
      <w:proofErr w:type="gramEnd"/>
      <w:r w:rsidRPr="00505CF0">
        <w:rPr>
          <w:rFonts w:asciiTheme="majorBidi" w:hAnsiTheme="majorBidi" w:cstheme="majorBidi"/>
          <w:sz w:val="24"/>
          <w:szCs w:val="24"/>
        </w:rPr>
        <w:t xml:space="preserve"> The postmodern in its purest form, without contest or alternative, is definitively over. The geopolitical, social, and cultural interests of the 21</w:t>
      </w:r>
      <w:r w:rsidRPr="00505CF0">
        <w:rPr>
          <w:rFonts w:asciiTheme="majorBidi" w:hAnsiTheme="majorBidi" w:cstheme="majorBidi"/>
          <w:sz w:val="24"/>
          <w:szCs w:val="24"/>
          <w:vertAlign w:val="superscript"/>
        </w:rPr>
        <w:t>st</w:t>
      </w:r>
      <w:r w:rsidRPr="00505CF0">
        <w:rPr>
          <w:rFonts w:asciiTheme="majorBidi" w:hAnsiTheme="majorBidi" w:cstheme="majorBidi"/>
          <w:sz w:val="24"/>
          <w:szCs w:val="24"/>
        </w:rPr>
        <w:t xml:space="preserve"> century no longer align with the </w:t>
      </w:r>
      <w:r w:rsidR="004D04B6" w:rsidRPr="00505CF0">
        <w:rPr>
          <w:rFonts w:asciiTheme="majorBidi" w:hAnsiTheme="majorBidi" w:cstheme="majorBidi"/>
          <w:sz w:val="24"/>
          <w:szCs w:val="24"/>
        </w:rPr>
        <w:t>proposed</w:t>
      </w:r>
      <w:r w:rsidRPr="00505CF0">
        <w:rPr>
          <w:rFonts w:asciiTheme="majorBidi" w:hAnsiTheme="majorBidi" w:cstheme="majorBidi"/>
          <w:sz w:val="24"/>
          <w:szCs w:val="24"/>
        </w:rPr>
        <w:t xml:space="preserve"> paradigms of the postmodern. Yet, while the majority of research into this topic deals with this apparent ‘death’ phrasing it in terms of the grave and having passed from a supposed ‘life,’ we still find a series of theories which include postmodern practice</w:t>
      </w:r>
      <w:r w:rsidR="00DB3276">
        <w:rPr>
          <w:rFonts w:asciiTheme="majorBidi" w:hAnsiTheme="majorBidi" w:cstheme="majorBidi"/>
          <w:sz w:val="24"/>
          <w:szCs w:val="24"/>
        </w:rPr>
        <w:t>.</w:t>
      </w:r>
      <w:r w:rsidRPr="00505CF0">
        <w:rPr>
          <w:rFonts w:asciiTheme="majorBidi" w:hAnsiTheme="majorBidi" w:cstheme="majorBidi"/>
          <w:sz w:val="24"/>
          <w:szCs w:val="24"/>
        </w:rPr>
        <w:t xml:space="preserve"> </w:t>
      </w:r>
      <w:r w:rsidR="00DB3276">
        <w:rPr>
          <w:rFonts w:asciiTheme="majorBidi" w:hAnsiTheme="majorBidi" w:cstheme="majorBidi"/>
          <w:sz w:val="24"/>
          <w:szCs w:val="24"/>
        </w:rPr>
        <w:t>I</w:t>
      </w:r>
      <w:r w:rsidRPr="00505CF0">
        <w:rPr>
          <w:rFonts w:asciiTheme="majorBidi" w:hAnsiTheme="majorBidi" w:cstheme="majorBidi"/>
          <w:sz w:val="24"/>
          <w:szCs w:val="24"/>
        </w:rPr>
        <w:t>n much the same way as modernist techniques continued into the postmodern, so too does postmodern appear to continue passed its so</w:t>
      </w:r>
      <w:r w:rsidR="004D04B6">
        <w:rPr>
          <w:rFonts w:asciiTheme="majorBidi" w:hAnsiTheme="majorBidi" w:cstheme="majorBidi"/>
          <w:sz w:val="24"/>
          <w:szCs w:val="24"/>
        </w:rPr>
        <w:t>-</w:t>
      </w:r>
      <w:r w:rsidRPr="00505CF0">
        <w:rPr>
          <w:rFonts w:asciiTheme="majorBidi" w:hAnsiTheme="majorBidi" w:cstheme="majorBidi"/>
          <w:sz w:val="24"/>
          <w:szCs w:val="24"/>
        </w:rPr>
        <w:t xml:space="preserve">called demise. In the wake, or more appropriately perhaps </w:t>
      </w:r>
      <w:r w:rsidRPr="00505CF0">
        <w:rPr>
          <w:rFonts w:asciiTheme="majorBidi" w:hAnsiTheme="majorBidi" w:cstheme="majorBidi"/>
          <w:i/>
          <w:iCs/>
          <w:sz w:val="24"/>
          <w:szCs w:val="24"/>
        </w:rPr>
        <w:t xml:space="preserve">at </w:t>
      </w:r>
      <w:r w:rsidRPr="00505CF0">
        <w:rPr>
          <w:rFonts w:asciiTheme="majorBidi" w:hAnsiTheme="majorBidi" w:cstheme="majorBidi"/>
          <w:sz w:val="24"/>
          <w:szCs w:val="24"/>
        </w:rPr>
        <w:t>the wake of postmodernism, (whether dead or pretending within its casket) then, we have to ask: What Happens Now?</w:t>
      </w:r>
      <w:r w:rsidRPr="00505CF0">
        <w:rPr>
          <w:rStyle w:val="FootnoteReference"/>
          <w:rFonts w:asciiTheme="majorBidi" w:hAnsiTheme="majorBidi" w:cstheme="majorBidi"/>
          <w:sz w:val="24"/>
          <w:szCs w:val="24"/>
        </w:rPr>
        <w:footnoteReference w:id="41"/>
      </w:r>
      <w:r w:rsidRPr="00505CF0">
        <w:rPr>
          <w:rFonts w:asciiTheme="majorBidi" w:hAnsiTheme="majorBidi" w:cstheme="majorBidi"/>
          <w:sz w:val="24"/>
          <w:szCs w:val="24"/>
        </w:rPr>
        <w:t xml:space="preserve"> </w:t>
      </w:r>
    </w:p>
    <w:p w14:paraId="404EA691" w14:textId="77777777" w:rsidR="00C111D3" w:rsidRPr="00505CF0" w:rsidRDefault="00C111D3" w:rsidP="004C3EE0">
      <w:pPr>
        <w:jc w:val="both"/>
        <w:rPr>
          <w:rFonts w:asciiTheme="majorBidi" w:eastAsia="Times New Roman" w:hAnsiTheme="majorBidi" w:cstheme="majorBidi"/>
          <w:b/>
          <w:sz w:val="32"/>
          <w:szCs w:val="20"/>
          <w:lang w:eastAsia="en-US"/>
        </w:rPr>
      </w:pPr>
      <w:r w:rsidRPr="00505CF0">
        <w:rPr>
          <w:rFonts w:asciiTheme="majorBidi" w:hAnsiTheme="majorBidi" w:cstheme="majorBidi"/>
          <w:sz w:val="24"/>
          <w:szCs w:val="24"/>
        </w:rPr>
        <w:br w:type="page"/>
      </w:r>
      <w:r w:rsidRPr="00505CF0">
        <w:rPr>
          <w:rFonts w:asciiTheme="majorBidi" w:eastAsia="Times New Roman" w:hAnsiTheme="majorBidi" w:cstheme="majorBidi"/>
          <w:b/>
          <w:sz w:val="32"/>
          <w:szCs w:val="20"/>
          <w:lang w:eastAsia="en-US"/>
        </w:rPr>
        <w:lastRenderedPageBreak/>
        <w:t>2.</w:t>
      </w:r>
      <w:r w:rsidRPr="00505CF0">
        <w:rPr>
          <w:rFonts w:asciiTheme="majorBidi" w:eastAsia="Times New Roman" w:hAnsiTheme="majorBidi" w:cstheme="majorBidi"/>
          <w:b/>
          <w:sz w:val="32"/>
          <w:szCs w:val="20"/>
          <w:lang w:eastAsia="en-US"/>
        </w:rPr>
        <w:tab/>
        <w:t xml:space="preserve">Contenders to the Throne </w:t>
      </w:r>
    </w:p>
    <w:p w14:paraId="2458DA93" w14:textId="2004232D" w:rsidR="00C111D3" w:rsidRDefault="00C111D3" w:rsidP="004C3EE0">
      <w:pPr>
        <w:spacing w:line="480" w:lineRule="auto"/>
        <w:jc w:val="both"/>
        <w:rPr>
          <w:rFonts w:asciiTheme="majorBidi" w:hAnsiTheme="majorBidi" w:cstheme="majorBidi"/>
          <w:b/>
          <w:bCs/>
          <w:sz w:val="24"/>
          <w:szCs w:val="24"/>
          <w:u w:val="single"/>
        </w:rPr>
      </w:pPr>
    </w:p>
    <w:p w14:paraId="59C6460B" w14:textId="77777777" w:rsidR="00D1110F" w:rsidRPr="00505CF0" w:rsidRDefault="00D1110F" w:rsidP="004C3EE0">
      <w:pPr>
        <w:spacing w:line="480" w:lineRule="auto"/>
        <w:jc w:val="both"/>
        <w:rPr>
          <w:rFonts w:asciiTheme="majorBidi" w:hAnsiTheme="majorBidi" w:cstheme="majorBidi"/>
          <w:b/>
          <w:bCs/>
          <w:sz w:val="24"/>
          <w:szCs w:val="24"/>
          <w:u w:val="single"/>
        </w:rPr>
      </w:pPr>
    </w:p>
    <w:p w14:paraId="7FC60154"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‘Pure’ Postmodernism is dead, and in its wake the war for nomenclature rages; from Alec Abercrombie to Slavoj Žižek, a wide range of literary critics, contemporary philosophers, and cultural critics seek to title the epoch – to definitively conceptualize the current (admittedly inchoate, or, rather, very varied) cultural climate of western society. The main loci of these new cultural modes vary greatly, including ‘the violent and irrevocable impact that digitisation has had on all forms of the text’</w:t>
      </w:r>
      <w:r w:rsidRPr="00505CF0">
        <w:rPr>
          <w:rStyle w:val="FootnoteReference"/>
          <w:rFonts w:asciiTheme="majorBidi" w:hAnsiTheme="majorBidi" w:cstheme="majorBidi"/>
          <w:sz w:val="24"/>
          <w:szCs w:val="24"/>
        </w:rPr>
        <w:footnoteReference w:id="42"/>
      </w:r>
      <w:r w:rsidRPr="00505CF0">
        <w:rPr>
          <w:rFonts w:asciiTheme="majorBidi" w:hAnsiTheme="majorBidi" w:cstheme="majorBidi"/>
          <w:sz w:val="24"/>
          <w:szCs w:val="24"/>
        </w:rPr>
        <w:t xml:space="preserve"> (Digimodernism), the rebirth of the avant-garde (Altermodernism,</w:t>
      </w:r>
      <w:r w:rsidRPr="00505CF0">
        <w:rPr>
          <w:rStyle w:val="FootnoteReference"/>
          <w:rFonts w:asciiTheme="majorBidi" w:hAnsiTheme="majorBidi" w:cstheme="majorBidi"/>
          <w:sz w:val="24"/>
          <w:szCs w:val="24"/>
        </w:rPr>
        <w:footnoteReference w:id="43"/>
      </w:r>
      <w:r w:rsidRPr="00505CF0">
        <w:rPr>
          <w:rFonts w:asciiTheme="majorBidi" w:hAnsiTheme="majorBidi" w:cstheme="majorBidi"/>
          <w:sz w:val="24"/>
          <w:szCs w:val="24"/>
        </w:rPr>
        <w:t xml:space="preserve"> Avant-Pop), or the revisionist view of modernism never having entered the ‘post’ condition in the first place (Re-Modernism, Second Modernism, Hypermodernism, Light Modernism, Neo-Modernism, amongst others). While a swift summary of these new modes would suffice for the sake of argument, it may be prudent here to highlight and briefly detail some of the more mainstream theories that have emerged following the death of postmodernism.</w:t>
      </w:r>
    </w:p>
    <w:p w14:paraId="6A2E021A" w14:textId="77777777" w:rsidR="00C111D3" w:rsidRPr="00505CF0" w:rsidRDefault="00C111D3" w:rsidP="004C3EE0">
      <w:pPr>
        <w:spacing w:line="480" w:lineRule="auto"/>
        <w:jc w:val="both"/>
        <w:rPr>
          <w:rFonts w:asciiTheme="majorBidi" w:hAnsiTheme="majorBidi" w:cstheme="majorBidi"/>
          <w:sz w:val="24"/>
          <w:szCs w:val="24"/>
        </w:rPr>
      </w:pPr>
    </w:p>
    <w:p w14:paraId="021392C4" w14:textId="1B8893C6"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b/>
          <w:bCs/>
          <w:i/>
          <w:iCs/>
          <w:sz w:val="24"/>
          <w:szCs w:val="24"/>
        </w:rPr>
        <w:t>Avant-Pop</w:t>
      </w:r>
      <w:r w:rsidRPr="00505CF0">
        <w:rPr>
          <w:rFonts w:asciiTheme="majorBidi" w:hAnsiTheme="majorBidi" w:cstheme="majorBidi"/>
          <w:sz w:val="24"/>
          <w:szCs w:val="24"/>
        </w:rPr>
        <w:t xml:space="preserve"> was a movement that began in the early 1990s and centred around the idea of a hyper-extension of postmodern goals; a fusion of the avant-garde desire and pop-culture representation, the Avant-Pop aimed to rapidly transform the sick and commodity infested </w:t>
      </w:r>
      <w:r w:rsidRPr="00505CF0">
        <w:rPr>
          <w:rFonts w:asciiTheme="majorBidi" w:hAnsiTheme="majorBidi" w:cstheme="majorBidi"/>
          <w:sz w:val="24"/>
          <w:szCs w:val="24"/>
        </w:rPr>
        <w:lastRenderedPageBreak/>
        <w:t>culture of the time into a more sensual, erotic, and networked experience</w:t>
      </w:r>
      <w:r w:rsidRPr="00505CF0">
        <w:rPr>
          <w:rStyle w:val="FootnoteReference"/>
          <w:rFonts w:asciiTheme="majorBidi" w:hAnsiTheme="majorBidi" w:cstheme="majorBidi"/>
          <w:sz w:val="24"/>
          <w:szCs w:val="24"/>
        </w:rPr>
        <w:footnoteReference w:id="44"/>
      </w:r>
      <w:r w:rsidRPr="00505CF0">
        <w:rPr>
          <w:rFonts w:asciiTheme="majorBidi" w:hAnsiTheme="majorBidi" w:cstheme="majorBidi"/>
          <w:sz w:val="24"/>
          <w:szCs w:val="24"/>
        </w:rPr>
        <w:t xml:space="preserve"> via the use of mass-market techniques to destabilise and critique the mass-market.</w:t>
      </w:r>
      <w:r w:rsidRPr="00505CF0">
        <w:rPr>
          <w:rStyle w:val="FootnoteReference"/>
          <w:rFonts w:asciiTheme="majorBidi" w:hAnsiTheme="majorBidi" w:cstheme="majorBidi"/>
          <w:sz w:val="24"/>
          <w:szCs w:val="24"/>
        </w:rPr>
        <w:footnoteReference w:id="45"/>
      </w:r>
      <w:r w:rsidRPr="00505CF0">
        <w:rPr>
          <w:rFonts w:asciiTheme="majorBidi" w:hAnsiTheme="majorBidi" w:cstheme="majorBidi"/>
          <w:sz w:val="24"/>
          <w:szCs w:val="24"/>
        </w:rPr>
        <w:t xml:space="preserve"> The paradoxical nature of these goals has led Brian McHale to condemn the Avant-Pop as ‘manifestly a postmodern practice,’ though continuing to state that such a practice does ‘reflect an early nineties impatience with postmodernism, a desire to break free of it.’</w:t>
      </w:r>
      <w:r w:rsidRPr="00505CF0">
        <w:rPr>
          <w:rStyle w:val="FootnoteReference"/>
          <w:rFonts w:asciiTheme="majorBidi" w:hAnsiTheme="majorBidi" w:cstheme="majorBidi"/>
          <w:sz w:val="24"/>
          <w:szCs w:val="24"/>
        </w:rPr>
        <w:footnoteReference w:id="46"/>
      </w:r>
      <w:r w:rsidRPr="00505CF0">
        <w:rPr>
          <w:rFonts w:asciiTheme="majorBidi" w:hAnsiTheme="majorBidi" w:cstheme="majorBidi"/>
          <w:sz w:val="24"/>
          <w:szCs w:val="24"/>
        </w:rPr>
        <w:t xml:space="preserve"> Ultimately, this practice would attest more to a certain emerging postmodern fatigue than any true ‘death’, becoming more of what Stephen Burn describes as one of many ‘second generation postmoderns’; the second generation of postmoderns are ‘alive "with the excitement of periodization," of dramatizing (if not always enacting) a coherent generation's movement away from their ancestors.’</w:t>
      </w:r>
      <w:r w:rsidRPr="00505CF0">
        <w:rPr>
          <w:rStyle w:val="FootnoteReference"/>
          <w:rFonts w:asciiTheme="majorBidi" w:hAnsiTheme="majorBidi" w:cstheme="majorBidi"/>
          <w:sz w:val="24"/>
          <w:szCs w:val="24"/>
        </w:rPr>
        <w:footnoteReference w:id="47"/>
      </w:r>
      <w:r w:rsidRPr="00505CF0">
        <w:rPr>
          <w:rFonts w:asciiTheme="majorBidi" w:hAnsiTheme="majorBidi" w:cstheme="majorBidi"/>
          <w:sz w:val="24"/>
          <w:szCs w:val="24"/>
        </w:rPr>
        <w:t xml:space="preserve"> Avant-Pop, as a theory, did not enact the break from the postmodern, but certainly emphasized the growing desire to move away from it. Similarly, the somewhat awkwardly titled </w:t>
      </w:r>
      <w:r w:rsidRPr="00505CF0">
        <w:rPr>
          <w:rFonts w:asciiTheme="majorBidi" w:hAnsiTheme="majorBidi" w:cstheme="majorBidi"/>
          <w:b/>
          <w:bCs/>
          <w:i/>
          <w:iCs/>
          <w:sz w:val="24"/>
          <w:szCs w:val="24"/>
        </w:rPr>
        <w:t>Post-Postmodernism</w:t>
      </w:r>
      <w:r w:rsidRPr="00505CF0">
        <w:rPr>
          <w:rStyle w:val="FootnoteReference"/>
          <w:rFonts w:asciiTheme="majorBidi" w:hAnsiTheme="majorBidi" w:cstheme="majorBidi"/>
          <w:sz w:val="24"/>
          <w:szCs w:val="24"/>
        </w:rPr>
        <w:footnoteReference w:id="48"/>
      </w:r>
      <w:r w:rsidRPr="00505CF0">
        <w:rPr>
          <w:rFonts w:asciiTheme="majorBidi" w:hAnsiTheme="majorBidi" w:cstheme="majorBidi"/>
          <w:sz w:val="24"/>
          <w:szCs w:val="24"/>
        </w:rPr>
        <w:t xml:space="preserve"> is described by Jeffrey Nealon as not quite ‘an outright overcoming of postmodernism’, but rather as a mutation of the goals of the predecessor.</w:t>
      </w:r>
      <w:r w:rsidRPr="00505CF0">
        <w:rPr>
          <w:rStyle w:val="FootnoteReference"/>
          <w:rFonts w:asciiTheme="majorBidi" w:hAnsiTheme="majorBidi" w:cstheme="majorBidi"/>
          <w:sz w:val="24"/>
          <w:szCs w:val="24"/>
        </w:rPr>
        <w:footnoteReference w:id="49"/>
      </w:r>
      <w:r w:rsidRPr="00505CF0">
        <w:rPr>
          <w:rFonts w:asciiTheme="majorBidi" w:hAnsiTheme="majorBidi" w:cstheme="majorBidi"/>
          <w:sz w:val="24"/>
          <w:szCs w:val="24"/>
        </w:rPr>
        <w:t xml:space="preserve">  As opposed to the nihilism and solipsism (according to some) of the postmodern, Post-Postmodern thought ‘additionally and importantly’ engages in a more positive, utopian view of the world, looking ‘positively towards the intensifications and transformations of the present that might offer escape lines in the future.’</w:t>
      </w:r>
      <w:r w:rsidRPr="00505CF0">
        <w:rPr>
          <w:rStyle w:val="FootnoteReference"/>
          <w:rFonts w:asciiTheme="majorBidi" w:hAnsiTheme="majorBidi" w:cstheme="majorBidi"/>
          <w:sz w:val="24"/>
          <w:szCs w:val="24"/>
        </w:rPr>
        <w:footnoteReference w:id="50"/>
      </w:r>
      <w:r w:rsidRPr="00505CF0">
        <w:rPr>
          <w:rFonts w:asciiTheme="majorBidi" w:hAnsiTheme="majorBidi" w:cstheme="majorBidi"/>
          <w:sz w:val="24"/>
          <w:szCs w:val="24"/>
        </w:rPr>
        <w:t xml:space="preserve"> Nealon’s view is ultimately almost naïve </w:t>
      </w:r>
      <w:bookmarkStart w:id="3" w:name="_Hlk520120355"/>
      <w:bookmarkStart w:id="4" w:name="_Hlk520120386"/>
      <w:r w:rsidRPr="00505CF0">
        <w:rPr>
          <w:rFonts w:asciiTheme="majorBidi" w:hAnsiTheme="majorBidi" w:cstheme="majorBidi"/>
          <w:sz w:val="24"/>
          <w:szCs w:val="24"/>
        </w:rPr>
        <w:t xml:space="preserve">in </w:t>
      </w:r>
      <w:r w:rsidR="00510EEA">
        <w:rPr>
          <w:rFonts w:asciiTheme="majorBidi" w:hAnsiTheme="majorBidi" w:cstheme="majorBidi"/>
          <w:sz w:val="24"/>
          <w:szCs w:val="24"/>
        </w:rPr>
        <w:t xml:space="preserve">terms of declaring an entirely positive post-postmodern </w:t>
      </w:r>
      <w:bookmarkEnd w:id="3"/>
      <w:r w:rsidR="00510EEA">
        <w:rPr>
          <w:rFonts w:asciiTheme="majorBidi" w:hAnsiTheme="majorBidi" w:cstheme="majorBidi"/>
          <w:sz w:val="24"/>
          <w:szCs w:val="24"/>
        </w:rPr>
        <w:t>zeitgeist</w:t>
      </w:r>
      <w:bookmarkEnd w:id="4"/>
      <w:r w:rsidRPr="00505CF0">
        <w:rPr>
          <w:rFonts w:asciiTheme="majorBidi" w:hAnsiTheme="majorBidi" w:cstheme="majorBidi"/>
          <w:sz w:val="24"/>
          <w:szCs w:val="24"/>
        </w:rPr>
        <w:t xml:space="preserve">, especially in light of Ulrich Beck’s notions of the contemporary risk society. Ulrich Beck, in his argument for a </w:t>
      </w:r>
      <w:r w:rsidRPr="00505CF0">
        <w:rPr>
          <w:rFonts w:asciiTheme="majorBidi" w:hAnsiTheme="majorBidi" w:cstheme="majorBidi"/>
          <w:b/>
          <w:bCs/>
          <w:i/>
          <w:iCs/>
          <w:sz w:val="24"/>
          <w:szCs w:val="24"/>
        </w:rPr>
        <w:lastRenderedPageBreak/>
        <w:t>Second Modernism</w:t>
      </w:r>
      <w:r w:rsidRPr="00505CF0">
        <w:rPr>
          <w:rFonts w:asciiTheme="majorBidi" w:hAnsiTheme="majorBidi" w:cstheme="majorBidi"/>
          <w:i/>
          <w:iCs/>
          <w:sz w:val="24"/>
          <w:szCs w:val="24"/>
        </w:rPr>
        <w:t>,</w:t>
      </w:r>
      <w:r w:rsidRPr="00505CF0">
        <w:rPr>
          <w:rFonts w:asciiTheme="majorBidi" w:hAnsiTheme="majorBidi" w:cstheme="majorBidi"/>
          <w:b/>
          <w:bCs/>
          <w:i/>
          <w:iCs/>
          <w:sz w:val="24"/>
          <w:szCs w:val="24"/>
        </w:rPr>
        <w:t xml:space="preserve"> </w:t>
      </w:r>
      <w:r w:rsidRPr="00505CF0">
        <w:rPr>
          <w:rFonts w:asciiTheme="majorBidi" w:hAnsiTheme="majorBidi" w:cstheme="majorBidi"/>
          <w:sz w:val="24"/>
          <w:szCs w:val="24"/>
        </w:rPr>
        <w:t>states outright that ‘modernity has not vanished, we are not post it. [...] What is new is that modernity has begun to modernize its own foundations [...] it has become directed at itself.’</w:t>
      </w:r>
      <w:r w:rsidRPr="00505CF0">
        <w:rPr>
          <w:rStyle w:val="FootnoteReference"/>
          <w:rFonts w:asciiTheme="majorBidi" w:hAnsiTheme="majorBidi" w:cstheme="majorBidi"/>
          <w:sz w:val="24"/>
          <w:szCs w:val="24"/>
        </w:rPr>
        <w:footnoteReference w:id="51"/>
      </w:r>
      <w:r w:rsidRPr="00505CF0">
        <w:rPr>
          <w:rFonts w:asciiTheme="majorBidi" w:hAnsiTheme="majorBidi" w:cstheme="majorBidi"/>
          <w:sz w:val="24"/>
          <w:szCs w:val="24"/>
        </w:rPr>
        <w:t xml:space="preserve"> Second Modernity suggests that we have entered a late modernism, rather than a post-modernism, one which is characterised by risk management and a lack of faith in the ‘growing number of global organizations and transnational institutions’ that are increasingly unable to address the global terrors and challenges that they were created to meet.</w:t>
      </w:r>
      <w:r w:rsidRPr="00505CF0">
        <w:rPr>
          <w:rStyle w:val="FootnoteReference"/>
          <w:rFonts w:asciiTheme="majorBidi" w:hAnsiTheme="majorBidi" w:cstheme="majorBidi"/>
          <w:sz w:val="24"/>
          <w:szCs w:val="24"/>
        </w:rPr>
        <w:footnoteReference w:id="52"/>
      </w:r>
      <w:r w:rsidRPr="00505CF0">
        <w:rPr>
          <w:rFonts w:asciiTheme="majorBidi" w:hAnsiTheme="majorBidi" w:cstheme="majorBidi"/>
          <w:sz w:val="24"/>
          <w:szCs w:val="24"/>
        </w:rPr>
        <w:t xml:space="preserve"> Second modernity suggests a societal paranoia that governs our actions and instigates a desire to return to defensive insularity, linking to both Eshelman’s concept of </w:t>
      </w:r>
      <w:r w:rsidR="00B30C30">
        <w:rPr>
          <w:rFonts w:asciiTheme="majorBidi" w:hAnsiTheme="majorBidi" w:cstheme="majorBidi"/>
          <w:sz w:val="24"/>
          <w:szCs w:val="24"/>
        </w:rPr>
        <w:t>P</w:t>
      </w:r>
      <w:r w:rsidRPr="00505CF0">
        <w:rPr>
          <w:rFonts w:asciiTheme="majorBidi" w:hAnsiTheme="majorBidi" w:cstheme="majorBidi"/>
          <w:sz w:val="24"/>
          <w:szCs w:val="24"/>
        </w:rPr>
        <w:t xml:space="preserve">erformatism and the current nostalgia drive observable across culture. In later developments with Johannes Wiilms, Beck also developed a theory of cultural plurality in which the effects of globalization force the individual to either completely isolate, again speaking to Eshelman’s </w:t>
      </w:r>
      <w:r w:rsidR="00B30C30">
        <w:rPr>
          <w:rFonts w:asciiTheme="majorBidi" w:hAnsiTheme="majorBidi" w:cstheme="majorBidi"/>
          <w:sz w:val="24"/>
          <w:szCs w:val="24"/>
        </w:rPr>
        <w:t>P</w:t>
      </w:r>
      <w:r w:rsidRPr="00505CF0">
        <w:rPr>
          <w:rFonts w:asciiTheme="majorBidi" w:hAnsiTheme="majorBidi" w:cstheme="majorBidi"/>
          <w:sz w:val="24"/>
          <w:szCs w:val="24"/>
        </w:rPr>
        <w:t>erformatism, or can allow ‘local culture [to] open up and [let] more of the world in.’</w:t>
      </w:r>
      <w:r w:rsidRPr="00505CF0">
        <w:rPr>
          <w:rStyle w:val="FootnoteReference"/>
          <w:rFonts w:asciiTheme="majorBidi" w:hAnsiTheme="majorBidi" w:cstheme="majorBidi"/>
          <w:sz w:val="24"/>
          <w:szCs w:val="24"/>
        </w:rPr>
        <w:footnoteReference w:id="53"/>
      </w:r>
      <w:r w:rsidRPr="00505CF0">
        <w:rPr>
          <w:rFonts w:asciiTheme="majorBidi" w:hAnsiTheme="majorBidi" w:cstheme="majorBidi"/>
          <w:sz w:val="24"/>
          <w:szCs w:val="24"/>
        </w:rPr>
        <w:t xml:space="preserve"> The former is taken up by Timo Harrikari, Pirkko-Liisa Rauhala, and Elina Virokannas and described as the ultimate ‘social utopia’ of this risk society.</w:t>
      </w:r>
      <w:r w:rsidRPr="00505CF0">
        <w:rPr>
          <w:rStyle w:val="FootnoteReference"/>
          <w:rFonts w:asciiTheme="majorBidi" w:hAnsiTheme="majorBidi" w:cstheme="majorBidi"/>
          <w:sz w:val="24"/>
          <w:szCs w:val="24"/>
        </w:rPr>
        <w:footnoteReference w:id="54"/>
      </w:r>
      <w:r w:rsidRPr="00505CF0">
        <w:rPr>
          <w:rFonts w:asciiTheme="majorBidi" w:hAnsiTheme="majorBidi" w:cstheme="majorBidi"/>
          <w:sz w:val="24"/>
          <w:szCs w:val="24"/>
        </w:rPr>
        <w:t xml:space="preserve"> The driving force of the second modernity, it seems, is the desire for a safe, holistic self, an idea taken up by the Hypermodern, as proposed by Giles Lipovetsky. Lipovetsky offers a similar view of the modernist era continuing through to today, offering up </w:t>
      </w:r>
      <w:r w:rsidRPr="00505CF0">
        <w:rPr>
          <w:rFonts w:asciiTheme="majorBidi" w:hAnsiTheme="majorBidi" w:cstheme="majorBidi"/>
          <w:b/>
          <w:bCs/>
          <w:i/>
          <w:iCs/>
          <w:sz w:val="24"/>
          <w:szCs w:val="24"/>
        </w:rPr>
        <w:t>Hypermodernism</w:t>
      </w:r>
      <w:r w:rsidRPr="00505CF0">
        <w:rPr>
          <w:rFonts w:asciiTheme="majorBidi" w:hAnsiTheme="majorBidi" w:cstheme="majorBidi"/>
          <w:sz w:val="24"/>
          <w:szCs w:val="24"/>
        </w:rPr>
        <w:t xml:space="preserve"> to define the current climate. ‘Far from modernity having passed away,’ Lipovetsky writes,  ‘what we are seeing is its consummation, which takes the concrete form of a globalized liberalism, the quasi-general commercialization of lifestyles, the exploitation 'to death' of instrumental reason, and rampant </w:t>
      </w:r>
      <w:r w:rsidRPr="00505CF0">
        <w:rPr>
          <w:rFonts w:asciiTheme="majorBidi" w:hAnsiTheme="majorBidi" w:cstheme="majorBidi"/>
          <w:sz w:val="24"/>
          <w:szCs w:val="24"/>
        </w:rPr>
        <w:lastRenderedPageBreak/>
        <w:t>individualism.’</w:t>
      </w:r>
      <w:r w:rsidRPr="00505CF0">
        <w:rPr>
          <w:rStyle w:val="FootnoteReference"/>
          <w:rFonts w:asciiTheme="majorBidi" w:hAnsiTheme="majorBidi" w:cstheme="majorBidi"/>
          <w:sz w:val="24"/>
          <w:szCs w:val="24"/>
        </w:rPr>
        <w:footnoteReference w:id="55"/>
      </w:r>
      <w:r w:rsidRPr="00505CF0">
        <w:rPr>
          <w:rFonts w:asciiTheme="majorBidi" w:hAnsiTheme="majorBidi" w:cstheme="majorBidi"/>
          <w:sz w:val="24"/>
          <w:szCs w:val="24"/>
        </w:rPr>
        <w:t xml:space="preserve"> Hypermodernism describes a modernism taken to excess, to the nth power,</w:t>
      </w:r>
      <w:r w:rsidRPr="00505CF0">
        <w:rPr>
          <w:rStyle w:val="FootnoteReference"/>
          <w:rFonts w:asciiTheme="majorBidi" w:hAnsiTheme="majorBidi" w:cstheme="majorBidi"/>
          <w:sz w:val="24"/>
          <w:szCs w:val="24"/>
        </w:rPr>
        <w:footnoteReference w:id="56"/>
      </w:r>
      <w:r w:rsidRPr="00505CF0">
        <w:rPr>
          <w:rFonts w:asciiTheme="majorBidi" w:hAnsiTheme="majorBidi" w:cstheme="majorBidi"/>
          <w:sz w:val="24"/>
          <w:szCs w:val="24"/>
        </w:rPr>
        <w:t xml:space="preserve"> with an emphasis on the individual and the construction of self that resonates with the aims of both Liquid and Second modernity. Lipovetsky’s version of a neo-modernism, however, relies entirely on the already described rampant individualism, and argues </w:t>
      </w:r>
      <w:r w:rsidR="00585A3E">
        <w:rPr>
          <w:rFonts w:asciiTheme="majorBidi" w:hAnsiTheme="majorBidi" w:cstheme="majorBidi"/>
          <w:sz w:val="24"/>
          <w:szCs w:val="24"/>
        </w:rPr>
        <w:t>that all current</w:t>
      </w:r>
      <w:r w:rsidR="00585A3E" w:rsidRPr="00505CF0">
        <w:rPr>
          <w:rFonts w:asciiTheme="majorBidi" w:hAnsiTheme="majorBidi" w:cstheme="majorBidi"/>
          <w:sz w:val="24"/>
          <w:szCs w:val="24"/>
        </w:rPr>
        <w:t xml:space="preserve"> </w:t>
      </w:r>
      <w:r w:rsidRPr="00505CF0">
        <w:rPr>
          <w:rFonts w:asciiTheme="majorBidi" w:hAnsiTheme="majorBidi" w:cstheme="majorBidi"/>
          <w:sz w:val="24"/>
          <w:szCs w:val="24"/>
        </w:rPr>
        <w:t>progress, in terms of the technological, digital and social, without any distinct purpose or goal.  Hypermodernity is another in the growing list of theories that suggest the contemporary culture is dominated by the narcissism of individuals, whose interests and cultural outputs focuses primarily on representations, though it is difficult to think of a period when ontological questions were not dominant – think of the truism about creative writing, that all narratives are driven by the single question of ‘who am I?’ In hypermodernity, an attempt is made to resolve this question via attempts at hyper-individuation and excess of self.</w:t>
      </w:r>
      <w:r w:rsidR="00EB3F5F">
        <w:rPr>
          <w:rStyle w:val="FootnoteReference"/>
          <w:rFonts w:asciiTheme="majorBidi" w:hAnsiTheme="majorBidi" w:cstheme="majorBidi"/>
          <w:sz w:val="24"/>
          <w:szCs w:val="24"/>
        </w:rPr>
        <w:footnoteReference w:id="57"/>
      </w:r>
      <w:r w:rsidRPr="00505CF0">
        <w:rPr>
          <w:rFonts w:asciiTheme="majorBidi" w:hAnsiTheme="majorBidi" w:cstheme="majorBidi"/>
          <w:sz w:val="24"/>
          <w:szCs w:val="24"/>
        </w:rPr>
        <w:t xml:space="preserve">  As another theory in line with the ideals of a second modernity, </w:t>
      </w:r>
      <w:r w:rsidRPr="00505CF0">
        <w:rPr>
          <w:rFonts w:asciiTheme="majorBidi" w:hAnsiTheme="majorBidi" w:cstheme="majorBidi"/>
          <w:b/>
          <w:bCs/>
          <w:i/>
          <w:iCs/>
          <w:sz w:val="24"/>
          <w:szCs w:val="24"/>
        </w:rPr>
        <w:t>Remodernism</w:t>
      </w:r>
      <w:r w:rsidRPr="00505CF0">
        <w:rPr>
          <w:rFonts w:asciiTheme="majorBidi" w:hAnsiTheme="majorBidi" w:cstheme="majorBidi"/>
          <w:sz w:val="24"/>
          <w:szCs w:val="24"/>
        </w:rPr>
        <w:t>, masterminded by Childish and Thomson, is a return to the original principles of Modernism, after, according to them, it has ‘progressively lost its way, until finally toppling into the pit of postmodern balderdash.’</w:t>
      </w:r>
      <w:r w:rsidRPr="00505CF0">
        <w:rPr>
          <w:rStyle w:val="FootnoteReference"/>
          <w:rFonts w:asciiTheme="majorBidi" w:hAnsiTheme="majorBidi" w:cstheme="majorBidi"/>
          <w:sz w:val="24"/>
          <w:szCs w:val="24"/>
        </w:rPr>
        <w:footnoteReference w:id="58"/>
      </w:r>
      <w:r w:rsidRPr="00505CF0">
        <w:rPr>
          <w:rFonts w:asciiTheme="majorBidi" w:hAnsiTheme="majorBidi" w:cstheme="majorBidi"/>
          <w:sz w:val="24"/>
          <w:szCs w:val="24"/>
        </w:rPr>
        <w:t xml:space="preserve"> Remodernism describes its aim as to reapply the original principles of modernism, highlighting ‘vision as opposed to formalism,’</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59"/>
      </w:r>
      <w:r w:rsidRPr="00505CF0">
        <w:rPr>
          <w:rFonts w:asciiTheme="majorBidi" w:hAnsiTheme="majorBidi" w:cstheme="majorBidi"/>
          <w:sz w:val="24"/>
          <w:szCs w:val="24"/>
        </w:rPr>
        <w:t xml:space="preserve"> observable in the works of Mark D, whose self-proclaimed ‘naïve style,’ inspired more by ‘some low budget production record full of life and energy with lots of good ideas […] than some over-</w:t>
      </w:r>
      <w:r w:rsidRPr="00505CF0">
        <w:rPr>
          <w:rFonts w:asciiTheme="majorBidi" w:hAnsiTheme="majorBidi" w:cstheme="majorBidi"/>
          <w:sz w:val="24"/>
          <w:szCs w:val="24"/>
        </w:rPr>
        <w:lastRenderedPageBreak/>
        <w:t>produced bland pomp,’</w:t>
      </w:r>
      <w:r w:rsidRPr="00505CF0">
        <w:rPr>
          <w:rStyle w:val="FootnoteReference"/>
          <w:rFonts w:asciiTheme="majorBidi" w:hAnsiTheme="majorBidi" w:cstheme="majorBidi"/>
          <w:sz w:val="24"/>
          <w:szCs w:val="24"/>
        </w:rPr>
        <w:footnoteReference w:id="60"/>
      </w:r>
      <w:r w:rsidRPr="00505CF0">
        <w:rPr>
          <w:rFonts w:asciiTheme="majorBidi" w:hAnsiTheme="majorBidi" w:cstheme="majorBidi"/>
          <w:sz w:val="24"/>
          <w:szCs w:val="24"/>
        </w:rPr>
        <w:t xml:space="preserve"> foregrounds artistic message and expression over formal elements, as in </w:t>
      </w:r>
      <w:r w:rsidRPr="00505CF0">
        <w:rPr>
          <w:rFonts w:asciiTheme="majorBidi" w:hAnsiTheme="majorBidi" w:cstheme="majorBidi"/>
          <w:i/>
          <w:iCs/>
          <w:sz w:val="24"/>
          <w:szCs w:val="24"/>
        </w:rPr>
        <w:t xml:space="preserve">Charles Saatchi: King Charles and the Economics of Art. </w:t>
      </w:r>
      <w:r w:rsidRPr="00505CF0">
        <w:rPr>
          <w:rFonts w:asciiTheme="majorBidi" w:hAnsiTheme="majorBidi" w:cstheme="majorBidi"/>
          <w:sz w:val="24"/>
          <w:szCs w:val="24"/>
        </w:rPr>
        <w:t>Matt Bray highlights one of the core principles of the Remodern, namely the return of a certain ‘deep seated belief in and desire for […] existential truth.’</w:t>
      </w:r>
      <w:r w:rsidRPr="00505CF0">
        <w:rPr>
          <w:rStyle w:val="FootnoteReference"/>
          <w:rFonts w:asciiTheme="majorBidi" w:hAnsiTheme="majorBidi" w:cstheme="majorBidi"/>
          <w:sz w:val="24"/>
          <w:szCs w:val="24"/>
        </w:rPr>
        <w:footnoteReference w:id="61"/>
      </w:r>
      <w:r w:rsidRPr="00505CF0">
        <w:rPr>
          <w:rFonts w:asciiTheme="majorBidi" w:hAnsiTheme="majorBidi" w:cstheme="majorBidi"/>
          <w:sz w:val="24"/>
          <w:szCs w:val="24"/>
        </w:rPr>
        <w:t xml:space="preserve"> As he states:</w:t>
      </w:r>
    </w:p>
    <w:p w14:paraId="43F20B38" w14:textId="77777777" w:rsidR="00C111D3" w:rsidRPr="00505CF0" w:rsidRDefault="00C111D3" w:rsidP="004C3EE0">
      <w:pPr>
        <w:ind w:firstLine="720"/>
        <w:jc w:val="both"/>
        <w:rPr>
          <w:rFonts w:asciiTheme="majorBidi" w:hAnsiTheme="majorBidi" w:cstheme="majorBidi"/>
          <w:color w:val="FF0000"/>
          <w:sz w:val="24"/>
          <w:szCs w:val="24"/>
          <w:u w:val="single"/>
        </w:rPr>
      </w:pPr>
    </w:p>
    <w:p w14:paraId="37A54F05" w14:textId="77777777" w:rsidR="00C111D3" w:rsidRPr="00505CF0" w:rsidRDefault="00C111D3" w:rsidP="004C3EE0">
      <w:pPr>
        <w:ind w:left="720" w:right="720"/>
        <w:jc w:val="both"/>
        <w:rPr>
          <w:rFonts w:asciiTheme="majorBidi" w:hAnsiTheme="majorBidi" w:cstheme="majorBidi"/>
          <w:sz w:val="24"/>
          <w:szCs w:val="24"/>
        </w:rPr>
      </w:pPr>
      <w:r w:rsidRPr="00505CF0">
        <w:rPr>
          <w:rFonts w:asciiTheme="majorBidi" w:hAnsiTheme="majorBidi" w:cstheme="majorBidi"/>
          <w:sz w:val="24"/>
          <w:szCs w:val="24"/>
        </w:rPr>
        <w:t>“I think Post-Modernism has abandoned the idea of subjective truth, believing instead there are no truths. It is a cynical view that, as you practice it, can slowly eat away at your sense of power and purpose. Remodernism seemed to me to be addressing this problem and allowing artists to again claim some kind of belief, and to begin creating from the heart, allowing self-expression back into the fray.”</w:t>
      </w:r>
      <w:r w:rsidRPr="00505CF0">
        <w:rPr>
          <w:rStyle w:val="FootnoteReference"/>
          <w:rFonts w:asciiTheme="majorBidi" w:hAnsiTheme="majorBidi" w:cstheme="majorBidi"/>
          <w:sz w:val="24"/>
          <w:szCs w:val="24"/>
        </w:rPr>
        <w:footnoteReference w:id="62"/>
      </w:r>
    </w:p>
    <w:p w14:paraId="5BD53DF8" w14:textId="77777777" w:rsidR="00C111D3" w:rsidRPr="00505CF0" w:rsidRDefault="00C111D3" w:rsidP="004C3EE0">
      <w:pPr>
        <w:spacing w:line="480" w:lineRule="auto"/>
        <w:jc w:val="both"/>
        <w:rPr>
          <w:rFonts w:asciiTheme="majorBidi" w:hAnsiTheme="majorBidi" w:cstheme="majorBidi"/>
          <w:sz w:val="24"/>
          <w:szCs w:val="24"/>
        </w:rPr>
      </w:pPr>
    </w:p>
    <w:p w14:paraId="1EB7340E" w14:textId="65A4DB3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According the Childish and Thomson, Remodernism upholds modernist values in a search for existential, psychological depth and meaning, discarding and replacing postmodernism out of necessity as the latter failed ‘to answer or address any [of the] important issues of being a human being’.</w:t>
      </w:r>
      <w:r w:rsidRPr="00505CF0">
        <w:rPr>
          <w:rStyle w:val="FootnoteReference"/>
          <w:rFonts w:asciiTheme="majorBidi" w:hAnsiTheme="majorBidi" w:cstheme="majorBidi"/>
          <w:sz w:val="24"/>
          <w:szCs w:val="24"/>
        </w:rPr>
        <w:t xml:space="preserve"> </w:t>
      </w:r>
      <w:r w:rsidRPr="00505CF0">
        <w:rPr>
          <w:rFonts w:asciiTheme="majorBidi" w:hAnsiTheme="majorBidi" w:cstheme="majorBidi"/>
          <w:sz w:val="24"/>
          <w:szCs w:val="24"/>
        </w:rPr>
        <w:t xml:space="preserve">The Remodern is defined by a desire for new depth and spiritual meaning, bringing an end to an age of scientific materialism, nihilism, and spiritual bankruptcy. </w:t>
      </w:r>
      <w:r w:rsidRPr="00505CF0">
        <w:rPr>
          <w:rStyle w:val="FootnoteReference"/>
          <w:rFonts w:asciiTheme="majorBidi" w:hAnsiTheme="majorBidi" w:cstheme="majorBidi"/>
          <w:sz w:val="24"/>
          <w:szCs w:val="24"/>
        </w:rPr>
        <w:footnoteReference w:id="63"/>
      </w:r>
      <w:r w:rsidRPr="00505CF0">
        <w:rPr>
          <w:rFonts w:asciiTheme="majorBidi" w:hAnsiTheme="majorBidi" w:cstheme="majorBidi"/>
          <w:sz w:val="24"/>
          <w:szCs w:val="24"/>
        </w:rPr>
        <w:t xml:space="preserve"> While Remodernism suggests that the postmodern turn was a mistake, Zygmunt Bauman’s </w:t>
      </w:r>
      <w:r w:rsidRPr="00505CF0">
        <w:rPr>
          <w:rFonts w:asciiTheme="majorBidi" w:hAnsiTheme="majorBidi" w:cstheme="majorBidi"/>
          <w:b/>
          <w:bCs/>
          <w:i/>
          <w:iCs/>
          <w:sz w:val="24"/>
          <w:szCs w:val="24"/>
        </w:rPr>
        <w:t>Liquid Moderni</w:t>
      </w:r>
      <w:r w:rsidRPr="00505CF0">
        <w:rPr>
          <w:rFonts w:asciiTheme="majorBidi" w:hAnsiTheme="majorBidi" w:cstheme="majorBidi"/>
          <w:b/>
          <w:bCs/>
          <w:i/>
          <w:sz w:val="24"/>
          <w:szCs w:val="24"/>
        </w:rPr>
        <w:t xml:space="preserve">ty </w:t>
      </w:r>
      <w:r w:rsidRPr="00505CF0">
        <w:rPr>
          <w:rFonts w:asciiTheme="majorBidi" w:hAnsiTheme="majorBidi" w:cstheme="majorBidi"/>
          <w:sz w:val="24"/>
          <w:szCs w:val="24"/>
        </w:rPr>
        <w:t>posits that the solid ‘centralization of institutional power’ of modernity has shifted into a more liquid, or flexible state, having never truly becoming postmodern.</w:t>
      </w:r>
      <w:r w:rsidRPr="00505CF0">
        <w:rPr>
          <w:rStyle w:val="FootnoteReference"/>
          <w:rFonts w:asciiTheme="majorBidi" w:hAnsiTheme="majorBidi" w:cstheme="majorBidi"/>
          <w:sz w:val="24"/>
          <w:szCs w:val="24"/>
        </w:rPr>
        <w:footnoteReference w:id="64"/>
      </w:r>
      <w:r w:rsidRPr="00505CF0">
        <w:rPr>
          <w:rFonts w:asciiTheme="majorBidi" w:hAnsiTheme="majorBidi" w:cstheme="majorBidi"/>
          <w:sz w:val="24"/>
          <w:szCs w:val="24"/>
        </w:rPr>
        <w:t xml:space="preserve"> Change, he suggests, is now the only permanence, uncertainty the only certainty. Globalization is ‘strictly negative’ and based on the breaking down of barriers to ‘allow for the globalization of capital, the movement of goods, information, crime, and terrorism, but </w:t>
      </w:r>
      <w:r w:rsidRPr="00505CF0">
        <w:rPr>
          <w:rFonts w:asciiTheme="majorBidi" w:hAnsiTheme="majorBidi" w:cstheme="majorBidi"/>
          <w:sz w:val="24"/>
          <w:szCs w:val="24"/>
        </w:rPr>
        <w:lastRenderedPageBreak/>
        <w:t>not of the political and judicial institutions whose basis is national sovereignty.’</w:t>
      </w:r>
      <w:r w:rsidRPr="00505CF0">
        <w:rPr>
          <w:rStyle w:val="FootnoteReference"/>
          <w:rFonts w:asciiTheme="majorBidi" w:hAnsiTheme="majorBidi" w:cstheme="majorBidi"/>
          <w:sz w:val="24"/>
          <w:szCs w:val="24"/>
        </w:rPr>
        <w:footnoteReference w:id="65"/>
      </w:r>
      <w:r w:rsidRPr="00505CF0">
        <w:rPr>
          <w:rFonts w:asciiTheme="majorBidi" w:hAnsiTheme="majorBidi" w:cstheme="majorBidi"/>
          <w:sz w:val="24"/>
          <w:szCs w:val="24"/>
        </w:rPr>
        <w:t xml:space="preserve"> One critic’s reaction to the idea of Liquid Modernity was to suggest that Bauman’s theses are applicable only to his own creative work, writing that ‘the liquidity of which Bauman writes is nowhere more evident than in his own writing,’</w:t>
      </w:r>
      <w:r w:rsidRPr="00505CF0">
        <w:rPr>
          <w:rStyle w:val="FootnoteReference"/>
          <w:rFonts w:asciiTheme="majorBidi" w:hAnsiTheme="majorBidi" w:cstheme="majorBidi"/>
          <w:sz w:val="24"/>
          <w:szCs w:val="24"/>
        </w:rPr>
        <w:footnoteReference w:id="66"/>
      </w:r>
      <w:r w:rsidRPr="00505CF0">
        <w:rPr>
          <w:rFonts w:asciiTheme="majorBidi" w:hAnsiTheme="majorBidi" w:cstheme="majorBidi"/>
          <w:sz w:val="24"/>
          <w:szCs w:val="24"/>
        </w:rPr>
        <w:t xml:space="preserve"> a criticism also levied against Nicolas Bourriaud’s </w:t>
      </w:r>
      <w:r w:rsidRPr="00505CF0">
        <w:rPr>
          <w:rFonts w:asciiTheme="majorBidi" w:hAnsiTheme="majorBidi" w:cstheme="majorBidi"/>
          <w:b/>
          <w:bCs/>
          <w:i/>
          <w:iCs/>
          <w:sz w:val="24"/>
          <w:szCs w:val="24"/>
        </w:rPr>
        <w:t>Altermodern</w:t>
      </w:r>
      <w:r w:rsidRPr="00505CF0">
        <w:rPr>
          <w:rFonts w:asciiTheme="majorBidi" w:hAnsiTheme="majorBidi" w:cstheme="majorBidi"/>
          <w:b/>
          <w:bCs/>
          <w:sz w:val="24"/>
          <w:szCs w:val="24"/>
        </w:rPr>
        <w:t xml:space="preserve"> </w:t>
      </w:r>
      <w:r w:rsidRPr="00505CF0">
        <w:rPr>
          <w:rFonts w:asciiTheme="majorBidi" w:hAnsiTheme="majorBidi" w:cstheme="majorBidi"/>
          <w:sz w:val="24"/>
          <w:szCs w:val="24"/>
        </w:rPr>
        <w:t>following it’s unveiling at the third Tate Triennial.</w:t>
      </w:r>
      <w:r w:rsidRPr="00505CF0">
        <w:rPr>
          <w:rStyle w:val="FootnoteReference"/>
          <w:rFonts w:asciiTheme="majorBidi" w:hAnsiTheme="majorBidi" w:cstheme="majorBidi"/>
          <w:sz w:val="24"/>
          <w:szCs w:val="24"/>
        </w:rPr>
        <w:footnoteReference w:id="67"/>
      </w:r>
      <w:r w:rsidRPr="00505CF0">
        <w:rPr>
          <w:rFonts w:asciiTheme="majorBidi" w:hAnsiTheme="majorBidi" w:cstheme="majorBidi"/>
          <w:sz w:val="24"/>
          <w:szCs w:val="24"/>
        </w:rPr>
        <w:t xml:space="preserve"> Bourriaud’s neologism for the era following the postmodern, Altermodernity, is arguably the most commonly known, or at least has garnered the most media attention, of the current alternatives given the public nature of the term’s launch. Altermodernity describes a movement in which current cultural art goes ‘beyond nationalities, immersed in global dialogues of creolization,’</w:t>
      </w:r>
      <w:r w:rsidRPr="00505CF0">
        <w:rPr>
          <w:rStyle w:val="FootnoteReference"/>
          <w:rFonts w:asciiTheme="majorBidi" w:hAnsiTheme="majorBidi" w:cstheme="majorBidi"/>
          <w:sz w:val="24"/>
          <w:szCs w:val="24"/>
        </w:rPr>
        <w:footnoteReference w:id="68"/>
      </w:r>
      <w:r w:rsidRPr="00505CF0">
        <w:rPr>
          <w:rFonts w:asciiTheme="majorBidi" w:hAnsiTheme="majorBidi" w:cstheme="majorBidi"/>
          <w:sz w:val="24"/>
          <w:szCs w:val="24"/>
        </w:rPr>
        <w:t xml:space="preserve"> resulting in hybrid or creole art which finds unity through networks. Altermodernity is dominated by the idea of a nomadic artist or individual, who moves over cultural barriers, interacting with other cultures and adapting the self in reaction to these. Bourriaud suggests that multiculturalism is the dominating and defining force of western culture at present, with a sense of singular identity being overtaken by this creolisation process.</w:t>
      </w:r>
      <w:r w:rsidRPr="00505CF0">
        <w:rPr>
          <w:rStyle w:val="FootnoteReference"/>
          <w:rFonts w:asciiTheme="majorBidi" w:hAnsiTheme="majorBidi" w:cstheme="majorBidi"/>
          <w:sz w:val="24"/>
          <w:szCs w:val="24"/>
        </w:rPr>
        <w:footnoteReference w:id="69"/>
      </w:r>
      <w:r w:rsidRPr="00505CF0">
        <w:rPr>
          <w:rFonts w:asciiTheme="majorBidi" w:hAnsiTheme="majorBidi" w:cstheme="majorBidi"/>
          <w:sz w:val="24"/>
          <w:szCs w:val="24"/>
        </w:rPr>
        <w:t xml:space="preserve"> Bourriaud also suggests that an essential part of the Altermodern mode is that it alludes to the local struggles against standardization, such as the recent ‘Brexit’ vote outcome</w:t>
      </w:r>
      <w:proofErr w:type="gramStart"/>
      <w:r w:rsidRPr="00505CF0">
        <w:rPr>
          <w:rFonts w:asciiTheme="majorBidi" w:hAnsiTheme="majorBidi" w:cstheme="majorBidi"/>
          <w:sz w:val="24"/>
          <w:szCs w:val="24"/>
        </w:rPr>
        <w:t>,  calling</w:t>
      </w:r>
      <w:proofErr w:type="gramEnd"/>
      <w:r w:rsidRPr="00505CF0">
        <w:rPr>
          <w:rFonts w:asciiTheme="majorBidi" w:hAnsiTheme="majorBidi" w:cstheme="majorBidi"/>
          <w:sz w:val="24"/>
          <w:szCs w:val="24"/>
        </w:rPr>
        <w:t xml:space="preserve"> back to Liquid Modernity’s </w:t>
      </w:r>
      <w:r w:rsidRPr="00505CF0">
        <w:rPr>
          <w:rFonts w:asciiTheme="majorBidi" w:hAnsiTheme="majorBidi" w:cstheme="majorBidi"/>
          <w:sz w:val="24"/>
          <w:szCs w:val="24"/>
        </w:rPr>
        <w:lastRenderedPageBreak/>
        <w:t>strictly negative view of the effects of globalization. Altermodernism, as a movement, hamstrings itself by a seeming reliance on application purely through visual art, lessening potential culture-wide impact through the difficulty of translation into other mediums, alongside, as one critic attests, ‘the precise meaning of altermodernism [being] as slippery and evasive as the structure of the argument is unclear.’</w:t>
      </w:r>
      <w:r w:rsidRPr="00505CF0">
        <w:rPr>
          <w:rStyle w:val="FootnoteReference"/>
          <w:rFonts w:asciiTheme="majorBidi" w:hAnsiTheme="majorBidi" w:cstheme="majorBidi"/>
          <w:sz w:val="24"/>
          <w:szCs w:val="24"/>
        </w:rPr>
        <w:footnoteReference w:id="70"/>
      </w:r>
      <w:r w:rsidRPr="00505CF0">
        <w:rPr>
          <w:rFonts w:asciiTheme="majorBidi" w:hAnsiTheme="majorBidi" w:cstheme="majorBidi"/>
          <w:sz w:val="24"/>
          <w:szCs w:val="24"/>
        </w:rPr>
        <w:t xml:space="preserve"> Bourriaud’s Altermodern description is evasive and loose, an element that may actually have worked to the theory’s credit in that it invites critics to fill in the gaps, as it were, working to further theory by instigating the conversation rather than outright answering the question of the contemporary moment. While Bourriaud’s Altermodernity lauds the artistic potential of multiculturalism, </w:t>
      </w:r>
      <w:r w:rsidRPr="00505CF0">
        <w:rPr>
          <w:rFonts w:asciiTheme="majorBidi" w:hAnsiTheme="majorBidi" w:cstheme="majorBidi"/>
          <w:b/>
          <w:bCs/>
          <w:i/>
          <w:iCs/>
          <w:sz w:val="24"/>
          <w:szCs w:val="24"/>
        </w:rPr>
        <w:t>Cosmodernism</w:t>
      </w:r>
      <w:r w:rsidRPr="00505CF0">
        <w:rPr>
          <w:rFonts w:asciiTheme="majorBidi" w:hAnsiTheme="majorBidi" w:cstheme="majorBidi"/>
          <w:sz w:val="24"/>
          <w:szCs w:val="24"/>
        </w:rPr>
        <w:t xml:space="preserve"> centres on the negative aspects of a capitalism-centric globalization, both participating in and critiquing late globalization’s highly networked environment.</w:t>
      </w:r>
      <w:r w:rsidRPr="00505CF0">
        <w:rPr>
          <w:rStyle w:val="FootnoteReference"/>
          <w:rFonts w:asciiTheme="majorBidi" w:hAnsiTheme="majorBidi" w:cstheme="majorBidi"/>
          <w:sz w:val="24"/>
          <w:szCs w:val="24"/>
        </w:rPr>
        <w:footnoteReference w:id="71"/>
      </w:r>
      <w:r w:rsidRPr="00505CF0">
        <w:rPr>
          <w:rFonts w:asciiTheme="majorBidi" w:hAnsiTheme="majorBidi" w:cstheme="majorBidi"/>
          <w:sz w:val="24"/>
          <w:szCs w:val="24"/>
        </w:rPr>
        <w:t xml:space="preserve"> Theorized from a somewhat U.S-centric standpoint,</w:t>
      </w:r>
      <w:r w:rsidRPr="00505CF0">
        <w:rPr>
          <w:rStyle w:val="FootnoteReference"/>
          <w:rFonts w:asciiTheme="majorBidi" w:hAnsiTheme="majorBidi" w:cstheme="majorBidi"/>
          <w:sz w:val="24"/>
          <w:szCs w:val="24"/>
        </w:rPr>
        <w:footnoteReference w:id="72"/>
      </w:r>
      <w:r w:rsidRPr="00505CF0">
        <w:rPr>
          <w:rFonts w:asciiTheme="majorBidi" w:hAnsiTheme="majorBidi" w:cstheme="majorBidi"/>
          <w:sz w:val="24"/>
          <w:szCs w:val="24"/>
        </w:rPr>
        <w:t xml:space="preserve"> Cosmodernism nonetheless ‘claims that postmodernism cannot handle and therefore does not respond to global crisis, primarily because of its tendency to "universalize" and "westernize" non-U.S. cultural spaces.’</w:t>
      </w:r>
      <w:r w:rsidRPr="00505CF0">
        <w:rPr>
          <w:rStyle w:val="FootnoteReference"/>
          <w:rFonts w:asciiTheme="majorBidi" w:hAnsiTheme="majorBidi" w:cstheme="majorBidi"/>
          <w:sz w:val="24"/>
          <w:szCs w:val="24"/>
        </w:rPr>
        <w:footnoteReference w:id="73"/>
      </w:r>
      <w:r w:rsidRPr="00505CF0">
        <w:rPr>
          <w:rFonts w:asciiTheme="majorBidi" w:hAnsiTheme="majorBidi" w:cstheme="majorBidi"/>
          <w:sz w:val="24"/>
          <w:szCs w:val="24"/>
        </w:rPr>
        <w:t xml:space="preserve"> Cosmodernism also re-assess our relationship to those othered by society, suggesting a current practice of accommodating and re-uniting with these individuals, societies or groups: ‘discourse, history, culture, community, patrimony, and tradition. The cosmoderns complicate all these issues by rewriting them as paragraphs in a worldly phenomenology of self-other mutuality.’</w:t>
      </w:r>
      <w:r w:rsidRPr="00505CF0">
        <w:rPr>
          <w:rStyle w:val="FootnoteReference"/>
          <w:rFonts w:asciiTheme="majorBidi" w:hAnsiTheme="majorBidi" w:cstheme="majorBidi"/>
          <w:sz w:val="24"/>
          <w:szCs w:val="24"/>
        </w:rPr>
        <w:footnoteReference w:id="74"/>
      </w:r>
      <w:r w:rsidRPr="00505CF0">
        <w:rPr>
          <w:rFonts w:asciiTheme="majorBidi" w:hAnsiTheme="majorBidi" w:cstheme="majorBidi"/>
          <w:sz w:val="24"/>
          <w:szCs w:val="24"/>
        </w:rPr>
        <w:t xml:space="preserve"> ‘Cosmodernism, [Moraru posits], complicates our thinking about discourse, history, culture, and tradition by always incorporating experiences and cultures of </w:t>
      </w:r>
      <w:r w:rsidRPr="00505CF0">
        <w:rPr>
          <w:rFonts w:asciiTheme="majorBidi" w:hAnsiTheme="majorBidi" w:cstheme="majorBidi"/>
          <w:sz w:val="24"/>
          <w:szCs w:val="24"/>
        </w:rPr>
        <w:lastRenderedPageBreak/>
        <w:t>the other, and therefore reducing our self-centrism;’</w:t>
      </w:r>
      <w:r w:rsidRPr="00505CF0">
        <w:rPr>
          <w:rStyle w:val="FootnoteReference"/>
          <w:rFonts w:asciiTheme="majorBidi" w:hAnsiTheme="majorBidi" w:cstheme="majorBidi"/>
          <w:sz w:val="24"/>
          <w:szCs w:val="24"/>
        </w:rPr>
        <w:footnoteReference w:id="75"/>
      </w:r>
      <w:r w:rsidRPr="00505CF0">
        <w:rPr>
          <w:rFonts w:asciiTheme="majorBidi" w:hAnsiTheme="majorBidi" w:cstheme="majorBidi"/>
          <w:sz w:val="24"/>
          <w:szCs w:val="24"/>
        </w:rPr>
        <w:t xml:space="preserve"> Moraru’s theory focuses on the ways in which we construct the self, aiming for a new postcolonial discourse that defies current globalized opinions of what it means to be an ‘othered’ individual. Similarly, Raoul Eshelman’s </w:t>
      </w:r>
      <w:r w:rsidRPr="00505CF0">
        <w:rPr>
          <w:rFonts w:asciiTheme="majorBidi" w:hAnsiTheme="majorBidi" w:cstheme="majorBidi"/>
          <w:b/>
          <w:bCs/>
          <w:i/>
          <w:iCs/>
          <w:sz w:val="24"/>
          <w:szCs w:val="24"/>
        </w:rPr>
        <w:t xml:space="preserve">Performatism </w:t>
      </w:r>
      <w:r w:rsidRPr="00505CF0">
        <w:rPr>
          <w:rFonts w:asciiTheme="majorBidi" w:hAnsiTheme="majorBidi" w:cstheme="majorBidi"/>
          <w:sz w:val="24"/>
          <w:szCs w:val="24"/>
        </w:rPr>
        <w:t>suggests that the current cultural climate is defined by questions of ontology and a fatigue with postmodern irony that finds expression via sincerity. Performatism’s basic goal, according to Eshelman, is to ‘choke off irony’, whereby the reader/viewer/recipient is tricked or coerced ‘into a position of believing in something unified,’ rather than reacting with instant deconstructive scepticism. As he argues, ‘aesthetically mediated belief, and not endlessly receding ironic scepticism, is the basis of the new epoch.’</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76"/>
      </w:r>
      <w:r w:rsidRPr="00505CF0">
        <w:rPr>
          <w:rFonts w:asciiTheme="majorBidi" w:hAnsiTheme="majorBidi" w:cstheme="majorBidi"/>
          <w:sz w:val="24"/>
          <w:szCs w:val="24"/>
        </w:rPr>
        <w:t xml:space="preserve">  Performatism, too, describes a desperate contemporary desire for the preservation of the self. The subject in the </w:t>
      </w:r>
      <w:r w:rsidR="00933A84">
        <w:rPr>
          <w:rFonts w:asciiTheme="majorBidi" w:hAnsiTheme="majorBidi" w:cstheme="majorBidi"/>
          <w:sz w:val="24"/>
          <w:szCs w:val="24"/>
        </w:rPr>
        <w:t>p</w:t>
      </w:r>
      <w:r w:rsidRPr="00505CF0">
        <w:rPr>
          <w:rFonts w:asciiTheme="majorBidi" w:hAnsiTheme="majorBidi" w:cstheme="majorBidi"/>
          <w:sz w:val="24"/>
          <w:szCs w:val="24"/>
        </w:rPr>
        <w:t>erformatist age presents itself as a ‘holistic, irreducible unit that makes a binding impression on a reader or observer’, reducing the idea of the self to an outer perception of simple-minded or reduced version, in order to preserve the inner complexities from the slings and impetuous arrows of the world. Eshelman describes this system as a double-framing, whereby a simple self is presented as an opaque, outer, idiotic barrier (outer frame) against the questions that might threaten subjectivity and the true self (the inner frame) all in order to ‘resist outside influence and act autonomously, against the logic of prevailing discourse.’</w:t>
      </w:r>
      <w:r w:rsidRPr="00505CF0">
        <w:rPr>
          <w:rStyle w:val="FootnoteReference"/>
          <w:rFonts w:asciiTheme="majorBidi" w:hAnsiTheme="majorBidi" w:cstheme="majorBidi"/>
          <w:sz w:val="24"/>
          <w:szCs w:val="24"/>
        </w:rPr>
        <w:footnoteReference w:id="77"/>
      </w:r>
      <w:r w:rsidRPr="00505CF0">
        <w:rPr>
          <w:rFonts w:asciiTheme="majorBidi" w:hAnsiTheme="majorBidi" w:cstheme="majorBidi"/>
          <w:sz w:val="24"/>
          <w:szCs w:val="24"/>
        </w:rPr>
        <w:t xml:space="preserve"> As Audrey Seah clarifies, ‘the inner frame provides the originating context, while the outer frame imposes some sort of unequivocal resolution to the problems raised in the work on the reader or the viewer.’</w:t>
      </w:r>
      <w:r w:rsidRPr="00505CF0">
        <w:rPr>
          <w:rStyle w:val="FootnoteReference"/>
          <w:rFonts w:asciiTheme="majorBidi" w:hAnsiTheme="majorBidi" w:cstheme="majorBidi"/>
          <w:sz w:val="24"/>
          <w:szCs w:val="24"/>
        </w:rPr>
        <w:footnoteReference w:id="78"/>
      </w:r>
      <w:r w:rsidRPr="00505CF0">
        <w:rPr>
          <w:rFonts w:asciiTheme="majorBidi" w:hAnsiTheme="majorBidi" w:cstheme="majorBidi"/>
          <w:sz w:val="24"/>
          <w:szCs w:val="24"/>
        </w:rPr>
        <w:t xml:space="preserve"> Performatism, as a cultural concept, describes a current desire for both control and safety of the self, following a sincere desire to re-establish forms of belief against ‘passé’ postmodern irony.</w:t>
      </w:r>
      <w:r w:rsidRPr="00505CF0">
        <w:rPr>
          <w:rStyle w:val="FootnoteReference"/>
          <w:rFonts w:asciiTheme="majorBidi" w:hAnsiTheme="majorBidi" w:cstheme="majorBidi"/>
          <w:sz w:val="24"/>
          <w:szCs w:val="24"/>
        </w:rPr>
        <w:footnoteReference w:id="79"/>
      </w:r>
      <w:r w:rsidRPr="00505CF0">
        <w:rPr>
          <w:rFonts w:asciiTheme="majorBidi" w:hAnsiTheme="majorBidi" w:cstheme="majorBidi"/>
          <w:sz w:val="24"/>
          <w:szCs w:val="24"/>
        </w:rPr>
        <w:t xml:space="preserve"> </w:t>
      </w:r>
    </w:p>
    <w:p w14:paraId="7554B235" w14:textId="0C0DC7EB" w:rsidR="00C111D3" w:rsidRPr="00505CF0" w:rsidRDefault="00C111D3" w:rsidP="00EB3F5F">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lastRenderedPageBreak/>
        <w:t xml:space="preserve">Finally, </w:t>
      </w:r>
      <w:r w:rsidRPr="00505CF0">
        <w:rPr>
          <w:rFonts w:asciiTheme="majorBidi" w:hAnsiTheme="majorBidi" w:cstheme="majorBidi"/>
          <w:b/>
          <w:bCs/>
          <w:i/>
          <w:iCs/>
          <w:sz w:val="24"/>
          <w:szCs w:val="24"/>
        </w:rPr>
        <w:t>Automodernism</w:t>
      </w:r>
      <w:r w:rsidRPr="00505CF0">
        <w:rPr>
          <w:rFonts w:asciiTheme="majorBidi" w:hAnsiTheme="majorBidi" w:cstheme="majorBidi"/>
          <w:sz w:val="24"/>
          <w:szCs w:val="24"/>
        </w:rPr>
        <w:t xml:space="preserve"> and </w:t>
      </w:r>
      <w:r w:rsidRPr="00505CF0">
        <w:rPr>
          <w:rFonts w:asciiTheme="majorBidi" w:hAnsiTheme="majorBidi" w:cstheme="majorBidi"/>
          <w:b/>
          <w:bCs/>
          <w:i/>
          <w:iCs/>
          <w:sz w:val="24"/>
          <w:szCs w:val="24"/>
        </w:rPr>
        <w:t>Digimodernism</w:t>
      </w:r>
      <w:r w:rsidRPr="00505CF0">
        <w:rPr>
          <w:rFonts w:asciiTheme="majorBidi" w:hAnsiTheme="majorBidi" w:cstheme="majorBidi"/>
          <w:sz w:val="24"/>
          <w:szCs w:val="24"/>
        </w:rPr>
        <w:t xml:space="preserve"> complete this list.</w:t>
      </w:r>
      <w:r w:rsidRPr="00505CF0">
        <w:rPr>
          <w:rStyle w:val="FootnoteReference"/>
          <w:rFonts w:asciiTheme="majorBidi" w:hAnsiTheme="majorBidi" w:cstheme="majorBidi"/>
          <w:sz w:val="24"/>
          <w:szCs w:val="24"/>
        </w:rPr>
        <w:footnoteReference w:id="80"/>
      </w:r>
      <w:r w:rsidRPr="00505CF0">
        <w:rPr>
          <w:rFonts w:asciiTheme="majorBidi" w:hAnsiTheme="majorBidi" w:cstheme="majorBidi"/>
          <w:sz w:val="24"/>
          <w:szCs w:val="24"/>
        </w:rPr>
        <w:t xml:space="preserve"> Like Performatism and Remodernism, both the Automodern and Digimodern discourses focus on the new role of the self and individual in society, though the stance taken in each case is very different from the safety of Eshelman’s theory and positivism of Childish and Thomson. Both focus on the relation of audience-media participation in an increasingly digitized world, and how this can affect the production of self. </w:t>
      </w:r>
      <w:proofErr w:type="gramStart"/>
      <w:r w:rsidRPr="00505CF0">
        <w:rPr>
          <w:rFonts w:asciiTheme="majorBidi" w:hAnsiTheme="majorBidi" w:cstheme="majorBidi"/>
          <w:sz w:val="24"/>
          <w:szCs w:val="24"/>
        </w:rPr>
        <w:t xml:space="preserve">First, then, </w:t>
      </w:r>
      <w:r w:rsidRPr="00505CF0">
        <w:rPr>
          <w:rFonts w:asciiTheme="majorBidi" w:hAnsiTheme="majorBidi" w:cstheme="majorBidi"/>
          <w:b/>
          <w:bCs/>
          <w:i/>
          <w:iCs/>
          <w:sz w:val="24"/>
          <w:szCs w:val="24"/>
        </w:rPr>
        <w:t>Automodernism.</w:t>
      </w:r>
      <w:proofErr w:type="gramEnd"/>
      <w:r w:rsidRPr="00505CF0">
        <w:rPr>
          <w:rFonts w:asciiTheme="majorBidi" w:hAnsiTheme="majorBidi" w:cstheme="majorBidi"/>
          <w:sz w:val="24"/>
          <w:szCs w:val="24"/>
        </w:rPr>
        <w:t xml:space="preserve"> The automodern age, as defined by Robert Samuels, is an era characterised by the ‘paradoxical combination of social automation and individual autonomy’.</w:t>
      </w:r>
      <w:r w:rsidRPr="00505CF0">
        <w:rPr>
          <w:rStyle w:val="FootnoteReference"/>
          <w:rFonts w:asciiTheme="majorBidi" w:hAnsiTheme="majorBidi" w:cstheme="majorBidi"/>
          <w:sz w:val="24"/>
          <w:szCs w:val="24"/>
        </w:rPr>
        <w:footnoteReference w:id="81"/>
      </w:r>
      <w:r w:rsidRPr="00505CF0">
        <w:rPr>
          <w:rFonts w:asciiTheme="majorBidi" w:hAnsiTheme="majorBidi" w:cstheme="majorBidi"/>
          <w:sz w:val="24"/>
          <w:szCs w:val="24"/>
        </w:rPr>
        <w:t xml:space="preserve"> It sees the rise of search engines, automatic forms on browsers, auto-correct and other such automated services as provoking a need to demonstrate the self as individual, as unique. Unlike the creole, accepting humanity depicted in the Alter, the Automodern perceives only the negative, denying help to minority and oppressed groups as a means of expressing one’s self.</w:t>
      </w:r>
      <w:r w:rsidRPr="00505CF0">
        <w:rPr>
          <w:rStyle w:val="FootnoteReference"/>
          <w:rFonts w:asciiTheme="majorBidi" w:hAnsiTheme="majorBidi" w:cstheme="majorBidi"/>
          <w:sz w:val="24"/>
          <w:szCs w:val="24"/>
        </w:rPr>
        <w:footnoteReference w:id="82"/>
      </w:r>
      <w:r w:rsidRPr="00505CF0">
        <w:rPr>
          <w:rFonts w:asciiTheme="majorBidi" w:hAnsiTheme="majorBidi" w:cstheme="majorBidi"/>
          <w:sz w:val="24"/>
          <w:szCs w:val="24"/>
        </w:rPr>
        <w:t xml:space="preserve"> The ‘great ideological trick of automodernity,’ Samuels writes, ‘is to automate the social order of knowledge and material relations and to then </w:t>
      </w:r>
      <w:r w:rsidRPr="00505CF0">
        <w:rPr>
          <w:rFonts w:asciiTheme="majorBidi" w:hAnsiTheme="majorBidi" w:cstheme="majorBidi"/>
          <w:i/>
          <w:iCs/>
          <w:sz w:val="24"/>
          <w:szCs w:val="24"/>
        </w:rPr>
        <w:t>use this simplification of the Other</w:t>
      </w:r>
      <w:r w:rsidRPr="00505CF0">
        <w:rPr>
          <w:rFonts w:asciiTheme="majorBidi" w:hAnsiTheme="majorBidi" w:cstheme="majorBidi"/>
          <w:sz w:val="24"/>
          <w:szCs w:val="24"/>
        </w:rPr>
        <w:t xml:space="preserve"> to clear a space for the illusion of individual freedom.’</w:t>
      </w:r>
      <w:r w:rsidRPr="00505CF0">
        <w:rPr>
          <w:rStyle w:val="FootnoteReference"/>
          <w:rFonts w:asciiTheme="majorBidi" w:hAnsiTheme="majorBidi" w:cstheme="majorBidi"/>
          <w:sz w:val="24"/>
          <w:szCs w:val="24"/>
        </w:rPr>
        <w:footnoteReference w:id="83"/>
      </w:r>
      <w:r w:rsidRPr="00505CF0">
        <w:rPr>
          <w:rFonts w:asciiTheme="majorBidi" w:hAnsiTheme="majorBidi" w:cstheme="majorBidi"/>
          <w:sz w:val="24"/>
          <w:szCs w:val="24"/>
        </w:rPr>
        <w:t xml:space="preserve"> Samuels argues that current capitalist society forces the individual to the conclusion that they are merely an unheard voice amongst many, and that there is a growing reaction against this that attempts to use automated services and technology, oddly, in order to register personal autonomy.</w:t>
      </w:r>
      <w:r w:rsidRPr="00505CF0">
        <w:rPr>
          <w:rStyle w:val="FootnoteReference"/>
          <w:rFonts w:asciiTheme="majorBidi" w:hAnsiTheme="majorBidi" w:cstheme="majorBidi"/>
          <w:sz w:val="24"/>
          <w:szCs w:val="24"/>
        </w:rPr>
        <w:footnoteReference w:id="84"/>
      </w:r>
      <w:r w:rsidRPr="00505CF0">
        <w:rPr>
          <w:rFonts w:asciiTheme="majorBidi" w:hAnsiTheme="majorBidi" w:cstheme="majorBidi"/>
          <w:sz w:val="24"/>
          <w:szCs w:val="24"/>
        </w:rPr>
        <w:t xml:space="preserve"> Automodernism is a rejection of postmodern politics, describing a dominance of </w:t>
      </w:r>
      <w:r w:rsidRPr="00505CF0">
        <w:rPr>
          <w:rFonts w:asciiTheme="majorBidi" w:hAnsiTheme="majorBidi" w:cstheme="majorBidi"/>
          <w:sz w:val="24"/>
          <w:szCs w:val="24"/>
        </w:rPr>
        <w:lastRenderedPageBreak/>
        <w:t>global cultural nihilism in response to the unchecked growth of global capitalism.</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85"/>
      </w:r>
      <w:r w:rsidRPr="00505CF0">
        <w:rPr>
          <w:rFonts w:asciiTheme="majorBidi" w:hAnsiTheme="majorBidi" w:cstheme="majorBidi"/>
          <w:sz w:val="24"/>
          <w:szCs w:val="24"/>
        </w:rPr>
        <w:t xml:space="preserve"> Far from the more positive views of breaking free of the postmodern expressed in the theories above, Samuels depicts Automodern society as characterized by self-contradiction, a reversal of willingness for a global community,  ‘a backlash against the public realm and progressive moments, and the use of automation to affirm acts of self-centredness.’</w:t>
      </w:r>
      <w:r w:rsidRPr="00505CF0">
        <w:rPr>
          <w:rStyle w:val="FootnoteReference"/>
          <w:rFonts w:asciiTheme="majorBidi" w:hAnsiTheme="majorBidi" w:cstheme="majorBidi"/>
          <w:sz w:val="24"/>
          <w:szCs w:val="24"/>
        </w:rPr>
        <w:footnoteReference w:id="86"/>
      </w:r>
      <w:r w:rsidRPr="00505CF0">
        <w:rPr>
          <w:rFonts w:asciiTheme="majorBidi" w:hAnsiTheme="majorBidi" w:cstheme="majorBidi"/>
          <w:sz w:val="24"/>
          <w:szCs w:val="24"/>
        </w:rPr>
        <w:t xml:space="preserve"> The Automodern world is one of attempts to define the self against the growing sentiment of standardisation that is also implied in theories of the Altermodern.  Alan Kirby’s </w:t>
      </w:r>
      <w:r w:rsidRPr="00505CF0">
        <w:rPr>
          <w:rFonts w:asciiTheme="majorBidi" w:hAnsiTheme="majorBidi" w:cstheme="majorBidi"/>
          <w:b/>
          <w:bCs/>
          <w:i/>
          <w:iCs/>
          <w:sz w:val="24"/>
          <w:szCs w:val="24"/>
        </w:rPr>
        <w:t>Digimodernism</w:t>
      </w:r>
      <w:r w:rsidRPr="00505CF0">
        <w:rPr>
          <w:rFonts w:asciiTheme="majorBidi" w:hAnsiTheme="majorBidi" w:cstheme="majorBidi"/>
          <w:sz w:val="24"/>
          <w:szCs w:val="24"/>
        </w:rPr>
        <w:t xml:space="preserve"> also relies on an analysis of the impact that cultural forms of computerization have had on 21</w:t>
      </w:r>
      <w:r w:rsidRPr="00505CF0">
        <w:rPr>
          <w:rFonts w:asciiTheme="majorBidi" w:hAnsiTheme="majorBidi" w:cstheme="majorBidi"/>
          <w:sz w:val="24"/>
          <w:szCs w:val="24"/>
          <w:vertAlign w:val="superscript"/>
        </w:rPr>
        <w:t>st</w:t>
      </w:r>
      <w:r w:rsidRPr="00505CF0">
        <w:rPr>
          <w:rFonts w:asciiTheme="majorBidi" w:hAnsiTheme="majorBidi" w:cstheme="majorBidi"/>
          <w:sz w:val="24"/>
          <w:szCs w:val="24"/>
        </w:rPr>
        <w:t xml:space="preserve"> century society, suggesting that the growing prevalence of digital media forms (meaning both technological and produced by fingers, ‘digits’) has instigated a cultural shift away from the postmodern,</w:t>
      </w:r>
      <w:r w:rsidRPr="00505CF0">
        <w:rPr>
          <w:rStyle w:val="FootnoteReference"/>
          <w:rFonts w:asciiTheme="majorBidi" w:hAnsiTheme="majorBidi" w:cstheme="majorBidi"/>
          <w:sz w:val="24"/>
          <w:szCs w:val="24"/>
        </w:rPr>
        <w:footnoteReference w:id="87"/>
      </w:r>
      <w:r w:rsidRPr="00505CF0">
        <w:rPr>
          <w:rFonts w:asciiTheme="majorBidi" w:hAnsiTheme="majorBidi" w:cstheme="majorBidi"/>
          <w:sz w:val="24"/>
          <w:szCs w:val="24"/>
        </w:rPr>
        <w:t xml:space="preserve"> though this too produces a less than favourable account of contemporary post-postmodern society in the form of what has been seen as mass infantilisation. Digimodernism traces ‘the violent and irrevocable impact that digitisation has had on all forms of the text’, citing the suppression of physical music albums in favour of digital downloads, the revolutions in the publishing industry associated with the ebook, and the new digital ‘golden age’ of radio. While technologically progressive, these advancements also seem, to Kirby, to be instigating an increasing textual infantilisation.</w:t>
      </w:r>
      <w:r w:rsidRPr="00505CF0">
        <w:rPr>
          <w:rStyle w:val="FootnoteReference"/>
          <w:rFonts w:asciiTheme="majorBidi" w:hAnsiTheme="majorBidi" w:cstheme="majorBidi"/>
          <w:sz w:val="24"/>
          <w:szCs w:val="24"/>
        </w:rPr>
        <w:footnoteReference w:id="88"/>
      </w:r>
      <w:r w:rsidRPr="00505CF0">
        <w:rPr>
          <w:rFonts w:asciiTheme="majorBidi" w:hAnsiTheme="majorBidi" w:cstheme="majorBidi"/>
          <w:sz w:val="24"/>
          <w:szCs w:val="24"/>
        </w:rPr>
        <w:t xml:space="preserve"> Kirby argues that contemporary pop-culture increasingly presents children’s stories as material for the entertainment of young adults,</w:t>
      </w:r>
      <w:r w:rsidRPr="00505CF0">
        <w:rPr>
          <w:rStyle w:val="FootnoteReference"/>
          <w:rFonts w:asciiTheme="majorBidi" w:hAnsiTheme="majorBidi" w:cstheme="majorBidi"/>
          <w:sz w:val="24"/>
          <w:szCs w:val="24"/>
        </w:rPr>
        <w:footnoteReference w:id="89"/>
      </w:r>
      <w:r w:rsidRPr="00505CF0">
        <w:rPr>
          <w:rFonts w:asciiTheme="majorBidi" w:hAnsiTheme="majorBidi" w:cstheme="majorBidi"/>
          <w:sz w:val="24"/>
          <w:szCs w:val="24"/>
        </w:rPr>
        <w:t xml:space="preserve"> that news programmes are drained of information and filled, instead, with pseudo-drama,</w:t>
      </w:r>
      <w:r w:rsidRPr="00505CF0">
        <w:rPr>
          <w:rStyle w:val="FootnoteReference"/>
          <w:rFonts w:asciiTheme="majorBidi" w:hAnsiTheme="majorBidi" w:cstheme="majorBidi"/>
          <w:sz w:val="24"/>
          <w:szCs w:val="24"/>
        </w:rPr>
        <w:footnoteReference w:id="90"/>
      </w:r>
      <w:r w:rsidRPr="00505CF0">
        <w:rPr>
          <w:rFonts w:asciiTheme="majorBidi" w:hAnsiTheme="majorBidi" w:cstheme="majorBidi"/>
          <w:sz w:val="24"/>
          <w:szCs w:val="24"/>
        </w:rPr>
        <w:t xml:space="preserve"> and that ‘popular music has become the semisublimated packaging of adult sexuality for young children.’</w:t>
      </w:r>
      <w:r w:rsidRPr="00505CF0">
        <w:rPr>
          <w:rStyle w:val="FootnoteReference"/>
          <w:rFonts w:asciiTheme="majorBidi" w:hAnsiTheme="majorBidi" w:cstheme="majorBidi"/>
          <w:sz w:val="24"/>
          <w:szCs w:val="24"/>
        </w:rPr>
        <w:footnoteReference w:id="91"/>
      </w:r>
      <w:r w:rsidRPr="00505CF0">
        <w:rPr>
          <w:rFonts w:asciiTheme="majorBidi" w:hAnsiTheme="majorBidi" w:cstheme="majorBidi"/>
          <w:sz w:val="24"/>
          <w:szCs w:val="24"/>
        </w:rPr>
        <w:t xml:space="preserve"> The new sincerity identified by so many other theoreticians is </w:t>
      </w:r>
      <w:r w:rsidRPr="00505CF0">
        <w:rPr>
          <w:rFonts w:asciiTheme="majorBidi" w:hAnsiTheme="majorBidi" w:cstheme="majorBidi"/>
          <w:sz w:val="24"/>
          <w:szCs w:val="24"/>
        </w:rPr>
        <w:lastRenderedPageBreak/>
        <w:t>here presented as part of the infantilization process, a result of the dominant cultural disjuncture between adult material and childish consumers.</w:t>
      </w:r>
      <w:r w:rsidRPr="00505CF0">
        <w:rPr>
          <w:rStyle w:val="FootnoteReference"/>
          <w:rFonts w:asciiTheme="majorBidi" w:hAnsiTheme="majorBidi" w:cstheme="majorBidi"/>
          <w:sz w:val="24"/>
          <w:szCs w:val="24"/>
        </w:rPr>
        <w:footnoteReference w:id="92"/>
      </w:r>
      <w:r w:rsidRPr="00505CF0">
        <w:rPr>
          <w:rFonts w:asciiTheme="majorBidi" w:hAnsiTheme="majorBidi" w:cstheme="majorBidi"/>
          <w:sz w:val="24"/>
          <w:szCs w:val="24"/>
        </w:rPr>
        <w:t xml:space="preserve"> In summary, as Catriona Bonfiglioli encapsulates, ‘Digimodern' texts [are] characterized by onwardness, haphazardness, evanescence, redefined textual roles, evolving authorship, fluid textual boundaries, electronic digitality and evincing aesthetics of earnestness, apparent realness and infantilism.’</w:t>
      </w:r>
      <w:r w:rsidRPr="00505CF0">
        <w:rPr>
          <w:rStyle w:val="FootnoteReference"/>
          <w:rFonts w:asciiTheme="majorBidi" w:hAnsiTheme="majorBidi" w:cstheme="majorBidi"/>
          <w:sz w:val="24"/>
          <w:szCs w:val="24"/>
        </w:rPr>
        <w:footnoteReference w:id="93"/>
      </w:r>
      <w:r w:rsidRPr="00505CF0">
        <w:rPr>
          <w:rFonts w:asciiTheme="majorBidi" w:hAnsiTheme="majorBidi" w:cstheme="majorBidi"/>
          <w:sz w:val="24"/>
          <w:szCs w:val="24"/>
        </w:rPr>
        <w:tab/>
        <w:t xml:space="preserve">In describing the Digimodern impulse, though, Kirby makes a significant assessment of his own critical theory as part of an emerging range of new cultural criticism: </w:t>
      </w:r>
    </w:p>
    <w:p w14:paraId="4D459324" w14:textId="77777777" w:rsidR="00C111D3" w:rsidRPr="00505CF0" w:rsidRDefault="00C111D3" w:rsidP="004C3EE0">
      <w:pPr>
        <w:spacing w:line="360" w:lineRule="auto"/>
        <w:jc w:val="both"/>
        <w:rPr>
          <w:rFonts w:asciiTheme="majorBidi" w:hAnsiTheme="majorBidi" w:cstheme="majorBidi"/>
          <w:sz w:val="24"/>
          <w:szCs w:val="24"/>
        </w:rPr>
      </w:pPr>
    </w:p>
    <w:p w14:paraId="012A9789" w14:textId="77777777" w:rsidR="00C111D3" w:rsidRPr="00505CF0" w:rsidRDefault="00C111D3" w:rsidP="004C3EE0">
      <w:pPr>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I see the […] digimodernist text solely as the easily recognizable tip of a cultural iceberg, and not necessarily its most interesting element.</w:t>
      </w:r>
      <w:r w:rsidRPr="00505CF0">
        <w:rPr>
          <w:rStyle w:val="FootnoteReference"/>
          <w:rFonts w:asciiTheme="majorBidi" w:hAnsiTheme="majorBidi" w:cstheme="majorBidi"/>
          <w:sz w:val="24"/>
          <w:szCs w:val="24"/>
        </w:rPr>
        <w:footnoteReference w:id="94"/>
      </w:r>
    </w:p>
    <w:p w14:paraId="5A0412DF" w14:textId="77777777" w:rsidR="00C111D3" w:rsidRPr="00505CF0" w:rsidRDefault="00C111D3" w:rsidP="004C3EE0">
      <w:pPr>
        <w:spacing w:line="480" w:lineRule="auto"/>
        <w:jc w:val="both"/>
        <w:rPr>
          <w:rFonts w:asciiTheme="majorBidi" w:hAnsiTheme="majorBidi" w:cstheme="majorBidi"/>
          <w:sz w:val="24"/>
          <w:szCs w:val="24"/>
        </w:rPr>
      </w:pPr>
    </w:p>
    <w:p w14:paraId="6954E661"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Indeed, he later continues that the various and differing theories that have begun to emerge, ‘hoping to inherit postmodernism's estate before the body is even cold’, feel less ‘like ambitious rivals’ than ‘pieces of a jigsaw whose final picture is still unclear.’</w:t>
      </w:r>
      <w:r w:rsidRPr="00505CF0">
        <w:rPr>
          <w:rStyle w:val="FootnoteReference"/>
          <w:rFonts w:asciiTheme="majorBidi" w:hAnsiTheme="majorBidi" w:cstheme="majorBidi"/>
          <w:sz w:val="24"/>
          <w:szCs w:val="24"/>
        </w:rPr>
        <w:footnoteReference w:id="95"/>
      </w:r>
      <w:r w:rsidRPr="00505CF0">
        <w:rPr>
          <w:rFonts w:asciiTheme="majorBidi" w:hAnsiTheme="majorBidi" w:cstheme="majorBidi"/>
          <w:sz w:val="24"/>
          <w:szCs w:val="24"/>
        </w:rPr>
        <w:t xml:space="preserve"> </w:t>
      </w:r>
    </w:p>
    <w:p w14:paraId="00DD95EC" w14:textId="77777777" w:rsidR="00C111D3" w:rsidRPr="00505CF0" w:rsidRDefault="00C111D3" w:rsidP="004C3EE0">
      <w:pPr>
        <w:spacing w:line="480" w:lineRule="auto"/>
        <w:ind w:firstLine="360"/>
        <w:jc w:val="both"/>
        <w:rPr>
          <w:rFonts w:asciiTheme="majorBidi" w:hAnsiTheme="majorBidi" w:cstheme="majorBidi"/>
          <w:sz w:val="24"/>
          <w:szCs w:val="24"/>
        </w:rPr>
      </w:pPr>
      <w:r w:rsidRPr="00505CF0">
        <w:rPr>
          <w:rFonts w:asciiTheme="majorBidi" w:hAnsiTheme="majorBidi" w:cstheme="majorBidi"/>
          <w:sz w:val="24"/>
          <w:szCs w:val="24"/>
        </w:rPr>
        <w:t>A comparison across the range of these neologisms, and the theories to which they refer, reveals a startling amount of overlap in descriptions of societal issues and responses. Understandably, for a series of ideas attempting to describe the impetus and mannerisms of new cultural shifts, there are convergences and divergences between each of the coined ‘-isms’ which ‘complement each other as much as they compete.’</w:t>
      </w:r>
      <w:r w:rsidRPr="00505CF0">
        <w:rPr>
          <w:rStyle w:val="FootnoteReference"/>
          <w:rFonts w:asciiTheme="majorBidi" w:hAnsiTheme="majorBidi" w:cstheme="majorBidi"/>
          <w:sz w:val="24"/>
          <w:szCs w:val="24"/>
        </w:rPr>
        <w:footnoteReference w:id="96"/>
      </w:r>
      <w:r w:rsidRPr="00505CF0">
        <w:rPr>
          <w:rFonts w:asciiTheme="majorBidi" w:hAnsiTheme="majorBidi" w:cstheme="majorBidi"/>
          <w:sz w:val="24"/>
          <w:szCs w:val="24"/>
        </w:rPr>
        <w:t xml:space="preserve"> Far from being the distinct cultural mode that each contends to be, however, a cross-examination of the majority of contenders to the post-postmodern throne reveals five distinct ideological archetypes of these efforts to critique the contemporary epoch:</w:t>
      </w:r>
    </w:p>
    <w:p w14:paraId="4FCD3ECC" w14:textId="1706F5D5" w:rsidR="00C111D3" w:rsidRDefault="00C111D3" w:rsidP="004C3EE0">
      <w:pPr>
        <w:spacing w:line="480" w:lineRule="auto"/>
        <w:jc w:val="both"/>
        <w:rPr>
          <w:rFonts w:asciiTheme="majorBidi" w:hAnsiTheme="majorBidi" w:cstheme="majorBidi"/>
          <w:sz w:val="24"/>
          <w:szCs w:val="24"/>
        </w:rPr>
      </w:pPr>
    </w:p>
    <w:p w14:paraId="0111AACC" w14:textId="77777777" w:rsidR="00585A3E" w:rsidRPr="00505CF0" w:rsidRDefault="00585A3E" w:rsidP="004C3EE0">
      <w:pPr>
        <w:spacing w:line="480" w:lineRule="auto"/>
        <w:jc w:val="both"/>
        <w:rPr>
          <w:rFonts w:asciiTheme="majorBidi" w:hAnsiTheme="majorBidi" w:cstheme="majorBidi"/>
          <w:sz w:val="24"/>
          <w:szCs w:val="24"/>
        </w:rPr>
      </w:pPr>
    </w:p>
    <w:p w14:paraId="0FEEFD91" w14:textId="77777777" w:rsidR="00C111D3" w:rsidRPr="00505CF0" w:rsidRDefault="00C111D3" w:rsidP="004C3EE0">
      <w:pPr>
        <w:numPr>
          <w:ilvl w:val="0"/>
          <w:numId w:val="1"/>
        </w:numPr>
        <w:spacing w:line="480" w:lineRule="auto"/>
        <w:jc w:val="both"/>
        <w:rPr>
          <w:rFonts w:asciiTheme="majorBidi" w:hAnsiTheme="majorBidi" w:cstheme="majorBidi"/>
          <w:sz w:val="24"/>
          <w:szCs w:val="24"/>
        </w:rPr>
      </w:pPr>
      <w:r w:rsidRPr="00505CF0">
        <w:rPr>
          <w:rFonts w:asciiTheme="majorBidi" w:hAnsiTheme="majorBidi" w:cstheme="majorBidi"/>
          <w:sz w:val="24"/>
          <w:szCs w:val="24"/>
        </w:rPr>
        <w:lastRenderedPageBreak/>
        <w:t>A belief in a dystopian future fathered by a lack of faith in governing cultural forces.</w:t>
      </w:r>
    </w:p>
    <w:p w14:paraId="5E82605E" w14:textId="77777777" w:rsidR="00C111D3" w:rsidRPr="00505CF0" w:rsidRDefault="00C111D3" w:rsidP="004C3EE0">
      <w:pPr>
        <w:numPr>
          <w:ilvl w:val="0"/>
          <w:numId w:val="1"/>
        </w:numPr>
        <w:spacing w:line="480" w:lineRule="auto"/>
        <w:jc w:val="both"/>
        <w:rPr>
          <w:rFonts w:asciiTheme="majorBidi" w:hAnsiTheme="majorBidi" w:cstheme="majorBidi"/>
          <w:sz w:val="24"/>
          <w:szCs w:val="24"/>
        </w:rPr>
      </w:pPr>
      <w:r w:rsidRPr="00505CF0">
        <w:rPr>
          <w:rFonts w:asciiTheme="majorBidi" w:hAnsiTheme="majorBidi" w:cstheme="majorBidi"/>
          <w:sz w:val="24"/>
          <w:szCs w:val="24"/>
        </w:rPr>
        <w:t>Constant expansion of society or technology without any significant end-goal.</w:t>
      </w:r>
    </w:p>
    <w:p w14:paraId="4AB7D4EF" w14:textId="77777777" w:rsidR="00C111D3" w:rsidRPr="00505CF0" w:rsidRDefault="00C111D3" w:rsidP="004C3EE0">
      <w:pPr>
        <w:numPr>
          <w:ilvl w:val="0"/>
          <w:numId w:val="1"/>
        </w:num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Anti-standardization sentiments that instigate a drive towards sincerity.</w:t>
      </w:r>
    </w:p>
    <w:p w14:paraId="0970A60D" w14:textId="77777777" w:rsidR="00C111D3" w:rsidRPr="00505CF0" w:rsidRDefault="00C111D3" w:rsidP="004C3EE0">
      <w:pPr>
        <w:numPr>
          <w:ilvl w:val="0"/>
          <w:numId w:val="1"/>
        </w:num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dominance of the nostalgia drive in pop-culture.</w:t>
      </w:r>
    </w:p>
    <w:p w14:paraId="419EF04D" w14:textId="77777777" w:rsidR="00C111D3" w:rsidRPr="00505CF0" w:rsidRDefault="00C111D3" w:rsidP="004C3EE0">
      <w:pPr>
        <w:numPr>
          <w:ilvl w:val="0"/>
          <w:numId w:val="1"/>
        </w:num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Widespread infantilization. </w:t>
      </w:r>
    </w:p>
    <w:p w14:paraId="0975A0EE" w14:textId="77777777" w:rsidR="00C111D3" w:rsidRPr="00505CF0" w:rsidRDefault="00C111D3" w:rsidP="004C3EE0">
      <w:pPr>
        <w:spacing w:line="480" w:lineRule="auto"/>
        <w:jc w:val="both"/>
        <w:rPr>
          <w:rFonts w:asciiTheme="majorBidi" w:hAnsiTheme="majorBidi" w:cstheme="majorBidi"/>
          <w:sz w:val="24"/>
          <w:szCs w:val="24"/>
        </w:rPr>
      </w:pPr>
    </w:p>
    <w:p w14:paraId="00AB6D9B"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These five patterns, referenced individually throughout the post-postmodern discussions, define the era and none more so than the first: dystopian resignation. This idea, evidenced throughout culture and the arts, necessitates the majority of the others as responses, and so naturally it is to a discussion of this that we must first turn. </w:t>
      </w:r>
    </w:p>
    <w:p w14:paraId="4B988E0D" w14:textId="77777777" w:rsidR="00C111D3" w:rsidRPr="00505CF0" w:rsidRDefault="00C111D3" w:rsidP="004C3EE0">
      <w:pPr>
        <w:spacing w:line="480" w:lineRule="auto"/>
        <w:jc w:val="both"/>
        <w:rPr>
          <w:rFonts w:asciiTheme="majorBidi" w:hAnsiTheme="majorBidi" w:cstheme="majorBidi"/>
          <w:sz w:val="24"/>
          <w:szCs w:val="24"/>
        </w:rPr>
      </w:pPr>
    </w:p>
    <w:p w14:paraId="368E7226" w14:textId="77777777" w:rsidR="00C111D3" w:rsidRPr="00505CF0" w:rsidRDefault="00C111D3" w:rsidP="004C3EE0">
      <w:pPr>
        <w:spacing w:line="360" w:lineRule="auto"/>
        <w:jc w:val="both"/>
        <w:rPr>
          <w:rFonts w:asciiTheme="majorBidi" w:hAnsiTheme="majorBidi" w:cstheme="majorBidi"/>
          <w:sz w:val="24"/>
          <w:szCs w:val="24"/>
        </w:rPr>
      </w:pPr>
    </w:p>
    <w:p w14:paraId="11BDF08D" w14:textId="77777777" w:rsidR="00C111D3" w:rsidRPr="00505CF0" w:rsidRDefault="00C111D3" w:rsidP="004C3EE0">
      <w:pPr>
        <w:keepNext/>
        <w:tabs>
          <w:tab w:val="left" w:pos="720"/>
        </w:tabs>
        <w:spacing w:line="240" w:lineRule="auto"/>
        <w:jc w:val="both"/>
        <w:outlineLvl w:val="2"/>
        <w:rPr>
          <w:rFonts w:asciiTheme="majorBidi" w:eastAsia="Times New Roman" w:hAnsiTheme="majorBidi" w:cstheme="majorBidi"/>
          <w:b/>
          <w:i/>
          <w:iCs/>
          <w:sz w:val="24"/>
          <w:szCs w:val="24"/>
          <w:lang w:eastAsia="en-US"/>
        </w:rPr>
      </w:pPr>
      <w:r w:rsidRPr="00505CF0">
        <w:rPr>
          <w:rFonts w:asciiTheme="majorBidi" w:eastAsia="Times New Roman" w:hAnsiTheme="majorBidi" w:cstheme="majorBidi"/>
          <w:b/>
          <w:sz w:val="28"/>
          <w:szCs w:val="28"/>
          <w:lang w:eastAsia="en-US"/>
        </w:rPr>
        <w:t xml:space="preserve">2.1 </w:t>
      </w:r>
      <w:r w:rsidRPr="00505CF0">
        <w:rPr>
          <w:rFonts w:asciiTheme="majorBidi" w:eastAsia="Times New Roman" w:hAnsiTheme="majorBidi" w:cstheme="majorBidi"/>
          <w:b/>
          <w:sz w:val="28"/>
          <w:szCs w:val="28"/>
          <w:lang w:eastAsia="en-US"/>
        </w:rPr>
        <w:tab/>
        <w:t>Dystopian Resignation and Anti-Establishmentarianism</w:t>
      </w:r>
    </w:p>
    <w:p w14:paraId="3EC21568" w14:textId="32351E72" w:rsidR="00C111D3" w:rsidRPr="00505CF0" w:rsidRDefault="00C111D3" w:rsidP="004C3EE0">
      <w:pPr>
        <w:tabs>
          <w:tab w:val="left" w:pos="1647"/>
        </w:tabs>
        <w:spacing w:line="480" w:lineRule="auto"/>
        <w:jc w:val="both"/>
        <w:rPr>
          <w:rFonts w:asciiTheme="majorBidi" w:hAnsiTheme="majorBidi" w:cstheme="majorBidi"/>
        </w:rPr>
      </w:pPr>
    </w:p>
    <w:p w14:paraId="3ADDD3AE" w14:textId="77777777" w:rsidR="000C63F7" w:rsidRPr="00505CF0" w:rsidRDefault="000C63F7" w:rsidP="004C3EE0">
      <w:pPr>
        <w:tabs>
          <w:tab w:val="left" w:pos="1647"/>
        </w:tabs>
        <w:spacing w:line="240" w:lineRule="auto"/>
        <w:jc w:val="both"/>
        <w:rPr>
          <w:rFonts w:asciiTheme="majorBidi" w:hAnsiTheme="majorBidi" w:cstheme="majorBidi"/>
        </w:rPr>
      </w:pPr>
    </w:p>
    <w:p w14:paraId="36BC1BDC" w14:textId="79F415B5"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world cannot be saved.</w:t>
      </w:r>
      <w:r w:rsidR="001D6679">
        <w:rPr>
          <w:rStyle w:val="FootnoteReference"/>
          <w:rFonts w:asciiTheme="majorBidi" w:hAnsiTheme="majorBidi" w:cstheme="majorBidi"/>
          <w:sz w:val="24"/>
          <w:szCs w:val="24"/>
        </w:rPr>
        <w:footnoteReference w:id="97"/>
      </w:r>
      <w:r w:rsidRPr="00505CF0">
        <w:rPr>
          <w:rFonts w:asciiTheme="majorBidi" w:hAnsiTheme="majorBidi" w:cstheme="majorBidi"/>
          <w:sz w:val="24"/>
          <w:szCs w:val="24"/>
        </w:rPr>
        <w:t xml:space="preserve"> The apocalypse is inevitable, dystopia a certainty. With the shift from postmodernism into the contemporary epoch, regardless of title, this message has become increasingly prevalent in mass-media and popular culture. Brian McHale analyses this pessimistic trend, stating that for the entire second half of the twentieth century ‘we have been living in the ruins of our own civilisation, if only in our imaginations,’</w:t>
      </w:r>
      <w:r w:rsidRPr="00505CF0">
        <w:rPr>
          <w:rFonts w:asciiTheme="majorBidi" w:hAnsiTheme="majorBidi" w:cstheme="majorBidi"/>
          <w:sz w:val="24"/>
          <w:szCs w:val="24"/>
          <w:vertAlign w:val="superscript"/>
        </w:rPr>
        <w:footnoteReference w:id="98"/>
      </w:r>
      <w:r w:rsidRPr="00505CF0">
        <w:rPr>
          <w:rFonts w:asciiTheme="majorBidi" w:hAnsiTheme="majorBidi" w:cstheme="majorBidi"/>
          <w:sz w:val="24"/>
          <w:szCs w:val="24"/>
        </w:rPr>
        <w:t xml:space="preserve"> and this finds the clearest expression, surprisingly, in the narratives of contemporary young adult TV, film, and fiction, which frequently exhibit the ruined worlds of our imaginations: post-apocalyptic scenarios and dystopias. In the discussion to follow, the dystopia I refer to is as defined by Michael D. Gordin, Helen Tilley, and Gyan Prakash in their introduction to </w:t>
      </w:r>
      <w:r w:rsidRPr="00505CF0">
        <w:rPr>
          <w:rFonts w:asciiTheme="majorBidi" w:hAnsiTheme="majorBidi" w:cstheme="majorBidi"/>
          <w:i/>
          <w:iCs/>
          <w:sz w:val="24"/>
          <w:szCs w:val="24"/>
        </w:rPr>
        <w:t xml:space="preserve">Utopia/Dystopia: </w:t>
      </w:r>
      <w:r w:rsidRPr="00505CF0">
        <w:rPr>
          <w:rFonts w:asciiTheme="majorBidi" w:hAnsiTheme="majorBidi" w:cstheme="majorBidi"/>
          <w:i/>
          <w:iCs/>
          <w:sz w:val="24"/>
          <w:szCs w:val="24"/>
        </w:rPr>
        <w:lastRenderedPageBreak/>
        <w:t xml:space="preserve">Conditions of Historical Possibility: </w:t>
      </w:r>
      <w:r w:rsidRPr="00505CF0">
        <w:rPr>
          <w:rFonts w:asciiTheme="majorBidi" w:hAnsiTheme="majorBidi" w:cstheme="majorBidi"/>
          <w:sz w:val="24"/>
          <w:szCs w:val="24"/>
        </w:rPr>
        <w:t>‘Dystopia, typically invoked, is neither [unplanned or planned to be deliberately terrifying]; rather it is a utopia that has gone wrong, or a utopia that functions only for a particular segment of society.’</w:t>
      </w:r>
      <w:r w:rsidRPr="00505CF0">
        <w:rPr>
          <w:rStyle w:val="FootnoteReference"/>
          <w:rFonts w:asciiTheme="majorBidi" w:hAnsiTheme="majorBidi" w:cstheme="majorBidi"/>
          <w:sz w:val="24"/>
          <w:szCs w:val="24"/>
        </w:rPr>
        <w:footnoteReference w:id="99"/>
      </w:r>
      <w:r w:rsidRPr="00505CF0">
        <w:rPr>
          <w:rFonts w:asciiTheme="majorBidi" w:hAnsiTheme="majorBidi" w:cstheme="majorBidi"/>
          <w:sz w:val="24"/>
          <w:szCs w:val="24"/>
        </w:rPr>
        <w:t xml:space="preserve"> This is a world that does not work, or works only for the select, that is the dystopia of the contemporary imaginary, which I will focus on here. </w:t>
      </w:r>
    </w:p>
    <w:p w14:paraId="6985A208" w14:textId="007A145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Increasingly, young adult narratives set their protagonists within a post-apocalyptic, often dystopian, setting, in which there is no desire, or possibility, to return the world to its</w:t>
      </w:r>
      <w:r w:rsidR="002D18EB">
        <w:rPr>
          <w:rFonts w:asciiTheme="majorBidi" w:hAnsiTheme="majorBidi" w:cstheme="majorBidi"/>
          <w:sz w:val="24"/>
          <w:szCs w:val="24"/>
        </w:rPr>
        <w:t xml:space="preserve"> pre-apocalyptic</w:t>
      </w:r>
      <w:r w:rsidRPr="00505CF0">
        <w:rPr>
          <w:rFonts w:asciiTheme="majorBidi" w:hAnsiTheme="majorBidi" w:cstheme="majorBidi"/>
          <w:sz w:val="24"/>
          <w:szCs w:val="24"/>
        </w:rPr>
        <w:t xml:space="preserve"> state. Rather, the goal of the protagonists within these new narratives often revolves around a more laissez-faire attitude to the end of the world; rather than fighting to return the world to a post-apocalyptic state, or to somehow stop the apocalypse from occurring entirely, new narratives revolve around a distinct dystopian acceptance or resignation, with characters spending the majority of their arcs learning how to live in the ruins of the civilised world. The extremely popular </w:t>
      </w:r>
      <w:r w:rsidRPr="00505CF0">
        <w:rPr>
          <w:rFonts w:asciiTheme="majorBidi" w:hAnsiTheme="majorBidi" w:cstheme="majorBidi"/>
          <w:i/>
          <w:iCs/>
          <w:sz w:val="24"/>
          <w:szCs w:val="24"/>
        </w:rPr>
        <w:t>Adventure Time</w:t>
      </w:r>
      <w:r w:rsidRPr="00505CF0">
        <w:rPr>
          <w:rFonts w:asciiTheme="majorBidi" w:hAnsiTheme="majorBidi" w:cstheme="majorBidi"/>
          <w:sz w:val="24"/>
          <w:szCs w:val="24"/>
        </w:rPr>
        <w:t xml:space="preserve"> (2010), for example, is centred around the adventures of a young boy as he navigates a post-apocalyptic society on the planet of Ooo, a post-nuclear war Earth devastated by the ‘Mushroom War’ that has destroyed a vast chunk of the planet and mutated the inhabitants.</w:t>
      </w:r>
      <w:r w:rsidRPr="00505CF0">
        <w:rPr>
          <w:rFonts w:asciiTheme="majorBidi" w:hAnsiTheme="majorBidi" w:cstheme="majorBidi"/>
          <w:sz w:val="24"/>
          <w:szCs w:val="24"/>
          <w:vertAlign w:val="superscript"/>
        </w:rPr>
        <w:footnoteReference w:id="100"/>
      </w:r>
      <w:r w:rsidRPr="00505CF0">
        <w:rPr>
          <w:rFonts w:asciiTheme="majorBidi" w:hAnsiTheme="majorBidi" w:cstheme="majorBidi"/>
          <w:sz w:val="24"/>
          <w:szCs w:val="24"/>
        </w:rPr>
        <w:t xml:space="preserve"> Finn, the protagonist, never seems overly concerned with the history of this war, the reasons behind it or how it could have been </w:t>
      </w:r>
      <w:proofErr w:type="gramStart"/>
      <w:r w:rsidRPr="00505CF0">
        <w:rPr>
          <w:rFonts w:asciiTheme="majorBidi" w:hAnsiTheme="majorBidi" w:cstheme="majorBidi"/>
          <w:sz w:val="24"/>
          <w:szCs w:val="24"/>
        </w:rPr>
        <w:t>prevented,</w:t>
      </w:r>
      <w:proofErr w:type="gramEnd"/>
      <w:r w:rsidRPr="00505CF0">
        <w:rPr>
          <w:rFonts w:asciiTheme="majorBidi" w:hAnsiTheme="majorBidi" w:cstheme="majorBidi"/>
          <w:sz w:val="24"/>
          <w:szCs w:val="24"/>
        </w:rPr>
        <w:t xml:space="preserve"> rather the episodes generally follow his own adventures and personal growth. Similarly, the characters of Rebecca Sugar’s </w:t>
      </w:r>
      <w:r w:rsidRPr="00505CF0">
        <w:rPr>
          <w:rFonts w:asciiTheme="majorBidi" w:hAnsiTheme="majorBidi" w:cstheme="majorBidi"/>
          <w:i/>
          <w:iCs/>
          <w:sz w:val="24"/>
          <w:szCs w:val="24"/>
        </w:rPr>
        <w:t>Steven Universe</w:t>
      </w:r>
      <w:r w:rsidRPr="00505CF0">
        <w:rPr>
          <w:rFonts w:asciiTheme="majorBidi" w:hAnsiTheme="majorBidi" w:cstheme="majorBidi"/>
          <w:sz w:val="24"/>
          <w:szCs w:val="24"/>
        </w:rPr>
        <w:t xml:space="preserve"> (2013) blithely ignore the scenes of post-war destruction that they often travel through, scenes that, in their frequency, depict a world ravaged by an alien civil war that found its way to the planet. Once more the focus is on the personal growth of the titular Steven in a world that has been shattered by war, though to a far lesser extent than the calamity that befell </w:t>
      </w:r>
      <w:r w:rsidRPr="00505CF0">
        <w:rPr>
          <w:rFonts w:asciiTheme="majorBidi" w:hAnsiTheme="majorBidi" w:cstheme="majorBidi"/>
          <w:i/>
          <w:iCs/>
          <w:sz w:val="24"/>
          <w:szCs w:val="24"/>
        </w:rPr>
        <w:t xml:space="preserve">Adventure </w:t>
      </w:r>
      <w:r w:rsidRPr="00505CF0">
        <w:rPr>
          <w:rFonts w:asciiTheme="majorBidi" w:hAnsiTheme="majorBidi" w:cstheme="majorBidi"/>
          <w:i/>
          <w:iCs/>
          <w:sz w:val="24"/>
          <w:szCs w:val="24"/>
        </w:rPr>
        <w:lastRenderedPageBreak/>
        <w:t>Time</w:t>
      </w:r>
      <w:r w:rsidRPr="00505CF0">
        <w:rPr>
          <w:rFonts w:asciiTheme="majorBidi" w:hAnsiTheme="majorBidi" w:cstheme="majorBidi"/>
          <w:sz w:val="24"/>
          <w:szCs w:val="24"/>
        </w:rPr>
        <w:t>’s</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Ooo</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While not post-apocalyptic, </w:t>
      </w:r>
      <w:r w:rsidRPr="00505CF0">
        <w:rPr>
          <w:rFonts w:asciiTheme="majorBidi" w:hAnsiTheme="majorBidi" w:cstheme="majorBidi"/>
          <w:i/>
          <w:iCs/>
          <w:sz w:val="24"/>
          <w:szCs w:val="24"/>
        </w:rPr>
        <w:t xml:space="preserve">Invader Zim </w:t>
      </w:r>
      <w:r w:rsidRPr="00505CF0">
        <w:rPr>
          <w:rFonts w:asciiTheme="majorBidi" w:hAnsiTheme="majorBidi" w:cstheme="majorBidi"/>
          <w:sz w:val="24"/>
          <w:szCs w:val="24"/>
        </w:rPr>
        <w:t xml:space="preserve">(2001) certainly follows this pattern in its depiction of a technologically advanced dystopia, where all of humanity has degenerated into grotesquery and stupidity, a situation that is never questioned by the characters </w:t>
      </w:r>
      <w:proofErr w:type="gramStart"/>
      <w:r w:rsidRPr="00505CF0">
        <w:rPr>
          <w:rFonts w:asciiTheme="majorBidi" w:hAnsiTheme="majorBidi" w:cstheme="majorBidi"/>
          <w:sz w:val="24"/>
          <w:szCs w:val="24"/>
        </w:rPr>
        <w:t>nor</w:t>
      </w:r>
      <w:proofErr w:type="gramEnd"/>
      <w:r w:rsidRPr="00505CF0">
        <w:rPr>
          <w:rFonts w:asciiTheme="majorBidi" w:hAnsiTheme="majorBidi" w:cstheme="majorBidi"/>
          <w:sz w:val="24"/>
          <w:szCs w:val="24"/>
        </w:rPr>
        <w:t xml:space="preserve"> in any way shown to be in need of resolution. Perhaps the most pertinent example of the shift towards a feeling of dystopian resignation, however, is that of </w:t>
      </w:r>
      <w:r w:rsidRPr="00505CF0">
        <w:rPr>
          <w:rFonts w:asciiTheme="majorBidi" w:hAnsiTheme="majorBidi" w:cstheme="majorBidi"/>
          <w:i/>
          <w:iCs/>
          <w:sz w:val="24"/>
          <w:szCs w:val="24"/>
        </w:rPr>
        <w:t>Samurai Jack</w:t>
      </w:r>
      <w:r w:rsidRPr="00505CF0">
        <w:rPr>
          <w:rFonts w:asciiTheme="majorBidi" w:hAnsiTheme="majorBidi" w:cstheme="majorBidi"/>
          <w:sz w:val="24"/>
          <w:szCs w:val="24"/>
        </w:rPr>
        <w:t xml:space="preserve"> (2001). The main plot of the series is best summarised by the opening sequence of the show itself:</w:t>
      </w:r>
    </w:p>
    <w:p w14:paraId="46A60850" w14:textId="77777777" w:rsidR="00C111D3" w:rsidRPr="00505CF0" w:rsidRDefault="00C111D3" w:rsidP="004C3EE0">
      <w:pPr>
        <w:jc w:val="both"/>
        <w:rPr>
          <w:rFonts w:asciiTheme="majorBidi" w:hAnsiTheme="majorBidi" w:cstheme="majorBidi"/>
          <w:sz w:val="24"/>
          <w:szCs w:val="24"/>
        </w:rPr>
      </w:pPr>
    </w:p>
    <w:p w14:paraId="6A99C51E" w14:textId="77777777" w:rsidR="00C111D3" w:rsidRPr="00505CF0" w:rsidRDefault="00C111D3" w:rsidP="004C3EE0">
      <w:pPr>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“Long ago in a distant land, I, Aku, the shape-shifting Master of Darkness, unleashed an unspeakable evil! But a foolish samurai warrior wielding a magic sword stepped forth to oppose me. Before the final blow was struck, I tore open a portal in time and flung him into the future, where my evil is law! Now the fool seeks to return to the past, and undo the future that is Aku!”</w:t>
      </w:r>
      <w:r w:rsidRPr="00505CF0">
        <w:rPr>
          <w:rFonts w:asciiTheme="majorBidi" w:hAnsiTheme="majorBidi" w:cstheme="majorBidi"/>
          <w:sz w:val="24"/>
          <w:szCs w:val="24"/>
          <w:vertAlign w:val="superscript"/>
        </w:rPr>
        <w:footnoteReference w:id="101"/>
      </w:r>
    </w:p>
    <w:p w14:paraId="282C0ADC" w14:textId="77777777" w:rsidR="00C111D3" w:rsidRPr="00505CF0" w:rsidRDefault="00C111D3" w:rsidP="004C3EE0">
      <w:pPr>
        <w:spacing w:line="240" w:lineRule="auto"/>
        <w:ind w:left="720" w:right="720"/>
        <w:jc w:val="both"/>
        <w:rPr>
          <w:rFonts w:asciiTheme="majorBidi" w:hAnsiTheme="majorBidi" w:cstheme="majorBidi"/>
          <w:sz w:val="24"/>
          <w:szCs w:val="24"/>
        </w:rPr>
      </w:pPr>
    </w:p>
    <w:p w14:paraId="3CA9502C" w14:textId="77777777" w:rsidR="00C111D3" w:rsidRPr="00505CF0" w:rsidRDefault="00C111D3" w:rsidP="004C3EE0">
      <w:pPr>
        <w:jc w:val="both"/>
        <w:rPr>
          <w:rFonts w:asciiTheme="majorBidi" w:hAnsiTheme="majorBidi" w:cstheme="majorBidi"/>
        </w:rPr>
      </w:pPr>
    </w:p>
    <w:p w14:paraId="46756EF1" w14:textId="6B9673D0"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At first, an analysis of </w:t>
      </w:r>
      <w:r w:rsidRPr="00505CF0">
        <w:rPr>
          <w:rFonts w:asciiTheme="majorBidi" w:hAnsiTheme="majorBidi" w:cstheme="majorBidi"/>
          <w:i/>
          <w:iCs/>
          <w:sz w:val="24"/>
          <w:szCs w:val="24"/>
        </w:rPr>
        <w:t>Samurai Jack</w:t>
      </w:r>
      <w:r w:rsidRPr="00505CF0">
        <w:rPr>
          <w:rFonts w:asciiTheme="majorBidi" w:hAnsiTheme="majorBidi" w:cstheme="majorBidi"/>
          <w:sz w:val="24"/>
          <w:szCs w:val="24"/>
        </w:rPr>
        <w:t xml:space="preserve"> suggests a departure from the themes explored thus far: Jack’s mission is to end the dystopian circumstances, to return to the past and undo the tyranny that is Aku </w:t>
      </w:r>
      <w:proofErr w:type="gramStart"/>
      <w:r w:rsidRPr="00505CF0">
        <w:rPr>
          <w:rFonts w:asciiTheme="majorBidi" w:hAnsiTheme="majorBidi" w:cstheme="majorBidi"/>
          <w:sz w:val="24"/>
          <w:szCs w:val="24"/>
        </w:rPr>
        <w:t>(</w:t>
      </w:r>
      <w:r w:rsidR="002D18EB">
        <w:rPr>
          <w:rFonts w:asciiTheme="majorBidi" w:hAnsiTheme="majorBidi" w:cstheme="majorBidi"/>
          <w:sz w:val="24"/>
          <w:szCs w:val="24"/>
        </w:rPr>
        <w:t xml:space="preserve"> a</w:t>
      </w:r>
      <w:proofErr w:type="gramEnd"/>
      <w:r w:rsidR="002D18EB">
        <w:rPr>
          <w:rFonts w:asciiTheme="majorBidi" w:hAnsiTheme="majorBidi" w:cstheme="majorBidi"/>
          <w:sz w:val="24"/>
          <w:szCs w:val="24"/>
        </w:rPr>
        <w:t xml:space="preserve"> thinly-veiled straw-man for ecologically destructive capitalism</w:t>
      </w:r>
      <w:r w:rsidRPr="00505CF0">
        <w:rPr>
          <w:rFonts w:asciiTheme="majorBidi" w:hAnsiTheme="majorBidi" w:cstheme="majorBidi"/>
          <w:sz w:val="24"/>
          <w:szCs w:val="24"/>
        </w:rPr>
        <w:t xml:space="preserve">). As the series progresses, however, this impression begins to wane. The audience becomes increasingly aware that Jack’s mission is, in fact, endless and that he must instead learn to adapt to the alien world if he is to survive, with the focus of the episodes becoming less about stopping Aku, than merely attempting to make this dystopian world more hospitable for those living within it. </w:t>
      </w:r>
      <w:r w:rsidRPr="00505CF0">
        <w:rPr>
          <w:rFonts w:asciiTheme="majorBidi" w:hAnsiTheme="majorBidi" w:cstheme="majorBidi"/>
          <w:i/>
          <w:iCs/>
          <w:sz w:val="24"/>
          <w:szCs w:val="24"/>
        </w:rPr>
        <w:t>Samurai Jack</w:t>
      </w:r>
      <w:r w:rsidRPr="00505CF0">
        <w:rPr>
          <w:rFonts w:asciiTheme="majorBidi" w:hAnsiTheme="majorBidi" w:cstheme="majorBidi"/>
          <w:sz w:val="24"/>
          <w:szCs w:val="24"/>
        </w:rPr>
        <w:t xml:space="preserve"> and the examples explored here highlight just a few of a growing number of post-apocalyptic, often dystopian, scenarios where creatives and writers have begun to express their growing anxiety that a calamitous future is beyond prevention.</w:t>
      </w:r>
      <w:r w:rsidR="00391287">
        <w:rPr>
          <w:rStyle w:val="FootnoteReference"/>
          <w:rFonts w:asciiTheme="majorBidi" w:hAnsiTheme="majorBidi" w:cstheme="majorBidi"/>
          <w:sz w:val="24"/>
          <w:szCs w:val="24"/>
        </w:rPr>
        <w:footnoteReference w:id="102"/>
      </w:r>
      <w:r w:rsidRPr="00505CF0">
        <w:rPr>
          <w:rFonts w:asciiTheme="majorBidi" w:hAnsiTheme="majorBidi" w:cstheme="majorBidi"/>
          <w:sz w:val="24"/>
          <w:szCs w:val="24"/>
        </w:rPr>
        <w:t xml:space="preserve"> This, however, was not always the case. A casual glance into some of the most popular </w:t>
      </w:r>
      <w:r w:rsidRPr="00505CF0">
        <w:rPr>
          <w:rFonts w:asciiTheme="majorBidi" w:hAnsiTheme="majorBidi" w:cstheme="majorBidi"/>
          <w:sz w:val="24"/>
          <w:szCs w:val="24"/>
        </w:rPr>
        <w:lastRenderedPageBreak/>
        <w:t xml:space="preserve">cartoons of the mid-to-late 1980s shows us that a generation of artists and creatives once believed that, even with the impending financial and ecological disruptions, the world as they knew it could be peacefully maintained. The world used to be worth saving, evil used to be considered ultimately defeatable. One only has to look at the main narrative of </w:t>
      </w:r>
      <w:r w:rsidRPr="00505CF0">
        <w:rPr>
          <w:rFonts w:asciiTheme="majorBidi" w:hAnsiTheme="majorBidi" w:cstheme="majorBidi"/>
          <w:i/>
          <w:iCs/>
          <w:sz w:val="24"/>
          <w:szCs w:val="24"/>
        </w:rPr>
        <w:t xml:space="preserve">The Transformers </w:t>
      </w:r>
      <w:r w:rsidRPr="00505CF0">
        <w:rPr>
          <w:rFonts w:asciiTheme="majorBidi" w:hAnsiTheme="majorBidi" w:cstheme="majorBidi"/>
          <w:sz w:val="24"/>
          <w:szCs w:val="24"/>
        </w:rPr>
        <w:t>(1984-7)</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in which evil Decepticons attempt to steal the planet’s natural resources, only to be constantly thwarted by the heroic Autobots. </w:t>
      </w:r>
      <w:bookmarkStart w:id="5" w:name="_Hlk520121539"/>
      <w:r w:rsidR="002D18EB">
        <w:rPr>
          <w:rFonts w:asciiTheme="majorBidi" w:hAnsiTheme="majorBidi" w:cstheme="majorBidi"/>
          <w:sz w:val="24"/>
          <w:szCs w:val="24"/>
        </w:rPr>
        <w:t xml:space="preserve">Or, further, to </w:t>
      </w:r>
      <w:bookmarkEnd w:id="5"/>
      <w:r w:rsidRPr="00505CF0">
        <w:rPr>
          <w:rFonts w:asciiTheme="majorBidi" w:hAnsiTheme="majorBidi" w:cstheme="majorBidi"/>
          <w:sz w:val="24"/>
          <w:szCs w:val="24"/>
        </w:rPr>
        <w:t xml:space="preserve">both </w:t>
      </w:r>
      <w:r w:rsidRPr="00505CF0">
        <w:rPr>
          <w:rFonts w:asciiTheme="majorBidi" w:hAnsiTheme="majorBidi" w:cstheme="majorBidi"/>
          <w:i/>
          <w:iCs/>
          <w:sz w:val="24"/>
          <w:szCs w:val="24"/>
        </w:rPr>
        <w:t xml:space="preserve">He-Man and the Masters of the Universe </w:t>
      </w:r>
      <w:r w:rsidRPr="00505CF0">
        <w:rPr>
          <w:rFonts w:asciiTheme="majorBidi" w:hAnsiTheme="majorBidi" w:cstheme="majorBidi"/>
          <w:sz w:val="24"/>
          <w:szCs w:val="24"/>
        </w:rPr>
        <w:t>(1983-5)</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Thundercats</w:t>
      </w:r>
      <w:r w:rsidRPr="00505CF0">
        <w:rPr>
          <w:rFonts w:asciiTheme="majorBidi" w:hAnsiTheme="majorBidi" w:cstheme="majorBidi"/>
          <w:sz w:val="24"/>
          <w:szCs w:val="24"/>
        </w:rPr>
        <w:t xml:space="preserve"> (1985-9), which feature withered ancient evils attempting to take over the world and instigate a reign of darkness and general nastiness, again thwarted by the main heroes, who manage each week to end their evil schemes. Most notably of all, and televised during the late stages of the postmodern shift, we find the environmentalist </w:t>
      </w:r>
      <w:r w:rsidRPr="00505CF0">
        <w:rPr>
          <w:rFonts w:asciiTheme="majorBidi" w:hAnsiTheme="majorBidi" w:cstheme="majorBidi"/>
          <w:i/>
          <w:iCs/>
          <w:sz w:val="24"/>
          <w:szCs w:val="24"/>
        </w:rPr>
        <w:t xml:space="preserve">Captain Planet and the Planeteers </w:t>
      </w:r>
      <w:r w:rsidRPr="00505CF0">
        <w:rPr>
          <w:rFonts w:asciiTheme="majorBidi" w:hAnsiTheme="majorBidi" w:cstheme="majorBidi"/>
          <w:sz w:val="24"/>
          <w:szCs w:val="24"/>
        </w:rPr>
        <w:t xml:space="preserve">(1993-6) in which a </w:t>
      </w:r>
      <w:r w:rsidR="002D18EB">
        <w:rPr>
          <w:rFonts w:asciiTheme="majorBidi" w:hAnsiTheme="majorBidi" w:cstheme="majorBidi"/>
          <w:sz w:val="24"/>
          <w:szCs w:val="24"/>
        </w:rPr>
        <w:t>selection</w:t>
      </w:r>
      <w:r w:rsidR="002D18EB"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of children, </w:t>
      </w:r>
      <w:r w:rsidR="002D18EB">
        <w:rPr>
          <w:rFonts w:asciiTheme="majorBidi" w:hAnsiTheme="majorBidi" w:cstheme="majorBidi"/>
          <w:sz w:val="24"/>
          <w:szCs w:val="24"/>
        </w:rPr>
        <w:t xml:space="preserve">the </w:t>
      </w:r>
      <w:r w:rsidRPr="00505CF0">
        <w:rPr>
          <w:rFonts w:asciiTheme="majorBidi" w:hAnsiTheme="majorBidi" w:cstheme="majorBidi"/>
          <w:sz w:val="24"/>
          <w:szCs w:val="24"/>
        </w:rPr>
        <w:t>‘Planeteers’, are gifted with rings embodying the essential elements of the planet - earth, fire, wind, water (</w:t>
      </w:r>
      <w:r w:rsidR="002D18EB">
        <w:rPr>
          <w:rFonts w:asciiTheme="majorBidi" w:hAnsiTheme="majorBidi" w:cstheme="majorBidi"/>
          <w:sz w:val="24"/>
          <w:szCs w:val="24"/>
        </w:rPr>
        <w:t xml:space="preserve">and </w:t>
      </w:r>
      <w:r w:rsidRPr="00505CF0">
        <w:rPr>
          <w:rFonts w:asciiTheme="majorBidi" w:hAnsiTheme="majorBidi" w:cstheme="majorBidi"/>
          <w:sz w:val="24"/>
          <w:szCs w:val="24"/>
        </w:rPr>
        <w:t>additionally the ill-defined, though all-powerful ‘heart’) – which, when combined, summon the eponymous Captain Planet, a hero whose mission was ‘to take pollution down to zero.’</w:t>
      </w:r>
      <w:r w:rsidRPr="00505CF0">
        <w:rPr>
          <w:rFonts w:asciiTheme="majorBidi" w:hAnsiTheme="majorBidi" w:cstheme="majorBidi"/>
          <w:sz w:val="24"/>
          <w:szCs w:val="24"/>
          <w:vertAlign w:val="superscript"/>
        </w:rPr>
        <w:footnoteReference w:id="103"/>
      </w:r>
      <w:r w:rsidRPr="00505CF0">
        <w:rPr>
          <w:rFonts w:asciiTheme="majorBidi" w:hAnsiTheme="majorBidi" w:cstheme="majorBidi"/>
          <w:sz w:val="24"/>
          <w:szCs w:val="24"/>
        </w:rPr>
        <w:t xml:space="preserve"> For an era defined by anti-utopian ideals and a cynical deconstruction of these, it is surprising to see such unchecked optimism in these narratives, yet this position of optimism and trust in the ability of those in power to maintain a balance has begun to wane in recent years, to the point of outright disbelief, suggestive of a lack of faith in governmental institutions as such contemporary narratives as </w:t>
      </w:r>
      <w:r w:rsidRPr="00505CF0">
        <w:rPr>
          <w:rFonts w:asciiTheme="majorBidi" w:hAnsiTheme="majorBidi" w:cstheme="majorBidi"/>
          <w:i/>
          <w:iCs/>
          <w:sz w:val="24"/>
          <w:szCs w:val="24"/>
        </w:rPr>
        <w:t>Adventure Time</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Samurai Jack</w:t>
      </w:r>
      <w:r w:rsidRPr="00505CF0">
        <w:rPr>
          <w:rFonts w:asciiTheme="majorBidi" w:hAnsiTheme="majorBidi" w:cstheme="majorBidi"/>
          <w:sz w:val="24"/>
          <w:szCs w:val="24"/>
        </w:rPr>
        <w:t xml:space="preserve"> evidence.</w:t>
      </w:r>
    </w:p>
    <w:p w14:paraId="222DEDEB" w14:textId="2538AF33"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This sentiment</w:t>
      </w:r>
      <w:r w:rsidR="00995914">
        <w:rPr>
          <w:rFonts w:asciiTheme="majorBidi" w:hAnsiTheme="majorBidi" w:cstheme="majorBidi"/>
          <w:sz w:val="24"/>
          <w:szCs w:val="24"/>
        </w:rPr>
        <w:t>, however,</w:t>
      </w:r>
      <w:r w:rsidRPr="00505CF0">
        <w:rPr>
          <w:rFonts w:asciiTheme="majorBidi" w:hAnsiTheme="majorBidi" w:cstheme="majorBidi"/>
          <w:sz w:val="24"/>
          <w:szCs w:val="24"/>
        </w:rPr>
        <w:t xml:space="preserve"> expands beyond that of young adult narratives. In various media forms across Western society, a rise in this attitude to post-apocalyptic and dystopian narratives is evident, where the aim is less to resolve the situation than merely to find the means to live well in the wastelands of the future. ‘Dystopias follow utopias the way thunder </w:t>
      </w:r>
      <w:r w:rsidRPr="00505CF0">
        <w:rPr>
          <w:rFonts w:asciiTheme="majorBidi" w:hAnsiTheme="majorBidi" w:cstheme="majorBidi"/>
          <w:sz w:val="24"/>
          <w:szCs w:val="24"/>
        </w:rPr>
        <w:lastRenderedPageBreak/>
        <w:t>follows lightning. This year,’ one reporter writes of 2017, ‘the thunder is roaring.’</w:t>
      </w:r>
      <w:r w:rsidRPr="00505CF0">
        <w:rPr>
          <w:rFonts w:asciiTheme="majorBidi" w:hAnsiTheme="majorBidi" w:cstheme="majorBidi"/>
          <w:sz w:val="24"/>
          <w:szCs w:val="24"/>
          <w:vertAlign w:val="superscript"/>
        </w:rPr>
        <w:footnoteReference w:id="104"/>
      </w:r>
      <w:r w:rsidRPr="00505CF0">
        <w:rPr>
          <w:rFonts w:asciiTheme="majorBidi" w:hAnsiTheme="majorBidi" w:cstheme="majorBidi"/>
          <w:sz w:val="24"/>
          <w:szCs w:val="24"/>
        </w:rPr>
        <w:t xml:space="preserve"> In the post-postmodern world we can see evidence of a new generation of creatives and artists expressing an underlying pessimism regarding the </w:t>
      </w:r>
      <w:r w:rsidR="00995914">
        <w:rPr>
          <w:rFonts w:asciiTheme="majorBidi" w:hAnsiTheme="majorBidi" w:cstheme="majorBidi"/>
          <w:sz w:val="24"/>
          <w:szCs w:val="24"/>
        </w:rPr>
        <w:t>future</w:t>
      </w:r>
      <w:r w:rsidRPr="00505CF0">
        <w:rPr>
          <w:rFonts w:asciiTheme="majorBidi" w:hAnsiTheme="majorBidi" w:cstheme="majorBidi"/>
          <w:sz w:val="24"/>
          <w:szCs w:val="24"/>
        </w:rPr>
        <w:t>, with narratives adopting these elements of dystopian resignation; as the same reporter argues, dystopia has moved from fiction of resistance to the ‘fiction of submission, the fiction of an untrusting, lonely, and sullen twenty-first century.’</w:t>
      </w:r>
      <w:r w:rsidRPr="00505CF0">
        <w:rPr>
          <w:rFonts w:asciiTheme="majorBidi" w:hAnsiTheme="majorBidi" w:cstheme="majorBidi"/>
          <w:sz w:val="24"/>
          <w:szCs w:val="24"/>
          <w:vertAlign w:val="superscript"/>
        </w:rPr>
        <w:footnoteReference w:id="105"/>
      </w:r>
      <w:r w:rsidRPr="00505CF0">
        <w:rPr>
          <w:rFonts w:asciiTheme="majorBidi" w:hAnsiTheme="majorBidi" w:cstheme="majorBidi"/>
          <w:sz w:val="24"/>
          <w:szCs w:val="24"/>
        </w:rPr>
        <w:t xml:space="preserve"> Across film and television we see this rise evidenced in such dystopian titles as </w:t>
      </w:r>
      <w:r w:rsidRPr="00505CF0">
        <w:rPr>
          <w:rFonts w:asciiTheme="majorBidi" w:hAnsiTheme="majorBidi" w:cstheme="majorBidi"/>
          <w:i/>
          <w:iCs/>
          <w:sz w:val="24"/>
          <w:szCs w:val="24"/>
        </w:rPr>
        <w:t xml:space="preserve">The Book of Eli, The Road, Snowpiercer, Dredd, The Day After Tomorrow, Interstellar, Oblivion, The Walking Dead, The Last Man on Earth, Dominion, Looper, The Handmaid’s Tale, Zombieland, The 100, 12 Monkeys, Black Mirror, Dollhouse, Terra Nova,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 xml:space="preserve">Revolution. </w:t>
      </w:r>
      <w:r w:rsidRPr="00505CF0">
        <w:rPr>
          <w:rFonts w:asciiTheme="majorBidi" w:hAnsiTheme="majorBidi" w:cstheme="majorBidi"/>
          <w:sz w:val="24"/>
          <w:szCs w:val="24"/>
        </w:rPr>
        <w:t>In literature, dystopian fiction, too is ‘back in vogue,’</w:t>
      </w:r>
      <w:r w:rsidRPr="00505CF0">
        <w:rPr>
          <w:rFonts w:asciiTheme="majorBidi" w:hAnsiTheme="majorBidi" w:cstheme="majorBidi"/>
          <w:sz w:val="24"/>
          <w:szCs w:val="24"/>
          <w:vertAlign w:val="superscript"/>
        </w:rPr>
        <w:footnoteReference w:id="106"/>
      </w:r>
      <w:r w:rsidRPr="00505CF0">
        <w:rPr>
          <w:rFonts w:asciiTheme="majorBidi" w:hAnsiTheme="majorBidi" w:cstheme="majorBidi"/>
          <w:sz w:val="24"/>
          <w:szCs w:val="24"/>
        </w:rPr>
        <w:t xml:space="preserve"> and continues to present narratives of resignation over restoration. Examples include, among many others, Cormac McCarthy’s </w:t>
      </w:r>
      <w:r w:rsidRPr="00505CF0">
        <w:rPr>
          <w:rFonts w:asciiTheme="majorBidi" w:hAnsiTheme="majorBidi" w:cstheme="majorBidi"/>
          <w:i/>
          <w:iCs/>
          <w:sz w:val="24"/>
          <w:szCs w:val="24"/>
        </w:rPr>
        <w:t>The Road</w:t>
      </w:r>
      <w:r w:rsidRPr="00505CF0">
        <w:rPr>
          <w:rFonts w:asciiTheme="majorBidi" w:hAnsiTheme="majorBidi" w:cstheme="majorBidi"/>
          <w:sz w:val="24"/>
          <w:szCs w:val="24"/>
        </w:rPr>
        <w:t xml:space="preserve">, Sarah Pinborough’s </w:t>
      </w:r>
      <w:r w:rsidRPr="00505CF0">
        <w:rPr>
          <w:rFonts w:asciiTheme="majorBidi" w:hAnsiTheme="majorBidi" w:cstheme="majorBidi"/>
          <w:i/>
          <w:iCs/>
          <w:sz w:val="24"/>
          <w:szCs w:val="24"/>
        </w:rPr>
        <w:t xml:space="preserve">The Death House, </w:t>
      </w:r>
      <w:r w:rsidRPr="00505CF0">
        <w:rPr>
          <w:rFonts w:asciiTheme="majorBidi" w:hAnsiTheme="majorBidi" w:cstheme="majorBidi"/>
          <w:sz w:val="24"/>
          <w:szCs w:val="24"/>
        </w:rPr>
        <w:t xml:space="preserve">Kazuo Ishiguro’s </w:t>
      </w:r>
      <w:r w:rsidRPr="00505CF0">
        <w:rPr>
          <w:rFonts w:asciiTheme="majorBidi" w:hAnsiTheme="majorBidi" w:cstheme="majorBidi"/>
          <w:i/>
          <w:iCs/>
          <w:sz w:val="24"/>
          <w:szCs w:val="24"/>
        </w:rPr>
        <w:t>Never Let Me Go,</w:t>
      </w:r>
      <w:r w:rsidRPr="00505CF0">
        <w:rPr>
          <w:rFonts w:asciiTheme="majorBidi" w:hAnsiTheme="majorBidi" w:cstheme="majorBidi"/>
          <w:sz w:val="24"/>
          <w:szCs w:val="24"/>
        </w:rPr>
        <w:t xml:space="preserve"> William Gibson’s </w:t>
      </w:r>
      <w:r w:rsidRPr="00505CF0">
        <w:rPr>
          <w:rFonts w:asciiTheme="majorBidi" w:hAnsiTheme="majorBidi" w:cstheme="majorBidi"/>
          <w:i/>
          <w:iCs/>
          <w:sz w:val="24"/>
          <w:szCs w:val="24"/>
        </w:rPr>
        <w:t xml:space="preserve">Neuromancer, </w:t>
      </w:r>
      <w:r w:rsidRPr="00505CF0">
        <w:rPr>
          <w:rFonts w:asciiTheme="majorBidi" w:hAnsiTheme="majorBidi" w:cstheme="majorBidi"/>
          <w:sz w:val="24"/>
          <w:szCs w:val="24"/>
        </w:rPr>
        <w:t>Emily St. John Mandel’s</w:t>
      </w:r>
      <w:r w:rsidRPr="00505CF0">
        <w:rPr>
          <w:rFonts w:asciiTheme="majorBidi" w:hAnsiTheme="majorBidi" w:cstheme="majorBidi"/>
          <w:i/>
          <w:iCs/>
          <w:sz w:val="24"/>
          <w:szCs w:val="24"/>
        </w:rPr>
        <w:t xml:space="preserve"> Station Eleven, </w:t>
      </w:r>
      <w:r w:rsidRPr="00505CF0">
        <w:rPr>
          <w:rFonts w:asciiTheme="majorBidi" w:hAnsiTheme="majorBidi" w:cstheme="majorBidi"/>
          <w:sz w:val="24"/>
          <w:szCs w:val="24"/>
        </w:rPr>
        <w:t>Margaret Atwood’s</w:t>
      </w:r>
      <w:r w:rsidRPr="00505CF0">
        <w:rPr>
          <w:rFonts w:asciiTheme="majorBidi" w:hAnsiTheme="majorBidi" w:cstheme="majorBidi"/>
          <w:i/>
          <w:iCs/>
          <w:sz w:val="24"/>
          <w:szCs w:val="24"/>
        </w:rPr>
        <w:t xml:space="preserve"> Oryx and Crake </w:t>
      </w:r>
      <w:r w:rsidRPr="00505CF0">
        <w:rPr>
          <w:rFonts w:asciiTheme="majorBidi" w:hAnsiTheme="majorBidi" w:cstheme="majorBidi"/>
          <w:sz w:val="24"/>
          <w:szCs w:val="24"/>
        </w:rPr>
        <w:t>trilogy</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Ernest Cline’s </w:t>
      </w:r>
      <w:r w:rsidRPr="00505CF0">
        <w:rPr>
          <w:rFonts w:asciiTheme="majorBidi" w:hAnsiTheme="majorBidi" w:cstheme="majorBidi"/>
          <w:i/>
          <w:iCs/>
          <w:sz w:val="24"/>
          <w:szCs w:val="24"/>
        </w:rPr>
        <w:t xml:space="preserve">Ready Player One, </w:t>
      </w:r>
      <w:r w:rsidRPr="00505CF0">
        <w:rPr>
          <w:rFonts w:asciiTheme="majorBidi" w:hAnsiTheme="majorBidi" w:cstheme="majorBidi"/>
          <w:sz w:val="24"/>
          <w:szCs w:val="24"/>
        </w:rPr>
        <w:t xml:space="preserve">David Mitchell’s </w:t>
      </w:r>
      <w:r w:rsidRPr="00505CF0">
        <w:rPr>
          <w:rFonts w:asciiTheme="majorBidi" w:hAnsiTheme="majorBidi" w:cstheme="majorBidi"/>
          <w:i/>
          <w:iCs/>
          <w:sz w:val="24"/>
          <w:szCs w:val="24"/>
        </w:rPr>
        <w:t xml:space="preserve">Cloud Atlas, </w:t>
      </w:r>
      <w:r w:rsidRPr="00505CF0">
        <w:rPr>
          <w:rFonts w:asciiTheme="majorBidi" w:hAnsiTheme="majorBidi" w:cstheme="majorBidi"/>
          <w:sz w:val="24"/>
          <w:szCs w:val="24"/>
        </w:rPr>
        <w:t xml:space="preserve">and John Burnside’s </w:t>
      </w:r>
      <w:r w:rsidRPr="00505CF0">
        <w:rPr>
          <w:rFonts w:asciiTheme="majorBidi" w:hAnsiTheme="majorBidi" w:cstheme="majorBidi"/>
          <w:i/>
          <w:iCs/>
          <w:sz w:val="24"/>
          <w:szCs w:val="24"/>
        </w:rPr>
        <w:t>Glister</w:t>
      </w:r>
      <w:r w:rsidRPr="00505CF0">
        <w:rPr>
          <w:rFonts w:asciiTheme="majorBidi" w:hAnsiTheme="majorBidi" w:cstheme="majorBidi"/>
          <w:sz w:val="24"/>
          <w:szCs w:val="24"/>
        </w:rPr>
        <w:t>.</w:t>
      </w:r>
      <w:r w:rsidRPr="00505CF0">
        <w:rPr>
          <w:rFonts w:asciiTheme="majorBidi" w:hAnsiTheme="majorBidi" w:cstheme="majorBidi"/>
          <w:sz w:val="24"/>
          <w:szCs w:val="24"/>
          <w:vertAlign w:val="superscript"/>
        </w:rPr>
        <w:footnoteReference w:id="107"/>
      </w:r>
      <w:r w:rsidRPr="00505CF0">
        <w:rPr>
          <w:rFonts w:asciiTheme="majorBidi" w:hAnsiTheme="majorBidi" w:cstheme="majorBidi"/>
          <w:sz w:val="24"/>
          <w:szCs w:val="24"/>
        </w:rPr>
        <w:t xml:space="preserve"> Andew Hoberek identifies the post-apocalyptic narrative as the ‘master genre’ for post-postmodernism, that is to say, the genre which most succinctly complements the themes of the time as the detective and science fiction genres were for modernism and postmodern before, while also suggesting that the rise of post-apocalyptic narratives ‘might have everything to do with the present it seemingly rejects.’</w:t>
      </w:r>
      <w:r w:rsidRPr="00505CF0">
        <w:rPr>
          <w:rFonts w:asciiTheme="majorBidi" w:hAnsiTheme="majorBidi" w:cstheme="majorBidi"/>
          <w:sz w:val="24"/>
          <w:szCs w:val="24"/>
          <w:vertAlign w:val="superscript"/>
        </w:rPr>
        <w:footnoteReference w:id="108"/>
      </w:r>
      <w:r w:rsidRPr="00505CF0">
        <w:rPr>
          <w:rFonts w:asciiTheme="majorBidi" w:hAnsiTheme="majorBidi" w:cstheme="majorBidi"/>
          <w:sz w:val="24"/>
          <w:szCs w:val="24"/>
        </w:rPr>
        <w:t xml:space="preserve"> Indeed, this rise in dystopian and post-apocalyptic </w:t>
      </w:r>
      <w:r w:rsidR="00995914">
        <w:rPr>
          <w:rFonts w:asciiTheme="majorBidi" w:hAnsiTheme="majorBidi" w:cstheme="majorBidi"/>
          <w:sz w:val="24"/>
          <w:szCs w:val="24"/>
        </w:rPr>
        <w:t>resignation</w:t>
      </w:r>
      <w:r w:rsidRPr="00505CF0">
        <w:rPr>
          <w:rFonts w:asciiTheme="majorBidi" w:hAnsiTheme="majorBidi" w:cstheme="majorBidi"/>
          <w:sz w:val="24"/>
          <w:szCs w:val="24"/>
        </w:rPr>
        <w:t xml:space="preserve"> narratives coincides </w:t>
      </w:r>
      <w:r w:rsidRPr="00505CF0">
        <w:rPr>
          <w:rFonts w:asciiTheme="majorBidi" w:hAnsiTheme="majorBidi" w:cstheme="majorBidi"/>
          <w:sz w:val="24"/>
          <w:szCs w:val="24"/>
        </w:rPr>
        <w:lastRenderedPageBreak/>
        <w:t>not only with the end of the postmodern, but with a growing anxiety with the present, and a concern over the ineptitude of governing bodies to prevent local and global disaster.</w:t>
      </w:r>
      <w:r w:rsidRPr="00505CF0">
        <w:rPr>
          <w:rStyle w:val="FootnoteReference"/>
          <w:rFonts w:asciiTheme="majorBidi" w:hAnsiTheme="majorBidi" w:cstheme="majorBidi"/>
          <w:sz w:val="24"/>
          <w:szCs w:val="24"/>
        </w:rPr>
        <w:footnoteReference w:id="109"/>
      </w:r>
      <w:r w:rsidRPr="00505CF0">
        <w:rPr>
          <w:rFonts w:asciiTheme="majorBidi" w:hAnsiTheme="majorBidi" w:cstheme="majorBidi"/>
          <w:sz w:val="24"/>
          <w:szCs w:val="24"/>
        </w:rPr>
        <w:t xml:space="preserve"> </w:t>
      </w:r>
    </w:p>
    <w:p w14:paraId="570D0618" w14:textId="0AA5FD9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Seen as burdened with an infernal constellation of unsolvable problems,</w:t>
      </w:r>
      <w:r w:rsidRPr="00505CF0">
        <w:rPr>
          <w:rStyle w:val="FootnoteReference"/>
          <w:rFonts w:asciiTheme="majorBidi" w:hAnsiTheme="majorBidi" w:cstheme="majorBidi"/>
          <w:sz w:val="24"/>
          <w:szCs w:val="24"/>
        </w:rPr>
        <w:footnoteReference w:id="110"/>
      </w:r>
      <w:r w:rsidRPr="00505CF0">
        <w:rPr>
          <w:rFonts w:asciiTheme="majorBidi" w:hAnsiTheme="majorBidi" w:cstheme="majorBidi"/>
          <w:sz w:val="24"/>
          <w:szCs w:val="24"/>
        </w:rPr>
        <w:t xml:space="preserve"> western society finds itself under </w:t>
      </w:r>
      <w:r w:rsidR="009A6995">
        <w:rPr>
          <w:rFonts w:asciiTheme="majorBidi" w:hAnsiTheme="majorBidi" w:cstheme="majorBidi"/>
          <w:sz w:val="24"/>
          <w:szCs w:val="24"/>
        </w:rPr>
        <w:t>significant</w:t>
      </w:r>
      <w:r w:rsidRPr="00505CF0">
        <w:rPr>
          <w:rFonts w:asciiTheme="majorBidi" w:hAnsiTheme="majorBidi" w:cstheme="majorBidi"/>
          <w:sz w:val="24"/>
          <w:szCs w:val="24"/>
        </w:rPr>
        <w:t xml:space="preserve"> critical attention at present. Across the range of post-postmodern discussion, cultural theorists have begun to identify an unchecked, ‘increasingly uncontrollable’</w:t>
      </w:r>
      <w:r w:rsidRPr="00505CF0">
        <w:rPr>
          <w:rFonts w:asciiTheme="majorBidi" w:hAnsiTheme="majorBidi" w:cstheme="majorBidi"/>
          <w:sz w:val="24"/>
          <w:szCs w:val="24"/>
          <w:vertAlign w:val="superscript"/>
        </w:rPr>
        <w:footnoteReference w:id="111"/>
      </w:r>
      <w:r w:rsidRPr="00505CF0">
        <w:rPr>
          <w:rFonts w:asciiTheme="majorBidi" w:hAnsiTheme="majorBidi" w:cstheme="majorBidi"/>
          <w:sz w:val="24"/>
          <w:szCs w:val="24"/>
        </w:rPr>
        <w:t xml:space="preserve"> capitalism ‘indifferent to individuals,’</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2"/>
      </w:r>
      <w:r w:rsidRPr="00505CF0">
        <w:rPr>
          <w:rFonts w:asciiTheme="majorBidi" w:hAnsiTheme="majorBidi" w:cstheme="majorBidi"/>
          <w:sz w:val="24"/>
          <w:szCs w:val="24"/>
        </w:rPr>
        <w:t xml:space="preserve"> and which has promoted a significant deepening, or ‘widening, [of] economic inequality,’ alongside ‘stagnant and worryingly high levels of unemployment in the wake of ‘spiralling financial crises that seem as though never to end.’</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3"/>
      </w:r>
      <w:r w:rsidRPr="00505CF0">
        <w:rPr>
          <w:rFonts w:asciiTheme="majorBidi" w:hAnsiTheme="majorBidi" w:cstheme="majorBidi"/>
          <w:sz w:val="24"/>
          <w:szCs w:val="24"/>
        </w:rPr>
        <w:t xml:space="preserve"> The ‘hectic engineering of information technologies’ has failed to produce a globalised network of individuals,</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4"/>
      </w:r>
      <w:r w:rsidRPr="00505CF0">
        <w:rPr>
          <w:rFonts w:asciiTheme="majorBidi" w:hAnsiTheme="majorBidi" w:cstheme="majorBidi"/>
          <w:sz w:val="24"/>
          <w:szCs w:val="24"/>
        </w:rPr>
        <w:t xml:space="preserve"> with the internet, as Jill Lepore writes, failing to ‘stitch us together.’</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5"/>
      </w:r>
      <w:r w:rsidRPr="00505CF0">
        <w:rPr>
          <w:rFonts w:asciiTheme="majorBidi" w:hAnsiTheme="majorBidi" w:cstheme="majorBidi"/>
          <w:sz w:val="24"/>
          <w:szCs w:val="24"/>
        </w:rPr>
        <w:t xml:space="preserve"> The geopolitical structures of western societies are perceived as either unstable, or yielding to authoritarianism, while the ecological structure of the planet too seem ‘severely disrupted’</w:t>
      </w:r>
      <w:r w:rsidRPr="00505CF0">
        <w:rPr>
          <w:rFonts w:asciiTheme="majorBidi" w:hAnsiTheme="majorBidi" w:cstheme="majorBidi"/>
          <w:sz w:val="24"/>
          <w:szCs w:val="24"/>
          <w:vertAlign w:val="superscript"/>
        </w:rPr>
        <w:footnoteReference w:id="116"/>
      </w:r>
      <w:r w:rsidRPr="00505CF0">
        <w:rPr>
          <w:rFonts w:asciiTheme="majorBidi" w:hAnsiTheme="majorBidi" w:cstheme="majorBidi"/>
          <w:sz w:val="24"/>
          <w:szCs w:val="24"/>
        </w:rPr>
        <w:t xml:space="preserve"> to the extent that there appears to be a ‘looming environmental crisis.’</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7"/>
      </w:r>
      <w:r w:rsidRPr="00505CF0">
        <w:rPr>
          <w:rFonts w:asciiTheme="majorBidi" w:hAnsiTheme="majorBidi" w:cstheme="majorBidi"/>
          <w:sz w:val="24"/>
          <w:szCs w:val="24"/>
        </w:rPr>
        <w:t xml:space="preserve"> Ecological disaster looms, while nations face continued disrupt from politically and religiously radicalised individuals in an environment of ‘exacerbated liberalism of competition,’</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118"/>
      </w:r>
      <w:r w:rsidRPr="00505CF0">
        <w:rPr>
          <w:rFonts w:asciiTheme="majorBidi" w:hAnsiTheme="majorBidi" w:cstheme="majorBidi"/>
          <w:sz w:val="24"/>
          <w:szCs w:val="24"/>
        </w:rPr>
        <w:t xml:space="preserve"> and indifferent capitalism. </w:t>
      </w:r>
    </w:p>
    <w:p w14:paraId="29AFA9A0"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Francesc Torralba, in an essay exploring the fears and anxieties of contemporary society,</w:t>
      </w:r>
      <w:r w:rsidRPr="00505CF0">
        <w:rPr>
          <w:rFonts w:asciiTheme="majorBidi" w:hAnsiTheme="majorBidi" w:cstheme="majorBidi"/>
          <w:sz w:val="24"/>
          <w:szCs w:val="24"/>
          <w:vertAlign w:val="superscript"/>
        </w:rPr>
        <w:footnoteReference w:id="119"/>
      </w:r>
      <w:r w:rsidRPr="00505CF0">
        <w:rPr>
          <w:rFonts w:asciiTheme="majorBidi" w:hAnsiTheme="majorBidi" w:cstheme="majorBidi"/>
          <w:sz w:val="24"/>
          <w:szCs w:val="24"/>
        </w:rPr>
        <w:t xml:space="preserve"> highlights several forms of fear that align with these statements: ‘There is fear of organisations, fear of job insecurity, </w:t>
      </w:r>
      <w:proofErr w:type="gramStart"/>
      <w:r w:rsidRPr="00505CF0">
        <w:rPr>
          <w:rFonts w:asciiTheme="majorBidi" w:hAnsiTheme="majorBidi" w:cstheme="majorBidi"/>
          <w:sz w:val="24"/>
          <w:szCs w:val="24"/>
        </w:rPr>
        <w:t>fear</w:t>
      </w:r>
      <w:proofErr w:type="gramEnd"/>
      <w:r w:rsidRPr="00505CF0">
        <w:rPr>
          <w:rFonts w:asciiTheme="majorBidi" w:hAnsiTheme="majorBidi" w:cstheme="majorBidi"/>
          <w:sz w:val="24"/>
          <w:szCs w:val="24"/>
        </w:rPr>
        <w:t xml:space="preserve"> of losing one’s health, fear due to the inconsistency </w:t>
      </w:r>
      <w:r w:rsidRPr="00505CF0">
        <w:rPr>
          <w:rFonts w:asciiTheme="majorBidi" w:hAnsiTheme="majorBidi" w:cstheme="majorBidi"/>
          <w:sz w:val="24"/>
          <w:szCs w:val="24"/>
        </w:rPr>
        <w:lastRenderedPageBreak/>
        <w:t xml:space="preserve">of ties. New scenarios of this threat </w:t>
      </w:r>
      <w:proofErr w:type="gramStart"/>
      <w:r w:rsidRPr="00505CF0">
        <w:rPr>
          <w:rFonts w:asciiTheme="majorBidi" w:hAnsiTheme="majorBidi" w:cstheme="majorBidi"/>
          <w:sz w:val="24"/>
          <w:szCs w:val="24"/>
        </w:rPr>
        <w:t>appear,</w:t>
      </w:r>
      <w:proofErr w:type="gramEnd"/>
      <w:r w:rsidRPr="00505CF0">
        <w:rPr>
          <w:rFonts w:asciiTheme="majorBidi" w:hAnsiTheme="majorBidi" w:cstheme="majorBidi"/>
          <w:sz w:val="24"/>
          <w:szCs w:val="24"/>
        </w:rPr>
        <w:t xml:space="preserve"> new tales of future devastations that strike fear into the average citizen.’</w:t>
      </w:r>
      <w:r w:rsidRPr="00505CF0">
        <w:rPr>
          <w:rFonts w:asciiTheme="majorBidi" w:hAnsiTheme="majorBidi" w:cstheme="majorBidi"/>
          <w:sz w:val="24"/>
          <w:szCs w:val="24"/>
          <w:vertAlign w:val="superscript"/>
        </w:rPr>
        <w:footnoteReference w:id="120"/>
      </w:r>
      <w:r w:rsidRPr="00505CF0">
        <w:rPr>
          <w:rFonts w:asciiTheme="majorBidi" w:hAnsiTheme="majorBidi" w:cstheme="majorBidi"/>
          <w:sz w:val="24"/>
          <w:szCs w:val="24"/>
        </w:rPr>
        <w:t xml:space="preserve"> Fear has become a dominant cultural mode, the fear of the present that raises an anxiety over the future; ‘It is,’ after all, ‘fear that rules as we face an uncertain future.’</w:t>
      </w:r>
      <w:r w:rsidRPr="00505CF0">
        <w:rPr>
          <w:rFonts w:asciiTheme="majorBidi" w:hAnsiTheme="majorBidi" w:cstheme="majorBidi"/>
          <w:sz w:val="24"/>
          <w:szCs w:val="24"/>
          <w:vertAlign w:val="superscript"/>
        </w:rPr>
        <w:footnoteReference w:id="121"/>
      </w:r>
      <w:r w:rsidRPr="00505CF0">
        <w:rPr>
          <w:rFonts w:asciiTheme="majorBidi" w:hAnsiTheme="majorBidi" w:cstheme="majorBidi"/>
          <w:sz w:val="24"/>
          <w:szCs w:val="24"/>
        </w:rPr>
        <w:t xml:space="preserve"> The world, it really does seem, cannot be saved in our ‘terrifying new millennium of global risks.’</w:t>
      </w:r>
      <w:r w:rsidRPr="00505CF0">
        <w:rPr>
          <w:rFonts w:asciiTheme="majorBidi" w:hAnsiTheme="majorBidi" w:cstheme="majorBidi"/>
          <w:sz w:val="24"/>
          <w:szCs w:val="24"/>
          <w:vertAlign w:val="superscript"/>
        </w:rPr>
        <w:footnoteReference w:id="122"/>
      </w:r>
      <w:r w:rsidRPr="00505CF0">
        <w:rPr>
          <w:rFonts w:asciiTheme="majorBidi" w:hAnsiTheme="majorBidi" w:cstheme="majorBidi"/>
          <w:sz w:val="24"/>
          <w:szCs w:val="24"/>
        </w:rPr>
        <w:t xml:space="preserve"> Environmental and ecological disaster loom, exacerbated by unchallenged capitalism in an unstable geopolitical landscape, and economic inequality continues to expand rather than contract. The culmination of all these factors, ‘along with the accompanying hyper-anxiety brought about by twenty-four hour news,’ according to Alison Gibbons, ‘has made the western world feel like a more precarious and volatile place, in which we can no longer be nonchalant about our safety or future.’</w:t>
      </w:r>
      <w:r w:rsidRPr="00505CF0">
        <w:rPr>
          <w:rFonts w:asciiTheme="majorBidi" w:hAnsiTheme="majorBidi" w:cstheme="majorBidi"/>
          <w:sz w:val="24"/>
          <w:szCs w:val="24"/>
          <w:vertAlign w:val="superscript"/>
        </w:rPr>
        <w:footnoteReference w:id="123"/>
      </w:r>
      <w:r w:rsidRPr="00505CF0">
        <w:rPr>
          <w:rFonts w:asciiTheme="majorBidi" w:hAnsiTheme="majorBidi" w:cstheme="majorBidi"/>
          <w:sz w:val="24"/>
          <w:szCs w:val="24"/>
        </w:rPr>
        <w:t xml:space="preserve"> The rather pessimistic views presented of the present do contribute to the dystopian resignation, though, as post-postmodernity is defined by a ‘backlash against the government and public officials,’</w:t>
      </w:r>
      <w:r w:rsidRPr="00505CF0">
        <w:rPr>
          <w:rFonts w:asciiTheme="majorBidi" w:hAnsiTheme="majorBidi" w:cstheme="majorBidi"/>
          <w:sz w:val="24"/>
          <w:szCs w:val="24"/>
          <w:vertAlign w:val="superscript"/>
        </w:rPr>
        <w:footnoteReference w:id="124"/>
      </w:r>
      <w:r w:rsidRPr="00505CF0">
        <w:rPr>
          <w:rFonts w:asciiTheme="majorBidi" w:hAnsiTheme="majorBidi" w:cstheme="majorBidi"/>
          <w:sz w:val="24"/>
          <w:szCs w:val="24"/>
        </w:rPr>
        <w:t xml:space="preserve"> attributable to a distinct doubt in the efficacy of governmental and ruling forces to deal with the seemingly insurmountable problems of the present in such a way as will create a safe future. </w:t>
      </w:r>
    </w:p>
    <w:p w14:paraId="530B2FF9" w14:textId="1CFE36F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‘No one will argue,’ states Lipovetsky, ‘that the way the world is going arouses more anxiety than unbridled optimism.’</w:t>
      </w:r>
      <w:r w:rsidRPr="00505CF0">
        <w:rPr>
          <w:rStyle w:val="FootnoteReference"/>
          <w:rFonts w:asciiTheme="majorBidi" w:hAnsiTheme="majorBidi" w:cstheme="majorBidi"/>
          <w:sz w:val="24"/>
          <w:szCs w:val="24"/>
        </w:rPr>
        <w:footnoteReference w:id="125"/>
      </w:r>
      <w:r w:rsidRPr="00505CF0">
        <w:rPr>
          <w:rFonts w:asciiTheme="majorBidi" w:hAnsiTheme="majorBidi" w:cstheme="majorBidi"/>
          <w:sz w:val="24"/>
          <w:szCs w:val="24"/>
        </w:rPr>
        <w:t xml:space="preserve"> He cites the problems of the world as growing tensions between the (American) north and south, the rise in global social inequality and insecurity and, most significantly, that ‘the globalised market is reducing the power of democracies to govern themselves.’</w:t>
      </w:r>
      <w:r w:rsidRPr="00505CF0">
        <w:rPr>
          <w:rFonts w:asciiTheme="majorBidi" w:hAnsiTheme="majorBidi" w:cstheme="majorBidi"/>
          <w:sz w:val="24"/>
          <w:szCs w:val="24"/>
          <w:vertAlign w:val="superscript"/>
        </w:rPr>
        <w:footnoteReference w:id="126"/>
      </w:r>
      <w:r w:rsidRPr="00505CF0">
        <w:rPr>
          <w:rFonts w:asciiTheme="majorBidi" w:hAnsiTheme="majorBidi" w:cstheme="majorBidi"/>
          <w:sz w:val="24"/>
          <w:szCs w:val="24"/>
        </w:rPr>
        <w:t xml:space="preserve"> Zygmunt Bauman, of Liquid Modernity fame, and Ulrich Beck, advocate for Second Modernity and Risk Society, also both recognise a perceived scepticism </w:t>
      </w:r>
      <w:r w:rsidRPr="00505CF0">
        <w:rPr>
          <w:rFonts w:asciiTheme="majorBidi" w:hAnsiTheme="majorBidi" w:cstheme="majorBidi"/>
          <w:sz w:val="24"/>
          <w:szCs w:val="24"/>
        </w:rPr>
        <w:lastRenderedPageBreak/>
        <w:t xml:space="preserve">towards western government’s ability to maintain security of state. </w:t>
      </w:r>
      <w:proofErr w:type="gramStart"/>
      <w:r w:rsidRPr="00505CF0">
        <w:rPr>
          <w:rFonts w:asciiTheme="majorBidi" w:hAnsiTheme="majorBidi" w:cstheme="majorBidi"/>
          <w:sz w:val="24"/>
          <w:szCs w:val="24"/>
        </w:rPr>
        <w:t>For Bauman, the means available for local and global governments ‘to protect the rule of law and defend citizens are clearly insufficient to tame [the forces of global chaos.]’</w:t>
      </w:r>
      <w:proofErr w:type="gramEnd"/>
      <w:r w:rsidRPr="00505CF0">
        <w:rPr>
          <w:rFonts w:asciiTheme="majorBidi" w:hAnsiTheme="majorBidi" w:cstheme="majorBidi"/>
          <w:sz w:val="24"/>
          <w:szCs w:val="24"/>
          <w:vertAlign w:val="superscript"/>
        </w:rPr>
        <w:footnoteReference w:id="127"/>
      </w:r>
      <w:r w:rsidRPr="00505CF0">
        <w:rPr>
          <w:rFonts w:asciiTheme="majorBidi" w:hAnsiTheme="majorBidi" w:cstheme="majorBidi"/>
          <w:sz w:val="24"/>
          <w:szCs w:val="24"/>
        </w:rPr>
        <w:t xml:space="preserve"> He continues that the terrorist attacks of September 11</w:t>
      </w:r>
      <w:r w:rsidRPr="00505CF0">
        <w:rPr>
          <w:rFonts w:asciiTheme="majorBidi" w:hAnsiTheme="majorBidi" w:cstheme="majorBidi"/>
          <w:sz w:val="24"/>
          <w:szCs w:val="24"/>
          <w:vertAlign w:val="superscript"/>
        </w:rPr>
        <w:t xml:space="preserve">th </w:t>
      </w:r>
      <w:r w:rsidRPr="00505CF0">
        <w:rPr>
          <w:rFonts w:asciiTheme="majorBidi" w:hAnsiTheme="majorBidi" w:cstheme="majorBidi"/>
          <w:sz w:val="24"/>
          <w:szCs w:val="24"/>
        </w:rPr>
        <w:t>2001 in the U</w:t>
      </w:r>
      <w:r w:rsidR="0010203B">
        <w:rPr>
          <w:rFonts w:asciiTheme="majorBidi" w:hAnsiTheme="majorBidi" w:cstheme="majorBidi"/>
          <w:sz w:val="24"/>
          <w:szCs w:val="24"/>
        </w:rPr>
        <w:t>nited States of America</w:t>
      </w:r>
      <w:r w:rsidRPr="00505CF0">
        <w:rPr>
          <w:rFonts w:asciiTheme="majorBidi" w:hAnsiTheme="majorBidi" w:cstheme="majorBidi"/>
          <w:sz w:val="24"/>
          <w:szCs w:val="24"/>
        </w:rPr>
        <w:t>, March 2004 in Madrid, and July 2005 in London all indicate ‘that the traditional means of securing and maintaining respect for law and order, crudely started, are worthless.’</w:t>
      </w:r>
      <w:r w:rsidRPr="00505CF0">
        <w:rPr>
          <w:rFonts w:asciiTheme="majorBidi" w:hAnsiTheme="majorBidi" w:cstheme="majorBidi"/>
          <w:sz w:val="24"/>
          <w:szCs w:val="24"/>
          <w:vertAlign w:val="superscript"/>
        </w:rPr>
        <w:footnoteReference w:id="128"/>
      </w:r>
      <w:r w:rsidRPr="00505CF0">
        <w:rPr>
          <w:rFonts w:asciiTheme="majorBidi" w:hAnsiTheme="majorBidi" w:cstheme="majorBidi"/>
          <w:sz w:val="24"/>
          <w:szCs w:val="24"/>
        </w:rPr>
        <w:t xml:space="preserve">  Bauman identifies a belief that the forces tasked with maintaining the safety of their governed citizens have failed in this objective, a belief that Beck, in two articles, relates not just </w:t>
      </w:r>
      <w:proofErr w:type="gramStart"/>
      <w:r w:rsidRPr="00505CF0">
        <w:rPr>
          <w:rFonts w:asciiTheme="majorBidi" w:hAnsiTheme="majorBidi" w:cstheme="majorBidi"/>
          <w:sz w:val="24"/>
          <w:szCs w:val="24"/>
        </w:rPr>
        <w:t>to</w:t>
      </w:r>
      <w:proofErr w:type="gramEnd"/>
      <w:r w:rsidRPr="00505CF0">
        <w:rPr>
          <w:rFonts w:asciiTheme="majorBidi" w:hAnsiTheme="majorBidi" w:cstheme="majorBidi"/>
          <w:sz w:val="24"/>
          <w:szCs w:val="24"/>
        </w:rPr>
        <w:t xml:space="preserve"> local failures, but to a failure of international organizations:</w:t>
      </w:r>
    </w:p>
    <w:p w14:paraId="6F3C3CEB" w14:textId="77777777" w:rsidR="00C111D3" w:rsidRPr="00505CF0" w:rsidRDefault="00C111D3" w:rsidP="004C3EE0">
      <w:pPr>
        <w:ind w:firstLine="720"/>
        <w:jc w:val="both"/>
        <w:rPr>
          <w:rFonts w:asciiTheme="majorBidi" w:hAnsiTheme="majorBidi" w:cstheme="majorBidi"/>
        </w:rPr>
      </w:pPr>
    </w:p>
    <w:p w14:paraId="74F9FEED" w14:textId="77777777" w:rsidR="00C111D3" w:rsidRPr="00505CF0" w:rsidRDefault="00C111D3" w:rsidP="004C3EE0">
      <w:pPr>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 xml:space="preserve">Despite this rapidly growing number of global organizations and transnational institutions, there is an increasing unease, nourished not least by the hesitant responses to the global financial crisis, the European currency crisis, and the poor results of the last global climate conference at </w:t>
      </w:r>
      <w:proofErr w:type="gramStart"/>
      <w:r w:rsidRPr="00505CF0">
        <w:rPr>
          <w:rFonts w:asciiTheme="majorBidi" w:hAnsiTheme="majorBidi" w:cstheme="majorBidi"/>
          <w:sz w:val="24"/>
          <w:szCs w:val="24"/>
        </w:rPr>
        <w:t>Copenhagen, that</w:t>
      </w:r>
      <w:proofErr w:type="gramEnd"/>
      <w:r w:rsidRPr="00505CF0">
        <w:rPr>
          <w:rFonts w:asciiTheme="majorBidi" w:hAnsiTheme="majorBidi" w:cstheme="majorBidi"/>
          <w:sz w:val="24"/>
          <w:szCs w:val="24"/>
        </w:rPr>
        <w:t xml:space="preserve"> these institutions are proving unable to address the challenges they were created to meet.</w:t>
      </w:r>
      <w:r w:rsidRPr="00505CF0">
        <w:rPr>
          <w:rFonts w:asciiTheme="majorBidi" w:hAnsiTheme="majorBidi" w:cstheme="majorBidi"/>
          <w:sz w:val="24"/>
          <w:szCs w:val="24"/>
          <w:vertAlign w:val="superscript"/>
        </w:rPr>
        <w:footnoteReference w:id="129"/>
      </w:r>
    </w:p>
    <w:p w14:paraId="35B5B82B" w14:textId="77777777" w:rsidR="00C111D3" w:rsidRPr="00505CF0" w:rsidRDefault="00C111D3" w:rsidP="004C3EE0">
      <w:pPr>
        <w:jc w:val="both"/>
        <w:rPr>
          <w:rFonts w:asciiTheme="majorBidi" w:hAnsiTheme="majorBidi" w:cstheme="majorBidi"/>
          <w:sz w:val="24"/>
          <w:szCs w:val="24"/>
        </w:rPr>
      </w:pPr>
    </w:p>
    <w:p w14:paraId="17671D05" w14:textId="77777777" w:rsidR="00C111D3" w:rsidRPr="00505CF0" w:rsidRDefault="00C111D3" w:rsidP="004C3EE0">
      <w:pPr>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Can the World Bank solve the global problem of poverty? Can the Food and Agriculture Organisation of the United Nations (FAO) solve a global food crisis? Can the World Trade Organisation effectively regulate global trade? It seems as if these institutions do not constitute a sufficient basis for managing or controlling the global risks and crises created by the global </w:t>
      </w:r>
      <w:r w:rsidRPr="00505CF0">
        <w:rPr>
          <w:rFonts w:asciiTheme="majorBidi" w:hAnsiTheme="majorBidi" w:cstheme="majorBidi"/>
          <w:i/>
          <w:iCs/>
          <w:sz w:val="24"/>
          <w:szCs w:val="24"/>
        </w:rPr>
        <w:t xml:space="preserve">victory </w:t>
      </w:r>
      <w:r w:rsidRPr="00505CF0">
        <w:rPr>
          <w:rFonts w:asciiTheme="majorBidi" w:hAnsiTheme="majorBidi" w:cstheme="majorBidi"/>
          <w:sz w:val="24"/>
          <w:szCs w:val="24"/>
        </w:rPr>
        <w:t>of industrial capitalism.</w:t>
      </w:r>
      <w:r w:rsidRPr="00505CF0">
        <w:rPr>
          <w:rFonts w:asciiTheme="majorBidi" w:hAnsiTheme="majorBidi" w:cstheme="majorBidi"/>
          <w:sz w:val="24"/>
          <w:szCs w:val="24"/>
          <w:vertAlign w:val="superscript"/>
        </w:rPr>
        <w:footnoteReference w:id="130"/>
      </w:r>
    </w:p>
    <w:p w14:paraId="69D102A9" w14:textId="77777777" w:rsidR="00C111D3" w:rsidRPr="00505CF0" w:rsidRDefault="00C111D3" w:rsidP="004C3EE0">
      <w:pPr>
        <w:spacing w:line="240" w:lineRule="auto"/>
        <w:ind w:left="720" w:right="720"/>
        <w:jc w:val="both"/>
        <w:rPr>
          <w:rFonts w:asciiTheme="majorBidi" w:hAnsiTheme="majorBidi" w:cstheme="majorBidi"/>
          <w:sz w:val="24"/>
          <w:szCs w:val="24"/>
        </w:rPr>
      </w:pPr>
    </w:p>
    <w:p w14:paraId="125FEFEE" w14:textId="77777777" w:rsidR="00C111D3" w:rsidRDefault="00C111D3" w:rsidP="004C3EE0">
      <w:pPr>
        <w:spacing w:line="240" w:lineRule="auto"/>
        <w:ind w:right="720"/>
        <w:jc w:val="both"/>
        <w:rPr>
          <w:rFonts w:asciiTheme="majorBidi" w:hAnsiTheme="majorBidi" w:cstheme="majorBidi"/>
          <w:sz w:val="24"/>
          <w:szCs w:val="24"/>
        </w:rPr>
      </w:pPr>
    </w:p>
    <w:p w14:paraId="4B523701" w14:textId="77777777" w:rsidR="00955756" w:rsidRPr="00505CF0" w:rsidRDefault="00955756" w:rsidP="004C3EE0">
      <w:pPr>
        <w:spacing w:line="240" w:lineRule="auto"/>
        <w:ind w:right="720"/>
        <w:jc w:val="both"/>
        <w:rPr>
          <w:rFonts w:asciiTheme="majorBidi" w:hAnsiTheme="majorBidi" w:cstheme="majorBidi"/>
          <w:sz w:val="24"/>
          <w:szCs w:val="24"/>
        </w:rPr>
      </w:pPr>
    </w:p>
    <w:p w14:paraId="05842B79" w14:textId="304A11B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Beck claims that it is now ‘commonplace’ that national institutions are perceived as ‘unable to cope with the challenges of regulating global capitalism and responding to new global risks.’</w:t>
      </w:r>
      <w:r w:rsidRPr="00505CF0">
        <w:rPr>
          <w:rFonts w:asciiTheme="majorBidi" w:hAnsiTheme="majorBidi" w:cstheme="majorBidi"/>
          <w:sz w:val="24"/>
          <w:szCs w:val="24"/>
          <w:vertAlign w:val="superscript"/>
        </w:rPr>
        <w:footnoteReference w:id="131"/>
      </w:r>
      <w:r w:rsidRPr="00505CF0">
        <w:rPr>
          <w:rFonts w:asciiTheme="majorBidi" w:hAnsiTheme="majorBidi" w:cstheme="majorBidi"/>
          <w:sz w:val="24"/>
          <w:szCs w:val="24"/>
        </w:rPr>
        <w:t xml:space="preserve"> The U</w:t>
      </w:r>
      <w:r w:rsidR="0010203B">
        <w:rPr>
          <w:rFonts w:asciiTheme="majorBidi" w:hAnsiTheme="majorBidi" w:cstheme="majorBidi"/>
          <w:sz w:val="24"/>
          <w:szCs w:val="24"/>
        </w:rPr>
        <w:t>nited States</w:t>
      </w:r>
      <w:r w:rsidRPr="00505CF0">
        <w:rPr>
          <w:rFonts w:asciiTheme="majorBidi" w:hAnsiTheme="majorBidi" w:cstheme="majorBidi"/>
          <w:sz w:val="24"/>
          <w:szCs w:val="24"/>
        </w:rPr>
        <w:t xml:space="preserve"> is seeing ‘a rising generation of left-leaning Americans who possess less faith than their elders in the power of government to combat injustices and </w:t>
      </w:r>
      <w:r w:rsidRPr="00505CF0">
        <w:rPr>
          <w:rFonts w:asciiTheme="majorBidi" w:hAnsiTheme="majorBidi" w:cstheme="majorBidi"/>
          <w:sz w:val="24"/>
          <w:szCs w:val="24"/>
        </w:rPr>
        <w:lastRenderedPageBreak/>
        <w:t xml:space="preserve">pursue noble collective enterprises,’ according to one journalist, with another writing that trust in </w:t>
      </w:r>
      <w:r w:rsidR="009A6995">
        <w:rPr>
          <w:rFonts w:asciiTheme="majorBidi" w:hAnsiTheme="majorBidi" w:cstheme="majorBidi"/>
          <w:sz w:val="24"/>
          <w:szCs w:val="24"/>
        </w:rPr>
        <w:t xml:space="preserve">American </w:t>
      </w:r>
      <w:r w:rsidRPr="00505CF0">
        <w:rPr>
          <w:rFonts w:asciiTheme="majorBidi" w:hAnsiTheme="majorBidi" w:cstheme="majorBidi"/>
          <w:sz w:val="24"/>
          <w:szCs w:val="24"/>
        </w:rPr>
        <w:t xml:space="preserve">politicians, in </w:t>
      </w:r>
      <w:r w:rsidR="009A6995">
        <w:rPr>
          <w:rFonts w:asciiTheme="majorBidi" w:hAnsiTheme="majorBidi" w:cstheme="majorBidi"/>
          <w:sz w:val="24"/>
          <w:szCs w:val="24"/>
        </w:rPr>
        <w:t>2014</w:t>
      </w:r>
      <w:r w:rsidRPr="00505CF0">
        <w:rPr>
          <w:rFonts w:asciiTheme="majorBidi" w:hAnsiTheme="majorBidi" w:cstheme="majorBidi"/>
          <w:sz w:val="24"/>
          <w:szCs w:val="24"/>
        </w:rPr>
        <w:t>, was at an all-time low.</w:t>
      </w:r>
      <w:r w:rsidRPr="00505CF0">
        <w:rPr>
          <w:rFonts w:asciiTheme="majorBidi" w:hAnsiTheme="majorBidi" w:cstheme="majorBidi"/>
          <w:sz w:val="24"/>
          <w:szCs w:val="24"/>
          <w:vertAlign w:val="superscript"/>
        </w:rPr>
        <w:footnoteReference w:id="132"/>
      </w:r>
      <w:r w:rsidRPr="00505CF0">
        <w:rPr>
          <w:rFonts w:asciiTheme="majorBidi" w:hAnsiTheme="majorBidi" w:cstheme="majorBidi"/>
          <w:sz w:val="24"/>
          <w:szCs w:val="24"/>
        </w:rPr>
        <w:t xml:space="preserve"> In television the growing discontent with the rule of government is evidenced by the popularity of documentaries which question governmental policy and decisions, such as the recent rise in wrongful conviction documentaries (</w:t>
      </w:r>
      <w:r w:rsidRPr="00505CF0">
        <w:rPr>
          <w:rFonts w:asciiTheme="majorBidi" w:hAnsiTheme="majorBidi" w:cstheme="majorBidi"/>
          <w:i/>
          <w:iCs/>
          <w:sz w:val="24"/>
          <w:szCs w:val="24"/>
        </w:rPr>
        <w:t xml:space="preserve">Making a Murderer, The Confession Tapes, </w:t>
      </w:r>
      <w:proofErr w:type="gramStart"/>
      <w:r w:rsidRPr="00505CF0">
        <w:rPr>
          <w:rFonts w:asciiTheme="majorBidi" w:hAnsiTheme="majorBidi" w:cstheme="majorBidi"/>
          <w:i/>
          <w:iCs/>
          <w:sz w:val="24"/>
          <w:szCs w:val="24"/>
        </w:rPr>
        <w:t>Women</w:t>
      </w:r>
      <w:proofErr w:type="gramEnd"/>
      <w:r w:rsidRPr="00505CF0">
        <w:rPr>
          <w:rFonts w:asciiTheme="majorBidi" w:hAnsiTheme="majorBidi" w:cstheme="majorBidi"/>
          <w:i/>
          <w:iCs/>
          <w:sz w:val="24"/>
          <w:szCs w:val="24"/>
        </w:rPr>
        <w:t xml:space="preserve"> Who Kill</w:t>
      </w:r>
      <w:r w:rsidRPr="00505CF0">
        <w:rPr>
          <w:rFonts w:asciiTheme="majorBidi" w:hAnsiTheme="majorBidi" w:cstheme="majorBidi"/>
          <w:sz w:val="24"/>
          <w:szCs w:val="24"/>
        </w:rPr>
        <w:t>.) Such shows highlight not only the potential for incorrect decisions in terms of individual convictions, but often undermine the efficacy of governmental justice by portraying law enforcement and the judicial system as flawed or corrupt. The landscape of contemporary documentaries, even taken from a quick glance across Netflix’s catalogue, shows an ever-increasing range of content which aims to expose governmental, national, or corporate malpractice – aims frequently shared by tabloid newspapers continually reporting on ministerial scandals, whistleblowing activities, and institutional malpractice against the most vulnerable members of society.</w:t>
      </w:r>
      <w:r w:rsidRPr="00505CF0">
        <w:rPr>
          <w:rFonts w:asciiTheme="majorBidi" w:hAnsiTheme="majorBidi" w:cstheme="majorBidi"/>
          <w:sz w:val="24"/>
          <w:szCs w:val="24"/>
          <w:vertAlign w:val="superscript"/>
        </w:rPr>
        <w:footnoteReference w:id="133"/>
      </w:r>
      <w:r w:rsidRPr="00505CF0">
        <w:rPr>
          <w:rFonts w:asciiTheme="majorBidi" w:hAnsiTheme="majorBidi" w:cstheme="majorBidi"/>
          <w:sz w:val="24"/>
          <w:szCs w:val="24"/>
        </w:rPr>
        <w:t xml:space="preserve"> In film, the current popularity, and box-office supremacy of super hero narratives can also be explained by this anti-establishmentarianism (additionally via the nostalgia drive and infantilisation to be explored later); the rise of vigilante fighters, those who are able to bring societal justice where governmental law becomes ineffectual, or fails altogether.</w:t>
      </w:r>
      <w:r w:rsidRPr="00505CF0">
        <w:rPr>
          <w:rFonts w:asciiTheme="majorBidi" w:hAnsiTheme="majorBidi" w:cstheme="majorBidi"/>
          <w:sz w:val="24"/>
          <w:szCs w:val="24"/>
          <w:vertAlign w:val="superscript"/>
        </w:rPr>
        <w:footnoteReference w:id="134"/>
      </w:r>
      <w:r w:rsidRPr="00505CF0">
        <w:rPr>
          <w:rFonts w:asciiTheme="majorBidi" w:hAnsiTheme="majorBidi" w:cstheme="majorBidi"/>
          <w:sz w:val="24"/>
          <w:szCs w:val="24"/>
        </w:rPr>
        <w:t xml:space="preserve"> As a final note in evidence of this trend, audience participation within televised news and advertising is an additional symptom of a distinct mistrust in ruling forces; the audience is increasingly presented with eye-witness or by-passer opinions on subject matter in a response by media executives that speaks to a prevalent societal paranoia of information control in which affiliation-neutrality is the new reliability.</w:t>
      </w:r>
    </w:p>
    <w:p w14:paraId="3A84624D"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lastRenderedPageBreak/>
        <w:t xml:space="preserve">When the present seems so bleak, it seems only natural that creatives turn to expressions of dystopian resignation - neo-utopian sentiments that are mingled with the growing certainty of some form of apocalypse, leading to explorations of how we can live among the ruins of our own civilization; acceptance of the dystopian with a sincere desire to explore the ways in which we might survive in such environments. Such conventions are far from new to history, however, or literary works in the vein of </w:t>
      </w:r>
      <w:r w:rsidRPr="00505CF0">
        <w:rPr>
          <w:rFonts w:asciiTheme="majorBidi" w:hAnsiTheme="majorBidi" w:cstheme="majorBidi"/>
          <w:i/>
          <w:iCs/>
          <w:sz w:val="24"/>
          <w:szCs w:val="24"/>
        </w:rPr>
        <w:t>1984</w:t>
      </w:r>
      <w:r w:rsidRPr="00505CF0">
        <w:rPr>
          <w:rFonts w:asciiTheme="majorBidi" w:hAnsiTheme="majorBidi" w:cstheme="majorBidi"/>
          <w:sz w:val="24"/>
          <w:szCs w:val="24"/>
        </w:rPr>
        <w:t xml:space="preserve"> would never have seen production. What makes such ideas particularly pertinent to the contemporary era is the proliferation of such ideas across all media forms simultaneously, foregrounding such dystopian resignation as a significant single obsession of contemporary artistic and cultural ideologies. </w:t>
      </w:r>
    </w:p>
    <w:p w14:paraId="03BBF74C" w14:textId="77777777" w:rsidR="00C111D3" w:rsidRPr="00505CF0" w:rsidRDefault="00C111D3" w:rsidP="004C3EE0">
      <w:pPr>
        <w:spacing w:line="480" w:lineRule="auto"/>
        <w:jc w:val="both"/>
        <w:rPr>
          <w:rFonts w:asciiTheme="majorBidi" w:hAnsiTheme="majorBidi" w:cstheme="majorBidi"/>
        </w:rPr>
      </w:pPr>
    </w:p>
    <w:p w14:paraId="5D0AD17C" w14:textId="77777777" w:rsidR="00C111D3" w:rsidRPr="00505CF0" w:rsidRDefault="00C111D3" w:rsidP="004C3EE0">
      <w:pPr>
        <w:spacing w:line="480" w:lineRule="auto"/>
        <w:jc w:val="both"/>
        <w:rPr>
          <w:rFonts w:asciiTheme="majorBidi" w:hAnsiTheme="majorBidi" w:cstheme="majorBidi"/>
        </w:rPr>
      </w:pPr>
    </w:p>
    <w:p w14:paraId="031368B4" w14:textId="77777777" w:rsidR="00C111D3" w:rsidRPr="00505CF0" w:rsidRDefault="00C111D3" w:rsidP="004C3EE0">
      <w:pPr>
        <w:spacing w:line="24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 xml:space="preserve">2.2 </w:t>
      </w:r>
      <w:r w:rsidRPr="00505CF0">
        <w:rPr>
          <w:rFonts w:asciiTheme="majorBidi" w:eastAsia="Times New Roman" w:hAnsiTheme="majorBidi" w:cstheme="majorBidi"/>
          <w:b/>
          <w:sz w:val="28"/>
          <w:szCs w:val="28"/>
          <w:lang w:eastAsia="en-US"/>
        </w:rPr>
        <w:tab/>
        <w:t>Progress and Change</w:t>
      </w:r>
    </w:p>
    <w:p w14:paraId="1AA46F06" w14:textId="77777777" w:rsidR="00C111D3" w:rsidRDefault="00C111D3" w:rsidP="004C3EE0">
      <w:pPr>
        <w:spacing w:line="480" w:lineRule="auto"/>
        <w:jc w:val="both"/>
        <w:rPr>
          <w:rFonts w:asciiTheme="majorBidi" w:eastAsia="Times New Roman" w:hAnsiTheme="majorBidi" w:cstheme="majorBidi"/>
          <w:b/>
          <w:sz w:val="24"/>
          <w:szCs w:val="24"/>
          <w:lang w:eastAsia="en-US"/>
        </w:rPr>
      </w:pPr>
    </w:p>
    <w:p w14:paraId="2C14EB8B" w14:textId="77777777" w:rsidR="00955756" w:rsidRPr="00505CF0" w:rsidRDefault="00955756" w:rsidP="00933A84">
      <w:pPr>
        <w:spacing w:line="240" w:lineRule="auto"/>
        <w:jc w:val="both"/>
        <w:rPr>
          <w:rFonts w:asciiTheme="majorBidi" w:eastAsia="Times New Roman" w:hAnsiTheme="majorBidi" w:cstheme="majorBidi"/>
          <w:b/>
          <w:sz w:val="24"/>
          <w:szCs w:val="24"/>
          <w:lang w:eastAsia="en-US"/>
        </w:rPr>
      </w:pPr>
    </w:p>
    <w:p w14:paraId="31440469"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Something, then, must be done. On that, according to Bauman, we are ‘almost all agreed’- </w:t>
      </w:r>
      <w:proofErr w:type="gramStart"/>
      <w:r w:rsidRPr="00505CF0">
        <w:rPr>
          <w:rFonts w:asciiTheme="majorBidi" w:eastAsia="Times New Roman" w:hAnsiTheme="majorBidi" w:cstheme="majorBidi"/>
          <w:bCs/>
          <w:sz w:val="24"/>
          <w:szCs w:val="24"/>
          <w:lang w:eastAsia="en-US"/>
        </w:rPr>
        <w:t>that</w:t>
      </w:r>
      <w:proofErr w:type="gramEnd"/>
      <w:r w:rsidRPr="00505CF0">
        <w:rPr>
          <w:rFonts w:asciiTheme="majorBidi" w:eastAsia="Times New Roman" w:hAnsiTheme="majorBidi" w:cstheme="majorBidi"/>
          <w:bCs/>
          <w:sz w:val="24"/>
          <w:szCs w:val="24"/>
          <w:lang w:eastAsia="en-US"/>
        </w:rPr>
        <w:t xml:space="preserve"> at least something must be done to alter the present.</w:t>
      </w:r>
      <w:r w:rsidRPr="00505CF0">
        <w:rPr>
          <w:rFonts w:asciiTheme="majorBidi" w:eastAsia="Times New Roman" w:hAnsiTheme="majorBidi" w:cstheme="majorBidi"/>
          <w:bCs/>
          <w:sz w:val="24"/>
          <w:szCs w:val="24"/>
          <w:vertAlign w:val="superscript"/>
          <w:lang w:eastAsia="en-US"/>
        </w:rPr>
        <w:footnoteReference w:id="135"/>
      </w:r>
      <w:r w:rsidRPr="00505CF0">
        <w:rPr>
          <w:rFonts w:asciiTheme="majorBidi" w:eastAsia="Times New Roman" w:hAnsiTheme="majorBidi" w:cstheme="majorBidi"/>
          <w:bCs/>
          <w:sz w:val="24"/>
          <w:szCs w:val="24"/>
          <w:lang w:eastAsia="en-US"/>
        </w:rPr>
        <w:t xml:space="preserve"> A change is needed to avert the potential post-apocalyptic or dystopian future that is so clearly a fixed trajectory to those in the 21</w:t>
      </w:r>
      <w:r w:rsidRPr="00505CF0">
        <w:rPr>
          <w:rFonts w:asciiTheme="majorBidi" w:eastAsia="Times New Roman" w:hAnsiTheme="majorBidi" w:cstheme="majorBidi"/>
          <w:bCs/>
          <w:sz w:val="24"/>
          <w:szCs w:val="24"/>
          <w:vertAlign w:val="superscript"/>
          <w:lang w:eastAsia="en-US"/>
        </w:rPr>
        <w:t>st</w:t>
      </w:r>
      <w:r w:rsidRPr="00505CF0">
        <w:rPr>
          <w:rFonts w:asciiTheme="majorBidi" w:eastAsia="Times New Roman" w:hAnsiTheme="majorBidi" w:cstheme="majorBidi"/>
          <w:bCs/>
          <w:sz w:val="24"/>
          <w:szCs w:val="24"/>
          <w:lang w:eastAsia="en-US"/>
        </w:rPr>
        <w:t xml:space="preserve"> century. Spurred on by expectations of the apocalypse, the post-postmodern epoch is part-defined by unfettered, unregulated progress in terms of cultural production, often without any form of destination or long-term goal. Luke Turner describes how, in the wake of the global crises (ecological disturbance, financial breakdown, and ‘the escalation of global conflicts’), ‘we have witnessed the emergence of a palpable collective desire for change,’ for something beyond Francis Fukuyama’s ‘prematurely proclaimed’ “End of History.”</w:t>
      </w:r>
      <w:r w:rsidRPr="00505CF0">
        <w:rPr>
          <w:rFonts w:asciiTheme="majorBidi" w:eastAsia="Times New Roman" w:hAnsiTheme="majorBidi" w:cstheme="majorBidi"/>
          <w:bCs/>
          <w:sz w:val="24"/>
          <w:szCs w:val="24"/>
          <w:vertAlign w:val="superscript"/>
          <w:lang w:eastAsia="en-US"/>
        </w:rPr>
        <w:footnoteReference w:id="136"/>
      </w:r>
      <w:r w:rsidRPr="00505CF0">
        <w:rPr>
          <w:rFonts w:asciiTheme="majorBidi" w:eastAsia="Times New Roman" w:hAnsiTheme="majorBidi" w:cstheme="majorBidi"/>
          <w:bCs/>
          <w:sz w:val="24"/>
          <w:szCs w:val="24"/>
          <w:lang w:eastAsia="en-US"/>
        </w:rPr>
        <w:t xml:space="preserve"> </w:t>
      </w:r>
    </w:p>
    <w:p w14:paraId="196A08B6" w14:textId="77777777"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Several of the post-postmodern contenders have described this desire for change, particularly as a societal desire for some form of progress. Alan Kirby sketches both </w:t>
      </w:r>
      <w:r w:rsidRPr="00505CF0">
        <w:rPr>
          <w:rFonts w:asciiTheme="majorBidi" w:eastAsia="Times New Roman" w:hAnsiTheme="majorBidi" w:cstheme="majorBidi"/>
          <w:bCs/>
          <w:sz w:val="24"/>
          <w:szCs w:val="24"/>
          <w:lang w:eastAsia="en-US"/>
        </w:rPr>
        <w:lastRenderedPageBreak/>
        <w:t>‘onwardness’ and ‘haphazardness’ as dominant features of the Digimodernist era, identifying a world that is insistent on progress of any sort, though little concerned with the results.</w:t>
      </w:r>
      <w:r w:rsidRPr="00505CF0">
        <w:rPr>
          <w:rFonts w:asciiTheme="majorBidi" w:eastAsia="Times New Roman" w:hAnsiTheme="majorBidi" w:cstheme="majorBidi"/>
          <w:bCs/>
          <w:sz w:val="24"/>
          <w:szCs w:val="24"/>
          <w:vertAlign w:val="superscript"/>
          <w:lang w:eastAsia="en-US"/>
        </w:rPr>
        <w:footnoteReference w:id="137"/>
      </w:r>
      <w:r w:rsidRPr="00505CF0">
        <w:rPr>
          <w:rFonts w:asciiTheme="majorBidi" w:eastAsia="Times New Roman" w:hAnsiTheme="majorBidi" w:cstheme="majorBidi"/>
          <w:bCs/>
          <w:sz w:val="24"/>
          <w:szCs w:val="24"/>
          <w:lang w:eastAsia="en-US"/>
        </w:rPr>
        <w:t xml:space="preserve"> We are, Kirby writes, ‘confronted by a storm of human activity producing almost nothing of cultural value,’</w:t>
      </w:r>
      <w:r w:rsidRPr="00505CF0">
        <w:rPr>
          <w:rFonts w:asciiTheme="majorBidi" w:eastAsia="Times New Roman" w:hAnsiTheme="majorBidi" w:cstheme="majorBidi"/>
          <w:bCs/>
          <w:sz w:val="24"/>
          <w:szCs w:val="24"/>
          <w:vertAlign w:val="superscript"/>
          <w:lang w:eastAsia="en-US"/>
        </w:rPr>
        <w:footnoteReference w:id="138"/>
      </w:r>
      <w:r w:rsidRPr="00505CF0">
        <w:rPr>
          <w:rFonts w:asciiTheme="majorBidi" w:eastAsia="Times New Roman" w:hAnsiTheme="majorBidi" w:cstheme="majorBidi"/>
          <w:bCs/>
          <w:sz w:val="24"/>
          <w:szCs w:val="24"/>
          <w:lang w:eastAsia="en-US"/>
        </w:rPr>
        <w:t xml:space="preserve"> themes shared by descriptions of the ‘instability’ of hypermodern society in valuing ‘permanence and stability least of all, instead preferring competition, flexibility, mobility, and adaptability,’ all characteristics that Sebastien Charles also identifies with Bauman’s Liquid Modernity.</w:t>
      </w:r>
      <w:r w:rsidRPr="00505CF0">
        <w:rPr>
          <w:rFonts w:asciiTheme="majorBidi" w:eastAsia="Times New Roman" w:hAnsiTheme="majorBidi" w:cstheme="majorBidi"/>
          <w:bCs/>
          <w:sz w:val="24"/>
          <w:szCs w:val="24"/>
          <w:vertAlign w:val="superscript"/>
          <w:lang w:eastAsia="en-US"/>
        </w:rPr>
        <w:footnoteReference w:id="139"/>
      </w:r>
      <w:r w:rsidRPr="00505CF0">
        <w:rPr>
          <w:rFonts w:asciiTheme="majorBidi" w:eastAsia="Times New Roman" w:hAnsiTheme="majorBidi" w:cstheme="majorBidi"/>
          <w:bCs/>
          <w:sz w:val="24"/>
          <w:szCs w:val="24"/>
          <w:lang w:eastAsia="en-US"/>
        </w:rPr>
        <w:t xml:space="preserve"> Bauman’s depiction of contemporary modernity envisions ‘an infinity of improvement, with no 'final state' in sight and none desired,’</w:t>
      </w:r>
      <w:r w:rsidRPr="00505CF0">
        <w:rPr>
          <w:rFonts w:asciiTheme="majorBidi" w:eastAsia="Times New Roman" w:hAnsiTheme="majorBidi" w:cstheme="majorBidi"/>
          <w:bCs/>
          <w:sz w:val="24"/>
          <w:szCs w:val="24"/>
          <w:vertAlign w:val="superscript"/>
          <w:lang w:eastAsia="en-US"/>
        </w:rPr>
        <w:footnoteReference w:id="140"/>
      </w:r>
      <w:r w:rsidRPr="00505CF0">
        <w:rPr>
          <w:rFonts w:asciiTheme="majorBidi" w:eastAsia="Times New Roman" w:hAnsiTheme="majorBidi" w:cstheme="majorBidi"/>
          <w:bCs/>
          <w:sz w:val="24"/>
          <w:szCs w:val="24"/>
          <w:lang w:eastAsia="en-US"/>
        </w:rPr>
        <w:t xml:space="preserve"> a society in which ‘nothing keeps its shape and social forms are constantly changing at great speed, radically transforming the experience of being human.’</w:t>
      </w:r>
      <w:r w:rsidRPr="00505CF0">
        <w:rPr>
          <w:rFonts w:asciiTheme="majorBidi" w:eastAsia="Times New Roman" w:hAnsiTheme="majorBidi" w:cstheme="majorBidi"/>
          <w:bCs/>
          <w:sz w:val="24"/>
          <w:szCs w:val="24"/>
          <w:vertAlign w:val="superscript"/>
          <w:lang w:eastAsia="en-US"/>
        </w:rPr>
        <w:footnoteReference w:id="141"/>
      </w:r>
      <w:r w:rsidRPr="00505CF0">
        <w:rPr>
          <w:rFonts w:asciiTheme="majorBidi" w:eastAsia="Times New Roman" w:hAnsiTheme="majorBidi" w:cstheme="majorBidi"/>
          <w:bCs/>
          <w:sz w:val="24"/>
          <w:szCs w:val="24"/>
          <w:lang w:eastAsia="en-US"/>
        </w:rPr>
        <w:t xml:space="preserve"> Lipovetsky’s analysis identifies similar themes: his proposed societal paradigm, Hypermodernity, recognises that there is no longer a choice in the world other than to continue to develop, accelerate, and continue moving lest you be overtaken by the continuing advancements of technology and society.</w:t>
      </w:r>
      <w:r w:rsidRPr="00505CF0">
        <w:rPr>
          <w:rFonts w:asciiTheme="majorBidi" w:eastAsia="Times New Roman" w:hAnsiTheme="majorBidi" w:cstheme="majorBidi"/>
          <w:bCs/>
          <w:sz w:val="24"/>
          <w:szCs w:val="24"/>
          <w:vertAlign w:val="superscript"/>
          <w:lang w:eastAsia="en-US"/>
        </w:rPr>
        <w:footnoteReference w:id="142"/>
      </w:r>
      <w:r w:rsidRPr="00505CF0">
        <w:rPr>
          <w:rFonts w:asciiTheme="majorBidi" w:eastAsia="Times New Roman" w:hAnsiTheme="majorBidi" w:cstheme="majorBidi"/>
          <w:bCs/>
          <w:sz w:val="24"/>
          <w:szCs w:val="24"/>
          <w:lang w:eastAsia="en-US"/>
        </w:rPr>
        <w:t xml:space="preserve"> Automodernity, too, recognises the current desire for progress, highlighting the backlash against both the public realm and progressive social movements as symptomatic of a grand cultural desire for change.</w:t>
      </w:r>
      <w:r w:rsidRPr="00505CF0">
        <w:rPr>
          <w:rFonts w:asciiTheme="majorBidi" w:eastAsia="Times New Roman" w:hAnsiTheme="majorBidi" w:cstheme="majorBidi"/>
          <w:bCs/>
          <w:sz w:val="24"/>
          <w:szCs w:val="24"/>
          <w:vertAlign w:val="superscript"/>
          <w:lang w:eastAsia="en-US"/>
        </w:rPr>
        <w:footnoteReference w:id="143"/>
      </w:r>
      <w:r w:rsidRPr="00505CF0">
        <w:rPr>
          <w:rFonts w:asciiTheme="majorBidi" w:eastAsia="Times New Roman" w:hAnsiTheme="majorBidi" w:cstheme="majorBidi"/>
          <w:bCs/>
          <w:sz w:val="24"/>
          <w:szCs w:val="24"/>
          <w:lang w:eastAsia="en-US"/>
        </w:rPr>
        <w:t xml:space="preserve"> And while Laura Cumming may not see the Altermodernist movement as anything ‘as grand, or significant, as a movement,’ she does point out that the art ascribed to the Altermodern is one of constant movement across society, never touching </w:t>
      </w:r>
      <w:r w:rsidRPr="00505CF0">
        <w:rPr>
          <w:rFonts w:asciiTheme="majorBidi" w:eastAsia="Times New Roman" w:hAnsiTheme="majorBidi" w:cstheme="majorBidi"/>
          <w:bCs/>
          <w:sz w:val="24"/>
          <w:szCs w:val="24"/>
          <w:lang w:eastAsia="en-US"/>
        </w:rPr>
        <w:lastRenderedPageBreak/>
        <w:t>down, but which ‘keeps on moving through places and ideas, made up by artists connected across the globe.’</w:t>
      </w:r>
      <w:r w:rsidRPr="00505CF0">
        <w:rPr>
          <w:rFonts w:asciiTheme="majorBidi" w:eastAsia="Times New Roman" w:hAnsiTheme="majorBidi" w:cstheme="majorBidi"/>
          <w:bCs/>
          <w:sz w:val="24"/>
          <w:szCs w:val="24"/>
          <w:vertAlign w:val="superscript"/>
          <w:lang w:eastAsia="en-US"/>
        </w:rPr>
        <w:footnoteReference w:id="144"/>
      </w:r>
      <w:r w:rsidRPr="00505CF0">
        <w:rPr>
          <w:rFonts w:asciiTheme="majorBidi" w:eastAsia="Times New Roman" w:hAnsiTheme="majorBidi" w:cstheme="majorBidi"/>
          <w:bCs/>
          <w:sz w:val="24"/>
          <w:szCs w:val="24"/>
          <w:lang w:eastAsia="en-US"/>
        </w:rPr>
        <w:t xml:space="preserve"> The Altermodern distinguishes the societal trend of movement and progress, describing art which looks to a nomad-style artist attempting to find something beyond the current predicaments of the local by constantly shifting perspectives. Bourriaud rightly identifies that ‘increased communication, travel and migration are affecting the way we live,’ and that as a response to this, artists shift perspectives across cultures in an attempt at creolization, to look beyond the borders of the local community for resolutions to global problems.  </w:t>
      </w:r>
    </w:p>
    <w:p w14:paraId="13DCFC6C" w14:textId="4DC1486B" w:rsidR="00C111D3" w:rsidRPr="00505CF0" w:rsidRDefault="00C111D3" w:rsidP="009C7513">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The desire for change and progress is palpable across western culture, visible particularly in the current political climate, with the last series of major elections and a referendum in</w:t>
      </w:r>
      <w:r w:rsidR="0010203B">
        <w:rPr>
          <w:rFonts w:asciiTheme="majorBidi" w:eastAsia="Times New Roman" w:hAnsiTheme="majorBidi" w:cstheme="majorBidi"/>
          <w:bCs/>
          <w:sz w:val="24"/>
          <w:szCs w:val="24"/>
          <w:lang w:eastAsia="en-US"/>
        </w:rPr>
        <w:t xml:space="preserve"> America</w:t>
      </w:r>
      <w:r w:rsidRPr="00505CF0">
        <w:rPr>
          <w:rFonts w:asciiTheme="majorBidi" w:eastAsia="Times New Roman" w:hAnsiTheme="majorBidi" w:cstheme="majorBidi"/>
          <w:bCs/>
          <w:sz w:val="24"/>
          <w:szCs w:val="24"/>
          <w:lang w:eastAsia="en-US"/>
        </w:rPr>
        <w:t xml:space="preserve"> and </w:t>
      </w:r>
      <w:r w:rsidR="0010203B">
        <w:rPr>
          <w:rFonts w:asciiTheme="majorBidi" w:eastAsia="Times New Roman" w:hAnsiTheme="majorBidi" w:cstheme="majorBidi"/>
          <w:bCs/>
          <w:sz w:val="24"/>
          <w:szCs w:val="24"/>
          <w:lang w:eastAsia="en-US"/>
        </w:rPr>
        <w:t>the United Kingdom</w:t>
      </w:r>
      <w:r w:rsidR="009C7513">
        <w:rPr>
          <w:rStyle w:val="FootnoteReference"/>
          <w:rFonts w:asciiTheme="majorBidi" w:eastAsia="Times New Roman" w:hAnsiTheme="majorBidi" w:cstheme="majorBidi"/>
          <w:bCs/>
          <w:sz w:val="24"/>
          <w:szCs w:val="24"/>
          <w:lang w:eastAsia="en-US"/>
        </w:rPr>
        <w:footnoteReference w:id="145"/>
      </w:r>
      <w:r w:rsidRPr="00505CF0">
        <w:rPr>
          <w:rFonts w:asciiTheme="majorBidi" w:eastAsia="Times New Roman" w:hAnsiTheme="majorBidi" w:cstheme="majorBidi"/>
          <w:bCs/>
          <w:sz w:val="24"/>
          <w:szCs w:val="24"/>
          <w:lang w:eastAsia="en-US"/>
        </w:rPr>
        <w:t xml:space="preserve"> having absurdly close, and mostly unpredictable results as </w:t>
      </w:r>
      <w:r w:rsidR="009C7513" w:rsidRPr="00505CF0">
        <w:rPr>
          <w:rFonts w:asciiTheme="majorBidi" w:eastAsia="Times New Roman" w:hAnsiTheme="majorBidi" w:cstheme="majorBidi"/>
          <w:bCs/>
          <w:sz w:val="24"/>
          <w:szCs w:val="24"/>
          <w:lang w:eastAsia="en-US"/>
        </w:rPr>
        <w:t>consequence</w:t>
      </w:r>
      <w:r w:rsidRPr="00505CF0">
        <w:rPr>
          <w:rFonts w:asciiTheme="majorBidi" w:eastAsia="Times New Roman" w:hAnsiTheme="majorBidi" w:cstheme="majorBidi"/>
          <w:bCs/>
          <w:sz w:val="24"/>
          <w:szCs w:val="24"/>
          <w:lang w:eastAsia="en-US"/>
        </w:rPr>
        <w:t xml:space="preserve"> of the voting population becoming increasingly unsure about </w:t>
      </w:r>
      <w:r w:rsidRPr="00505CF0">
        <w:rPr>
          <w:rFonts w:asciiTheme="majorBidi" w:eastAsia="Times New Roman" w:hAnsiTheme="majorBidi" w:cstheme="majorBidi"/>
          <w:bCs/>
          <w:i/>
          <w:iCs/>
          <w:sz w:val="24"/>
          <w:szCs w:val="24"/>
          <w:lang w:eastAsia="en-US"/>
        </w:rPr>
        <w:t>how</w:t>
      </w:r>
      <w:r w:rsidRPr="00505CF0">
        <w:rPr>
          <w:rFonts w:asciiTheme="majorBidi" w:eastAsia="Times New Roman" w:hAnsiTheme="majorBidi" w:cstheme="majorBidi"/>
          <w:bCs/>
          <w:sz w:val="24"/>
          <w:szCs w:val="24"/>
          <w:lang w:eastAsia="en-US"/>
        </w:rPr>
        <w:t xml:space="preserve"> their circumstances should be changed, believing only that they </w:t>
      </w:r>
      <w:r w:rsidRPr="00505CF0">
        <w:rPr>
          <w:rFonts w:asciiTheme="majorBidi" w:eastAsia="Times New Roman" w:hAnsiTheme="majorBidi" w:cstheme="majorBidi"/>
          <w:bCs/>
          <w:i/>
          <w:iCs/>
          <w:sz w:val="24"/>
          <w:szCs w:val="24"/>
          <w:lang w:eastAsia="en-US"/>
        </w:rPr>
        <w:t>should</w:t>
      </w:r>
      <w:r w:rsidRPr="00505CF0">
        <w:rPr>
          <w:rFonts w:asciiTheme="majorBidi" w:eastAsia="Times New Roman" w:hAnsiTheme="majorBidi" w:cstheme="majorBidi"/>
          <w:bCs/>
          <w:sz w:val="24"/>
          <w:szCs w:val="24"/>
          <w:lang w:eastAsia="en-US"/>
        </w:rPr>
        <w:t xml:space="preserve"> be changed.</w:t>
      </w:r>
      <w:r w:rsidRPr="00505CF0">
        <w:rPr>
          <w:rFonts w:asciiTheme="majorBidi" w:eastAsia="Times New Roman" w:hAnsiTheme="majorBidi" w:cstheme="majorBidi"/>
          <w:bCs/>
          <w:sz w:val="24"/>
          <w:szCs w:val="24"/>
          <w:vertAlign w:val="superscript"/>
          <w:lang w:eastAsia="en-US"/>
        </w:rPr>
        <w:footnoteReference w:id="146"/>
      </w:r>
      <w:r w:rsidRPr="00505CF0">
        <w:rPr>
          <w:rFonts w:asciiTheme="majorBidi" w:eastAsia="Times New Roman" w:hAnsiTheme="majorBidi" w:cstheme="majorBidi"/>
          <w:bCs/>
          <w:sz w:val="24"/>
          <w:szCs w:val="24"/>
          <w:lang w:eastAsia="en-US"/>
        </w:rPr>
        <w:t xml:space="preserve"> That such a wide range of critics describing the epoch should converge on this particular feature is no surprise, though most attribute the surge in innovation and production to a re-emergence of classical modernism in one guise or another, modernism after all having ‘long been wed to innovation.’</w:t>
      </w:r>
      <w:r w:rsidRPr="00505CF0">
        <w:rPr>
          <w:rFonts w:asciiTheme="majorBidi" w:eastAsia="Times New Roman" w:hAnsiTheme="majorBidi" w:cstheme="majorBidi"/>
          <w:bCs/>
          <w:sz w:val="24"/>
          <w:szCs w:val="24"/>
          <w:vertAlign w:val="superscript"/>
          <w:lang w:eastAsia="en-US"/>
        </w:rPr>
        <w:footnoteReference w:id="147"/>
      </w:r>
      <w:r w:rsidRPr="00505CF0">
        <w:rPr>
          <w:rFonts w:asciiTheme="majorBidi" w:eastAsia="Times New Roman" w:hAnsiTheme="majorBidi" w:cstheme="majorBidi"/>
          <w:bCs/>
          <w:sz w:val="24"/>
          <w:szCs w:val="24"/>
          <w:lang w:eastAsia="en-US"/>
        </w:rPr>
        <w:t xml:space="preserve"> While it is true, and supported by Luke Smythe, that in the wake of postmodernism there ‘has come a widespread interest in […] revisiting the fate of </w:t>
      </w:r>
      <w:r w:rsidRPr="00505CF0">
        <w:rPr>
          <w:rFonts w:asciiTheme="majorBidi" w:eastAsia="Times New Roman" w:hAnsiTheme="majorBidi" w:cstheme="majorBidi"/>
          <w:bCs/>
          <w:sz w:val="24"/>
          <w:szCs w:val="24"/>
          <w:lang w:eastAsia="en-US"/>
        </w:rPr>
        <w:lastRenderedPageBreak/>
        <w:t>modernism,’</w:t>
      </w:r>
      <w:r w:rsidRPr="00505CF0">
        <w:rPr>
          <w:rFonts w:asciiTheme="majorBidi" w:eastAsia="Times New Roman" w:hAnsiTheme="majorBidi" w:cstheme="majorBidi"/>
          <w:bCs/>
          <w:sz w:val="24"/>
          <w:szCs w:val="24"/>
          <w:vertAlign w:val="superscript"/>
          <w:lang w:eastAsia="en-US"/>
        </w:rPr>
        <w:footnoteReference w:id="148"/>
      </w:r>
      <w:r w:rsidRPr="00505CF0">
        <w:rPr>
          <w:rFonts w:asciiTheme="majorBidi" w:eastAsia="Times New Roman" w:hAnsiTheme="majorBidi" w:cstheme="majorBidi"/>
          <w:bCs/>
          <w:sz w:val="24"/>
          <w:szCs w:val="24"/>
          <w:lang w:eastAsia="en-US"/>
        </w:rPr>
        <w:t xml:space="preserve"> the desire for progress in society could be argued to be less about a return to modernist values than a desperate scramble for a better future, where advances and changes made now can stop the world from its inevitable canter towards the dystopia of the collective imagination.</w:t>
      </w:r>
      <w:r w:rsidRPr="00505CF0">
        <w:rPr>
          <w:rStyle w:val="FootnoteReference"/>
          <w:rFonts w:asciiTheme="majorBidi" w:eastAsia="Times New Roman" w:hAnsiTheme="majorBidi" w:cstheme="majorBidi"/>
          <w:bCs/>
          <w:sz w:val="24"/>
          <w:szCs w:val="24"/>
          <w:lang w:eastAsia="en-US"/>
        </w:rPr>
        <w:footnoteReference w:id="149"/>
      </w:r>
      <w:r w:rsidRPr="00505CF0">
        <w:rPr>
          <w:rFonts w:asciiTheme="majorBidi" w:eastAsia="Times New Roman" w:hAnsiTheme="majorBidi" w:cstheme="majorBidi"/>
          <w:bCs/>
          <w:sz w:val="24"/>
          <w:szCs w:val="24"/>
          <w:lang w:eastAsia="en-US"/>
        </w:rPr>
        <w:t xml:space="preserve"> One way in which this desire for change manifests is in the desire for the return of the individual in the face of the failed collec</w:t>
      </w:r>
      <w:r w:rsidR="009C7513">
        <w:rPr>
          <w:rFonts w:asciiTheme="majorBidi" w:eastAsia="Times New Roman" w:hAnsiTheme="majorBidi" w:cstheme="majorBidi"/>
          <w:bCs/>
          <w:sz w:val="24"/>
          <w:szCs w:val="24"/>
          <w:lang w:eastAsia="en-US"/>
        </w:rPr>
        <w:t>tive, as will be analysed next.</w:t>
      </w:r>
    </w:p>
    <w:p w14:paraId="1FCC6798" w14:textId="15F0E46B" w:rsidR="00C111D3" w:rsidRDefault="00C111D3" w:rsidP="004C3EE0">
      <w:pPr>
        <w:jc w:val="both"/>
        <w:rPr>
          <w:rFonts w:asciiTheme="majorBidi" w:hAnsiTheme="majorBidi" w:cstheme="majorBidi"/>
        </w:rPr>
      </w:pPr>
    </w:p>
    <w:p w14:paraId="5577A15B" w14:textId="77777777" w:rsidR="0010203B" w:rsidRDefault="0010203B" w:rsidP="004C3EE0">
      <w:pPr>
        <w:jc w:val="both"/>
        <w:rPr>
          <w:rFonts w:asciiTheme="majorBidi" w:hAnsiTheme="majorBidi" w:cstheme="majorBidi"/>
        </w:rPr>
      </w:pPr>
    </w:p>
    <w:p w14:paraId="149E3F59" w14:textId="77777777" w:rsidR="0010203B" w:rsidRPr="00505CF0" w:rsidRDefault="0010203B" w:rsidP="004C3EE0">
      <w:pPr>
        <w:jc w:val="both"/>
        <w:rPr>
          <w:rFonts w:asciiTheme="majorBidi" w:hAnsiTheme="majorBidi" w:cstheme="majorBidi"/>
        </w:rPr>
      </w:pPr>
    </w:p>
    <w:p w14:paraId="76BC8C28" w14:textId="77777777" w:rsidR="00C111D3" w:rsidRPr="00505CF0" w:rsidRDefault="00C111D3" w:rsidP="004C3EE0">
      <w:pPr>
        <w:keepNext/>
        <w:tabs>
          <w:tab w:val="left" w:pos="720"/>
        </w:tabs>
        <w:spacing w:line="240" w:lineRule="auto"/>
        <w:jc w:val="both"/>
        <w:outlineLvl w:val="2"/>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 xml:space="preserve">2.3 </w:t>
      </w:r>
      <w:r w:rsidRPr="00505CF0">
        <w:rPr>
          <w:rFonts w:asciiTheme="majorBidi" w:eastAsia="Times New Roman" w:hAnsiTheme="majorBidi" w:cstheme="majorBidi"/>
          <w:b/>
          <w:sz w:val="28"/>
          <w:szCs w:val="28"/>
          <w:lang w:eastAsia="en-US"/>
        </w:rPr>
        <w:tab/>
        <w:t>The Odious Machine: Self, Standardization, and Sincerity</w:t>
      </w:r>
    </w:p>
    <w:p w14:paraId="3A59D20B" w14:textId="64B0DB92"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
          <w:sz w:val="28"/>
          <w:szCs w:val="28"/>
          <w:lang w:eastAsia="en-US"/>
        </w:rPr>
      </w:pPr>
    </w:p>
    <w:p w14:paraId="22DBBF0C" w14:textId="669A22A4"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Glancing across the vying Post-postmodern theories reveals a consensus regarding negative reactions to the global ‘victory’ of capitalism, a widely perceived fear of encroaching uniformity enforced by mass media and mass market control. Twenty-first century globalization has become, according to Bauman, a “strictly negative” shadow of itself, defined by adverse capitalist, media, and market forces, and a focus on breaking down barriers between nations purely to allow for “the movement of goods, information, crime, and terrorism,” without the forces necessary to properly enforce control.</w:t>
      </w:r>
      <w:r w:rsidRPr="00505CF0">
        <w:rPr>
          <w:rStyle w:val="FootnoteReference"/>
          <w:rFonts w:asciiTheme="majorBidi" w:eastAsia="Times New Roman" w:hAnsiTheme="majorBidi" w:cstheme="majorBidi"/>
          <w:bCs/>
          <w:sz w:val="24"/>
          <w:szCs w:val="24"/>
          <w:lang w:eastAsia="en-US"/>
        </w:rPr>
        <w:footnoteReference w:id="150"/>
      </w:r>
      <w:r w:rsidRPr="00505CF0">
        <w:rPr>
          <w:rFonts w:asciiTheme="majorBidi" w:eastAsia="Times New Roman" w:hAnsiTheme="majorBidi" w:cstheme="majorBidi"/>
          <w:bCs/>
          <w:sz w:val="24"/>
          <w:szCs w:val="24"/>
          <w:lang w:eastAsia="en-US"/>
        </w:rPr>
        <w:t xml:space="preserve"> Now, more than ever, we are witnessing the global domination of market forces controlling how we engage with the world around us as ‘the ideology of globalised market economics,’ Kirby argues, has been raised to ‘the level of the sole and over-powering regulator of all social activity - monopolistic, all-engulfing, all-explaining, all-structuring.’</w:t>
      </w:r>
      <w:r w:rsidRPr="00505CF0">
        <w:rPr>
          <w:rStyle w:val="FootnoteReference"/>
          <w:rFonts w:asciiTheme="majorBidi" w:eastAsia="Times New Roman" w:hAnsiTheme="majorBidi" w:cstheme="majorBidi"/>
          <w:bCs/>
          <w:sz w:val="24"/>
          <w:szCs w:val="24"/>
          <w:lang w:eastAsia="en-US"/>
        </w:rPr>
        <w:footnoteReference w:id="151"/>
      </w:r>
      <w:r w:rsidRPr="00505CF0">
        <w:rPr>
          <w:rFonts w:asciiTheme="majorBidi" w:eastAsia="Times New Roman" w:hAnsiTheme="majorBidi" w:cstheme="majorBidi"/>
          <w:bCs/>
          <w:sz w:val="24"/>
          <w:szCs w:val="24"/>
          <w:lang w:eastAsia="en-US"/>
        </w:rPr>
        <w:t xml:space="preserve"> Alongside Kirby, Raymond Federman, earlier into post-postmodern shift, identified the control of mass media and marketing forces, describing the ‘banalization’ that these forces impose on contemporary culture, ‘the hypnosis of marketing, the sweet boredom of consensus, the cellophane wrapping of thinking, the commercialization of desire,’ summarizing mass media’s effects on </w:t>
      </w:r>
      <w:r w:rsidRPr="00505CF0">
        <w:rPr>
          <w:rFonts w:asciiTheme="majorBidi" w:eastAsia="Times New Roman" w:hAnsiTheme="majorBidi" w:cstheme="majorBidi"/>
          <w:bCs/>
          <w:sz w:val="24"/>
          <w:szCs w:val="24"/>
          <w:lang w:eastAsia="en-US"/>
        </w:rPr>
        <w:lastRenderedPageBreak/>
        <w:t>culture as a domination of ‘conformity and banality, triviality and obscenity.’</w:t>
      </w:r>
      <w:r w:rsidRPr="00505CF0">
        <w:rPr>
          <w:rStyle w:val="FootnoteReference"/>
          <w:rFonts w:asciiTheme="majorBidi" w:eastAsia="Times New Roman" w:hAnsiTheme="majorBidi" w:cstheme="majorBidi"/>
          <w:bCs/>
          <w:sz w:val="24"/>
          <w:szCs w:val="24"/>
          <w:lang w:eastAsia="en-US"/>
        </w:rPr>
        <w:footnoteReference w:id="152"/>
      </w:r>
      <w:r w:rsidRPr="00505CF0">
        <w:rPr>
          <w:rFonts w:asciiTheme="majorBidi" w:eastAsia="Times New Roman" w:hAnsiTheme="majorBidi" w:cstheme="majorBidi"/>
          <w:bCs/>
          <w:sz w:val="24"/>
          <w:szCs w:val="24"/>
          <w:lang w:eastAsia="en-US"/>
        </w:rPr>
        <w:t xml:space="preserve"> Moraru points out that globalization, while offering the possibility for a grand human unity, could also ‘work as a conduit for indiscriminate, homogenizing mimesis and toward a world culture of selfsameness,’</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153"/>
      </w:r>
      <w:r w:rsidRPr="00505CF0">
        <w:rPr>
          <w:rFonts w:asciiTheme="majorBidi" w:eastAsia="Times New Roman" w:hAnsiTheme="majorBidi" w:cstheme="majorBidi"/>
          <w:bCs/>
          <w:sz w:val="24"/>
          <w:szCs w:val="24"/>
          <w:lang w:eastAsia="en-US"/>
        </w:rPr>
        <w:t xml:space="preserve"> and certainly the fear of standardization makes itself clear in the theoretical analyses of our time. Bourriaud, in an interview with Bartholomew Ryan, claims that the prefix ‘Alter’ in his neologism Altermodernism alludes not only to the end of</w:t>
      </w:r>
      <w:r w:rsidR="00222D06">
        <w:rPr>
          <w:rFonts w:asciiTheme="majorBidi" w:eastAsia="Times New Roman" w:hAnsiTheme="majorBidi" w:cstheme="majorBidi"/>
          <w:bCs/>
          <w:sz w:val="24"/>
          <w:szCs w:val="24"/>
          <w:lang w:eastAsia="en-US"/>
        </w:rPr>
        <w:t xml:space="preserve"> the</w:t>
      </w:r>
      <w:r w:rsidRPr="00505CF0">
        <w:rPr>
          <w:rFonts w:asciiTheme="majorBidi" w:eastAsia="Times New Roman" w:hAnsiTheme="majorBidi" w:cstheme="majorBidi"/>
          <w:bCs/>
          <w:sz w:val="24"/>
          <w:szCs w:val="24"/>
          <w:lang w:eastAsia="en-US"/>
        </w:rPr>
        <w:t xml:space="preserve"> postmodern</w:t>
      </w:r>
      <w:r w:rsidR="00222D06">
        <w:rPr>
          <w:rFonts w:asciiTheme="majorBidi" w:eastAsia="Times New Roman" w:hAnsiTheme="majorBidi" w:cstheme="majorBidi"/>
          <w:bCs/>
          <w:sz w:val="24"/>
          <w:szCs w:val="24"/>
          <w:lang w:eastAsia="en-US"/>
        </w:rPr>
        <w:t xml:space="preserve"> (offering an </w:t>
      </w:r>
      <w:r w:rsidR="00222D06">
        <w:rPr>
          <w:rFonts w:asciiTheme="majorBidi" w:eastAsia="Times New Roman" w:hAnsiTheme="majorBidi" w:cstheme="majorBidi"/>
          <w:bCs/>
          <w:i/>
          <w:sz w:val="24"/>
          <w:szCs w:val="24"/>
          <w:lang w:eastAsia="en-US"/>
        </w:rPr>
        <w:t>alter</w:t>
      </w:r>
      <w:r w:rsidR="00222D06">
        <w:rPr>
          <w:rFonts w:asciiTheme="majorBidi" w:eastAsia="Times New Roman" w:hAnsiTheme="majorBidi" w:cstheme="majorBidi"/>
          <w:bCs/>
          <w:sz w:val="24"/>
          <w:szCs w:val="24"/>
          <w:lang w:eastAsia="en-US"/>
        </w:rPr>
        <w:t>native, perhaps?</w:t>
      </w:r>
      <w:proofErr w:type="gramStart"/>
      <w:r w:rsidR="00222D06">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w:t>
      </w:r>
      <w:proofErr w:type="gramEnd"/>
      <w:r w:rsidRPr="00505CF0">
        <w:rPr>
          <w:rFonts w:asciiTheme="majorBidi" w:eastAsia="Times New Roman" w:hAnsiTheme="majorBidi" w:cstheme="majorBidi"/>
          <w:bCs/>
          <w:sz w:val="24"/>
          <w:szCs w:val="24"/>
          <w:lang w:eastAsia="en-US"/>
        </w:rPr>
        <w:t xml:space="preserve"> but “to the local struggles against standardization,”</w:t>
      </w:r>
      <w:r w:rsidRPr="00505CF0">
        <w:rPr>
          <w:rStyle w:val="FootnoteReference"/>
          <w:rFonts w:asciiTheme="majorBidi" w:eastAsia="Times New Roman" w:hAnsiTheme="majorBidi" w:cstheme="majorBidi"/>
          <w:bCs/>
          <w:sz w:val="24"/>
          <w:szCs w:val="24"/>
          <w:lang w:eastAsia="en-US"/>
        </w:rPr>
        <w:footnoteReference w:id="154"/>
      </w:r>
      <w:r w:rsidRPr="00505CF0">
        <w:rPr>
          <w:rFonts w:asciiTheme="majorBidi" w:eastAsia="Times New Roman" w:hAnsiTheme="majorBidi" w:cstheme="majorBidi"/>
          <w:bCs/>
          <w:sz w:val="24"/>
          <w:szCs w:val="24"/>
          <w:lang w:eastAsia="en-US"/>
        </w:rPr>
        <w:t xml:space="preserve"> expanded upon by Abercrombie, who identifies a reaction in the Altermodern age against the assumption that ‘we will all fall into line if we are all fed the same thing.’</w:t>
      </w:r>
      <w:r w:rsidRPr="00505CF0">
        <w:rPr>
          <w:rStyle w:val="FootnoteReference"/>
          <w:rFonts w:asciiTheme="majorBidi" w:eastAsia="Times New Roman" w:hAnsiTheme="majorBidi" w:cstheme="majorBidi"/>
          <w:bCs/>
          <w:sz w:val="24"/>
          <w:szCs w:val="24"/>
          <w:lang w:eastAsia="en-US"/>
        </w:rPr>
        <w:footnoteReference w:id="155"/>
      </w:r>
      <w:r w:rsidRPr="00505CF0">
        <w:rPr>
          <w:rFonts w:asciiTheme="majorBidi" w:eastAsia="Times New Roman" w:hAnsiTheme="majorBidi" w:cstheme="majorBidi"/>
          <w:bCs/>
          <w:sz w:val="24"/>
          <w:szCs w:val="24"/>
          <w:lang w:eastAsia="en-US"/>
        </w:rPr>
        <w:t xml:space="preserve"> Samuels also notes that current counter-cultural modes of art have become ‘personalized expressions and repressions of capitalistic, mass-mediated alienation,’ further evidencing the current anti-mass-media sentiments within the arts.</w:t>
      </w:r>
      <w:r w:rsidRPr="00505CF0">
        <w:rPr>
          <w:rStyle w:val="FootnoteReference"/>
          <w:rFonts w:asciiTheme="majorBidi" w:eastAsia="Times New Roman" w:hAnsiTheme="majorBidi" w:cstheme="majorBidi"/>
          <w:bCs/>
          <w:sz w:val="24"/>
          <w:szCs w:val="24"/>
          <w:lang w:eastAsia="en-US"/>
        </w:rPr>
        <w:footnoteReference w:id="156"/>
      </w:r>
    </w:p>
    <w:p w14:paraId="633CFB09" w14:textId="3463C211"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Ulrich Beck, in conversation with Johannes Wiilms, speaks to this problem (that ‘</w:t>
      </w:r>
      <w:r w:rsidR="00222D06">
        <w:rPr>
          <w:rFonts w:asciiTheme="majorBidi" w:eastAsia="Times New Roman" w:hAnsiTheme="majorBidi" w:cstheme="majorBidi"/>
          <w:bCs/>
          <w:sz w:val="24"/>
          <w:szCs w:val="24"/>
          <w:lang w:eastAsia="en-US"/>
        </w:rPr>
        <w:t xml:space="preserve">the </w:t>
      </w:r>
      <w:r w:rsidRPr="00505CF0">
        <w:rPr>
          <w:rFonts w:asciiTheme="majorBidi" w:eastAsia="Times New Roman" w:hAnsiTheme="majorBidi" w:cstheme="majorBidi"/>
          <w:bCs/>
          <w:sz w:val="24"/>
          <w:szCs w:val="24"/>
          <w:lang w:eastAsia="en-US"/>
        </w:rPr>
        <w:t>globalization pro</w:t>
      </w:r>
      <w:r w:rsidR="00222D06">
        <w:rPr>
          <w:rFonts w:asciiTheme="majorBidi" w:eastAsia="Times New Roman" w:hAnsiTheme="majorBidi" w:cstheme="majorBidi"/>
          <w:bCs/>
          <w:sz w:val="24"/>
          <w:szCs w:val="24"/>
          <w:lang w:eastAsia="en-US"/>
        </w:rPr>
        <w:t>c</w:t>
      </w:r>
      <w:r w:rsidRPr="00505CF0">
        <w:rPr>
          <w:rFonts w:asciiTheme="majorBidi" w:eastAsia="Times New Roman" w:hAnsiTheme="majorBidi" w:cstheme="majorBidi"/>
          <w:bCs/>
          <w:sz w:val="24"/>
          <w:szCs w:val="24"/>
          <w:lang w:eastAsia="en-US"/>
        </w:rPr>
        <w:t>es</w:t>
      </w:r>
      <w:r w:rsidR="00222D06">
        <w:rPr>
          <w:rFonts w:asciiTheme="majorBidi" w:eastAsia="Times New Roman" w:hAnsiTheme="majorBidi" w:cstheme="majorBidi"/>
          <w:bCs/>
          <w:sz w:val="24"/>
          <w:szCs w:val="24"/>
          <w:lang w:eastAsia="en-US"/>
        </w:rPr>
        <w:t>s</w:t>
      </w:r>
      <w:r w:rsidRPr="00505CF0">
        <w:rPr>
          <w:rFonts w:asciiTheme="majorBidi" w:eastAsia="Times New Roman" w:hAnsiTheme="majorBidi" w:cstheme="majorBidi"/>
          <w:bCs/>
          <w:sz w:val="24"/>
          <w:szCs w:val="24"/>
          <w:lang w:eastAsia="en-US"/>
        </w:rPr>
        <w:t xml:space="preserve"> will affect all local identities,’)</w:t>
      </w:r>
      <w:r w:rsidRPr="00505CF0">
        <w:rPr>
          <w:rStyle w:val="FootnoteReference"/>
          <w:rFonts w:asciiTheme="majorBidi" w:eastAsia="Times New Roman" w:hAnsiTheme="majorBidi" w:cstheme="majorBidi"/>
          <w:bCs/>
          <w:sz w:val="24"/>
          <w:szCs w:val="24"/>
          <w:lang w:eastAsia="en-US"/>
        </w:rPr>
        <w:footnoteReference w:id="157"/>
      </w:r>
      <w:r w:rsidRPr="00505CF0">
        <w:rPr>
          <w:rFonts w:asciiTheme="majorBidi" w:eastAsia="Times New Roman" w:hAnsiTheme="majorBidi" w:cstheme="majorBidi"/>
          <w:bCs/>
          <w:sz w:val="24"/>
          <w:szCs w:val="24"/>
          <w:lang w:eastAsia="en-US"/>
        </w:rPr>
        <w:t xml:space="preserve"> identifying two possible responses – to accept the plurality of culture and develop from within it, creating a local identity that ‘satisfies the desire to reach backward into local traditions without stopping local culture from opening up and letting more of the world in,’</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158"/>
      </w:r>
      <w:r w:rsidRPr="00505CF0">
        <w:rPr>
          <w:rFonts w:asciiTheme="majorBidi" w:eastAsia="Times New Roman" w:hAnsiTheme="majorBidi" w:cstheme="majorBidi"/>
          <w:bCs/>
          <w:sz w:val="24"/>
          <w:szCs w:val="24"/>
          <w:lang w:eastAsia="en-US"/>
        </w:rPr>
        <w:t xml:space="preserve"> or to block oneself off entirely from Bourriaud’s creolisation. To date, it is the latter response that is observable most in contemporary culture. Against the forces of globalization and the standardization of ‘selves’ </w:t>
      </w:r>
      <w:r w:rsidRPr="00505CF0">
        <w:rPr>
          <w:rFonts w:asciiTheme="majorBidi" w:eastAsia="Times New Roman" w:hAnsiTheme="majorBidi" w:cstheme="majorBidi"/>
          <w:bCs/>
          <w:sz w:val="24"/>
          <w:szCs w:val="24"/>
          <w:lang w:eastAsia="en-US"/>
        </w:rPr>
        <w:lastRenderedPageBreak/>
        <w:t>as ‘consumers’ that has come in its wake, in which the only possible collective to belong to is that of the standardized consumer, the current cultural phase sees a violent reaction against conformity in the form of radicalized and ‘rampant’</w:t>
      </w:r>
      <w:r w:rsidRPr="00505CF0">
        <w:rPr>
          <w:rStyle w:val="FootnoteReference"/>
          <w:rFonts w:asciiTheme="majorBidi" w:eastAsia="Times New Roman" w:hAnsiTheme="majorBidi" w:cstheme="majorBidi"/>
          <w:bCs/>
          <w:sz w:val="24"/>
          <w:szCs w:val="24"/>
          <w:lang w:eastAsia="en-US"/>
        </w:rPr>
        <w:footnoteReference w:id="159"/>
      </w:r>
      <w:r w:rsidRPr="00505CF0">
        <w:rPr>
          <w:rFonts w:asciiTheme="majorBidi" w:eastAsia="Times New Roman" w:hAnsiTheme="majorBidi" w:cstheme="majorBidi"/>
          <w:bCs/>
          <w:sz w:val="24"/>
          <w:szCs w:val="24"/>
          <w:lang w:eastAsia="en-US"/>
        </w:rPr>
        <w:t xml:space="preserve"> individualism, resulting in attempts to distinguish and define the self as opposed to the ‘other’ of global society.  Unfortunately, this often emerges as, at best, something approaching a </w:t>
      </w:r>
      <w:r w:rsidRPr="00505CF0">
        <w:rPr>
          <w:rFonts w:asciiTheme="majorBidi" w:eastAsia="Times New Roman" w:hAnsiTheme="majorBidi" w:cstheme="majorBidi"/>
          <w:bCs/>
          <w:i/>
          <w:iCs/>
          <w:sz w:val="24"/>
          <w:szCs w:val="24"/>
          <w:lang w:eastAsia="en-US"/>
        </w:rPr>
        <w:t>sakoku</w:t>
      </w:r>
      <w:r w:rsidRPr="00505CF0">
        <w:rPr>
          <w:rFonts w:asciiTheme="majorBidi" w:eastAsia="Times New Roman" w:hAnsiTheme="majorBidi" w:cstheme="majorBidi"/>
          <w:bCs/>
          <w:sz w:val="24"/>
          <w:szCs w:val="24"/>
          <w:lang w:eastAsia="en-US"/>
        </w:rPr>
        <w:t xml:space="preserve"> of the self and, at worst, categorical bigotry, both of which can be attributed to the fear of the strange, as defined by Torralba:</w:t>
      </w:r>
    </w:p>
    <w:p w14:paraId="357773A5" w14:textId="77777777" w:rsidR="00C111D3" w:rsidRPr="00505CF0" w:rsidRDefault="00C111D3" w:rsidP="004C3EE0">
      <w:pPr>
        <w:keepNext/>
        <w:tabs>
          <w:tab w:val="left" w:pos="720"/>
        </w:tabs>
        <w:spacing w:line="240" w:lineRule="auto"/>
        <w:ind w:left="737" w:right="737"/>
        <w:jc w:val="both"/>
        <w:outlineLvl w:val="2"/>
        <w:rPr>
          <w:rFonts w:asciiTheme="majorBidi" w:eastAsia="Times New Roman" w:hAnsiTheme="majorBidi" w:cstheme="majorBidi"/>
          <w:bCs/>
          <w:sz w:val="24"/>
          <w:szCs w:val="24"/>
          <w:lang w:eastAsia="en-US"/>
        </w:rPr>
      </w:pPr>
      <w:proofErr w:type="gramStart"/>
      <w:r w:rsidRPr="00505CF0">
        <w:rPr>
          <w:rFonts w:asciiTheme="majorBidi" w:eastAsia="Times New Roman" w:hAnsiTheme="majorBidi" w:cstheme="majorBidi"/>
          <w:b/>
          <w:sz w:val="24"/>
          <w:szCs w:val="24"/>
          <w:lang w:eastAsia="en-US"/>
        </w:rPr>
        <w:t>Fear of the Strange.</w:t>
      </w:r>
      <w:proofErr w:type="gramEnd"/>
      <w:r w:rsidRPr="00505CF0">
        <w:rPr>
          <w:rFonts w:asciiTheme="majorBidi" w:eastAsia="Times New Roman" w:hAnsiTheme="majorBidi" w:cstheme="majorBidi"/>
          <w:bCs/>
          <w:sz w:val="24"/>
          <w:szCs w:val="24"/>
          <w:lang w:eastAsia="en-US"/>
        </w:rPr>
        <w:t xml:space="preserve"> Fear is caused by the worrying presence of the strange, ignorance of its intentions and reasons, its customs and its ways of life. In host societies like Europe the fear subsists of losing our own values, of dissolving in a sort of empty multiculturalism. The strange is always a violent presence, because it questions our own ways, because it demands we find a common language and guarantee minimum laws for good social coexistence. At the same time, though, it is also an opportunity to reflect on our own identity, on the collective singularity. Never before has it been so utterly difficult to define ourselves. This fear is not, of course, new in the history of Western civilisation, but in contexts of intense migratory flows like the present one, it once again bursts in and generates attitudes of putting up barriers, of social autism that turns the host society into an impermeable and static body. Phobia of foreigners can easily be turned into hatred of their presence. When this metamorphosis takes place, social cohesion is dismantled and barbarity bursts in.</w:t>
      </w:r>
      <w:r w:rsidRPr="00505CF0">
        <w:rPr>
          <w:rStyle w:val="FootnoteReference"/>
          <w:rFonts w:asciiTheme="majorBidi" w:eastAsia="Times New Roman" w:hAnsiTheme="majorBidi" w:cstheme="majorBidi"/>
          <w:bCs/>
          <w:sz w:val="24"/>
          <w:szCs w:val="24"/>
          <w:lang w:eastAsia="en-US"/>
        </w:rPr>
        <w:footnoteReference w:id="160"/>
      </w:r>
      <w:r w:rsidRPr="00505CF0">
        <w:rPr>
          <w:rFonts w:asciiTheme="majorBidi" w:eastAsia="Times New Roman" w:hAnsiTheme="majorBidi" w:cstheme="majorBidi"/>
          <w:bCs/>
          <w:sz w:val="24"/>
          <w:szCs w:val="24"/>
          <w:lang w:eastAsia="en-US"/>
        </w:rPr>
        <w:t xml:space="preserve"> </w:t>
      </w:r>
    </w:p>
    <w:p w14:paraId="429C3F95" w14:textId="77777777" w:rsidR="00C111D3" w:rsidRPr="00505CF0" w:rsidRDefault="00C111D3" w:rsidP="004C3EE0">
      <w:pPr>
        <w:keepNext/>
        <w:tabs>
          <w:tab w:val="left" w:pos="720"/>
        </w:tabs>
        <w:spacing w:line="240" w:lineRule="auto"/>
        <w:ind w:right="737"/>
        <w:jc w:val="both"/>
        <w:outlineLvl w:val="2"/>
        <w:rPr>
          <w:rFonts w:asciiTheme="majorBidi" w:eastAsia="Times New Roman" w:hAnsiTheme="majorBidi" w:cstheme="majorBidi"/>
          <w:bCs/>
          <w:sz w:val="24"/>
          <w:szCs w:val="24"/>
          <w:lang w:eastAsia="en-US"/>
        </w:rPr>
      </w:pPr>
    </w:p>
    <w:p w14:paraId="7F400B45" w14:textId="7DF7E49D" w:rsidR="00C111D3" w:rsidRPr="00505CF0" w:rsidRDefault="00222D06" w:rsidP="004C3EE0">
      <w:pPr>
        <w:keepNext/>
        <w:tabs>
          <w:tab w:val="left" w:pos="720"/>
        </w:tabs>
        <w:spacing w:line="480" w:lineRule="auto"/>
        <w:jc w:val="both"/>
        <w:outlineLvl w:val="2"/>
        <w:rPr>
          <w:rFonts w:asciiTheme="majorBidi" w:hAnsiTheme="majorBidi" w:cstheme="majorBidi"/>
          <w:sz w:val="24"/>
          <w:szCs w:val="24"/>
        </w:rPr>
      </w:pPr>
      <w:r>
        <w:rPr>
          <w:rFonts w:asciiTheme="majorBidi" w:eastAsia="Times New Roman" w:hAnsiTheme="majorBidi" w:cstheme="majorBidi"/>
          <w:bCs/>
          <w:sz w:val="24"/>
          <w:szCs w:val="24"/>
          <w:lang w:eastAsia="en-US"/>
        </w:rPr>
        <w:t>As a result of t</w:t>
      </w:r>
      <w:r w:rsidR="00C111D3" w:rsidRPr="00505CF0">
        <w:rPr>
          <w:rFonts w:asciiTheme="majorBidi" w:eastAsia="Times New Roman" w:hAnsiTheme="majorBidi" w:cstheme="majorBidi"/>
          <w:bCs/>
          <w:sz w:val="24"/>
          <w:szCs w:val="24"/>
          <w:lang w:eastAsia="en-US"/>
        </w:rPr>
        <w:t xml:space="preserve">he contemporary fear of the strange, of the other coming to dismantle our culture and fill it with an ‘empty multiculturalism,’ the </w:t>
      </w:r>
      <w:r>
        <w:rPr>
          <w:rFonts w:asciiTheme="majorBidi" w:eastAsia="Times New Roman" w:hAnsiTheme="majorBidi" w:cstheme="majorBidi"/>
          <w:bCs/>
          <w:sz w:val="24"/>
          <w:szCs w:val="24"/>
          <w:lang w:eastAsia="en-US"/>
        </w:rPr>
        <w:t xml:space="preserve">contemporary </w:t>
      </w:r>
      <w:r w:rsidR="00C111D3" w:rsidRPr="00505CF0">
        <w:rPr>
          <w:rFonts w:asciiTheme="majorBidi" w:eastAsia="Times New Roman" w:hAnsiTheme="majorBidi" w:cstheme="majorBidi"/>
          <w:bCs/>
          <w:sz w:val="24"/>
          <w:szCs w:val="24"/>
          <w:lang w:eastAsia="en-US"/>
        </w:rPr>
        <w:t xml:space="preserve">individual </w:t>
      </w:r>
      <w:r>
        <w:rPr>
          <w:rFonts w:asciiTheme="majorBidi" w:eastAsia="Times New Roman" w:hAnsiTheme="majorBidi" w:cstheme="majorBidi"/>
          <w:bCs/>
          <w:sz w:val="24"/>
          <w:szCs w:val="24"/>
          <w:lang w:eastAsia="en-US"/>
        </w:rPr>
        <w:t xml:space="preserve">increasingly attempts to </w:t>
      </w:r>
      <w:r w:rsidR="00C111D3" w:rsidRPr="00505CF0">
        <w:rPr>
          <w:rFonts w:asciiTheme="majorBidi" w:eastAsia="Times New Roman" w:hAnsiTheme="majorBidi" w:cstheme="majorBidi"/>
          <w:bCs/>
          <w:sz w:val="24"/>
          <w:szCs w:val="24"/>
          <w:lang w:eastAsia="en-US"/>
        </w:rPr>
        <w:t xml:space="preserve">define, if not protect, any personal sense of identity </w:t>
      </w:r>
      <w:r>
        <w:rPr>
          <w:rFonts w:asciiTheme="majorBidi" w:eastAsia="Times New Roman" w:hAnsiTheme="majorBidi" w:cstheme="majorBidi"/>
          <w:bCs/>
          <w:sz w:val="24"/>
          <w:szCs w:val="24"/>
          <w:lang w:eastAsia="en-US"/>
        </w:rPr>
        <w:t xml:space="preserve">via the erection of </w:t>
      </w:r>
      <w:r w:rsidR="00B92441">
        <w:rPr>
          <w:rFonts w:asciiTheme="majorBidi" w:eastAsia="Times New Roman" w:hAnsiTheme="majorBidi" w:cstheme="majorBidi"/>
          <w:bCs/>
          <w:sz w:val="24"/>
          <w:szCs w:val="24"/>
          <w:lang w:eastAsia="en-US"/>
        </w:rPr>
        <w:t>ideological, or indeed ontological, barriers between the self and any self-threatening presence</w:t>
      </w:r>
      <w:r w:rsidR="00C111D3" w:rsidRPr="00505CF0">
        <w:rPr>
          <w:rFonts w:asciiTheme="majorBidi" w:eastAsia="Times New Roman" w:hAnsiTheme="majorBidi" w:cstheme="majorBidi"/>
          <w:bCs/>
          <w:sz w:val="24"/>
          <w:szCs w:val="24"/>
          <w:lang w:eastAsia="en-US"/>
        </w:rPr>
        <w:t>. Samuels identifies as specific ‘automodern backlash against minority rights,’</w:t>
      </w:r>
      <w:r w:rsidR="00C111D3" w:rsidRPr="00505CF0">
        <w:rPr>
          <w:rStyle w:val="FootnoteReference"/>
          <w:rFonts w:asciiTheme="majorBidi" w:eastAsia="Times New Roman" w:hAnsiTheme="majorBidi" w:cstheme="majorBidi"/>
          <w:bCs/>
          <w:sz w:val="24"/>
          <w:szCs w:val="24"/>
          <w:lang w:eastAsia="en-US"/>
        </w:rPr>
        <w:footnoteReference w:id="161"/>
      </w:r>
      <w:r w:rsidR="00C111D3" w:rsidRPr="00505CF0">
        <w:rPr>
          <w:rFonts w:asciiTheme="majorBidi" w:eastAsia="Times New Roman" w:hAnsiTheme="majorBidi" w:cstheme="majorBidi"/>
          <w:bCs/>
          <w:sz w:val="24"/>
          <w:szCs w:val="24"/>
          <w:lang w:eastAsia="en-US"/>
        </w:rPr>
        <w:t xml:space="preserve"> within contemporary society that attests to the erecting of social barriers, citing a growing sentiment of seeking to ‘deny the need to help to help [minority and ethnically oppressed] </w:t>
      </w:r>
      <w:r w:rsidR="00C111D3" w:rsidRPr="00505CF0">
        <w:rPr>
          <w:rFonts w:asciiTheme="majorBidi" w:eastAsia="Times New Roman" w:hAnsiTheme="majorBidi" w:cstheme="majorBidi"/>
          <w:bCs/>
          <w:sz w:val="24"/>
          <w:szCs w:val="24"/>
          <w:lang w:eastAsia="en-US"/>
        </w:rPr>
        <w:lastRenderedPageBreak/>
        <w:t>social groups.’</w:t>
      </w:r>
      <w:r w:rsidR="00C111D3" w:rsidRPr="00505CF0">
        <w:rPr>
          <w:rStyle w:val="FootnoteReference"/>
          <w:rFonts w:asciiTheme="majorBidi" w:eastAsia="Times New Roman" w:hAnsiTheme="majorBidi" w:cstheme="majorBidi"/>
          <w:bCs/>
          <w:sz w:val="24"/>
          <w:szCs w:val="24"/>
          <w:lang w:eastAsia="en-US"/>
        </w:rPr>
        <w:footnoteReference w:id="162"/>
      </w:r>
      <w:r w:rsidR="00C111D3" w:rsidRPr="00505CF0">
        <w:rPr>
          <w:rFonts w:asciiTheme="majorBidi" w:eastAsia="Times New Roman" w:hAnsiTheme="majorBidi" w:cstheme="majorBidi"/>
          <w:bCs/>
          <w:sz w:val="24"/>
          <w:szCs w:val="24"/>
          <w:lang w:eastAsia="en-US"/>
        </w:rPr>
        <w:t xml:space="preserve"> While this is observable in the growing transparency of far-right, white nationalist sentiments in the U.S, it attests also to the anti-standardization sentiment, specifically the need to radically define oneself, as described in Lipovetsky’s hypermodern sensibility, in which ‘individual pathologies are proliferating, together with the consumption characterstic of </w:t>
      </w:r>
      <w:r w:rsidR="00C111D3" w:rsidRPr="00505CF0">
        <w:rPr>
          <w:rFonts w:asciiTheme="majorBidi" w:eastAsia="Times New Roman" w:hAnsiTheme="majorBidi" w:cstheme="majorBidi"/>
          <w:bCs/>
          <w:i/>
          <w:iCs/>
          <w:sz w:val="24"/>
          <w:szCs w:val="24"/>
          <w:lang w:eastAsia="en-US"/>
        </w:rPr>
        <w:t>anomie</w:t>
      </w:r>
      <w:r w:rsidR="00C111D3" w:rsidRPr="00505CF0">
        <w:rPr>
          <w:rFonts w:asciiTheme="majorBidi" w:eastAsia="Times New Roman" w:hAnsiTheme="majorBidi" w:cstheme="majorBidi"/>
          <w:bCs/>
          <w:sz w:val="24"/>
          <w:szCs w:val="24"/>
          <w:lang w:eastAsia="en-US"/>
        </w:rPr>
        <w:t>, and anarchic behaviour.’</w:t>
      </w:r>
      <w:r w:rsidR="00C111D3" w:rsidRPr="00505CF0">
        <w:rPr>
          <w:rStyle w:val="FootnoteReference"/>
          <w:rFonts w:asciiTheme="majorBidi" w:eastAsia="Times New Roman" w:hAnsiTheme="majorBidi" w:cstheme="majorBidi"/>
          <w:bCs/>
          <w:sz w:val="24"/>
          <w:szCs w:val="24"/>
          <w:lang w:eastAsia="en-US"/>
        </w:rPr>
        <w:footnoteReference w:id="163"/>
      </w:r>
      <w:r w:rsidR="00C111D3" w:rsidRPr="00505CF0">
        <w:rPr>
          <w:rFonts w:asciiTheme="majorBidi" w:eastAsia="Times New Roman" w:hAnsiTheme="majorBidi" w:cstheme="majorBidi"/>
          <w:bCs/>
          <w:sz w:val="24"/>
          <w:szCs w:val="24"/>
          <w:lang w:eastAsia="en-US"/>
        </w:rPr>
        <w:t xml:space="preserve"> The post-postmodern age is defined by anarchic, anti-social individuality, in attempts to define the self as a reaction to the fear of the strange and the other. We seek to define ourselves against the standardization of globalized capitalist forces, leading to anarchic, anti-social statements in which we define our self via violent rejection of cultural others. Eshelman’s recognition of the performatist aspects of contemporary society also pays heed to this, describing a trend in which the individual, in a performatist move, isolates the subjective self behind an impenetrable,  simplified external self for protection in order to ‘preserve it.’</w:t>
      </w:r>
      <w:r w:rsidR="00C111D3" w:rsidRPr="00505CF0">
        <w:rPr>
          <w:rStyle w:val="FootnoteReference"/>
          <w:rFonts w:asciiTheme="majorBidi" w:eastAsia="Times New Roman" w:hAnsiTheme="majorBidi" w:cstheme="majorBidi"/>
          <w:bCs/>
          <w:sz w:val="24"/>
          <w:szCs w:val="24"/>
          <w:lang w:eastAsia="en-US"/>
        </w:rPr>
        <w:footnoteReference w:id="164"/>
      </w:r>
      <w:r w:rsidR="00C111D3" w:rsidRPr="00505CF0">
        <w:rPr>
          <w:rFonts w:asciiTheme="majorBidi" w:eastAsia="Times New Roman" w:hAnsiTheme="majorBidi" w:cstheme="majorBidi"/>
          <w:bCs/>
          <w:sz w:val="24"/>
          <w:szCs w:val="24"/>
          <w:lang w:eastAsia="en-US"/>
        </w:rPr>
        <w:t xml:space="preserve"> The true self, or ‘inner frame’ is kept safe via the opaque, dense, ‘outer frame’ which ‘imposes some sort of unequivocal resolution to the problems raised in the work on the reader or the viewer.’</w:t>
      </w:r>
      <w:r w:rsidR="00C111D3" w:rsidRPr="00505CF0">
        <w:rPr>
          <w:rStyle w:val="FootnoteReference"/>
          <w:rFonts w:asciiTheme="majorBidi" w:eastAsia="Times New Roman" w:hAnsiTheme="majorBidi" w:cstheme="majorBidi"/>
          <w:bCs/>
          <w:sz w:val="24"/>
          <w:szCs w:val="24"/>
          <w:lang w:eastAsia="en-US"/>
        </w:rPr>
        <w:footnoteReference w:id="165"/>
      </w:r>
      <w:r w:rsidR="00C111D3" w:rsidRPr="00505CF0">
        <w:rPr>
          <w:rFonts w:asciiTheme="majorBidi" w:eastAsia="Times New Roman" w:hAnsiTheme="majorBidi" w:cstheme="majorBidi"/>
          <w:bCs/>
          <w:sz w:val="24"/>
          <w:szCs w:val="24"/>
          <w:lang w:eastAsia="en-US"/>
        </w:rPr>
        <w:t xml:space="preserve"> In this way, the self is protected from the effects of external society and the impact of cultural others, who are faced instead with the opaque and contextually solid outer frame. Eshelman thus identifies a rejection of the other in favour of self-preservation, Lipovetsky recognizes a desire to define the self by anarchic means, and Samuels describes the contemporary desire to identify the self via the suppression of multiculturality. Each theory of the post-postmodern environment speaks to a current rejection of a collective, unified identity, arguably as a reaction to the grand capitalist movement in</w:t>
      </w:r>
      <w:r w:rsidR="00C111D3" w:rsidRPr="00505CF0">
        <w:rPr>
          <w:rFonts w:asciiTheme="majorBidi" w:hAnsiTheme="majorBidi" w:cstheme="majorBidi"/>
          <w:sz w:val="24"/>
          <w:szCs w:val="24"/>
        </w:rPr>
        <w:t xml:space="preserve"> which individuals could have been united, but only as standardized individuals united in their singular market desires. Against this, and in the wake of the failed collective, </w:t>
      </w:r>
      <w:r w:rsidR="00C111D3" w:rsidRPr="00505CF0">
        <w:rPr>
          <w:rFonts w:asciiTheme="majorBidi" w:hAnsiTheme="majorBidi" w:cstheme="majorBidi"/>
          <w:sz w:val="24"/>
          <w:szCs w:val="24"/>
        </w:rPr>
        <w:lastRenderedPageBreak/>
        <w:t xml:space="preserve">the post-postmodern age sees an expansion in individualistic expressions of self and, subsequently, an emergent return to ideas of sincerity. </w:t>
      </w:r>
    </w:p>
    <w:p w14:paraId="56FD5598" w14:textId="77777777" w:rsidR="00C111D3" w:rsidRPr="00505CF0" w:rsidRDefault="00C111D3" w:rsidP="004C3EE0">
      <w:pPr>
        <w:keepNext/>
        <w:tabs>
          <w:tab w:val="left" w:pos="720"/>
        </w:tabs>
        <w:spacing w:line="480" w:lineRule="auto"/>
        <w:ind w:right="737"/>
        <w:jc w:val="both"/>
        <w:outlineLvl w:val="2"/>
        <w:rPr>
          <w:rFonts w:asciiTheme="majorBidi" w:hAnsiTheme="majorBidi" w:cstheme="majorBidi"/>
          <w:sz w:val="24"/>
          <w:szCs w:val="24"/>
        </w:rPr>
      </w:pPr>
      <w:r w:rsidRPr="00505CF0">
        <w:rPr>
          <w:rFonts w:asciiTheme="majorBidi" w:hAnsiTheme="majorBidi" w:cstheme="majorBidi"/>
          <w:sz w:val="24"/>
          <w:szCs w:val="24"/>
        </w:rPr>
        <w:tab/>
        <w:t>These expressions of sincerity have, as Jason Morris lists, found expression in several art forms:</w:t>
      </w:r>
    </w:p>
    <w:p w14:paraId="4FC9880D" w14:textId="77777777" w:rsidR="00C111D3" w:rsidRPr="00505CF0" w:rsidRDefault="00C111D3" w:rsidP="004C3EE0">
      <w:pPr>
        <w:tabs>
          <w:tab w:val="left" w:pos="720"/>
          <w:tab w:val="left" w:pos="1647"/>
        </w:tabs>
        <w:spacing w:line="240" w:lineRule="auto"/>
        <w:ind w:left="720" w:right="720"/>
        <w:jc w:val="both"/>
        <w:rPr>
          <w:rFonts w:asciiTheme="majorBidi" w:hAnsiTheme="majorBidi" w:cstheme="majorBidi"/>
          <w:sz w:val="24"/>
          <w:szCs w:val="24"/>
        </w:rPr>
      </w:pPr>
    </w:p>
    <w:p w14:paraId="017540C7" w14:textId="77777777" w:rsidR="00C111D3" w:rsidRPr="00505CF0" w:rsidRDefault="00C111D3" w:rsidP="004C3EE0">
      <w:pPr>
        <w:tabs>
          <w:tab w:val="left" w:pos="720"/>
          <w:tab w:val="left" w:pos="1647"/>
        </w:tabs>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 xml:space="preserve">In poetry, Andrew Mister, Joseph Massey, and Anthony Robinson have written manifestos. Drawing is the new old thing in visual art; in their use of the long take, among other stylistic devices, Wes Anderson and a few other young filmmakers (maybe quoting Dogme, Expressionism or Neo-Realism), nod toward the medium’s first promise — to be an “honest” representation of reality. In pop music, folk is making </w:t>
      </w:r>
      <w:proofErr w:type="gramStart"/>
      <w:r w:rsidRPr="00505CF0">
        <w:rPr>
          <w:rFonts w:asciiTheme="majorBidi" w:hAnsiTheme="majorBidi" w:cstheme="majorBidi"/>
          <w:sz w:val="24"/>
          <w:szCs w:val="24"/>
        </w:rPr>
        <w:t>a resurgence</w:t>
      </w:r>
      <w:proofErr w:type="gramEnd"/>
      <w:r w:rsidRPr="00505CF0">
        <w:rPr>
          <w:rFonts w:asciiTheme="majorBidi" w:hAnsiTheme="majorBidi" w:cstheme="majorBidi"/>
          <w:sz w:val="24"/>
          <w:szCs w:val="24"/>
        </w:rPr>
        <w:t xml:space="preserve">. Performers like Will Oldham, Cat Power, Devendra Banhart and Joanna Newsom play with a kind of lo-fi, scaled-back immediacy which has been widely welcomed by audiences and critics alike. The Believer (whose name itself denotes a wide-eyed credulity) is among America’s best and most widely circulated literary magazines; its credo in large part defines it as against the ironic, the cynical, etc. (The Doubter?). </w:t>
      </w:r>
      <w:r w:rsidRPr="00505CF0">
        <w:rPr>
          <w:rFonts w:asciiTheme="majorBidi" w:hAnsiTheme="majorBidi" w:cstheme="majorBidi"/>
          <w:sz w:val="24"/>
          <w:szCs w:val="24"/>
          <w:vertAlign w:val="superscript"/>
        </w:rPr>
        <w:footnoteReference w:id="166"/>
      </w:r>
    </w:p>
    <w:p w14:paraId="0A42D4E8" w14:textId="77777777" w:rsidR="00C111D3" w:rsidRPr="00505CF0" w:rsidRDefault="00C111D3" w:rsidP="004C3EE0">
      <w:pPr>
        <w:tabs>
          <w:tab w:val="left" w:pos="720"/>
          <w:tab w:val="left" w:pos="1647"/>
        </w:tabs>
        <w:spacing w:line="480" w:lineRule="auto"/>
        <w:jc w:val="both"/>
        <w:rPr>
          <w:rFonts w:asciiTheme="majorBidi" w:hAnsiTheme="majorBidi" w:cstheme="majorBidi"/>
          <w:sz w:val="24"/>
          <w:szCs w:val="24"/>
        </w:rPr>
      </w:pPr>
    </w:p>
    <w:p w14:paraId="40EE8E1E" w14:textId="28D58ED5" w:rsidR="00C111D3" w:rsidRPr="00505CF0" w:rsidRDefault="00C111D3" w:rsidP="004C3EE0">
      <w:pPr>
        <w:tabs>
          <w:tab w:val="left" w:pos="720"/>
          <w:tab w:val="left" w:pos="1647"/>
        </w:tabs>
        <w:spacing w:line="480" w:lineRule="auto"/>
        <w:mirrorIndents/>
        <w:jc w:val="both"/>
        <w:rPr>
          <w:rFonts w:asciiTheme="majorBidi" w:hAnsiTheme="majorBidi" w:cstheme="majorBidi"/>
          <w:sz w:val="24"/>
          <w:szCs w:val="24"/>
        </w:rPr>
      </w:pPr>
      <w:r w:rsidRPr="00505CF0">
        <w:rPr>
          <w:rFonts w:asciiTheme="majorBidi" w:hAnsiTheme="majorBidi" w:cstheme="majorBidi"/>
          <w:sz w:val="24"/>
          <w:szCs w:val="24"/>
        </w:rPr>
        <w:t>Indeed, Vermeulen makes a claim that sincerity is one of the sensibilities emerging from within the postmodern that no finger fits its framework and shows a movement away from it, along with ‘hope’ and ‘the inexplicable.’</w:t>
      </w:r>
      <w:r w:rsidRPr="00505CF0">
        <w:rPr>
          <w:rFonts w:asciiTheme="majorBidi" w:hAnsiTheme="majorBidi" w:cstheme="majorBidi"/>
          <w:sz w:val="24"/>
          <w:szCs w:val="24"/>
          <w:vertAlign w:val="superscript"/>
        </w:rPr>
        <w:footnoteReference w:id="167"/>
      </w:r>
      <w:r w:rsidRPr="00505CF0">
        <w:rPr>
          <w:rFonts w:asciiTheme="majorBidi" w:hAnsiTheme="majorBidi" w:cstheme="majorBidi"/>
          <w:sz w:val="24"/>
          <w:szCs w:val="24"/>
        </w:rPr>
        <w:t xml:space="preserve"> A “New Sincerity” has formed in the wake of the postmodern and in response to the years of cynicism and deconstructive </w:t>
      </w:r>
      <w:proofErr w:type="gramStart"/>
      <w:r w:rsidRPr="00505CF0">
        <w:rPr>
          <w:rFonts w:asciiTheme="majorBidi" w:hAnsiTheme="majorBidi" w:cstheme="majorBidi"/>
          <w:sz w:val="24"/>
          <w:szCs w:val="24"/>
        </w:rPr>
        <w:t>irony,</w:t>
      </w:r>
      <w:proofErr w:type="gramEnd"/>
      <w:r w:rsidRPr="00505CF0">
        <w:rPr>
          <w:rFonts w:asciiTheme="majorBidi" w:hAnsiTheme="majorBidi" w:cstheme="majorBidi"/>
          <w:sz w:val="24"/>
          <w:szCs w:val="24"/>
        </w:rPr>
        <w:t xml:space="preserve"> though initial conceptions of this new feature of contemporary artistic production suggested that the break was not clean. In ‘A Manifesto for New Sincerity,’ Jesse Thorn, widely credited with beginning the New Sincerity movement, describes it not in terms of opposition to irony, but rather as irony and sincerity ‘combined like Voltron, to form a new movement of astonishing power,’ or an absence of both entirely where ‘less is (obviously) more.’</w:t>
      </w:r>
      <w:r w:rsidRPr="00505CF0">
        <w:rPr>
          <w:rFonts w:asciiTheme="majorBidi" w:hAnsiTheme="majorBidi" w:cstheme="majorBidi"/>
          <w:sz w:val="24"/>
          <w:szCs w:val="24"/>
          <w:vertAlign w:val="superscript"/>
        </w:rPr>
        <w:footnoteReference w:id="168"/>
      </w:r>
      <w:r w:rsidRPr="00505CF0">
        <w:rPr>
          <w:rFonts w:asciiTheme="majorBidi" w:hAnsiTheme="majorBidi" w:cstheme="majorBidi"/>
          <w:sz w:val="24"/>
          <w:szCs w:val="24"/>
        </w:rPr>
        <w:t xml:space="preserve"> Thorn’s new sincerity advocates the subversion of traditional irony, here, through either an oscillating </w:t>
      </w:r>
      <w:r w:rsidRPr="00505CF0">
        <w:rPr>
          <w:rFonts w:asciiTheme="majorBidi" w:hAnsiTheme="majorBidi" w:cstheme="majorBidi"/>
          <w:sz w:val="24"/>
          <w:szCs w:val="24"/>
        </w:rPr>
        <w:lastRenderedPageBreak/>
        <w:t>movement in which irony is tempered with authenticity, or rather sincere intent, or else abandoned entirely rather than remain in any capacity. ‘All across the pop culture spectrum,’ writes Jonathan D. Fitzgerald, ‘the emphasis on sincerity and authenticity that has arisen has made it un-ironically cool to care about spirituality, family, neighbours, the environment, and the country.’</w:t>
      </w:r>
      <w:r w:rsidRPr="00505CF0">
        <w:rPr>
          <w:rFonts w:asciiTheme="majorBidi" w:hAnsiTheme="majorBidi" w:cstheme="majorBidi"/>
          <w:sz w:val="24"/>
          <w:szCs w:val="24"/>
          <w:vertAlign w:val="superscript"/>
        </w:rPr>
        <w:footnoteReference w:id="169"/>
      </w:r>
      <w:r w:rsidRPr="00505CF0">
        <w:rPr>
          <w:rFonts w:asciiTheme="majorBidi" w:hAnsiTheme="majorBidi" w:cstheme="majorBidi"/>
          <w:sz w:val="24"/>
          <w:szCs w:val="24"/>
        </w:rPr>
        <w:t xml:space="preserve"> Sincerity, claims the title of Fitzgerald’s article, has become the ethos of the age and he continues in citing, once more, the events of September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as the catalyst for the shift away from postmodern irony and towards a contemporary sincerity, from the burlesque to the vulnerable.</w:t>
      </w:r>
      <w:r w:rsidRPr="00505CF0">
        <w:rPr>
          <w:rFonts w:asciiTheme="majorBidi" w:hAnsiTheme="majorBidi" w:cstheme="majorBidi"/>
          <w:sz w:val="24"/>
          <w:szCs w:val="24"/>
          <w:vertAlign w:val="superscript"/>
        </w:rPr>
        <w:footnoteReference w:id="170"/>
      </w:r>
      <w:r w:rsidRPr="00505CF0">
        <w:rPr>
          <w:rFonts w:asciiTheme="majorBidi" w:hAnsiTheme="majorBidi" w:cstheme="majorBidi"/>
          <w:sz w:val="24"/>
          <w:szCs w:val="24"/>
        </w:rPr>
        <w:t xml:space="preserve"> Sincerity, then, arrived in our culture as the shock of September the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ended the postmodern age and, as quoted earlier, a detached, ironic stance no longer seemed appropriate in the wake of the trauma. Kirby describes how, after 9/11, the advent of new sincerity was tied to the American attempts to reinforce and restore a sense of reassurance, given that ‘sincerity has traditionally been identified as a typically American trait [and] to have more of it is to reinforce Americanness.’</w:t>
      </w:r>
      <w:r w:rsidRPr="00505CF0">
        <w:rPr>
          <w:rFonts w:asciiTheme="majorBidi" w:hAnsiTheme="majorBidi" w:cstheme="majorBidi"/>
          <w:sz w:val="24"/>
          <w:szCs w:val="24"/>
          <w:vertAlign w:val="superscript"/>
        </w:rPr>
        <w:footnoteReference w:id="171"/>
      </w:r>
      <w:r w:rsidRPr="00505CF0">
        <w:rPr>
          <w:rFonts w:asciiTheme="majorBidi" w:hAnsiTheme="majorBidi" w:cstheme="majorBidi"/>
          <w:sz w:val="24"/>
          <w:szCs w:val="24"/>
        </w:rPr>
        <w:t xml:space="preserve"> He describes a cultural ‘earnestness’ that has gained significant grip on western societal identity in recent years until it is no longer ‘called for or promoted,’ but rather has become embedded in contemporary life ‘right at the heart of our culture.’</w:t>
      </w:r>
      <w:r w:rsidRPr="00505CF0">
        <w:rPr>
          <w:rFonts w:asciiTheme="majorBidi" w:hAnsiTheme="majorBidi" w:cstheme="majorBidi"/>
          <w:sz w:val="24"/>
          <w:szCs w:val="24"/>
          <w:vertAlign w:val="superscript"/>
        </w:rPr>
        <w:footnoteReference w:id="172"/>
      </w:r>
      <w:r w:rsidRPr="00505CF0">
        <w:rPr>
          <w:rFonts w:asciiTheme="majorBidi" w:hAnsiTheme="majorBidi" w:cstheme="majorBidi"/>
          <w:sz w:val="24"/>
          <w:szCs w:val="24"/>
        </w:rPr>
        <w:t xml:space="preserve"> While sincerity has been shown to be used in a wide range of senses and contexts here, it should be noted that the contemporary sense of sincerity is often synonyms not with anti-irony, as Thorn states, but rather with </w:t>
      </w:r>
      <w:proofErr w:type="gramStart"/>
      <w:r w:rsidRPr="00505CF0">
        <w:rPr>
          <w:rFonts w:asciiTheme="majorBidi" w:hAnsiTheme="majorBidi" w:cstheme="majorBidi"/>
          <w:sz w:val="24"/>
          <w:szCs w:val="24"/>
        </w:rPr>
        <w:t>an honesty</w:t>
      </w:r>
      <w:proofErr w:type="gramEnd"/>
      <w:r w:rsidRPr="00505CF0">
        <w:rPr>
          <w:rFonts w:asciiTheme="majorBidi" w:hAnsiTheme="majorBidi" w:cstheme="majorBidi"/>
          <w:sz w:val="24"/>
          <w:szCs w:val="24"/>
        </w:rPr>
        <w:t>, emotionally or factually, and a desire for authenticity that manifests as earnestness.</w:t>
      </w:r>
      <w:r w:rsidR="00391287">
        <w:rPr>
          <w:rStyle w:val="FootnoteReference"/>
          <w:rFonts w:asciiTheme="majorBidi" w:hAnsiTheme="majorBidi" w:cstheme="majorBidi"/>
          <w:sz w:val="24"/>
          <w:szCs w:val="24"/>
        </w:rPr>
        <w:footnoteReference w:id="173"/>
      </w:r>
      <w:r w:rsidRPr="00505CF0">
        <w:rPr>
          <w:rFonts w:asciiTheme="majorBidi" w:hAnsiTheme="majorBidi" w:cstheme="majorBidi"/>
          <w:sz w:val="24"/>
          <w:szCs w:val="24"/>
        </w:rPr>
        <w:t xml:space="preserve"> This cultural earnestness not only stems from the shift toward apocalyptic scenarios,</w:t>
      </w:r>
      <w:r w:rsidRPr="00505CF0">
        <w:rPr>
          <w:rFonts w:asciiTheme="majorBidi" w:hAnsiTheme="majorBidi" w:cstheme="majorBidi"/>
          <w:sz w:val="24"/>
          <w:szCs w:val="24"/>
          <w:vertAlign w:val="superscript"/>
        </w:rPr>
        <w:footnoteReference w:id="174"/>
      </w:r>
      <w:r w:rsidRPr="00505CF0">
        <w:rPr>
          <w:rFonts w:asciiTheme="majorBidi" w:hAnsiTheme="majorBidi" w:cstheme="majorBidi"/>
          <w:sz w:val="24"/>
          <w:szCs w:val="24"/>
        </w:rPr>
        <w:t xml:space="preserve"> the dystopian resignation of society, but also speaks to </w:t>
      </w:r>
      <w:proofErr w:type="gramStart"/>
      <w:r w:rsidRPr="00505CF0">
        <w:rPr>
          <w:rFonts w:asciiTheme="majorBidi" w:hAnsiTheme="majorBidi" w:cstheme="majorBidi"/>
          <w:sz w:val="24"/>
          <w:szCs w:val="24"/>
        </w:rPr>
        <w:t>an anti</w:t>
      </w:r>
      <w:proofErr w:type="gramEnd"/>
      <w:r w:rsidRPr="00505CF0">
        <w:rPr>
          <w:rFonts w:asciiTheme="majorBidi" w:hAnsiTheme="majorBidi" w:cstheme="majorBidi"/>
          <w:sz w:val="24"/>
          <w:szCs w:val="24"/>
        </w:rPr>
        <w:t xml:space="preserve">- establishmentarianism within society, as ‘earnestness is a </w:t>
      </w:r>
      <w:r w:rsidRPr="00505CF0">
        <w:rPr>
          <w:rFonts w:asciiTheme="majorBidi" w:hAnsiTheme="majorBidi" w:cstheme="majorBidi"/>
          <w:sz w:val="24"/>
          <w:szCs w:val="24"/>
        </w:rPr>
        <w:lastRenderedPageBreak/>
        <w:t>depoliticized, indeed desocialized quality.’</w:t>
      </w:r>
      <w:r w:rsidRPr="00505CF0">
        <w:rPr>
          <w:rFonts w:asciiTheme="majorBidi" w:hAnsiTheme="majorBidi" w:cstheme="majorBidi"/>
          <w:sz w:val="24"/>
          <w:szCs w:val="24"/>
          <w:vertAlign w:val="superscript"/>
        </w:rPr>
        <w:footnoteReference w:id="175"/>
      </w:r>
      <w:r w:rsidRPr="00505CF0">
        <w:rPr>
          <w:rFonts w:asciiTheme="majorBidi" w:hAnsiTheme="majorBidi" w:cstheme="majorBidi"/>
          <w:sz w:val="24"/>
          <w:szCs w:val="24"/>
        </w:rPr>
        <w:t xml:space="preserve"> While the new sincerity may seem a wholly positive movement, it is part and parcel with both the current dystopian acceptance and anti-government sentiments, revealing a societal desire to earnestly progress away from ironic detachment and dystopian foreshadowings. As Turner attests:</w:t>
      </w:r>
    </w:p>
    <w:p w14:paraId="1ACEDEF8" w14:textId="77777777" w:rsidR="00C111D3" w:rsidRPr="00505CF0" w:rsidRDefault="00C111D3" w:rsidP="004C3EE0">
      <w:pPr>
        <w:tabs>
          <w:tab w:val="left" w:pos="720"/>
          <w:tab w:val="left" w:pos="1647"/>
        </w:tabs>
        <w:spacing w:line="240" w:lineRule="auto"/>
        <w:ind w:left="720" w:right="720"/>
        <w:jc w:val="both"/>
        <w:rPr>
          <w:rFonts w:asciiTheme="majorBidi" w:hAnsiTheme="majorBidi" w:cstheme="majorBidi"/>
          <w:sz w:val="24"/>
          <w:szCs w:val="24"/>
        </w:rPr>
      </w:pPr>
    </w:p>
    <w:p w14:paraId="0D4C8599" w14:textId="77777777" w:rsidR="00C111D3" w:rsidRPr="00505CF0" w:rsidRDefault="00C111D3" w:rsidP="004C3EE0">
      <w:pPr>
        <w:tabs>
          <w:tab w:val="left" w:pos="720"/>
          <w:tab w:val="left" w:pos="1647"/>
        </w:tabs>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 xml:space="preserve">Ours is a generation raised the ‘80s and ‘90s on a diet of </w:t>
      </w:r>
      <w:r w:rsidRPr="00505CF0">
        <w:rPr>
          <w:rFonts w:asciiTheme="majorBidi" w:hAnsiTheme="majorBidi" w:cstheme="majorBidi"/>
          <w:i/>
          <w:iCs/>
          <w:sz w:val="24"/>
          <w:szCs w:val="24"/>
        </w:rPr>
        <w:t>The Simpsons</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South Park</w:t>
      </w:r>
      <w:r w:rsidRPr="00505CF0">
        <w:rPr>
          <w:rFonts w:asciiTheme="majorBidi" w:hAnsiTheme="majorBidi" w:cstheme="majorBidi"/>
          <w:sz w:val="24"/>
          <w:szCs w:val="24"/>
        </w:rPr>
        <w:t xml:space="preserve">, for whom […] irony and cynicism [are] a default setting, something ingrained in us. However, despite, or rather </w:t>
      </w:r>
      <w:r w:rsidRPr="00505CF0">
        <w:rPr>
          <w:rFonts w:asciiTheme="majorBidi" w:hAnsiTheme="majorBidi" w:cstheme="majorBidi"/>
          <w:i/>
          <w:iCs/>
          <w:sz w:val="24"/>
          <w:szCs w:val="24"/>
        </w:rPr>
        <w:t>because</w:t>
      </w:r>
      <w:r w:rsidRPr="00505CF0">
        <w:rPr>
          <w:rFonts w:asciiTheme="majorBidi" w:hAnsiTheme="majorBidi" w:cstheme="majorBidi"/>
          <w:sz w:val="24"/>
          <w:szCs w:val="24"/>
        </w:rPr>
        <w:t xml:space="preserve"> of this, a yearning for meaning- for sincere and constructive progression and expression- has come to shape today’s dominant cultural mode.</w:t>
      </w:r>
      <w:r w:rsidRPr="00505CF0">
        <w:rPr>
          <w:rFonts w:asciiTheme="majorBidi" w:hAnsiTheme="majorBidi" w:cstheme="majorBidi"/>
          <w:sz w:val="24"/>
          <w:szCs w:val="24"/>
          <w:vertAlign w:val="superscript"/>
        </w:rPr>
        <w:footnoteReference w:id="176"/>
      </w:r>
    </w:p>
    <w:p w14:paraId="4BADE638" w14:textId="77777777" w:rsidR="00C111D3" w:rsidRPr="00505CF0" w:rsidRDefault="00C111D3" w:rsidP="004C3EE0">
      <w:pPr>
        <w:tabs>
          <w:tab w:val="left" w:pos="720"/>
          <w:tab w:val="left" w:pos="1647"/>
        </w:tabs>
        <w:spacing w:line="480" w:lineRule="auto"/>
        <w:jc w:val="both"/>
        <w:rPr>
          <w:rFonts w:asciiTheme="majorBidi" w:hAnsiTheme="majorBidi" w:cstheme="majorBidi"/>
          <w:sz w:val="24"/>
          <w:szCs w:val="24"/>
        </w:rPr>
      </w:pPr>
    </w:p>
    <w:p w14:paraId="6965CF8D" w14:textId="77777777" w:rsidR="00C111D3" w:rsidRPr="00505CF0" w:rsidRDefault="00C111D3" w:rsidP="004C3EE0">
      <w:pPr>
        <w:tabs>
          <w:tab w:val="left" w:pos="720"/>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Now is the generation, then, of the search for sincere post-ironic forms: Artists of all types, as Morris attested, are no longer creating pieces purely with the purpose of exposing the processes of their own construction for mere ironic affect or cynical amusement. Instead, artists are creating works which attempt to navigate from the heavy irony of the postmodern, to reach Fitzgerald’s authenticity, vulnerability, Kirby’s earnestness, Turner’s constructive progression – the New Sincerity. In literature, this desire is evidenced most clearly by the surge in production, and positive reception, of auto-fiction.</w:t>
      </w:r>
    </w:p>
    <w:p w14:paraId="01D852EE" w14:textId="2A0A4CDA" w:rsidR="00C111D3" w:rsidRPr="00505CF0" w:rsidRDefault="00C111D3" w:rsidP="004C3EE0">
      <w:pPr>
        <w:tabs>
          <w:tab w:val="left" w:pos="720"/>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Defined by Jonathan Sturgeon as a new class of memoiristic, autobiographical novel, autofiction jettisons the logic of deconstruction and parody in order to, instead, become ‘more like Kenneth Burke’s definition of literature as “equipment for living.”’</w:t>
      </w:r>
      <w:r w:rsidRPr="00505CF0">
        <w:rPr>
          <w:rFonts w:asciiTheme="majorBidi" w:hAnsiTheme="majorBidi" w:cstheme="majorBidi"/>
          <w:sz w:val="24"/>
          <w:szCs w:val="24"/>
          <w:vertAlign w:val="superscript"/>
        </w:rPr>
        <w:footnoteReference w:id="177"/>
      </w:r>
      <w:r w:rsidRPr="00505CF0">
        <w:rPr>
          <w:rFonts w:asciiTheme="majorBidi" w:hAnsiTheme="majorBidi" w:cstheme="majorBidi"/>
          <w:sz w:val="24"/>
          <w:szCs w:val="24"/>
        </w:rPr>
        <w:t xml:space="preserve"> Autofictional novels are those in which the author’s own experiences are self-consciously fictionalised and written as plot and narrative for the text. Often this takes the form a singular defining or otherwise tumultuous moment for the author, rather than an autobiographical accounting of an entire life. Sturgeon suggests that autofiction fosters the belief that fiction is no longer false, lies, or “make believe”, but instead works as an example built from a fictional account </w:t>
      </w:r>
      <w:r w:rsidRPr="00505CF0">
        <w:rPr>
          <w:rFonts w:asciiTheme="majorBidi" w:hAnsiTheme="majorBidi" w:cstheme="majorBidi"/>
          <w:sz w:val="24"/>
          <w:szCs w:val="24"/>
        </w:rPr>
        <w:lastRenderedPageBreak/>
        <w:t xml:space="preserve">of authorial truth, from which to draw implicit didactic lessons. Gibbons, too, attests to the boom of sincerity in contemporary examples of the genre, </w:t>
      </w:r>
      <w:proofErr w:type="gramStart"/>
      <w:r w:rsidRPr="00505CF0">
        <w:rPr>
          <w:rFonts w:asciiTheme="majorBidi" w:hAnsiTheme="majorBidi" w:cstheme="majorBidi"/>
          <w:sz w:val="24"/>
          <w:szCs w:val="24"/>
        </w:rPr>
        <w:t>describing  autofiction</w:t>
      </w:r>
      <w:proofErr w:type="gramEnd"/>
      <w:r w:rsidRPr="00505CF0">
        <w:rPr>
          <w:rFonts w:asciiTheme="majorBidi" w:hAnsiTheme="majorBidi" w:cstheme="majorBidi"/>
          <w:sz w:val="24"/>
          <w:szCs w:val="24"/>
        </w:rPr>
        <w:t xml:space="preserve"> as ‘a genre that integrates the autobiographical into fiction […] not as a game, but in order to enhance the realism of a text and tackle the sociological and phenomenological dimensions of personal life.’</w:t>
      </w:r>
      <w:r w:rsidRPr="00505CF0">
        <w:rPr>
          <w:rFonts w:asciiTheme="majorBidi" w:hAnsiTheme="majorBidi" w:cstheme="majorBidi"/>
          <w:sz w:val="24"/>
          <w:szCs w:val="24"/>
          <w:vertAlign w:val="superscript"/>
        </w:rPr>
        <w:footnoteReference w:id="178"/>
      </w:r>
      <w:r w:rsidRPr="00505CF0">
        <w:rPr>
          <w:rFonts w:asciiTheme="majorBidi" w:hAnsiTheme="majorBidi" w:cstheme="majorBidi"/>
          <w:sz w:val="24"/>
          <w:szCs w:val="24"/>
        </w:rPr>
        <w:t xml:space="preserve">   As opposed to postmodern autofiction, which used authorial inclusion to foreground the artifice of the text, post-postmodern autofiction features the author in order to ‘signal realism.’ One example of such a text is Sophie Calle’s </w:t>
      </w:r>
      <w:r w:rsidRPr="00505CF0">
        <w:rPr>
          <w:rFonts w:asciiTheme="majorBidi" w:hAnsiTheme="majorBidi" w:cstheme="majorBidi"/>
          <w:i/>
          <w:iCs/>
          <w:sz w:val="24"/>
          <w:szCs w:val="24"/>
        </w:rPr>
        <w:t>Take Care of Yourself</w:t>
      </w:r>
      <w:r w:rsidRPr="00505CF0">
        <w:rPr>
          <w:rFonts w:asciiTheme="majorBidi" w:hAnsiTheme="majorBidi" w:cstheme="majorBidi"/>
          <w:sz w:val="24"/>
          <w:szCs w:val="24"/>
        </w:rPr>
        <w:t xml:space="preserve">, in which Calle, after receiving a break-up email ending her relationship with an unnamed artist, forwards the email to one hundred and seven other women, collating their interpretations and reactions and presenting them as the novel. Experimental in form, this example of autofiction originally presents as a late entry into the expansive canon of postmodern metafiction, but also displays a sincerity throughout, an emotional vulnerability and connection as each of the participants provide something beyond deconstruction of the email itself, aiming to emotionally support Calle that moves the text beyond the postmodern. While the title signals irony and self-consciousness typical of the postmodern, Monica Sabolo’s </w:t>
      </w:r>
      <w:r w:rsidRPr="00505CF0">
        <w:rPr>
          <w:rFonts w:asciiTheme="majorBidi" w:hAnsiTheme="majorBidi" w:cstheme="majorBidi"/>
          <w:i/>
          <w:iCs/>
          <w:sz w:val="24"/>
          <w:szCs w:val="24"/>
        </w:rPr>
        <w:t>All This Has Nothing To Do With Me</w:t>
      </w:r>
      <w:r w:rsidRPr="00505CF0">
        <w:rPr>
          <w:rFonts w:asciiTheme="majorBidi" w:hAnsiTheme="majorBidi" w:cstheme="majorBidi"/>
          <w:sz w:val="24"/>
          <w:szCs w:val="24"/>
        </w:rPr>
        <w:t xml:space="preserve"> breaks away from such postmodern concerns in dealing with the similar topic: the end of a relationship and the fictionalising of that process, in an attempt to further resonate emotionally with the audience through sincerity of authorial intention. The novel details a period in the life of MS, name later revealed to be Monica S, focussing on her entire relationship from start to finish with a man simply known as XX. Here, Sabolo offers up the strange-seeming end of a relationship for analysis- but one which, again, wishes for a genuine emotional response, which is aiming to help people in a similar situation to achieve a form of closure that the author also strives for.  Further, Dave Eggers’ </w:t>
      </w:r>
      <w:r w:rsidRPr="00505CF0">
        <w:rPr>
          <w:rFonts w:asciiTheme="majorBidi" w:hAnsiTheme="majorBidi" w:cstheme="majorBidi"/>
          <w:i/>
          <w:iCs/>
          <w:sz w:val="24"/>
          <w:szCs w:val="24"/>
        </w:rPr>
        <w:t>A Heartbreaking Work of Staggering Genius</w:t>
      </w:r>
      <w:r w:rsidRPr="00505CF0">
        <w:rPr>
          <w:rFonts w:asciiTheme="majorBidi" w:hAnsiTheme="majorBidi" w:cstheme="majorBidi"/>
          <w:sz w:val="24"/>
          <w:szCs w:val="24"/>
        </w:rPr>
        <w:t xml:space="preserve">, Jonathan Safran Foer’s </w:t>
      </w:r>
      <w:proofErr w:type="gramStart"/>
      <w:r w:rsidRPr="00505CF0">
        <w:rPr>
          <w:rFonts w:asciiTheme="majorBidi" w:hAnsiTheme="majorBidi" w:cstheme="majorBidi"/>
          <w:i/>
          <w:iCs/>
          <w:sz w:val="24"/>
          <w:szCs w:val="24"/>
        </w:rPr>
        <w:t>Everything</w:t>
      </w:r>
      <w:proofErr w:type="gramEnd"/>
      <w:r w:rsidRPr="00505CF0">
        <w:rPr>
          <w:rFonts w:asciiTheme="majorBidi" w:hAnsiTheme="majorBidi" w:cstheme="majorBidi"/>
          <w:i/>
          <w:iCs/>
          <w:sz w:val="24"/>
          <w:szCs w:val="24"/>
        </w:rPr>
        <w:t xml:space="preserve"> is Illuminated</w:t>
      </w:r>
      <w:r w:rsidRPr="00505CF0">
        <w:rPr>
          <w:rFonts w:asciiTheme="majorBidi" w:hAnsiTheme="majorBidi" w:cstheme="majorBidi"/>
          <w:sz w:val="24"/>
          <w:szCs w:val="24"/>
        </w:rPr>
        <w:t xml:space="preserve"> and Sonali </w:t>
      </w:r>
      <w:r w:rsidRPr="00505CF0">
        <w:rPr>
          <w:rFonts w:asciiTheme="majorBidi" w:hAnsiTheme="majorBidi" w:cstheme="majorBidi"/>
          <w:sz w:val="24"/>
          <w:szCs w:val="24"/>
        </w:rPr>
        <w:lastRenderedPageBreak/>
        <w:t xml:space="preserve">Deraniyagala’s </w:t>
      </w:r>
      <w:r w:rsidRPr="00505CF0">
        <w:rPr>
          <w:rFonts w:asciiTheme="majorBidi" w:hAnsiTheme="majorBidi" w:cstheme="majorBidi"/>
          <w:i/>
          <w:iCs/>
          <w:sz w:val="24"/>
          <w:szCs w:val="24"/>
        </w:rPr>
        <w:t xml:space="preserve">Wave </w:t>
      </w:r>
      <w:r w:rsidRPr="00505CF0">
        <w:rPr>
          <w:rFonts w:asciiTheme="majorBidi" w:hAnsiTheme="majorBidi" w:cstheme="majorBidi"/>
          <w:sz w:val="24"/>
          <w:szCs w:val="24"/>
        </w:rPr>
        <w:t>fit comfortably into the post-postmodern, sincerity fuelled autofiction genre. Each author fictionalises specific inspirational or distressing events in their lives, instigating an emotional connection and, to repeat Gibbons’ earlier point, challenging the sociological and phenomenological dimensions of personal life.</w:t>
      </w:r>
      <w:r w:rsidRPr="00505CF0">
        <w:rPr>
          <w:rFonts w:asciiTheme="majorBidi" w:hAnsiTheme="majorBidi" w:cstheme="majorBidi"/>
          <w:sz w:val="24"/>
          <w:szCs w:val="24"/>
          <w:vertAlign w:val="superscript"/>
        </w:rPr>
        <w:footnoteReference w:id="179"/>
      </w:r>
      <w:r w:rsidRPr="00505CF0">
        <w:rPr>
          <w:rFonts w:asciiTheme="majorBidi" w:hAnsiTheme="majorBidi" w:cstheme="majorBidi"/>
          <w:sz w:val="24"/>
          <w:szCs w:val="24"/>
        </w:rPr>
        <w:t xml:space="preserve"> These authors are writing their often traumatic experiences in an attempt at connectivity, to ‘insist on our essential relationality - our connectedness as humans to one another in the globalizing world and with fictional characters as representations of our selves.’</w:t>
      </w:r>
      <w:r w:rsidRPr="00505CF0">
        <w:rPr>
          <w:rStyle w:val="FootnoteReference"/>
          <w:rFonts w:asciiTheme="majorBidi" w:hAnsiTheme="majorBidi" w:cstheme="majorBidi"/>
          <w:sz w:val="24"/>
          <w:szCs w:val="24"/>
        </w:rPr>
        <w:footnoteReference w:id="180"/>
      </w:r>
      <w:r w:rsidRPr="00505CF0">
        <w:rPr>
          <w:rFonts w:asciiTheme="majorBidi" w:hAnsiTheme="majorBidi" w:cstheme="majorBidi"/>
          <w:sz w:val="24"/>
          <w:szCs w:val="24"/>
        </w:rPr>
        <w:t xml:space="preserve"> Autofiction takes the focus away from the debate between truth and fiction, instead posing questions about the way in which we lead our lives and pushes for a sincerity of meaning and connection by presenting the reader with the opportunity to engage with the challenges posed by modern life.  It’s a post-ironic display, authentic, vulnerable, and earnest, and a clear expression of a desire for something beyond irony and towards a new sincerity or authenticity of intent. </w:t>
      </w:r>
    </w:p>
    <w:p w14:paraId="62F22DDB" w14:textId="77777777" w:rsidR="00C111D3" w:rsidRDefault="00C111D3" w:rsidP="004C3EE0">
      <w:pPr>
        <w:tabs>
          <w:tab w:val="left" w:pos="720"/>
        </w:tabs>
        <w:spacing w:line="480" w:lineRule="auto"/>
        <w:jc w:val="both"/>
        <w:rPr>
          <w:rFonts w:asciiTheme="majorBidi" w:hAnsiTheme="majorBidi" w:cstheme="majorBidi"/>
          <w:sz w:val="24"/>
          <w:szCs w:val="24"/>
        </w:rPr>
      </w:pPr>
    </w:p>
    <w:p w14:paraId="399D0698" w14:textId="77777777" w:rsidR="00955756" w:rsidRPr="00505CF0" w:rsidRDefault="00955756" w:rsidP="004C3EE0">
      <w:pPr>
        <w:tabs>
          <w:tab w:val="left" w:pos="720"/>
        </w:tabs>
        <w:spacing w:line="480" w:lineRule="auto"/>
        <w:jc w:val="both"/>
        <w:rPr>
          <w:rFonts w:asciiTheme="majorBidi" w:hAnsiTheme="majorBidi" w:cstheme="majorBidi"/>
          <w:sz w:val="24"/>
          <w:szCs w:val="24"/>
        </w:rPr>
      </w:pPr>
    </w:p>
    <w:p w14:paraId="513CDCAD" w14:textId="1C953CF9"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 xml:space="preserve">2.4 </w:t>
      </w:r>
      <w:r w:rsidRPr="00505CF0">
        <w:rPr>
          <w:rFonts w:asciiTheme="majorBidi" w:eastAsia="Times New Roman" w:hAnsiTheme="majorBidi" w:cstheme="majorBidi"/>
          <w:b/>
          <w:sz w:val="28"/>
          <w:szCs w:val="28"/>
          <w:lang w:eastAsia="en-US"/>
        </w:rPr>
        <w:tab/>
        <w:t>The Nostalgia Drive</w:t>
      </w:r>
      <w:r w:rsidR="00BD46D5">
        <w:rPr>
          <w:rStyle w:val="FootnoteReference"/>
          <w:rFonts w:asciiTheme="majorBidi" w:eastAsia="Times New Roman" w:hAnsiTheme="majorBidi" w:cstheme="majorBidi"/>
          <w:b/>
          <w:sz w:val="28"/>
          <w:szCs w:val="28"/>
          <w:lang w:eastAsia="en-US"/>
        </w:rPr>
        <w:footnoteReference w:id="181"/>
      </w:r>
    </w:p>
    <w:p w14:paraId="26EABBAE" w14:textId="77777777"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
          <w:sz w:val="28"/>
          <w:szCs w:val="28"/>
          <w:lang w:eastAsia="en-US"/>
        </w:rPr>
      </w:pPr>
    </w:p>
    <w:p w14:paraId="162ECC18" w14:textId="68331DBC"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Linda Hutcheon, at the tail end of postmodernism, identifies the growing trend of nostalgia, discerning that in the 1990s, ‘it appears to be nostalgia that is holding sway,’ a nostalgia that has become an ‘obsession’ of mass culture and art.</w:t>
      </w:r>
      <w:r w:rsidRPr="00505CF0">
        <w:rPr>
          <w:rStyle w:val="FootnoteReference"/>
          <w:rFonts w:asciiTheme="majorBidi" w:hAnsiTheme="majorBidi" w:cstheme="majorBidi"/>
          <w:sz w:val="24"/>
          <w:szCs w:val="24"/>
        </w:rPr>
        <w:footnoteReference w:id="182"/>
      </w:r>
      <w:r w:rsidRPr="00505CF0">
        <w:rPr>
          <w:rFonts w:asciiTheme="majorBidi" w:hAnsiTheme="majorBidi" w:cstheme="majorBidi"/>
          <w:sz w:val="24"/>
          <w:szCs w:val="24"/>
        </w:rPr>
        <w:t xml:space="preserve"> Far from the </w:t>
      </w:r>
      <w:r w:rsidRPr="00505CF0">
        <w:rPr>
          <w:rFonts w:asciiTheme="majorBidi" w:hAnsiTheme="majorBidi" w:cstheme="majorBidi"/>
          <w:i/>
          <w:iCs/>
          <w:sz w:val="24"/>
          <w:szCs w:val="24"/>
        </w:rPr>
        <w:t>nostos</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algos</w:t>
      </w:r>
      <w:r w:rsidRPr="00505CF0">
        <w:rPr>
          <w:rFonts w:asciiTheme="majorBidi" w:hAnsiTheme="majorBidi" w:cstheme="majorBidi"/>
          <w:sz w:val="24"/>
          <w:szCs w:val="24"/>
        </w:rPr>
        <w:t xml:space="preserve"> of the word’s Greek etymology (‘to return home’ and ‘pain’), contemporary nostalgia has turned from being the ‘social disease’</w:t>
      </w:r>
      <w:r w:rsidRPr="00505CF0">
        <w:rPr>
          <w:rStyle w:val="FootnoteReference"/>
          <w:rFonts w:asciiTheme="majorBidi" w:hAnsiTheme="majorBidi" w:cstheme="majorBidi"/>
          <w:sz w:val="24"/>
          <w:szCs w:val="24"/>
        </w:rPr>
        <w:footnoteReference w:id="183"/>
      </w:r>
      <w:r w:rsidRPr="00505CF0">
        <w:rPr>
          <w:rFonts w:asciiTheme="majorBidi" w:hAnsiTheme="majorBidi" w:cstheme="majorBidi"/>
          <w:sz w:val="24"/>
          <w:szCs w:val="24"/>
        </w:rPr>
        <w:t xml:space="preserve"> of crippling ennui ascribed to Swiss soldiers by medical practi</w:t>
      </w:r>
      <w:r w:rsidR="00B92441">
        <w:rPr>
          <w:rFonts w:asciiTheme="majorBidi" w:hAnsiTheme="majorBidi" w:cstheme="majorBidi"/>
          <w:sz w:val="24"/>
          <w:szCs w:val="24"/>
        </w:rPr>
        <w:t>ti</w:t>
      </w:r>
      <w:r w:rsidRPr="00505CF0">
        <w:rPr>
          <w:rFonts w:asciiTheme="majorBidi" w:hAnsiTheme="majorBidi" w:cstheme="majorBidi"/>
          <w:sz w:val="24"/>
          <w:szCs w:val="24"/>
        </w:rPr>
        <w:t>oners, to a phenomenon in which one ‘evokes a memory of a former pleasure, a bitter-</w:t>
      </w:r>
      <w:r w:rsidRPr="00505CF0">
        <w:rPr>
          <w:rFonts w:asciiTheme="majorBidi" w:hAnsiTheme="majorBidi" w:cstheme="majorBidi"/>
          <w:sz w:val="24"/>
          <w:szCs w:val="24"/>
        </w:rPr>
        <w:lastRenderedPageBreak/>
        <w:t>sweet recognition of the passing of time, or a sense of a lost era.’</w:t>
      </w:r>
      <w:r w:rsidRPr="00505CF0">
        <w:rPr>
          <w:rStyle w:val="FootnoteReference"/>
          <w:rFonts w:asciiTheme="majorBidi" w:hAnsiTheme="majorBidi" w:cstheme="majorBidi"/>
          <w:sz w:val="24"/>
          <w:szCs w:val="24"/>
        </w:rPr>
        <w:footnoteReference w:id="184"/>
      </w:r>
      <w:r w:rsidRPr="00505CF0">
        <w:rPr>
          <w:rFonts w:asciiTheme="majorBidi" w:hAnsiTheme="majorBidi" w:cstheme="majorBidi"/>
          <w:sz w:val="24"/>
          <w:szCs w:val="24"/>
        </w:rPr>
        <w:t xml:space="preserve"> Nostalgia, as defined by Roberta Rubenstein, has come to mean an ‘expression of a regressive wish to retreat to a less complicated moment in history or personal experience,’ again signposting the desire to return to a time beyond our own, an escape from the present into more pleasurable memories.</w:t>
      </w:r>
      <w:r w:rsidRPr="00505CF0">
        <w:rPr>
          <w:rStyle w:val="FootnoteReference"/>
          <w:rFonts w:asciiTheme="majorBidi" w:hAnsiTheme="majorBidi" w:cstheme="majorBidi"/>
          <w:sz w:val="24"/>
          <w:szCs w:val="24"/>
        </w:rPr>
        <w:footnoteReference w:id="185"/>
      </w:r>
      <w:r w:rsidRPr="00505CF0">
        <w:rPr>
          <w:rFonts w:asciiTheme="majorBidi" w:hAnsiTheme="majorBidi" w:cstheme="majorBidi"/>
          <w:sz w:val="24"/>
          <w:szCs w:val="24"/>
        </w:rPr>
        <w:t xml:space="preserve"> Lipovetsky’s Hypermodernity evidences the role nostalgia increasingly plays in contemporary society, where individuals have become concerned with ‘ceaselessly’ exhuming and rediscovering their pasts in a desire for continuity between past and present, ‘longing to find one’s roots and discover one’s history.’</w:t>
      </w:r>
      <w:r w:rsidRPr="00505CF0">
        <w:rPr>
          <w:rStyle w:val="FootnoteReference"/>
          <w:rFonts w:asciiTheme="majorBidi" w:hAnsiTheme="majorBidi" w:cstheme="majorBidi"/>
          <w:sz w:val="24"/>
          <w:szCs w:val="24"/>
        </w:rPr>
        <w:footnoteReference w:id="186"/>
      </w:r>
      <w:r w:rsidRPr="00505CF0">
        <w:rPr>
          <w:rFonts w:asciiTheme="majorBidi" w:hAnsiTheme="majorBidi" w:cstheme="majorBidi"/>
          <w:sz w:val="24"/>
          <w:szCs w:val="24"/>
        </w:rPr>
        <w:t xml:space="preserve"> The hypermodern individual celebrates ‘the slightest object from the past, invoke[s] the duties of memory,’</w:t>
      </w:r>
      <w:r w:rsidRPr="00505CF0">
        <w:rPr>
          <w:rStyle w:val="FootnoteReference"/>
          <w:rFonts w:asciiTheme="majorBidi" w:hAnsiTheme="majorBidi" w:cstheme="majorBidi"/>
          <w:sz w:val="24"/>
          <w:szCs w:val="24"/>
        </w:rPr>
        <w:footnoteReference w:id="187"/>
      </w:r>
      <w:r w:rsidRPr="00505CF0">
        <w:rPr>
          <w:rFonts w:asciiTheme="majorBidi" w:hAnsiTheme="majorBidi" w:cstheme="majorBidi"/>
          <w:sz w:val="24"/>
          <w:szCs w:val="24"/>
        </w:rPr>
        <w:t xml:space="preserve"> in order to take refuge from the demands of the present ‘in the nostalgia for memories from the cultural past.’</w:t>
      </w:r>
      <w:r w:rsidRPr="00505CF0">
        <w:rPr>
          <w:rStyle w:val="FootnoteReference"/>
          <w:rFonts w:asciiTheme="majorBidi" w:hAnsiTheme="majorBidi" w:cstheme="majorBidi"/>
          <w:sz w:val="24"/>
          <w:szCs w:val="24"/>
        </w:rPr>
        <w:footnoteReference w:id="188"/>
      </w:r>
      <w:r w:rsidRPr="00505CF0">
        <w:rPr>
          <w:rFonts w:asciiTheme="majorBidi" w:hAnsiTheme="majorBidi" w:cstheme="majorBidi"/>
          <w:sz w:val="24"/>
          <w:szCs w:val="24"/>
        </w:rPr>
        <w:t xml:space="preserve"> This desire to realign the past and present speaks directly to the nostalgic sentiment, and the need to return to ‘a time of youth,’</w:t>
      </w:r>
      <w:r w:rsidRPr="00505CF0">
        <w:rPr>
          <w:rStyle w:val="FootnoteReference"/>
          <w:rFonts w:asciiTheme="majorBidi" w:hAnsiTheme="majorBidi" w:cstheme="majorBidi"/>
          <w:sz w:val="24"/>
          <w:szCs w:val="24"/>
        </w:rPr>
        <w:footnoteReference w:id="189"/>
      </w:r>
      <w:r w:rsidRPr="00505CF0">
        <w:rPr>
          <w:rFonts w:asciiTheme="majorBidi" w:hAnsiTheme="majorBidi" w:cstheme="majorBidi"/>
          <w:sz w:val="24"/>
          <w:szCs w:val="24"/>
        </w:rPr>
        <w:t xml:space="preserve"> and Rubenstein’s less complicated moments.  By the end of 2016, Forbes magazine declared it as the year in which we hit peak, ‘mass’ nostalgia,</w:t>
      </w:r>
      <w:r w:rsidRPr="00505CF0">
        <w:rPr>
          <w:rStyle w:val="FootnoteReference"/>
          <w:rFonts w:asciiTheme="majorBidi" w:hAnsiTheme="majorBidi" w:cstheme="majorBidi"/>
          <w:sz w:val="24"/>
          <w:szCs w:val="24"/>
        </w:rPr>
        <w:footnoteReference w:id="190"/>
      </w:r>
      <w:r w:rsidRPr="00505CF0">
        <w:rPr>
          <w:rFonts w:asciiTheme="majorBidi" w:hAnsiTheme="majorBidi" w:cstheme="majorBidi"/>
          <w:sz w:val="24"/>
          <w:szCs w:val="24"/>
        </w:rPr>
        <w:t xml:space="preserve"> with the previous year seeing aspects of 1980s, 1990s, and early 2000s content making up eight of the top ten highest grossing films at the global box office.</w:t>
      </w:r>
      <w:r w:rsidRPr="00505CF0">
        <w:rPr>
          <w:rStyle w:val="FootnoteReference"/>
          <w:rFonts w:asciiTheme="majorBidi" w:hAnsiTheme="majorBidi" w:cstheme="majorBidi"/>
          <w:sz w:val="24"/>
          <w:szCs w:val="24"/>
        </w:rPr>
        <w:footnoteReference w:id="191"/>
      </w:r>
      <w:r w:rsidRPr="00505CF0">
        <w:rPr>
          <w:rFonts w:asciiTheme="majorBidi" w:hAnsiTheme="majorBidi" w:cstheme="majorBidi"/>
          <w:sz w:val="24"/>
          <w:szCs w:val="24"/>
        </w:rPr>
        <w:t xml:space="preserve"> Indeed, the nostalgia drive in contemporary society finds its clearest expression within pop culture, most commonly within the film industry, with remakes, reboots and sequels now making up the majority of box office productions and successes: 2017 sees remakes of Stephen King’s </w:t>
      </w:r>
      <w:r w:rsidRPr="00505CF0">
        <w:rPr>
          <w:rFonts w:asciiTheme="majorBidi" w:hAnsiTheme="majorBidi" w:cstheme="majorBidi"/>
          <w:i/>
          <w:iCs/>
          <w:sz w:val="24"/>
          <w:szCs w:val="24"/>
        </w:rPr>
        <w:t xml:space="preserve">IT </w:t>
      </w:r>
      <w:r w:rsidRPr="00505CF0">
        <w:rPr>
          <w:rFonts w:asciiTheme="majorBidi" w:hAnsiTheme="majorBidi" w:cstheme="majorBidi"/>
          <w:sz w:val="24"/>
          <w:szCs w:val="24"/>
        </w:rPr>
        <w:t xml:space="preserve">(1990), Disney’s </w:t>
      </w:r>
      <w:r w:rsidRPr="00505CF0">
        <w:rPr>
          <w:rFonts w:asciiTheme="majorBidi" w:hAnsiTheme="majorBidi" w:cstheme="majorBidi"/>
          <w:i/>
          <w:iCs/>
          <w:sz w:val="24"/>
          <w:szCs w:val="24"/>
        </w:rPr>
        <w:t xml:space="preserve">Beauty and the Beast </w:t>
      </w:r>
      <w:r w:rsidRPr="00505CF0">
        <w:rPr>
          <w:rFonts w:asciiTheme="majorBidi" w:hAnsiTheme="majorBidi" w:cstheme="majorBidi"/>
          <w:sz w:val="24"/>
          <w:szCs w:val="24"/>
        </w:rPr>
        <w:t>(1991)</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 xml:space="preserve">Flatliners </w:t>
      </w:r>
      <w:r w:rsidRPr="00505CF0">
        <w:rPr>
          <w:rFonts w:asciiTheme="majorBidi" w:hAnsiTheme="majorBidi" w:cstheme="majorBidi"/>
          <w:sz w:val="24"/>
          <w:szCs w:val="24"/>
        </w:rPr>
        <w:t xml:space="preserve">(1990); the </w:t>
      </w:r>
      <w:r w:rsidRPr="00505CF0">
        <w:rPr>
          <w:rFonts w:asciiTheme="majorBidi" w:hAnsiTheme="majorBidi" w:cstheme="majorBidi"/>
          <w:i/>
          <w:iCs/>
          <w:sz w:val="24"/>
          <w:szCs w:val="24"/>
        </w:rPr>
        <w:t>fifth</w:t>
      </w:r>
      <w:r w:rsidRPr="00505CF0">
        <w:rPr>
          <w:rFonts w:asciiTheme="majorBidi" w:hAnsiTheme="majorBidi" w:cstheme="majorBidi"/>
          <w:sz w:val="24"/>
          <w:szCs w:val="24"/>
        </w:rPr>
        <w:t xml:space="preserve"> iteration of the </w:t>
      </w:r>
      <w:r w:rsidRPr="00505CF0">
        <w:rPr>
          <w:rFonts w:asciiTheme="majorBidi" w:hAnsiTheme="majorBidi" w:cstheme="majorBidi"/>
          <w:sz w:val="24"/>
          <w:szCs w:val="24"/>
        </w:rPr>
        <w:lastRenderedPageBreak/>
        <w:t xml:space="preserve">(critically maligned, commercially lucrative) Transformers franchise (1984), alongside a rebooted </w:t>
      </w:r>
      <w:r w:rsidRPr="00505CF0">
        <w:rPr>
          <w:rFonts w:asciiTheme="majorBidi" w:hAnsiTheme="majorBidi" w:cstheme="majorBidi"/>
          <w:i/>
          <w:iCs/>
          <w:sz w:val="24"/>
          <w:szCs w:val="24"/>
        </w:rPr>
        <w:t>Power Rangers</w:t>
      </w:r>
      <w:r w:rsidRPr="00505CF0">
        <w:rPr>
          <w:rFonts w:asciiTheme="majorBidi" w:hAnsiTheme="majorBidi" w:cstheme="majorBidi"/>
          <w:sz w:val="24"/>
          <w:szCs w:val="24"/>
        </w:rPr>
        <w:t xml:space="preserve"> (1993)</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planned reboots of both </w:t>
      </w:r>
      <w:r w:rsidRPr="00505CF0">
        <w:rPr>
          <w:rFonts w:asciiTheme="majorBidi" w:hAnsiTheme="majorBidi" w:cstheme="majorBidi"/>
          <w:i/>
          <w:iCs/>
          <w:sz w:val="24"/>
          <w:szCs w:val="24"/>
        </w:rPr>
        <w:t xml:space="preserve">Crocodile Dundee </w:t>
      </w:r>
      <w:r w:rsidRPr="00505CF0">
        <w:rPr>
          <w:rFonts w:asciiTheme="majorBidi" w:hAnsiTheme="majorBidi" w:cstheme="majorBidi"/>
          <w:sz w:val="24"/>
          <w:szCs w:val="24"/>
        </w:rPr>
        <w:t xml:space="preserve">(1986) and the </w:t>
      </w:r>
      <w:r w:rsidRPr="00505CF0">
        <w:rPr>
          <w:rFonts w:asciiTheme="majorBidi" w:hAnsiTheme="majorBidi" w:cstheme="majorBidi"/>
          <w:i/>
          <w:iCs/>
          <w:sz w:val="24"/>
          <w:szCs w:val="24"/>
        </w:rPr>
        <w:t xml:space="preserve">Six Million Dollar Man </w:t>
      </w:r>
      <w:r w:rsidRPr="00505CF0">
        <w:rPr>
          <w:rFonts w:asciiTheme="majorBidi" w:hAnsiTheme="majorBidi" w:cstheme="majorBidi"/>
          <w:sz w:val="24"/>
          <w:szCs w:val="24"/>
        </w:rPr>
        <w:t xml:space="preserve">(1973) (re-named </w:t>
      </w:r>
      <w:r w:rsidRPr="00505CF0">
        <w:rPr>
          <w:rFonts w:asciiTheme="majorBidi" w:hAnsiTheme="majorBidi" w:cstheme="majorBidi"/>
          <w:i/>
          <w:iCs/>
          <w:sz w:val="24"/>
          <w:szCs w:val="24"/>
        </w:rPr>
        <w:t>The Six Billion Dollar Man</w:t>
      </w:r>
      <w:r w:rsidRPr="00505CF0">
        <w:rPr>
          <w:rFonts w:asciiTheme="majorBidi" w:hAnsiTheme="majorBidi" w:cstheme="majorBidi"/>
          <w:sz w:val="24"/>
          <w:szCs w:val="24"/>
        </w:rPr>
        <w:t xml:space="preserve"> to adjust for inflation); the re-releases of both </w:t>
      </w:r>
      <w:r w:rsidRPr="00505CF0">
        <w:rPr>
          <w:rFonts w:asciiTheme="majorBidi" w:hAnsiTheme="majorBidi" w:cstheme="majorBidi"/>
          <w:i/>
          <w:iCs/>
          <w:sz w:val="24"/>
          <w:szCs w:val="24"/>
        </w:rPr>
        <w:t>Terminator 2</w:t>
      </w:r>
      <w:r w:rsidRPr="00505CF0">
        <w:rPr>
          <w:rFonts w:asciiTheme="majorBidi" w:hAnsiTheme="majorBidi" w:cstheme="majorBidi"/>
          <w:sz w:val="24"/>
          <w:szCs w:val="24"/>
        </w:rPr>
        <w:t xml:space="preserve"> (1991) and </w:t>
      </w:r>
      <w:r w:rsidRPr="00505CF0">
        <w:rPr>
          <w:rFonts w:asciiTheme="majorBidi" w:hAnsiTheme="majorBidi" w:cstheme="majorBidi"/>
          <w:i/>
          <w:iCs/>
          <w:sz w:val="24"/>
          <w:szCs w:val="24"/>
        </w:rPr>
        <w:t>The Shining</w:t>
      </w:r>
      <w:r w:rsidRPr="00505CF0">
        <w:rPr>
          <w:rFonts w:asciiTheme="majorBidi" w:hAnsiTheme="majorBidi" w:cstheme="majorBidi"/>
          <w:sz w:val="24"/>
          <w:szCs w:val="24"/>
        </w:rPr>
        <w:t xml:space="preserve"> (1980); </w:t>
      </w:r>
      <w:r w:rsidRPr="00505CF0">
        <w:rPr>
          <w:rFonts w:asciiTheme="majorBidi" w:hAnsiTheme="majorBidi" w:cstheme="majorBidi"/>
          <w:i/>
          <w:iCs/>
          <w:sz w:val="24"/>
          <w:szCs w:val="24"/>
        </w:rPr>
        <w:t xml:space="preserve">Blade Runner </w:t>
      </w:r>
      <w:r w:rsidRPr="00505CF0">
        <w:rPr>
          <w:rFonts w:asciiTheme="majorBidi" w:hAnsiTheme="majorBidi" w:cstheme="majorBidi"/>
          <w:sz w:val="24"/>
          <w:szCs w:val="24"/>
        </w:rPr>
        <w:t xml:space="preserve">(1982), </w:t>
      </w:r>
      <w:r w:rsidRPr="00505CF0">
        <w:rPr>
          <w:rFonts w:asciiTheme="majorBidi" w:hAnsiTheme="majorBidi" w:cstheme="majorBidi"/>
          <w:i/>
          <w:iCs/>
          <w:sz w:val="24"/>
          <w:szCs w:val="24"/>
        </w:rPr>
        <w:t xml:space="preserve">The Ring </w:t>
      </w:r>
      <w:r w:rsidRPr="00505CF0">
        <w:rPr>
          <w:rFonts w:asciiTheme="majorBidi" w:hAnsiTheme="majorBidi" w:cstheme="majorBidi"/>
          <w:sz w:val="24"/>
          <w:szCs w:val="24"/>
        </w:rPr>
        <w:t>(1995)</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Trainspotting</w:t>
      </w:r>
      <w:r w:rsidRPr="00505CF0">
        <w:rPr>
          <w:rFonts w:asciiTheme="majorBidi" w:hAnsiTheme="majorBidi" w:cstheme="majorBidi"/>
          <w:sz w:val="24"/>
          <w:szCs w:val="24"/>
        </w:rPr>
        <w:t xml:space="preserve"> (1996)</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have all received recent sequels, with </w:t>
      </w:r>
      <w:r w:rsidRPr="00505CF0">
        <w:rPr>
          <w:rFonts w:asciiTheme="majorBidi" w:hAnsiTheme="majorBidi" w:cstheme="majorBidi"/>
          <w:i/>
          <w:iCs/>
          <w:sz w:val="24"/>
          <w:szCs w:val="24"/>
        </w:rPr>
        <w:t xml:space="preserve">Who Framed Roger Rabbit </w:t>
      </w:r>
      <w:r w:rsidRPr="00505CF0">
        <w:rPr>
          <w:rFonts w:asciiTheme="majorBidi" w:hAnsiTheme="majorBidi" w:cstheme="majorBidi"/>
          <w:sz w:val="24"/>
          <w:szCs w:val="24"/>
        </w:rPr>
        <w:t>(1988)</w:t>
      </w:r>
      <w:r w:rsidRPr="00505CF0">
        <w:rPr>
          <w:rFonts w:asciiTheme="majorBidi" w:hAnsiTheme="majorBidi" w:cstheme="majorBidi"/>
          <w:i/>
          <w:iCs/>
          <w:sz w:val="24"/>
          <w:szCs w:val="24"/>
        </w:rPr>
        <w:t xml:space="preserve">, Beetlejuice </w:t>
      </w:r>
      <w:r w:rsidRPr="00505CF0">
        <w:rPr>
          <w:rFonts w:asciiTheme="majorBidi" w:hAnsiTheme="majorBidi" w:cstheme="majorBidi"/>
          <w:sz w:val="24"/>
          <w:szCs w:val="24"/>
        </w:rPr>
        <w:t>(1988)</w:t>
      </w:r>
      <w:r w:rsidRPr="00505CF0">
        <w:rPr>
          <w:rFonts w:asciiTheme="majorBidi" w:hAnsiTheme="majorBidi" w:cstheme="majorBidi"/>
          <w:i/>
          <w:iCs/>
          <w:sz w:val="24"/>
          <w:szCs w:val="24"/>
        </w:rPr>
        <w:t xml:space="preserve">, Beverly Hills Cop </w:t>
      </w:r>
      <w:r w:rsidRPr="00505CF0">
        <w:rPr>
          <w:rFonts w:asciiTheme="majorBidi" w:hAnsiTheme="majorBidi" w:cstheme="majorBidi"/>
          <w:sz w:val="24"/>
          <w:szCs w:val="24"/>
        </w:rPr>
        <w:t>(1984)</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 xml:space="preserve">Jumanji </w:t>
      </w:r>
      <w:r w:rsidRPr="00505CF0">
        <w:rPr>
          <w:rFonts w:asciiTheme="majorBidi" w:hAnsiTheme="majorBidi" w:cstheme="majorBidi"/>
          <w:sz w:val="24"/>
          <w:szCs w:val="24"/>
        </w:rPr>
        <w:t>(1995)</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sequels all planned or currently in production. In western television, we see the return of past series with new productions of adult-aimed shows like </w:t>
      </w:r>
      <w:r w:rsidRPr="00505CF0">
        <w:rPr>
          <w:rFonts w:asciiTheme="majorBidi" w:hAnsiTheme="majorBidi" w:cstheme="majorBidi"/>
          <w:i/>
          <w:iCs/>
          <w:sz w:val="24"/>
          <w:szCs w:val="24"/>
        </w:rPr>
        <w:t xml:space="preserve">Mystery Science Theatre 3000 </w:t>
      </w:r>
      <w:r w:rsidRPr="00505CF0">
        <w:rPr>
          <w:rFonts w:asciiTheme="majorBidi" w:hAnsiTheme="majorBidi" w:cstheme="majorBidi"/>
          <w:sz w:val="24"/>
          <w:szCs w:val="24"/>
        </w:rPr>
        <w:t>(1988)</w:t>
      </w:r>
      <w:r w:rsidRPr="00505CF0">
        <w:rPr>
          <w:rFonts w:asciiTheme="majorBidi" w:hAnsiTheme="majorBidi" w:cstheme="majorBidi"/>
          <w:i/>
          <w:iCs/>
          <w:sz w:val="24"/>
          <w:szCs w:val="24"/>
        </w:rPr>
        <w:t xml:space="preserve">, Twin Peaks </w:t>
      </w:r>
      <w:r w:rsidRPr="00505CF0">
        <w:rPr>
          <w:rFonts w:asciiTheme="majorBidi" w:hAnsiTheme="majorBidi" w:cstheme="majorBidi"/>
          <w:sz w:val="24"/>
          <w:szCs w:val="24"/>
        </w:rPr>
        <w:t>(1990)</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 xml:space="preserve">The X-Files </w:t>
      </w:r>
      <w:r w:rsidRPr="00505CF0">
        <w:rPr>
          <w:rFonts w:asciiTheme="majorBidi" w:hAnsiTheme="majorBidi" w:cstheme="majorBidi"/>
          <w:sz w:val="24"/>
          <w:szCs w:val="24"/>
        </w:rPr>
        <w:t>(1993)</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alongside sequels or reboots of several children’s and young adult programmes, including </w:t>
      </w:r>
      <w:r w:rsidRPr="00505CF0">
        <w:rPr>
          <w:rFonts w:asciiTheme="majorBidi" w:hAnsiTheme="majorBidi" w:cstheme="majorBidi"/>
          <w:i/>
          <w:iCs/>
          <w:sz w:val="24"/>
          <w:szCs w:val="24"/>
        </w:rPr>
        <w:t xml:space="preserve">Duck Tales </w:t>
      </w:r>
      <w:r w:rsidRPr="00505CF0">
        <w:rPr>
          <w:rFonts w:asciiTheme="majorBidi" w:hAnsiTheme="majorBidi" w:cstheme="majorBidi"/>
          <w:sz w:val="24"/>
          <w:szCs w:val="24"/>
        </w:rPr>
        <w:t>(1987)</w:t>
      </w:r>
      <w:r w:rsidRPr="00505CF0">
        <w:rPr>
          <w:rFonts w:asciiTheme="majorBidi" w:hAnsiTheme="majorBidi" w:cstheme="majorBidi"/>
          <w:i/>
          <w:iCs/>
          <w:sz w:val="24"/>
          <w:szCs w:val="24"/>
        </w:rPr>
        <w:t xml:space="preserve">, The Powerpuff Girls </w:t>
      </w:r>
      <w:r w:rsidRPr="00505CF0">
        <w:rPr>
          <w:rFonts w:asciiTheme="majorBidi" w:hAnsiTheme="majorBidi" w:cstheme="majorBidi"/>
          <w:sz w:val="24"/>
          <w:szCs w:val="24"/>
        </w:rPr>
        <w:t>(1998)</w:t>
      </w:r>
      <w:r w:rsidRPr="00505CF0">
        <w:rPr>
          <w:rFonts w:asciiTheme="majorBidi" w:hAnsiTheme="majorBidi" w:cstheme="majorBidi"/>
          <w:i/>
          <w:iCs/>
          <w:sz w:val="24"/>
          <w:szCs w:val="24"/>
        </w:rPr>
        <w:t xml:space="preserve">, Samurai Jack </w:t>
      </w:r>
      <w:r w:rsidRPr="00505CF0">
        <w:rPr>
          <w:rFonts w:asciiTheme="majorBidi" w:hAnsiTheme="majorBidi" w:cstheme="majorBidi"/>
          <w:sz w:val="24"/>
          <w:szCs w:val="24"/>
        </w:rPr>
        <w:t>(2001)</w:t>
      </w:r>
      <w:r w:rsidRPr="00505CF0">
        <w:rPr>
          <w:rFonts w:asciiTheme="majorBidi" w:hAnsiTheme="majorBidi" w:cstheme="majorBidi"/>
          <w:i/>
          <w:iCs/>
          <w:sz w:val="24"/>
          <w:szCs w:val="24"/>
        </w:rPr>
        <w:t xml:space="preserve">, Tales From the Crypt </w:t>
      </w:r>
      <w:r w:rsidRPr="00505CF0">
        <w:rPr>
          <w:rFonts w:asciiTheme="majorBidi" w:hAnsiTheme="majorBidi" w:cstheme="majorBidi"/>
          <w:sz w:val="24"/>
          <w:szCs w:val="24"/>
        </w:rPr>
        <w:t>(1989)</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iCs/>
          <w:sz w:val="24"/>
          <w:szCs w:val="24"/>
        </w:rPr>
        <w:t xml:space="preserve">The Magic Schoolbus </w:t>
      </w:r>
      <w:r w:rsidRPr="00505CF0">
        <w:rPr>
          <w:rFonts w:asciiTheme="majorBidi" w:hAnsiTheme="majorBidi" w:cstheme="majorBidi"/>
          <w:sz w:val="24"/>
          <w:szCs w:val="24"/>
        </w:rPr>
        <w:t>(1994). Similarly in western music, a nostalgic sentiment emerges via growing interest in the genres of Synthwave and Dungeon Synth,</w:t>
      </w:r>
      <w:r w:rsidRPr="00505CF0">
        <w:rPr>
          <w:rStyle w:val="FootnoteReference"/>
          <w:rFonts w:asciiTheme="majorBidi" w:hAnsiTheme="majorBidi" w:cstheme="majorBidi"/>
          <w:sz w:val="24"/>
          <w:szCs w:val="24"/>
        </w:rPr>
        <w:t xml:space="preserve"> </w:t>
      </w:r>
      <w:r w:rsidRPr="00505CF0">
        <w:rPr>
          <w:rFonts w:asciiTheme="majorBidi" w:hAnsiTheme="majorBidi" w:cstheme="majorBidi"/>
          <w:sz w:val="24"/>
          <w:szCs w:val="24"/>
        </w:rPr>
        <w:t>the popularity of hypnagogic pop, or the counter-cultural 1980s and 1990s nostalgia fest of Vaporwave that it inspired, genres which evoke a distinctly 1980s aesthetic reimagined or reproduced with twenty-first century digital software.</w:t>
      </w:r>
      <w:r w:rsidRPr="00505CF0">
        <w:rPr>
          <w:rStyle w:val="FootnoteReference"/>
          <w:rFonts w:asciiTheme="majorBidi" w:hAnsiTheme="majorBidi" w:cstheme="majorBidi"/>
          <w:sz w:val="24"/>
          <w:szCs w:val="24"/>
        </w:rPr>
        <w:footnoteReference w:id="192"/>
      </w:r>
      <w:r w:rsidRPr="00505CF0">
        <w:rPr>
          <w:rFonts w:asciiTheme="majorBidi" w:hAnsiTheme="majorBidi" w:cstheme="majorBidi"/>
          <w:sz w:val="24"/>
          <w:szCs w:val="24"/>
        </w:rPr>
        <w:t xml:space="preserve"> Describing what he defines as new ‘hauntological’ genres in music, the British equivalents of hypnagogic pop, Mark Fisher highlights one of the main features of these emerging genres as a “confrontation with a cultural impasse: the failing of the future.”</w:t>
      </w:r>
      <w:r w:rsidRPr="00505CF0">
        <w:rPr>
          <w:rStyle w:val="FootnoteReference"/>
          <w:rFonts w:asciiTheme="majorBidi" w:hAnsiTheme="majorBidi" w:cstheme="majorBidi"/>
          <w:sz w:val="24"/>
          <w:szCs w:val="24"/>
        </w:rPr>
        <w:footnoteReference w:id="193"/>
      </w:r>
      <w:r w:rsidRPr="00505CF0">
        <w:rPr>
          <w:rFonts w:asciiTheme="majorBidi" w:hAnsiTheme="majorBidi" w:cstheme="majorBidi"/>
          <w:sz w:val="24"/>
          <w:szCs w:val="24"/>
        </w:rPr>
        <w:t xml:space="preserve"> The idea of a contemporary discontent with the present, and the current anxiety over the seeming certitude of a future dystopia necessitating a nostalgic reaction, is also evinced by Goldhill, who signals the specifically reactionary nature of contemporary nostalgia writes that ‘today’s </w:t>
      </w:r>
      <w:r w:rsidRPr="00505CF0">
        <w:rPr>
          <w:rFonts w:asciiTheme="majorBidi" w:hAnsiTheme="majorBidi" w:cstheme="majorBidi"/>
          <w:sz w:val="24"/>
          <w:szCs w:val="24"/>
        </w:rPr>
        <w:lastRenderedPageBreak/>
        <w:t>constant talk of nostalgia – for old passport covers, old manners, old food, and above all that fantasy of a Britain before multiculturalism – is in part a response to rapid social change and feelings of insecurity.’</w:t>
      </w:r>
      <w:r w:rsidRPr="00505CF0">
        <w:rPr>
          <w:rStyle w:val="FootnoteReference"/>
          <w:rFonts w:asciiTheme="majorBidi" w:hAnsiTheme="majorBidi" w:cstheme="majorBidi"/>
          <w:sz w:val="24"/>
          <w:szCs w:val="24"/>
        </w:rPr>
        <w:footnoteReference w:id="194"/>
      </w:r>
      <w:r w:rsidRPr="00505CF0">
        <w:rPr>
          <w:rFonts w:asciiTheme="majorBidi" w:hAnsiTheme="majorBidi" w:cstheme="majorBidi"/>
          <w:sz w:val="24"/>
          <w:szCs w:val="24"/>
        </w:rPr>
        <w:t xml:space="preserve"> The ‘recent commercialized luxuriating in the culture of past,’ according to Hutcheon, points to a ‘dissatisfaction with the culture of the present,’</w:t>
      </w:r>
      <w:r w:rsidRPr="00505CF0">
        <w:rPr>
          <w:rStyle w:val="FootnoteReference"/>
          <w:rFonts w:asciiTheme="majorBidi" w:hAnsiTheme="majorBidi" w:cstheme="majorBidi"/>
          <w:sz w:val="24"/>
          <w:szCs w:val="24"/>
        </w:rPr>
        <w:footnoteReference w:id="195"/>
      </w:r>
      <w:r w:rsidRPr="00505CF0">
        <w:rPr>
          <w:rFonts w:asciiTheme="majorBidi" w:hAnsiTheme="majorBidi" w:cstheme="majorBidi"/>
          <w:sz w:val="24"/>
          <w:szCs w:val="24"/>
        </w:rPr>
        <w:t xml:space="preserve"> and Di Placido, too, points to a desire to alleviate the anxieties of the present by nostalgic revelry, stating of 2016 that it ‘has been a tough year,’ and that in a bid to cope with the large quantity of celebrity deaths and increasing frequency of violent political arguments ‘we looked back to a simpler time [...] We wanted our beloved franchises rebooted and revitalized, to know that no matter what happens, our favorite fictional characters will always be there for us.’</w:t>
      </w:r>
      <w:r w:rsidRPr="00505CF0">
        <w:rPr>
          <w:rStyle w:val="FootnoteReference"/>
          <w:rFonts w:asciiTheme="majorBidi" w:hAnsiTheme="majorBidi" w:cstheme="majorBidi"/>
          <w:sz w:val="24"/>
          <w:szCs w:val="24"/>
        </w:rPr>
        <w:footnoteReference w:id="196"/>
      </w:r>
      <w:r w:rsidRPr="00505CF0">
        <w:rPr>
          <w:rFonts w:asciiTheme="majorBidi" w:hAnsiTheme="majorBidi" w:cstheme="majorBidi"/>
          <w:sz w:val="24"/>
          <w:szCs w:val="24"/>
        </w:rPr>
        <w:t xml:space="preserve"> Justified or not, death and political unrest being frequent fixtures in humanity’s history, the current frequency with which nostalgia</w:t>
      </w:r>
      <w:r w:rsidR="001E3C4B">
        <w:rPr>
          <w:rStyle w:val="FootnoteReference"/>
          <w:rFonts w:asciiTheme="majorBidi" w:hAnsiTheme="majorBidi" w:cstheme="majorBidi"/>
          <w:sz w:val="24"/>
          <w:szCs w:val="24"/>
        </w:rPr>
        <w:footnoteReference w:id="197"/>
      </w:r>
      <w:r w:rsidRPr="00505CF0">
        <w:rPr>
          <w:rFonts w:asciiTheme="majorBidi" w:hAnsiTheme="majorBidi" w:cstheme="majorBidi"/>
          <w:sz w:val="24"/>
          <w:szCs w:val="24"/>
        </w:rPr>
        <w:t xml:space="preserve"> is invoked (or indeed retreated unto) is indicative of the fear of a distinctly outlined, </w:t>
      </w:r>
      <w:r w:rsidR="00B92441">
        <w:rPr>
          <w:rFonts w:asciiTheme="majorBidi" w:hAnsiTheme="majorBidi" w:cstheme="majorBidi"/>
          <w:sz w:val="24"/>
          <w:szCs w:val="24"/>
        </w:rPr>
        <w:t>negative</w:t>
      </w:r>
      <w:r w:rsidRPr="00505CF0">
        <w:rPr>
          <w:rFonts w:asciiTheme="majorBidi" w:hAnsiTheme="majorBidi" w:cstheme="majorBidi"/>
          <w:sz w:val="24"/>
          <w:szCs w:val="24"/>
        </w:rPr>
        <w:t>, future, and an anxiety over the present that forces us to look backwards to the apparently more agreeable past. Linda Hutcheon offers one explanation for this desire:</w:t>
      </w:r>
    </w:p>
    <w:p w14:paraId="1C586BF2" w14:textId="77777777" w:rsidR="00C111D3" w:rsidRPr="00505CF0" w:rsidRDefault="00C111D3" w:rsidP="004C3EE0">
      <w:pPr>
        <w:spacing w:line="240" w:lineRule="auto"/>
        <w:ind w:left="720" w:right="720"/>
        <w:jc w:val="both"/>
        <w:rPr>
          <w:rFonts w:asciiTheme="majorBidi" w:hAnsiTheme="majorBidi" w:cstheme="majorBidi"/>
          <w:sz w:val="24"/>
          <w:szCs w:val="24"/>
        </w:rPr>
      </w:pPr>
    </w:p>
    <w:p w14:paraId="0731D160" w14:textId="77777777" w:rsidR="00C111D3" w:rsidRPr="00505CF0" w:rsidRDefault="00C111D3" w:rsidP="004C3EE0">
      <w:pPr>
        <w:spacing w:line="240" w:lineRule="auto"/>
        <w:ind w:left="720" w:right="720"/>
        <w:jc w:val="both"/>
        <w:rPr>
          <w:rFonts w:asciiTheme="majorBidi" w:hAnsiTheme="majorBidi" w:cstheme="majorBidi"/>
          <w:sz w:val="24"/>
          <w:szCs w:val="24"/>
        </w:rPr>
      </w:pPr>
      <w:r w:rsidRPr="00505CF0">
        <w:rPr>
          <w:rFonts w:asciiTheme="majorBidi" w:hAnsiTheme="majorBidi" w:cstheme="majorBidi"/>
          <w:sz w:val="24"/>
          <w:szCs w:val="24"/>
        </w:rPr>
        <w:t>The ideal that is not being lived now is projected into the past. It is "memorialized" as past, crystallized into precious moments selected by memory, but also by forgetting, and by desire's distortions and reorganizations. Simultaneously distancing and proximating, nostalgia exiles us from the present as it brings the imagined past near. [...] Nostalgic distancing sanitizes as it selects, making the past feel comfortable, stable, coherent, safe.</w:t>
      </w:r>
      <w:r w:rsidRPr="00505CF0">
        <w:rPr>
          <w:rStyle w:val="FootnoteReference"/>
          <w:rFonts w:asciiTheme="majorBidi" w:hAnsiTheme="majorBidi" w:cstheme="majorBidi"/>
          <w:sz w:val="24"/>
          <w:szCs w:val="24"/>
        </w:rPr>
        <w:footnoteReference w:id="198"/>
      </w:r>
    </w:p>
    <w:p w14:paraId="1D39F4AB" w14:textId="77777777" w:rsidR="00C111D3" w:rsidRPr="00505CF0" w:rsidRDefault="00C111D3" w:rsidP="004C3EE0">
      <w:pPr>
        <w:spacing w:line="480" w:lineRule="auto"/>
        <w:jc w:val="both"/>
        <w:rPr>
          <w:rFonts w:asciiTheme="majorBidi" w:hAnsiTheme="majorBidi" w:cstheme="majorBidi"/>
          <w:sz w:val="24"/>
          <w:szCs w:val="24"/>
        </w:rPr>
      </w:pPr>
    </w:p>
    <w:p w14:paraId="536BFEB7"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Hutcheon’s conception hints at the more dangerous aspects of nostalgia: warped or false memories. Nostalgia, while flawed, provides a ‘comfortable'</w:t>
      </w:r>
      <w:r w:rsidRPr="00505CF0">
        <w:rPr>
          <w:rStyle w:val="FootnoteReference"/>
          <w:rFonts w:asciiTheme="majorBidi" w:hAnsiTheme="majorBidi" w:cstheme="majorBidi"/>
          <w:sz w:val="24"/>
          <w:szCs w:val="24"/>
        </w:rPr>
        <w:footnoteReference w:id="199"/>
      </w:r>
      <w:r w:rsidRPr="00505CF0">
        <w:rPr>
          <w:rFonts w:asciiTheme="majorBidi" w:hAnsiTheme="majorBidi" w:cstheme="majorBidi"/>
          <w:sz w:val="24"/>
          <w:szCs w:val="24"/>
        </w:rPr>
        <w:t xml:space="preserve"> escapism from contemporary problems, but also sanitizes our past experiences of potential harm in a selective mode that </w:t>
      </w:r>
      <w:r w:rsidRPr="00505CF0">
        <w:rPr>
          <w:rFonts w:asciiTheme="majorBidi" w:hAnsiTheme="majorBidi" w:cstheme="majorBidi"/>
          <w:sz w:val="24"/>
          <w:szCs w:val="24"/>
        </w:rPr>
        <w:lastRenderedPageBreak/>
        <w:t>assuages dissatisfaction with the myriad of societal problems that plague the present, providing us with ‘comfort content’:</w:t>
      </w:r>
      <w:r w:rsidRPr="00505CF0">
        <w:rPr>
          <w:rStyle w:val="FootnoteReference"/>
          <w:rFonts w:asciiTheme="majorBidi" w:hAnsiTheme="majorBidi" w:cstheme="majorBidi"/>
          <w:sz w:val="24"/>
          <w:szCs w:val="24"/>
        </w:rPr>
        <w:footnoteReference w:id="200"/>
      </w:r>
      <w:r w:rsidRPr="00505CF0">
        <w:rPr>
          <w:rFonts w:asciiTheme="majorBidi" w:hAnsiTheme="majorBidi" w:cstheme="majorBidi"/>
          <w:sz w:val="24"/>
          <w:szCs w:val="24"/>
        </w:rPr>
        <w:t xml:space="preserve"> ‘there is no misery, violence, prejudice or despair in a[n old] Hovis ad.’</w:t>
      </w:r>
      <w:r w:rsidRPr="00505CF0">
        <w:rPr>
          <w:rStyle w:val="FootnoteReference"/>
          <w:rFonts w:asciiTheme="majorBidi" w:hAnsiTheme="majorBidi" w:cstheme="majorBidi"/>
          <w:sz w:val="24"/>
          <w:szCs w:val="24"/>
        </w:rPr>
        <w:footnoteReference w:id="201"/>
      </w:r>
      <w:r w:rsidRPr="00505CF0">
        <w:rPr>
          <w:rFonts w:asciiTheme="majorBidi" w:hAnsiTheme="majorBidi" w:cstheme="majorBidi"/>
          <w:sz w:val="24"/>
          <w:szCs w:val="24"/>
        </w:rPr>
        <w:t xml:space="preserve"> Nostalgia, as described by Susan Stewart, denies the sentiment of dystopian resignation by its very utopian nature, wearing ‘a distinctly utopian face,’</w:t>
      </w:r>
      <w:r w:rsidRPr="00505CF0">
        <w:rPr>
          <w:rStyle w:val="FootnoteReference"/>
          <w:rFonts w:asciiTheme="majorBidi" w:hAnsiTheme="majorBidi" w:cstheme="majorBidi"/>
          <w:sz w:val="24"/>
          <w:szCs w:val="24"/>
        </w:rPr>
        <w:footnoteReference w:id="202"/>
      </w:r>
      <w:r w:rsidRPr="00505CF0">
        <w:rPr>
          <w:rFonts w:asciiTheme="majorBidi" w:hAnsiTheme="majorBidi" w:cstheme="majorBidi"/>
          <w:sz w:val="24"/>
          <w:szCs w:val="24"/>
        </w:rPr>
        <w:t xml:space="preserve"> while the narrative process of nostalgic reconstruction denies the present, and all its maladies, and gives authenticity to the rose-tinted past.</w:t>
      </w:r>
      <w:r w:rsidRPr="00505CF0">
        <w:rPr>
          <w:rStyle w:val="FootnoteReference"/>
          <w:rFonts w:asciiTheme="majorBidi" w:hAnsiTheme="majorBidi" w:cstheme="majorBidi"/>
          <w:sz w:val="24"/>
          <w:szCs w:val="24"/>
        </w:rPr>
        <w:footnoteReference w:id="203"/>
      </w:r>
      <w:r w:rsidRPr="00505CF0">
        <w:rPr>
          <w:rFonts w:asciiTheme="majorBidi" w:hAnsiTheme="majorBidi" w:cstheme="majorBidi"/>
          <w:sz w:val="24"/>
          <w:szCs w:val="24"/>
        </w:rPr>
        <w:t xml:space="preserve"> Dystopian resignation thus leads to a desperate utopian desire for movement and progress, a sincerity of action, and the proliferation of nostalgic yearnings, all as escapism from the present. We forge ahead without asking where to, and look back without truly analysing where from, in a frantic, anxious endeavour to escape the contemporary, all of which leads us to the final component in our analysis contemporary culture: Infantilization. For, as Goldhill writes:</w:t>
      </w:r>
    </w:p>
    <w:p w14:paraId="71178DF7" w14:textId="77777777" w:rsidR="00C111D3" w:rsidRPr="00505CF0" w:rsidRDefault="00C111D3" w:rsidP="004C3EE0">
      <w:pPr>
        <w:spacing w:line="240" w:lineRule="auto"/>
        <w:jc w:val="both"/>
        <w:rPr>
          <w:rFonts w:asciiTheme="majorBidi" w:hAnsiTheme="majorBidi" w:cstheme="majorBidi"/>
          <w:sz w:val="24"/>
          <w:szCs w:val="24"/>
        </w:rPr>
      </w:pPr>
    </w:p>
    <w:p w14:paraId="2FAE349E" w14:textId="77777777" w:rsidR="00C111D3" w:rsidRPr="00505CF0" w:rsidRDefault="00C111D3" w:rsidP="004C3EE0">
      <w:pPr>
        <w:spacing w:line="240" w:lineRule="auto"/>
        <w:ind w:left="720" w:right="720"/>
        <w:jc w:val="both"/>
        <w:rPr>
          <w:rFonts w:asciiTheme="majorBidi" w:hAnsiTheme="majorBidi" w:cstheme="majorBidi"/>
          <w:i/>
          <w:iCs/>
          <w:sz w:val="24"/>
          <w:szCs w:val="24"/>
        </w:rPr>
      </w:pPr>
      <w:r w:rsidRPr="00505CF0">
        <w:rPr>
          <w:rFonts w:asciiTheme="majorBidi" w:hAnsiTheme="majorBidi" w:cstheme="majorBidi"/>
          <w:sz w:val="24"/>
          <w:szCs w:val="24"/>
        </w:rPr>
        <w:t xml:space="preserve">When we forget that the questions “where have we come from?” and “where we going?” are integrally linked, we drastically reduce our chances of self-understanding or effective action. If we oversimplify history, we will live – as both Cicero and Kant predicted – </w:t>
      </w:r>
      <w:r w:rsidRPr="00505CF0">
        <w:rPr>
          <w:rFonts w:asciiTheme="majorBidi" w:hAnsiTheme="majorBidi" w:cstheme="majorBidi"/>
          <w:i/>
          <w:iCs/>
          <w:sz w:val="24"/>
          <w:szCs w:val="24"/>
        </w:rPr>
        <w:t>with the shallow mindfulness of children.</w:t>
      </w:r>
      <w:r w:rsidRPr="00505CF0">
        <w:rPr>
          <w:rStyle w:val="FootnoteReference"/>
          <w:rFonts w:asciiTheme="majorBidi" w:hAnsiTheme="majorBidi" w:cstheme="majorBidi"/>
          <w:i/>
          <w:iCs/>
          <w:sz w:val="24"/>
          <w:szCs w:val="24"/>
        </w:rPr>
        <w:footnoteReference w:id="204"/>
      </w:r>
    </w:p>
    <w:p w14:paraId="0A92B6FD" w14:textId="77777777" w:rsidR="00C46C73" w:rsidRPr="00505CF0" w:rsidRDefault="00C46C73" w:rsidP="004C3EE0">
      <w:pPr>
        <w:spacing w:line="240" w:lineRule="auto"/>
        <w:ind w:right="720"/>
        <w:jc w:val="both"/>
        <w:rPr>
          <w:rFonts w:asciiTheme="majorBidi" w:eastAsia="Times New Roman" w:hAnsiTheme="majorBidi" w:cstheme="majorBidi"/>
          <w:b/>
          <w:sz w:val="28"/>
          <w:szCs w:val="28"/>
          <w:lang w:eastAsia="en-US"/>
        </w:rPr>
      </w:pPr>
    </w:p>
    <w:p w14:paraId="37FCC5BA" w14:textId="77777777" w:rsidR="00C46C73" w:rsidRDefault="00C46C73" w:rsidP="004C3EE0">
      <w:pPr>
        <w:spacing w:line="240" w:lineRule="auto"/>
        <w:ind w:right="720"/>
        <w:jc w:val="both"/>
        <w:rPr>
          <w:rFonts w:asciiTheme="majorBidi" w:eastAsia="Times New Roman" w:hAnsiTheme="majorBidi" w:cstheme="majorBidi"/>
          <w:b/>
          <w:sz w:val="28"/>
          <w:szCs w:val="28"/>
          <w:lang w:eastAsia="en-US"/>
        </w:rPr>
      </w:pPr>
    </w:p>
    <w:p w14:paraId="23DD6BA6" w14:textId="77777777" w:rsidR="00967358" w:rsidRDefault="00967358" w:rsidP="004C3EE0">
      <w:pPr>
        <w:spacing w:line="240" w:lineRule="auto"/>
        <w:ind w:right="720"/>
        <w:jc w:val="both"/>
        <w:rPr>
          <w:rFonts w:asciiTheme="majorBidi" w:eastAsia="Times New Roman" w:hAnsiTheme="majorBidi" w:cstheme="majorBidi"/>
          <w:b/>
          <w:sz w:val="28"/>
          <w:szCs w:val="28"/>
          <w:lang w:eastAsia="en-US"/>
        </w:rPr>
      </w:pPr>
    </w:p>
    <w:p w14:paraId="5812B98D" w14:textId="77777777" w:rsidR="00955756" w:rsidRPr="00505CF0" w:rsidRDefault="00955756" w:rsidP="004C3EE0">
      <w:pPr>
        <w:spacing w:line="240" w:lineRule="auto"/>
        <w:ind w:right="720"/>
        <w:jc w:val="both"/>
        <w:rPr>
          <w:rFonts w:asciiTheme="majorBidi" w:eastAsia="Times New Roman" w:hAnsiTheme="majorBidi" w:cstheme="majorBidi"/>
          <w:b/>
          <w:sz w:val="28"/>
          <w:szCs w:val="28"/>
          <w:lang w:eastAsia="en-US"/>
        </w:rPr>
      </w:pPr>
    </w:p>
    <w:p w14:paraId="63155DC2" w14:textId="5C02CC74" w:rsidR="00C111D3" w:rsidRPr="00505CF0" w:rsidRDefault="00C111D3" w:rsidP="004C3EE0">
      <w:pPr>
        <w:spacing w:line="240" w:lineRule="auto"/>
        <w:ind w:right="720"/>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 xml:space="preserve">2.5 </w:t>
      </w:r>
      <w:r w:rsidRPr="00505CF0">
        <w:rPr>
          <w:rFonts w:asciiTheme="majorBidi" w:eastAsia="Times New Roman" w:hAnsiTheme="majorBidi" w:cstheme="majorBidi"/>
          <w:b/>
          <w:sz w:val="28"/>
          <w:szCs w:val="28"/>
          <w:lang w:eastAsia="en-US"/>
        </w:rPr>
        <w:tab/>
        <w:t>Infantilization</w:t>
      </w:r>
    </w:p>
    <w:p w14:paraId="00777362" w14:textId="77777777" w:rsidR="00967358" w:rsidRPr="00505CF0" w:rsidRDefault="00967358" w:rsidP="004C3EE0">
      <w:pPr>
        <w:spacing w:line="480" w:lineRule="auto"/>
        <w:ind w:right="720"/>
        <w:jc w:val="both"/>
        <w:rPr>
          <w:rFonts w:asciiTheme="majorBidi" w:eastAsia="Times New Roman" w:hAnsiTheme="majorBidi" w:cstheme="majorBidi"/>
          <w:b/>
          <w:sz w:val="28"/>
          <w:szCs w:val="28"/>
          <w:lang w:eastAsia="en-US"/>
        </w:rPr>
      </w:pPr>
    </w:p>
    <w:p w14:paraId="2B84DFA7"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In conjuncture with the spread of nostalgic sentiment, post-postmodern society is defined by an indefinitely extended nonage (</w:t>
      </w:r>
      <w:r w:rsidRPr="00505CF0">
        <w:rPr>
          <w:rFonts w:asciiTheme="majorBidi" w:eastAsia="Times New Roman" w:hAnsiTheme="majorBidi" w:cstheme="majorBidi"/>
          <w:bCs/>
          <w:i/>
          <w:iCs/>
          <w:sz w:val="24"/>
          <w:szCs w:val="24"/>
          <w:lang w:eastAsia="en-US"/>
        </w:rPr>
        <w:t xml:space="preserve">non sapere aude!), </w:t>
      </w:r>
      <w:r w:rsidRPr="00505CF0">
        <w:rPr>
          <w:rFonts w:asciiTheme="majorBidi" w:eastAsia="Times New Roman" w:hAnsiTheme="majorBidi" w:cstheme="majorBidi"/>
          <w:bCs/>
          <w:sz w:val="24"/>
          <w:szCs w:val="24"/>
          <w:lang w:eastAsia="en-US"/>
        </w:rPr>
        <w:t xml:space="preserve">that is to say, by infantilization. </w:t>
      </w:r>
    </w:p>
    <w:p w14:paraId="2384DA71" w14:textId="43F9EEC0" w:rsidR="00C111D3" w:rsidRPr="00505CF0" w:rsidRDefault="00C111D3" w:rsidP="004C3EE0">
      <w:pPr>
        <w:spacing w:line="480" w:lineRule="auto"/>
        <w:ind w:firstLine="720"/>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The comforts</w:t>
      </w:r>
      <w:r w:rsidR="00B92441">
        <w:rPr>
          <w:rFonts w:asciiTheme="majorBidi" w:eastAsia="Times New Roman" w:hAnsiTheme="majorBidi" w:cstheme="majorBidi"/>
          <w:bCs/>
          <w:sz w:val="24"/>
          <w:szCs w:val="24"/>
          <w:lang w:eastAsia="en-US"/>
        </w:rPr>
        <w:t xml:space="preserve"> of nostalgia</w:t>
      </w:r>
      <w:r w:rsidRPr="00505CF0">
        <w:rPr>
          <w:rFonts w:asciiTheme="majorBidi" w:eastAsia="Times New Roman" w:hAnsiTheme="majorBidi" w:cstheme="majorBidi"/>
          <w:bCs/>
          <w:sz w:val="24"/>
          <w:szCs w:val="24"/>
          <w:lang w:eastAsia="en-US"/>
        </w:rPr>
        <w:t xml:space="preserve">, </w:t>
      </w:r>
      <w:r w:rsidR="00B92441">
        <w:rPr>
          <w:rFonts w:asciiTheme="majorBidi" w:eastAsia="Times New Roman" w:hAnsiTheme="majorBidi" w:cstheme="majorBidi"/>
          <w:bCs/>
          <w:sz w:val="24"/>
          <w:szCs w:val="24"/>
          <w:lang w:eastAsia="en-US"/>
        </w:rPr>
        <w:t>it seems</w:t>
      </w:r>
      <w:r w:rsidRPr="00505CF0">
        <w:rPr>
          <w:rFonts w:asciiTheme="majorBidi" w:eastAsia="Times New Roman" w:hAnsiTheme="majorBidi" w:cstheme="majorBidi"/>
          <w:bCs/>
          <w:sz w:val="24"/>
          <w:szCs w:val="24"/>
          <w:lang w:eastAsia="en-US"/>
        </w:rPr>
        <w:t xml:space="preserve">, have less in common with revisiting the securities of an idyllic </w:t>
      </w:r>
      <w:r w:rsidRPr="00505CF0">
        <w:rPr>
          <w:rFonts w:asciiTheme="majorBidi" w:eastAsia="Times New Roman" w:hAnsiTheme="majorBidi" w:cstheme="majorBidi"/>
          <w:bCs/>
          <w:i/>
          <w:iCs/>
          <w:sz w:val="24"/>
          <w:szCs w:val="24"/>
          <w:lang w:eastAsia="en-US"/>
        </w:rPr>
        <w:t>past</w:t>
      </w:r>
      <w:r w:rsidRPr="00505CF0">
        <w:rPr>
          <w:rFonts w:asciiTheme="majorBidi" w:eastAsia="Times New Roman" w:hAnsiTheme="majorBidi" w:cstheme="majorBidi"/>
          <w:bCs/>
          <w:sz w:val="24"/>
          <w:szCs w:val="24"/>
          <w:lang w:eastAsia="en-US"/>
        </w:rPr>
        <w:t xml:space="preserve">, but instead reveal a contemporary desire for, and fixation on re-visiting, the </w:t>
      </w:r>
      <w:r w:rsidRPr="00505CF0">
        <w:rPr>
          <w:rFonts w:asciiTheme="majorBidi" w:eastAsia="Times New Roman" w:hAnsiTheme="majorBidi" w:cstheme="majorBidi"/>
          <w:bCs/>
          <w:sz w:val="24"/>
          <w:szCs w:val="24"/>
          <w:lang w:eastAsia="en-US"/>
        </w:rPr>
        <w:lastRenderedPageBreak/>
        <w:t xml:space="preserve">blissful ignorance of </w:t>
      </w:r>
      <w:r w:rsidRPr="00505CF0">
        <w:rPr>
          <w:rFonts w:asciiTheme="majorBidi" w:eastAsia="Times New Roman" w:hAnsiTheme="majorBidi" w:cstheme="majorBidi"/>
          <w:bCs/>
          <w:i/>
          <w:iCs/>
          <w:sz w:val="24"/>
          <w:szCs w:val="24"/>
          <w:lang w:eastAsia="en-US"/>
        </w:rPr>
        <w:t>childhood.</w:t>
      </w:r>
      <w:r w:rsidR="001E3C4B" w:rsidRPr="001E3C4B">
        <w:rPr>
          <w:rStyle w:val="FootnoteReference"/>
          <w:rFonts w:asciiTheme="majorBidi" w:eastAsia="Times New Roman" w:hAnsiTheme="majorBidi" w:cstheme="majorBidi"/>
          <w:bCs/>
          <w:sz w:val="24"/>
          <w:szCs w:val="24"/>
          <w:lang w:eastAsia="en-US"/>
        </w:rPr>
        <w:footnoteReference w:id="205"/>
      </w:r>
      <w:r w:rsidRPr="00505CF0">
        <w:rPr>
          <w:rFonts w:asciiTheme="majorBidi" w:eastAsia="Times New Roman" w:hAnsiTheme="majorBidi" w:cstheme="majorBidi"/>
          <w:bCs/>
          <w:sz w:val="24"/>
          <w:szCs w:val="24"/>
          <w:lang w:eastAsia="en-US"/>
        </w:rPr>
        <w:t xml:space="preserve"> ‘The longing for childhood,’ writes Sturgeon, ‘is a broad cultural disposition,’ and leads to both culture induced and self-induced infantilism in an attempt to obtain said childhoods.</w:t>
      </w:r>
      <w:r w:rsidRPr="00505CF0">
        <w:rPr>
          <w:rFonts w:asciiTheme="majorBidi" w:eastAsia="Times New Roman" w:hAnsiTheme="majorBidi" w:cstheme="majorBidi"/>
          <w:bCs/>
          <w:sz w:val="24"/>
          <w:szCs w:val="24"/>
          <w:vertAlign w:val="superscript"/>
          <w:lang w:eastAsia="en-US"/>
        </w:rPr>
        <w:t xml:space="preserve"> </w:t>
      </w:r>
      <w:r w:rsidRPr="00505CF0">
        <w:rPr>
          <w:rFonts w:asciiTheme="majorBidi" w:eastAsia="Times New Roman" w:hAnsiTheme="majorBidi" w:cstheme="majorBidi"/>
          <w:bCs/>
          <w:sz w:val="24"/>
          <w:szCs w:val="24"/>
          <w:vertAlign w:val="superscript"/>
          <w:lang w:eastAsia="en-US"/>
        </w:rPr>
        <w:footnoteReference w:id="206"/>
      </w:r>
      <w:r w:rsidRPr="00505CF0">
        <w:rPr>
          <w:rFonts w:asciiTheme="majorBidi" w:eastAsia="Times New Roman" w:hAnsiTheme="majorBidi" w:cstheme="majorBidi"/>
          <w:bCs/>
          <w:sz w:val="24"/>
          <w:szCs w:val="24"/>
          <w:lang w:eastAsia="en-US"/>
        </w:rPr>
        <w:t xml:space="preserve"> Sturgeon is far from the only critic to note the rising tide of infantilism in contemporary culture. Kit Wilson, for one, points to a specific example of the way we seek to make western society ‘blinkered, mindless and immature,’</w:t>
      </w:r>
      <w:r w:rsidRPr="00505CF0">
        <w:rPr>
          <w:rFonts w:asciiTheme="majorBidi" w:eastAsia="Times New Roman" w:hAnsiTheme="majorBidi" w:cstheme="majorBidi"/>
          <w:bCs/>
          <w:sz w:val="24"/>
          <w:szCs w:val="24"/>
          <w:vertAlign w:val="superscript"/>
          <w:lang w:eastAsia="en-US"/>
        </w:rPr>
        <w:footnoteReference w:id="207"/>
      </w:r>
      <w:r w:rsidRPr="00505CF0">
        <w:rPr>
          <w:rFonts w:asciiTheme="majorBidi" w:eastAsia="Times New Roman" w:hAnsiTheme="majorBidi" w:cstheme="majorBidi"/>
          <w:bCs/>
          <w:sz w:val="24"/>
          <w:szCs w:val="24"/>
          <w:lang w:eastAsia="en-US"/>
        </w:rPr>
        <w:t xml:space="preserve"> by highlighting current trends in company nomenclature:</w:t>
      </w:r>
    </w:p>
    <w:p w14:paraId="3ABCF38C" w14:textId="77777777" w:rsidR="00C111D3" w:rsidRPr="00505CF0" w:rsidRDefault="00C111D3" w:rsidP="004C3EE0">
      <w:pPr>
        <w:keepNext/>
        <w:tabs>
          <w:tab w:val="left" w:pos="720"/>
        </w:tabs>
        <w:spacing w:line="240" w:lineRule="auto"/>
        <w:ind w:left="720" w:right="720"/>
        <w:jc w:val="both"/>
        <w:outlineLvl w:val="2"/>
        <w:rPr>
          <w:rFonts w:asciiTheme="majorBidi" w:eastAsia="Times New Roman" w:hAnsiTheme="majorBidi" w:cstheme="majorBidi"/>
          <w:bCs/>
          <w:sz w:val="24"/>
          <w:szCs w:val="24"/>
          <w:lang w:eastAsia="en-US"/>
        </w:rPr>
      </w:pPr>
    </w:p>
    <w:p w14:paraId="7DD81B2C" w14:textId="752C601E" w:rsidR="00C111D3" w:rsidRPr="00505CF0" w:rsidRDefault="00C111D3" w:rsidP="004C3EE0">
      <w:pPr>
        <w:keepNext/>
        <w:tabs>
          <w:tab w:val="left" w:pos="720"/>
        </w:tabs>
        <w:spacing w:line="240" w:lineRule="auto"/>
        <w:ind w:left="720" w:right="720"/>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Look at the way today’s businesses choose to market </w:t>
      </w:r>
      <w:proofErr w:type="gramStart"/>
      <w:r w:rsidRPr="00505CF0">
        <w:rPr>
          <w:rFonts w:asciiTheme="majorBidi" w:eastAsia="Times New Roman" w:hAnsiTheme="majorBidi" w:cstheme="majorBidi"/>
          <w:bCs/>
          <w:sz w:val="24"/>
          <w:szCs w:val="24"/>
          <w:lang w:eastAsia="en-US"/>
        </w:rPr>
        <w:t>themselves</w:t>
      </w:r>
      <w:proofErr w:type="gramEnd"/>
      <w:r w:rsidRPr="00505CF0">
        <w:rPr>
          <w:rFonts w:asciiTheme="majorBidi" w:eastAsia="Times New Roman" w:hAnsiTheme="majorBidi" w:cstheme="majorBidi"/>
          <w:bCs/>
          <w:sz w:val="24"/>
          <w:szCs w:val="24"/>
          <w:lang w:eastAsia="en-US"/>
        </w:rPr>
        <w:t xml:space="preserve">. They invent names that imitate the nonsense words of babies: Zoopla, Giffgaff, Google, </w:t>
      </w:r>
      <w:proofErr w:type="gramStart"/>
      <w:r w:rsidRPr="00505CF0">
        <w:rPr>
          <w:rFonts w:asciiTheme="majorBidi" w:eastAsia="Times New Roman" w:hAnsiTheme="majorBidi" w:cstheme="majorBidi"/>
          <w:bCs/>
          <w:sz w:val="24"/>
          <w:szCs w:val="24"/>
          <w:lang w:eastAsia="en-US"/>
        </w:rPr>
        <w:t>Trivago</w:t>
      </w:r>
      <w:proofErr w:type="gramEnd"/>
      <w:r w:rsidRPr="00505CF0">
        <w:rPr>
          <w:rFonts w:asciiTheme="majorBidi" w:eastAsia="Times New Roman" w:hAnsiTheme="majorBidi" w:cstheme="majorBidi"/>
          <w:bCs/>
          <w:sz w:val="24"/>
          <w:szCs w:val="24"/>
          <w:lang w:eastAsia="en-US"/>
        </w:rPr>
        <w:t xml:space="preserve">. They deliberately botch grammar in their slogans to sound naïve and cutesy: “Find your happy”, “Be differenter”, “The joy of done”. They </w:t>
      </w:r>
      <w:proofErr w:type="gramStart"/>
      <w:r w:rsidRPr="00505CF0">
        <w:rPr>
          <w:rFonts w:asciiTheme="majorBidi" w:eastAsia="Times New Roman" w:hAnsiTheme="majorBidi" w:cstheme="majorBidi"/>
          <w:bCs/>
          <w:sz w:val="24"/>
          <w:szCs w:val="24"/>
          <w:lang w:eastAsia="en-US"/>
        </w:rPr>
        <w:t xml:space="preserve">make </w:t>
      </w:r>
      <w:r w:rsidR="00A37207" w:rsidRPr="00505CF0">
        <w:rPr>
          <w:rFonts w:asciiTheme="majorBidi" w:eastAsia="Times New Roman" w:hAnsiTheme="majorBidi" w:cstheme="majorBidi"/>
          <w:bCs/>
          <w:sz w:val="24"/>
          <w:szCs w:val="24"/>
          <w:lang w:eastAsia="en-US"/>
        </w:rPr>
        <w:t xml:space="preserve"> t</w:t>
      </w:r>
      <w:r w:rsidRPr="00505CF0">
        <w:rPr>
          <w:rFonts w:asciiTheme="majorBidi" w:eastAsia="Times New Roman" w:hAnsiTheme="majorBidi" w:cstheme="majorBidi"/>
          <w:bCs/>
          <w:sz w:val="24"/>
          <w:szCs w:val="24"/>
          <w:lang w:eastAsia="en-US"/>
        </w:rPr>
        <w:t>heir</w:t>
      </w:r>
      <w:proofErr w:type="gramEnd"/>
      <w:r w:rsidRPr="00505CF0">
        <w:rPr>
          <w:rFonts w:asciiTheme="majorBidi" w:eastAsia="Times New Roman" w:hAnsiTheme="majorBidi" w:cstheme="majorBidi"/>
          <w:bCs/>
          <w:sz w:val="24"/>
          <w:szCs w:val="24"/>
          <w:lang w:eastAsia="en-US"/>
        </w:rPr>
        <w:t xml:space="preserve"> advertisements and logos twee and ironic — a twirly moustache here, a talking dog there — just to show how carefree and fun they are.</w:t>
      </w:r>
      <w:r w:rsidRPr="00505CF0">
        <w:rPr>
          <w:rFonts w:asciiTheme="majorBidi" w:eastAsia="Times New Roman" w:hAnsiTheme="majorBidi" w:cstheme="majorBidi"/>
          <w:bCs/>
          <w:sz w:val="24"/>
          <w:szCs w:val="24"/>
          <w:vertAlign w:val="superscript"/>
          <w:lang w:eastAsia="en-US"/>
        </w:rPr>
        <w:footnoteReference w:id="208"/>
      </w:r>
    </w:p>
    <w:p w14:paraId="6697549A" w14:textId="77777777" w:rsidR="00C111D3" w:rsidRPr="00505CF0" w:rsidRDefault="00C111D3" w:rsidP="004C3EE0">
      <w:pPr>
        <w:keepNext/>
        <w:tabs>
          <w:tab w:val="left" w:pos="720"/>
        </w:tabs>
        <w:spacing w:line="480" w:lineRule="auto"/>
        <w:ind w:left="720" w:right="720"/>
        <w:jc w:val="both"/>
        <w:outlineLvl w:val="2"/>
        <w:rPr>
          <w:rFonts w:asciiTheme="majorBidi" w:eastAsia="Times New Roman" w:hAnsiTheme="majorBidi" w:cstheme="majorBidi"/>
          <w:bCs/>
          <w:sz w:val="24"/>
          <w:szCs w:val="24"/>
          <w:lang w:eastAsia="en-US"/>
        </w:rPr>
      </w:pPr>
    </w:p>
    <w:p w14:paraId="56958E42" w14:textId="2C7EA674"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The west, Wilson argues, is an increasingly infantile society, a sentiment furthered by Diana West who, in an interview for the launch of her latest book </w:t>
      </w:r>
      <w:r w:rsidRPr="00505CF0">
        <w:rPr>
          <w:rFonts w:asciiTheme="majorBidi" w:eastAsia="Times New Roman" w:hAnsiTheme="majorBidi" w:cstheme="majorBidi"/>
          <w:bCs/>
          <w:i/>
          <w:iCs/>
          <w:sz w:val="24"/>
          <w:szCs w:val="24"/>
          <w:lang w:eastAsia="en-US"/>
        </w:rPr>
        <w:t>The Death of the Grown-Up</w:t>
      </w:r>
      <w:r w:rsidRPr="00505CF0">
        <w:rPr>
          <w:rFonts w:asciiTheme="majorBidi" w:eastAsia="Times New Roman" w:hAnsiTheme="majorBidi" w:cstheme="majorBidi"/>
          <w:bCs/>
          <w:sz w:val="24"/>
          <w:szCs w:val="24"/>
          <w:lang w:eastAsia="en-US"/>
        </w:rPr>
        <w:t>, describes the current epoch as the “Era of the Perpetual Adolescent.”</w:t>
      </w:r>
      <w:r w:rsidRPr="00505CF0">
        <w:rPr>
          <w:rFonts w:asciiTheme="majorBidi" w:eastAsia="Times New Roman" w:hAnsiTheme="majorBidi" w:cstheme="majorBidi"/>
          <w:bCs/>
          <w:sz w:val="24"/>
          <w:szCs w:val="24"/>
          <w:vertAlign w:val="superscript"/>
          <w:lang w:eastAsia="en-US"/>
        </w:rPr>
        <w:footnoteReference w:id="209"/>
      </w:r>
      <w:r w:rsidRPr="00505CF0">
        <w:rPr>
          <w:rFonts w:asciiTheme="majorBidi" w:eastAsia="Times New Roman" w:hAnsiTheme="majorBidi" w:cstheme="majorBidi"/>
          <w:bCs/>
          <w:sz w:val="24"/>
          <w:szCs w:val="24"/>
          <w:lang w:eastAsia="en-US"/>
        </w:rPr>
        <w:t xml:space="preserve"> She continues that “the cultural distinctions between children and adults “–who dress the same, all say “cool,” and even watch cartoons–” have “disappeared,” with current generations becoming “extremely immature, in fact, downright childish” in nature.</w:t>
      </w:r>
      <w:r w:rsidRPr="00505CF0">
        <w:rPr>
          <w:rFonts w:asciiTheme="majorBidi" w:eastAsia="Times New Roman" w:hAnsiTheme="majorBidi" w:cstheme="majorBidi"/>
          <w:bCs/>
          <w:sz w:val="24"/>
          <w:szCs w:val="24"/>
          <w:vertAlign w:val="superscript"/>
          <w:lang w:eastAsia="en-US"/>
        </w:rPr>
        <w:footnoteReference w:id="210"/>
      </w:r>
      <w:r w:rsidRPr="00505CF0">
        <w:rPr>
          <w:rFonts w:asciiTheme="majorBidi" w:eastAsia="Times New Roman" w:hAnsiTheme="majorBidi" w:cstheme="majorBidi"/>
          <w:bCs/>
          <w:sz w:val="24"/>
          <w:szCs w:val="24"/>
          <w:lang w:eastAsia="en-US"/>
        </w:rPr>
        <w:t xml:space="preserve"> West argues for a blurring of the lines between adult and child, suggestive less of a society who have been infantilized and more of a persistent arrested development of adulthood. The transitory moment between </w:t>
      </w:r>
      <w:r w:rsidRPr="00505CF0">
        <w:rPr>
          <w:rFonts w:asciiTheme="majorBidi" w:eastAsia="Times New Roman" w:hAnsiTheme="majorBidi" w:cstheme="majorBidi"/>
          <w:bCs/>
          <w:sz w:val="24"/>
          <w:szCs w:val="24"/>
          <w:lang w:eastAsia="en-US"/>
        </w:rPr>
        <w:lastRenderedPageBreak/>
        <w:t>childhood and adulthood, or more specifically adolescence, has become the dominant cap on maturity. Erick da Silva too claims that adolescence has become a ‘state that is no longer transitional but a frame of mind to be sustained long past one's teenage years,’</w:t>
      </w:r>
      <w:r w:rsidRPr="00505CF0">
        <w:rPr>
          <w:rFonts w:asciiTheme="majorBidi" w:eastAsia="Times New Roman" w:hAnsiTheme="majorBidi" w:cstheme="majorBidi"/>
          <w:bCs/>
          <w:sz w:val="24"/>
          <w:szCs w:val="24"/>
          <w:vertAlign w:val="superscript"/>
          <w:lang w:eastAsia="en-US"/>
        </w:rPr>
        <w:footnoteReference w:id="211"/>
      </w:r>
      <w:r w:rsidRPr="00505CF0">
        <w:rPr>
          <w:rFonts w:asciiTheme="majorBidi" w:eastAsia="Times New Roman" w:hAnsiTheme="majorBidi" w:cstheme="majorBidi"/>
          <w:bCs/>
          <w:sz w:val="24"/>
          <w:szCs w:val="24"/>
          <w:lang w:eastAsia="en-US"/>
        </w:rPr>
        <w:t xml:space="preserve"> citing the increasingly juvenile themes characterizing modern cinema as evidence: ‘the most successful productions in the past two decades have been adaptations of comic books, Disney movies, and so on.’</w:t>
      </w:r>
      <w:r w:rsidRPr="00505CF0">
        <w:rPr>
          <w:rFonts w:asciiTheme="majorBidi" w:eastAsia="Times New Roman" w:hAnsiTheme="majorBidi" w:cstheme="majorBidi"/>
          <w:bCs/>
          <w:sz w:val="24"/>
          <w:szCs w:val="24"/>
          <w:vertAlign w:val="superscript"/>
          <w:lang w:eastAsia="en-US"/>
        </w:rPr>
        <w:footnoteReference w:id="212"/>
      </w:r>
      <w:r w:rsidRPr="00505CF0">
        <w:rPr>
          <w:rFonts w:asciiTheme="majorBidi" w:eastAsia="Times New Roman" w:hAnsiTheme="majorBidi" w:cstheme="majorBidi"/>
          <w:bCs/>
          <w:sz w:val="24"/>
          <w:szCs w:val="24"/>
          <w:lang w:eastAsia="en-US"/>
        </w:rPr>
        <w:t xml:space="preserve"> Da Silva also puts forward Jacapo Bernardini’s observations that the “adult uniform” no longer exists in contemporary society, with men no longer having a distinct dress sensibility from their own children, while women are described as being in thrall to ‘an industry catering to the sole purpose of restoring their lost youth […] botox injections, rejuvenating creams, sexual enhancement drugs, etc have all become unquestionably mainstream and accessible,’ all in attempt to desperately cling to ‘a fetishized ideal of youth.’</w:t>
      </w:r>
      <w:r w:rsidRPr="00505CF0">
        <w:rPr>
          <w:rFonts w:asciiTheme="majorBidi" w:eastAsia="Times New Roman" w:hAnsiTheme="majorBidi" w:cstheme="majorBidi"/>
          <w:bCs/>
          <w:sz w:val="24"/>
          <w:szCs w:val="24"/>
          <w:vertAlign w:val="superscript"/>
          <w:lang w:eastAsia="en-US"/>
        </w:rPr>
        <w:footnoteReference w:id="213"/>
      </w:r>
      <w:r w:rsidRPr="00505CF0">
        <w:rPr>
          <w:rFonts w:asciiTheme="majorBidi" w:eastAsia="Times New Roman" w:hAnsiTheme="majorBidi" w:cstheme="majorBidi"/>
          <w:bCs/>
          <w:sz w:val="24"/>
          <w:szCs w:val="24"/>
          <w:lang w:eastAsia="en-US"/>
        </w:rPr>
        <w:t xml:space="preserve"> Bernardini’s argument also highlights the significant differences between the infantilization of binary genders in contemporary society, and introduces the damaging nature of the way in which the infantilization of women is identified. While infantilization is a problematic and wide-spread phenomenon, it is most often significantly women who are targeted by the commentary, where, as Lisa Wade states, society demands that ‘youth, inexperience, and naiveté [should be found] sexy in women, but not in men.’</w:t>
      </w:r>
      <w:r w:rsidRPr="00505CF0">
        <w:rPr>
          <w:rStyle w:val="FootnoteReference"/>
          <w:rFonts w:asciiTheme="majorBidi" w:eastAsia="Times New Roman" w:hAnsiTheme="majorBidi" w:cstheme="majorBidi"/>
          <w:bCs/>
          <w:sz w:val="24"/>
          <w:szCs w:val="24"/>
          <w:lang w:eastAsia="en-US"/>
        </w:rPr>
        <w:footnoteReference w:id="214"/>
      </w:r>
      <w:r w:rsidRPr="00505CF0">
        <w:rPr>
          <w:rFonts w:asciiTheme="majorBidi" w:eastAsia="Times New Roman" w:hAnsiTheme="majorBidi" w:cstheme="majorBidi"/>
          <w:bCs/>
          <w:sz w:val="24"/>
          <w:szCs w:val="24"/>
          <w:lang w:eastAsia="en-US"/>
        </w:rPr>
        <w:t xml:space="preserve"> Wade rightly asserts that this reinforces a power and status difference between the sexes, ‘where vulnerability, weakness, and dependency and their opposites are gendered traits’ desirable in women, but not in men, as a way to ‘remind women of their prescribed social position relative to men.’</w:t>
      </w:r>
      <w:r w:rsidRPr="00505CF0">
        <w:rPr>
          <w:rStyle w:val="FootnoteReference"/>
          <w:rFonts w:asciiTheme="majorBidi" w:eastAsia="Times New Roman" w:hAnsiTheme="majorBidi" w:cstheme="majorBidi"/>
          <w:bCs/>
          <w:sz w:val="24"/>
          <w:szCs w:val="24"/>
          <w:lang w:eastAsia="en-US"/>
        </w:rPr>
        <w:footnoteReference w:id="215"/>
      </w:r>
      <w:r w:rsidRPr="00505CF0">
        <w:rPr>
          <w:rFonts w:asciiTheme="majorBidi" w:eastAsia="Times New Roman" w:hAnsiTheme="majorBidi" w:cstheme="majorBidi"/>
          <w:bCs/>
          <w:sz w:val="24"/>
          <w:szCs w:val="24"/>
          <w:lang w:eastAsia="en-US"/>
        </w:rPr>
        <w:t xml:space="preserve"> Allen Marshall O’Brien identifies the infantilization as ‘</w:t>
      </w:r>
      <w:proofErr w:type="gramStart"/>
      <w:r w:rsidRPr="00505CF0">
        <w:rPr>
          <w:rFonts w:asciiTheme="majorBidi" w:eastAsia="Times New Roman" w:hAnsiTheme="majorBidi" w:cstheme="majorBidi"/>
          <w:bCs/>
          <w:sz w:val="24"/>
          <w:szCs w:val="24"/>
          <w:lang w:eastAsia="en-US"/>
        </w:rPr>
        <w:t>an</w:t>
      </w:r>
      <w:proofErr w:type="gramEnd"/>
      <w:r w:rsidRPr="00505CF0">
        <w:rPr>
          <w:rFonts w:asciiTheme="majorBidi" w:eastAsia="Times New Roman" w:hAnsiTheme="majorBidi" w:cstheme="majorBidi"/>
          <w:bCs/>
          <w:sz w:val="24"/>
          <w:szCs w:val="24"/>
          <w:lang w:eastAsia="en-US"/>
        </w:rPr>
        <w:t xml:space="preserve"> phenomenon </w:t>
      </w:r>
      <w:r w:rsidRPr="00505CF0">
        <w:rPr>
          <w:rFonts w:asciiTheme="majorBidi" w:eastAsia="Times New Roman" w:hAnsiTheme="majorBidi" w:cstheme="majorBidi"/>
          <w:bCs/>
          <w:sz w:val="24"/>
          <w:szCs w:val="24"/>
          <w:lang w:eastAsia="en-US"/>
        </w:rPr>
        <w:lastRenderedPageBreak/>
        <w:t>by which our society systemically equates femininity with things like vulnerability, submission, uncertainty, and childhood,’ suggesting the commentary as a ruse of the, more adult, patriarchy.</w:t>
      </w:r>
      <w:r w:rsidRPr="00505CF0">
        <w:rPr>
          <w:rStyle w:val="FootnoteReference"/>
          <w:rFonts w:asciiTheme="majorBidi" w:eastAsia="Times New Roman" w:hAnsiTheme="majorBidi" w:cstheme="majorBidi"/>
          <w:bCs/>
          <w:sz w:val="24"/>
          <w:szCs w:val="24"/>
          <w:lang w:eastAsia="en-US"/>
        </w:rPr>
        <w:footnoteReference w:id="216"/>
      </w:r>
      <w:r w:rsidRPr="00505CF0">
        <w:rPr>
          <w:rFonts w:asciiTheme="majorBidi" w:eastAsia="Times New Roman" w:hAnsiTheme="majorBidi" w:cstheme="majorBidi"/>
          <w:bCs/>
          <w:sz w:val="24"/>
          <w:szCs w:val="24"/>
          <w:lang w:eastAsia="en-US"/>
        </w:rPr>
        <w:t xml:space="preserve"> ‘To be womanly today,’ O’Brien identifies, ‘is to be, in many senses, infantile,’ as evidenced by the ubiquity of age-masking products as outlined by Bernardini. This notion of infantilization serves a far more problematic purpose than that seen across society in general, namely the continuation of gender oppression (in line with the altermodern oppression of drives for equality.) While the infantilization of women, specifically, pushes for sexual ideals closer to childhood, one reviewer of contemporary culture suggested that general societal infantilization runs still further into the realms of infanthood, describing the current generation as one of the most regressive ever when it comes to culture and further claiming that the millennial generation desires ‘to remain as mentally and emotionally close to [their] mother’s womb at all times.’</w:t>
      </w:r>
      <w:r w:rsidRPr="00505CF0">
        <w:rPr>
          <w:rFonts w:asciiTheme="majorBidi" w:eastAsia="Times New Roman" w:hAnsiTheme="majorBidi" w:cstheme="majorBidi"/>
          <w:bCs/>
          <w:sz w:val="24"/>
          <w:szCs w:val="24"/>
          <w:vertAlign w:val="superscript"/>
          <w:lang w:eastAsia="en-US"/>
        </w:rPr>
        <w:footnoteReference w:id="217"/>
      </w:r>
      <w:r w:rsidRPr="00505CF0">
        <w:rPr>
          <w:rFonts w:asciiTheme="majorBidi" w:eastAsia="Times New Roman" w:hAnsiTheme="majorBidi" w:cstheme="majorBidi"/>
          <w:bCs/>
          <w:sz w:val="24"/>
          <w:szCs w:val="24"/>
          <w:lang w:eastAsia="en-US"/>
        </w:rPr>
        <w:t xml:space="preserve"> We are, as Sturgeon argues, infantilized and self-infantilized, both seeking and indulging in culturally regressive entertainment and having it foisted upon us. In most aspects of life, young-adults, according to Martin van Creveld, are being treated like children and unable to fend for themselves in terms of work, study, freedom of movement, attitudes to drink, and sex.</w:t>
      </w:r>
      <w:r w:rsidRPr="00505CF0">
        <w:rPr>
          <w:rFonts w:asciiTheme="majorBidi" w:eastAsia="Times New Roman" w:hAnsiTheme="majorBidi" w:cstheme="majorBidi"/>
          <w:bCs/>
          <w:sz w:val="24"/>
          <w:szCs w:val="24"/>
          <w:vertAlign w:val="superscript"/>
          <w:lang w:eastAsia="en-US"/>
        </w:rPr>
        <w:footnoteReference w:id="218"/>
      </w:r>
      <w:r w:rsidRPr="00505CF0">
        <w:rPr>
          <w:rFonts w:asciiTheme="majorBidi" w:eastAsia="Times New Roman" w:hAnsiTheme="majorBidi" w:cstheme="majorBidi"/>
          <w:bCs/>
          <w:sz w:val="24"/>
          <w:szCs w:val="24"/>
          <w:lang w:eastAsia="en-US"/>
        </w:rPr>
        <w:t xml:space="preserve"> Undergraduate students too, notes da Silva, particularly in a north American context, are also being infantilized as lecturers are advised to prepare ‘trigger warnings’ in advance for students who, given their lack of ‘emotional and intellectual maturity,’ need to be forewarned of ‘realities of the world, such as bigotry, racism, violence, and even disagreement, lest they break down in tears having found out that people can be evil, have different opinions, or that harsh things happen out there.’</w:t>
      </w:r>
      <w:r w:rsidRPr="00505CF0">
        <w:rPr>
          <w:rFonts w:asciiTheme="majorBidi" w:eastAsia="Times New Roman" w:hAnsiTheme="majorBidi" w:cstheme="majorBidi"/>
          <w:bCs/>
          <w:sz w:val="24"/>
          <w:szCs w:val="24"/>
          <w:vertAlign w:val="superscript"/>
          <w:lang w:eastAsia="en-US"/>
        </w:rPr>
        <w:footnoteReference w:id="219"/>
      </w:r>
      <w:r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lastRenderedPageBreak/>
        <w:t>While a counter-argument can be made that trigger warnings serve as ‘potentially lifesaving for people who have dealt with traumas like sexual assault, hate crimes or violence,’</w:t>
      </w:r>
      <w:r w:rsidRPr="00505CF0">
        <w:rPr>
          <w:rStyle w:val="FootnoteReference"/>
          <w:rFonts w:asciiTheme="majorBidi" w:eastAsia="Times New Roman" w:hAnsiTheme="majorBidi" w:cstheme="majorBidi"/>
          <w:bCs/>
          <w:sz w:val="24"/>
          <w:szCs w:val="24"/>
          <w:lang w:eastAsia="en-US"/>
        </w:rPr>
        <w:footnoteReference w:id="220"/>
      </w:r>
      <w:r w:rsidRPr="00505CF0">
        <w:rPr>
          <w:rFonts w:asciiTheme="majorBidi" w:eastAsia="Times New Roman" w:hAnsiTheme="majorBidi" w:cstheme="majorBidi"/>
          <w:bCs/>
          <w:sz w:val="24"/>
          <w:szCs w:val="24"/>
          <w:lang w:eastAsia="en-US"/>
        </w:rPr>
        <w:t xml:space="preserve"> it seems to speak more about infantilization than infantile individuals that such a term (‘trigger warnings’) has not come into common parlance until recently and evidences the rise of infantilization of the millennial generation, those current college students, in particular. </w:t>
      </w:r>
    </w:p>
    <w:p w14:paraId="427F4C8C" w14:textId="77777777"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The infantilization process goes beyond the treatment of the millennial generation, though, to that of the contemporary cultural individual at large, a concern that forms a large part of Alan Kirby’s conception of the current digimodern age. Kirby initially conceived of the current cultural epoch as the ‘pseudo-modern’ before honing his ideas and declaring, instead, for </w:t>
      </w:r>
      <w:r w:rsidRPr="00505CF0">
        <w:rPr>
          <w:rFonts w:asciiTheme="majorBidi" w:eastAsia="Times New Roman" w:hAnsiTheme="majorBidi" w:cstheme="majorBidi"/>
          <w:bCs/>
          <w:i/>
          <w:iCs/>
          <w:sz w:val="24"/>
          <w:szCs w:val="24"/>
          <w:lang w:eastAsia="en-US"/>
        </w:rPr>
        <w:t>Digimodernism</w:t>
      </w:r>
      <w:r w:rsidRPr="00505CF0">
        <w:rPr>
          <w:rFonts w:asciiTheme="majorBidi" w:eastAsia="Times New Roman" w:hAnsiTheme="majorBidi" w:cstheme="majorBidi"/>
          <w:bCs/>
          <w:sz w:val="24"/>
          <w:szCs w:val="24"/>
          <w:lang w:eastAsia="en-US"/>
        </w:rPr>
        <w:t xml:space="preserve">. Both theories, however, describe the same: a cultural anxiety over the present predisposes us to a return to a nostalgic past, which </w:t>
      </w:r>
      <w:proofErr w:type="gramStart"/>
      <w:r w:rsidRPr="00505CF0">
        <w:rPr>
          <w:rFonts w:asciiTheme="majorBidi" w:eastAsia="Times New Roman" w:hAnsiTheme="majorBidi" w:cstheme="majorBidi"/>
          <w:bCs/>
          <w:sz w:val="24"/>
          <w:szCs w:val="24"/>
          <w:lang w:eastAsia="en-US"/>
        </w:rPr>
        <w:t>effects</w:t>
      </w:r>
      <w:proofErr w:type="gramEnd"/>
      <w:r w:rsidRPr="00505CF0">
        <w:rPr>
          <w:rFonts w:asciiTheme="majorBidi" w:eastAsia="Times New Roman" w:hAnsiTheme="majorBidi" w:cstheme="majorBidi"/>
          <w:bCs/>
          <w:sz w:val="24"/>
          <w:szCs w:val="24"/>
          <w:lang w:eastAsia="en-US"/>
        </w:rPr>
        <w:t xml:space="preserve"> a cultural infantilism. Kirby describes perceptions of the pseudo-modern world as ‘frightening and seemingly uncontrollable,’ inevitably feeding ‘a desire to return to the infantile playing with toys which also characterises the pseudo-modern cultural world.’</w:t>
      </w:r>
      <w:r w:rsidRPr="00505CF0">
        <w:rPr>
          <w:rFonts w:asciiTheme="majorBidi" w:eastAsia="Times New Roman" w:hAnsiTheme="majorBidi" w:cstheme="majorBidi"/>
          <w:bCs/>
          <w:sz w:val="24"/>
          <w:szCs w:val="24"/>
          <w:vertAlign w:val="superscript"/>
          <w:lang w:eastAsia="en-US"/>
        </w:rPr>
        <w:footnoteReference w:id="221"/>
      </w:r>
      <w:r w:rsidRPr="00505CF0">
        <w:rPr>
          <w:rFonts w:asciiTheme="majorBidi" w:eastAsia="Times New Roman" w:hAnsiTheme="majorBidi" w:cstheme="majorBidi"/>
          <w:bCs/>
          <w:sz w:val="24"/>
          <w:szCs w:val="24"/>
          <w:lang w:eastAsia="en-US"/>
        </w:rPr>
        <w:t xml:space="preserve"> The fatalistic anxiety of society in imagining dystopian futures feeds into this infantilization process, not just in terms of returning to the ‘toys’ of the past, but causing a general societal helplessness:</w:t>
      </w:r>
    </w:p>
    <w:p w14:paraId="28A87725" w14:textId="77777777" w:rsidR="00C111D3" w:rsidRPr="00505CF0" w:rsidRDefault="00C111D3" w:rsidP="004C3EE0">
      <w:pPr>
        <w:keepNext/>
        <w:tabs>
          <w:tab w:val="left" w:pos="720"/>
        </w:tabs>
        <w:spacing w:line="240" w:lineRule="auto"/>
        <w:jc w:val="both"/>
        <w:outlineLvl w:val="2"/>
        <w:rPr>
          <w:rFonts w:asciiTheme="majorBidi" w:eastAsia="Times New Roman" w:hAnsiTheme="majorBidi" w:cstheme="majorBidi"/>
          <w:bCs/>
          <w:sz w:val="24"/>
          <w:szCs w:val="24"/>
          <w:lang w:eastAsia="en-US"/>
        </w:rPr>
      </w:pPr>
    </w:p>
    <w:p w14:paraId="61EF8993" w14:textId="77777777" w:rsidR="00C111D3" w:rsidRPr="00505CF0" w:rsidRDefault="00C111D3" w:rsidP="004C3EE0">
      <w:pPr>
        <w:keepNext/>
        <w:tabs>
          <w:tab w:val="left" w:pos="720"/>
        </w:tabs>
        <w:spacing w:line="240" w:lineRule="auto"/>
        <w:ind w:left="720" w:right="720"/>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From a general fear of social breakdown and identity loss, to a deep unease about diet and health; from anguish about the destructiveness of climate change, to the effects of a new personal ineptitude and helplessness, which yield TV programmes about how to clean your house, bring up your children or remain solvent. This technologized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characteristic fusion of the childish and the advanced, the powerful and the helpless.</w:t>
      </w:r>
      <w:r w:rsidRPr="00505CF0">
        <w:rPr>
          <w:rFonts w:asciiTheme="majorBidi" w:eastAsia="Times New Roman" w:hAnsiTheme="majorBidi" w:cstheme="majorBidi"/>
          <w:bCs/>
          <w:sz w:val="24"/>
          <w:szCs w:val="24"/>
          <w:vertAlign w:val="superscript"/>
          <w:lang w:eastAsia="en-US"/>
        </w:rPr>
        <w:footnoteReference w:id="222"/>
      </w:r>
    </w:p>
    <w:p w14:paraId="3D7DC304" w14:textId="37A8E5A6" w:rsidR="00C111D3" w:rsidRDefault="00C111D3" w:rsidP="004C3EE0">
      <w:pPr>
        <w:keepNext/>
        <w:tabs>
          <w:tab w:val="left" w:pos="720"/>
        </w:tabs>
        <w:spacing w:line="240" w:lineRule="auto"/>
        <w:jc w:val="both"/>
        <w:outlineLvl w:val="2"/>
        <w:rPr>
          <w:rFonts w:asciiTheme="majorBidi" w:eastAsia="Times New Roman" w:hAnsiTheme="majorBidi" w:cstheme="majorBidi"/>
          <w:bCs/>
          <w:sz w:val="24"/>
          <w:szCs w:val="24"/>
          <w:lang w:eastAsia="en-US"/>
        </w:rPr>
      </w:pPr>
    </w:p>
    <w:p w14:paraId="657ED111" w14:textId="77777777" w:rsidR="00126E67" w:rsidRPr="00505CF0" w:rsidRDefault="00126E67" w:rsidP="004C3EE0">
      <w:pPr>
        <w:keepNext/>
        <w:tabs>
          <w:tab w:val="left" w:pos="720"/>
        </w:tabs>
        <w:spacing w:line="240" w:lineRule="auto"/>
        <w:jc w:val="both"/>
        <w:outlineLvl w:val="2"/>
        <w:rPr>
          <w:rFonts w:asciiTheme="majorBidi" w:eastAsia="Times New Roman" w:hAnsiTheme="majorBidi" w:cstheme="majorBidi"/>
          <w:bCs/>
          <w:sz w:val="24"/>
          <w:szCs w:val="24"/>
          <w:lang w:eastAsia="en-US"/>
        </w:rPr>
      </w:pPr>
    </w:p>
    <w:p w14:paraId="1CAF3889" w14:textId="740EA926" w:rsidR="00C111D3" w:rsidRPr="00505CF0" w:rsidRDefault="00C111D3" w:rsidP="00391287">
      <w:pPr>
        <w:keepNext/>
        <w:tabs>
          <w:tab w:val="left" w:pos="720"/>
        </w:tabs>
        <w:spacing w:line="480" w:lineRule="auto"/>
        <w:jc w:val="both"/>
        <w:outlineLvl w:val="2"/>
        <w:rPr>
          <w:rFonts w:asciiTheme="majorBidi" w:eastAsia="Times New Roman" w:hAnsiTheme="majorBidi" w:cstheme="majorBidi"/>
          <w:bCs/>
          <w:color w:val="FFC000" w:themeColor="accent4"/>
          <w:sz w:val="24"/>
          <w:szCs w:val="24"/>
          <w:lang w:eastAsia="en-US"/>
        </w:rPr>
      </w:pPr>
      <w:r w:rsidRPr="00505CF0">
        <w:rPr>
          <w:rFonts w:asciiTheme="majorBidi" w:eastAsia="Times New Roman" w:hAnsiTheme="majorBidi" w:cstheme="majorBidi"/>
          <w:bCs/>
          <w:sz w:val="24"/>
          <w:szCs w:val="24"/>
          <w:lang w:eastAsia="en-US"/>
        </w:rPr>
        <w:t>Kirby argues that contemporary ‘popular culture’ is in fact a ‘narrowly focused children's entertainment plus "noise",’</w:t>
      </w:r>
      <w:r w:rsidRPr="00505CF0">
        <w:rPr>
          <w:rFonts w:asciiTheme="majorBidi" w:eastAsia="Times New Roman" w:hAnsiTheme="majorBidi" w:cstheme="majorBidi"/>
          <w:bCs/>
          <w:sz w:val="24"/>
          <w:szCs w:val="24"/>
          <w:vertAlign w:val="superscript"/>
          <w:lang w:eastAsia="en-US"/>
        </w:rPr>
        <w:footnoteReference w:id="223"/>
      </w:r>
      <w:r w:rsidRPr="00505CF0">
        <w:rPr>
          <w:rFonts w:asciiTheme="majorBidi" w:eastAsia="Times New Roman" w:hAnsiTheme="majorBidi" w:cstheme="majorBidi"/>
          <w:bCs/>
          <w:sz w:val="24"/>
          <w:szCs w:val="24"/>
          <w:lang w:eastAsia="en-US"/>
        </w:rPr>
        <w:t xml:space="preserve"> suggesting the ‘refurbishment of children's stories as material for the entertainment of young adults’ has come to define the major milieu of all cultural output in the twenty-first century;</w:t>
      </w:r>
      <w:r w:rsidRPr="00505CF0">
        <w:rPr>
          <w:rFonts w:asciiTheme="majorBidi" w:eastAsia="Times New Roman" w:hAnsiTheme="majorBidi" w:cstheme="majorBidi"/>
          <w:bCs/>
          <w:sz w:val="24"/>
          <w:szCs w:val="24"/>
          <w:vertAlign w:val="superscript"/>
          <w:lang w:eastAsia="en-US"/>
        </w:rPr>
        <w:footnoteReference w:id="224"/>
      </w:r>
      <w:r w:rsidRPr="00505CF0">
        <w:rPr>
          <w:rFonts w:asciiTheme="majorBidi" w:eastAsia="Times New Roman" w:hAnsiTheme="majorBidi" w:cstheme="majorBidi"/>
          <w:bCs/>
          <w:sz w:val="24"/>
          <w:szCs w:val="24"/>
          <w:lang w:eastAsia="en-US"/>
        </w:rPr>
        <w:t xml:space="preserve"> ‘news programs and documentaries,’ he writes, ‘are drained of information and jacked up with pseudodrama (the "dumbing down" debate is in truth mostly about infantilization); knowledge of the past is assumed to be zero outside of GCSE staples […]; and interest in "culture" is reduced to new movies and bands.’</w:t>
      </w:r>
      <w:r w:rsidRPr="00505CF0">
        <w:rPr>
          <w:rFonts w:asciiTheme="majorBidi" w:eastAsia="Times New Roman" w:hAnsiTheme="majorBidi" w:cstheme="majorBidi"/>
          <w:bCs/>
          <w:sz w:val="24"/>
          <w:szCs w:val="24"/>
          <w:vertAlign w:val="superscript"/>
          <w:lang w:eastAsia="en-US"/>
        </w:rPr>
        <w:footnoteReference w:id="225"/>
      </w:r>
      <w:r w:rsidRPr="00505CF0">
        <w:rPr>
          <w:rFonts w:asciiTheme="majorBidi" w:eastAsia="Times New Roman" w:hAnsiTheme="majorBidi" w:cstheme="majorBidi"/>
          <w:bCs/>
          <w:sz w:val="24"/>
          <w:szCs w:val="24"/>
          <w:lang w:eastAsia="en-US"/>
        </w:rPr>
        <w:t xml:space="preserve"> Michael Hogan, entertainment writer for </w:t>
      </w:r>
      <w:r w:rsidRPr="00505CF0">
        <w:rPr>
          <w:rFonts w:asciiTheme="majorBidi" w:eastAsia="Times New Roman" w:hAnsiTheme="majorBidi" w:cstheme="majorBidi"/>
          <w:bCs/>
          <w:iCs/>
          <w:sz w:val="24"/>
          <w:szCs w:val="24"/>
          <w:lang w:eastAsia="en-US"/>
        </w:rPr>
        <w:t>the</w:t>
      </w:r>
      <w:r w:rsidRPr="00505CF0">
        <w:rPr>
          <w:rFonts w:asciiTheme="majorBidi" w:eastAsia="Times New Roman" w:hAnsiTheme="majorBidi" w:cstheme="majorBidi"/>
          <w:bCs/>
          <w:i/>
          <w:iCs/>
          <w:sz w:val="24"/>
          <w:szCs w:val="24"/>
          <w:lang w:eastAsia="en-US"/>
        </w:rPr>
        <w:t xml:space="preserve"> Guardian</w:t>
      </w:r>
      <w:r w:rsidRPr="00505CF0">
        <w:rPr>
          <w:rFonts w:asciiTheme="majorBidi" w:eastAsia="Times New Roman" w:hAnsiTheme="majorBidi" w:cstheme="majorBidi"/>
          <w:bCs/>
          <w:sz w:val="24"/>
          <w:szCs w:val="24"/>
          <w:lang w:eastAsia="en-US"/>
        </w:rPr>
        <w:t>, highlights further examples of the way in which ‘pop culture has disengaged our brains and arrested our development’ through CGI spectacle, Pixar ‘cartoon cutes</w:t>
      </w:r>
      <w:r w:rsidR="00263907">
        <w:rPr>
          <w:rFonts w:asciiTheme="majorBidi" w:eastAsia="Times New Roman" w:hAnsiTheme="majorBidi" w:cstheme="majorBidi"/>
          <w:bCs/>
          <w:sz w:val="24"/>
          <w:szCs w:val="24"/>
          <w:lang w:eastAsia="en-US"/>
        </w:rPr>
        <w:t>i</w:t>
      </w:r>
      <w:r w:rsidRPr="00505CF0">
        <w:rPr>
          <w:rFonts w:asciiTheme="majorBidi" w:eastAsia="Times New Roman" w:hAnsiTheme="majorBidi" w:cstheme="majorBidi"/>
          <w:bCs/>
          <w:sz w:val="24"/>
          <w:szCs w:val="24"/>
          <w:lang w:eastAsia="en-US"/>
        </w:rPr>
        <w:t>ness,’ filling our wardrobes with ‘hoodies, onesies, logo Ts and other outsized toddler-wear. Our Facebook feeds are all “yay!” this, “nom!” that and “fwee more sleeps to ickle-wickle holibobs!” the other. We’re preserved in pubescent aspic.</w:t>
      </w:r>
      <w:r w:rsidRPr="00505CF0">
        <w:rPr>
          <w:rFonts w:asciiTheme="majorBidi" w:eastAsia="Times New Roman" w:hAnsiTheme="majorBidi" w:cstheme="majorBidi"/>
          <w:bCs/>
          <w:sz w:val="24"/>
          <w:szCs w:val="24"/>
          <w:vertAlign w:val="superscript"/>
          <w:lang w:eastAsia="en-US"/>
        </w:rPr>
        <w:footnoteReference w:id="226"/>
      </w:r>
      <w:r w:rsidRPr="00505CF0">
        <w:rPr>
          <w:rFonts w:asciiTheme="majorBidi" w:eastAsia="Times New Roman" w:hAnsiTheme="majorBidi" w:cstheme="majorBidi"/>
          <w:bCs/>
          <w:sz w:val="24"/>
          <w:szCs w:val="24"/>
          <w:lang w:eastAsia="en-US"/>
        </w:rPr>
        <w:t xml:space="preserve"> Hogan argues for popular culture as the cause for infantilization, yet it is perhaps more accurate to say that current pop-cultural production is rather a symptom of cultural infantilization and an effect of the nostalgia drive, in which we reward (with attention, likes, shares, re-tweets, and ultimately currency) those pop-cultural </w:t>
      </w:r>
      <w:r w:rsidR="00263907">
        <w:rPr>
          <w:rFonts w:asciiTheme="majorBidi" w:eastAsia="Times New Roman" w:hAnsiTheme="majorBidi" w:cstheme="majorBidi"/>
          <w:bCs/>
          <w:sz w:val="24"/>
          <w:szCs w:val="24"/>
          <w:lang w:eastAsia="en-US"/>
        </w:rPr>
        <w:t>artefacts</w:t>
      </w:r>
      <w:r w:rsidR="00263907"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 xml:space="preserve">which help us to engage with the nostalgic past. In doing so, the contemporary individual creates a potential feedback loop in which the reward of nostalgic content creates a market for more of the same, which increases the amount of content rewarded, which inflates the market (ad infinitum). If Kirby is to be believed, and cultural output and pop-culture does infantilize us, then such a loop proves only once more that we self-infantilize at the same time as we are infantilized. In TV, alongside the aforementioned effects on news and documentaries, the post-postmodern </w:t>
      </w:r>
      <w:r w:rsidRPr="00505CF0">
        <w:rPr>
          <w:rFonts w:asciiTheme="majorBidi" w:eastAsia="Times New Roman" w:hAnsiTheme="majorBidi" w:cstheme="majorBidi"/>
          <w:bCs/>
          <w:sz w:val="24"/>
          <w:szCs w:val="24"/>
          <w:lang w:eastAsia="en-US"/>
        </w:rPr>
        <w:lastRenderedPageBreak/>
        <w:t>world sees a rise in the production and critical praise of cartoons aimed at adult audiences and featuring mature themes. While a traditionally childish medium, the 21</w:t>
      </w:r>
      <w:r w:rsidRPr="00505CF0">
        <w:rPr>
          <w:rFonts w:asciiTheme="majorBidi" w:eastAsia="Times New Roman" w:hAnsiTheme="majorBidi" w:cstheme="majorBidi"/>
          <w:bCs/>
          <w:sz w:val="24"/>
          <w:szCs w:val="24"/>
          <w:vertAlign w:val="superscript"/>
          <w:lang w:eastAsia="en-US"/>
        </w:rPr>
        <w:t>st</w:t>
      </w:r>
      <w:r w:rsidRPr="00505CF0">
        <w:rPr>
          <w:rFonts w:asciiTheme="majorBidi" w:eastAsia="Times New Roman" w:hAnsiTheme="majorBidi" w:cstheme="majorBidi"/>
          <w:bCs/>
          <w:sz w:val="24"/>
          <w:szCs w:val="24"/>
          <w:lang w:eastAsia="en-US"/>
        </w:rPr>
        <w:t xml:space="preserve"> century has seen an explosion of production of these adult cartoons, including such examples as </w:t>
      </w:r>
      <w:r w:rsidRPr="00505CF0">
        <w:rPr>
          <w:rFonts w:asciiTheme="majorBidi" w:eastAsia="Times New Roman" w:hAnsiTheme="majorBidi" w:cstheme="majorBidi"/>
          <w:bCs/>
          <w:i/>
          <w:iCs/>
          <w:sz w:val="24"/>
          <w:szCs w:val="24"/>
          <w:lang w:eastAsia="en-US"/>
        </w:rPr>
        <w:t>Bojack Horeseman, Rick and Morty, Bob’s Burgers, Archer, Family Guy, Futurama, South Park, Drawn Together, Chozen</w:t>
      </w:r>
      <w:r w:rsidRPr="00505CF0">
        <w:rPr>
          <w:rFonts w:asciiTheme="majorBidi" w:eastAsia="Times New Roman" w:hAnsiTheme="majorBidi" w:cstheme="majorBidi"/>
          <w:bCs/>
          <w:sz w:val="24"/>
          <w:szCs w:val="24"/>
          <w:lang w:eastAsia="en-US"/>
        </w:rPr>
        <w:t xml:space="preserve">, and finally </w:t>
      </w:r>
      <w:r w:rsidRPr="00505CF0">
        <w:rPr>
          <w:rFonts w:asciiTheme="majorBidi" w:eastAsia="Times New Roman" w:hAnsiTheme="majorBidi" w:cstheme="majorBidi"/>
          <w:bCs/>
          <w:i/>
          <w:iCs/>
          <w:sz w:val="24"/>
          <w:szCs w:val="24"/>
          <w:lang w:eastAsia="en-US"/>
        </w:rPr>
        <w:t>Big Mouth.</w:t>
      </w:r>
      <w:r w:rsidRPr="00505CF0">
        <w:rPr>
          <w:rStyle w:val="FootnoteReference"/>
          <w:rFonts w:asciiTheme="majorBidi" w:eastAsia="Times New Roman" w:hAnsiTheme="majorBidi" w:cstheme="majorBidi"/>
          <w:bCs/>
          <w:sz w:val="24"/>
          <w:szCs w:val="24"/>
          <w:lang w:eastAsia="en-US"/>
        </w:rPr>
        <w:footnoteReference w:id="227"/>
      </w:r>
      <w:r w:rsidRPr="00505CF0">
        <w:rPr>
          <w:rFonts w:asciiTheme="majorBidi" w:eastAsia="Times New Roman" w:hAnsiTheme="majorBidi" w:cstheme="majorBidi"/>
          <w:bCs/>
          <w:sz w:val="24"/>
          <w:szCs w:val="24"/>
          <w:lang w:eastAsia="en-US"/>
        </w:rPr>
        <w:t xml:space="preserve"> Such cultural productions pay heed to Wade’s concept of the blurred lines between adult and child, alongside affirming concepts of the perpetual adolescent, and is suggestive a desire for simplicity of entertainment (and a departure from the real of the everyday). </w:t>
      </w:r>
    </w:p>
    <w:p w14:paraId="0918AF92" w14:textId="406EBAC4"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color w:val="FFC000" w:themeColor="accent4"/>
          <w:sz w:val="24"/>
          <w:szCs w:val="24"/>
          <w:lang w:eastAsia="en-US"/>
        </w:rPr>
        <w:tab/>
      </w:r>
      <w:r w:rsidRPr="00505CF0">
        <w:rPr>
          <w:rFonts w:asciiTheme="majorBidi" w:eastAsia="Times New Roman" w:hAnsiTheme="majorBidi" w:cstheme="majorBidi"/>
          <w:bCs/>
          <w:sz w:val="24"/>
          <w:szCs w:val="24"/>
          <w:lang w:eastAsia="en-US"/>
        </w:rPr>
        <w:t>In fiction, we see the infantilized desire appear in the current popularity of ‘crossover fiction,’ – as analysed by Rachel Falconer</w:t>
      </w:r>
      <w:r w:rsidRPr="00505CF0">
        <w:rPr>
          <w:rStyle w:val="FootnoteReference"/>
          <w:rFonts w:asciiTheme="majorBidi" w:eastAsia="Times New Roman" w:hAnsiTheme="majorBidi" w:cstheme="majorBidi"/>
          <w:bCs/>
          <w:sz w:val="24"/>
          <w:szCs w:val="24"/>
          <w:lang w:eastAsia="en-US"/>
        </w:rPr>
        <w:footnoteReference w:id="228"/>
      </w:r>
      <w:r w:rsidRPr="00505CF0">
        <w:rPr>
          <w:rFonts w:asciiTheme="majorBidi" w:eastAsia="Times New Roman" w:hAnsiTheme="majorBidi" w:cstheme="majorBidi"/>
          <w:bCs/>
          <w:sz w:val="24"/>
          <w:szCs w:val="24"/>
          <w:lang w:eastAsia="en-US"/>
        </w:rPr>
        <w:t xml:space="preserve"> </w:t>
      </w:r>
      <w:r w:rsidR="00263907" w:rsidRPr="00505CF0">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the phenomenon of adult-readers engaging with children’s literature. The </w:t>
      </w:r>
      <w:r w:rsidRPr="00505CF0">
        <w:rPr>
          <w:rFonts w:asciiTheme="majorBidi" w:eastAsia="Times New Roman" w:hAnsiTheme="majorBidi" w:cstheme="majorBidi"/>
          <w:bCs/>
          <w:i/>
          <w:iCs/>
          <w:sz w:val="24"/>
          <w:szCs w:val="24"/>
          <w:lang w:eastAsia="en-US"/>
        </w:rPr>
        <w:t>Harry Potter</w:t>
      </w:r>
      <w:r w:rsidRPr="00505CF0">
        <w:rPr>
          <w:rFonts w:asciiTheme="majorBidi" w:eastAsia="Times New Roman" w:hAnsiTheme="majorBidi" w:cstheme="majorBidi"/>
          <w:bCs/>
          <w:sz w:val="24"/>
          <w:szCs w:val="24"/>
          <w:lang w:eastAsia="en-US"/>
        </w:rPr>
        <w:t xml:space="preserve"> series by J.K. Rowling is </w:t>
      </w:r>
      <w:r w:rsidR="00263907">
        <w:rPr>
          <w:rFonts w:asciiTheme="majorBidi" w:eastAsia="Times New Roman" w:hAnsiTheme="majorBidi" w:cstheme="majorBidi"/>
          <w:bCs/>
          <w:sz w:val="24"/>
          <w:szCs w:val="24"/>
          <w:lang w:eastAsia="en-US"/>
        </w:rPr>
        <w:t>an</w:t>
      </w:r>
      <w:r w:rsidR="00263907"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obvious example of this, and is well known to have an adult fan following, to the extent that ‘adult’ editions, with non-illustrated covers, were released during the series’ print runs, though Falconer rightly makes the argument that Rowling here perhaps invented the market demand for cross-generational literature rather than adhered to it.</w:t>
      </w:r>
      <w:r w:rsidRPr="00505CF0">
        <w:rPr>
          <w:rStyle w:val="FootnoteReference"/>
          <w:rFonts w:asciiTheme="majorBidi" w:eastAsia="Times New Roman" w:hAnsiTheme="majorBidi" w:cstheme="majorBidi"/>
          <w:bCs/>
          <w:sz w:val="24"/>
          <w:szCs w:val="24"/>
          <w:lang w:eastAsia="en-US"/>
        </w:rPr>
        <w:footnoteReference w:id="229"/>
      </w:r>
      <w:r w:rsidRPr="00505CF0">
        <w:rPr>
          <w:rFonts w:asciiTheme="majorBidi" w:eastAsia="Times New Roman" w:hAnsiTheme="majorBidi" w:cstheme="majorBidi"/>
          <w:bCs/>
          <w:sz w:val="24"/>
          <w:szCs w:val="24"/>
          <w:lang w:eastAsia="en-US"/>
        </w:rPr>
        <w:t xml:space="preserve"> Falconer highlights that this phenomenon, of adults reading children’s literature, is not new, though she does recognise the role that such crossover fiction has as a ‘part of the larger story of the increasing hybridization of child and adult cultures.’</w:t>
      </w:r>
      <w:r w:rsidRPr="00505CF0">
        <w:rPr>
          <w:rStyle w:val="FootnoteReference"/>
          <w:rFonts w:asciiTheme="majorBidi" w:eastAsia="Times New Roman" w:hAnsiTheme="majorBidi" w:cstheme="majorBidi"/>
          <w:bCs/>
          <w:sz w:val="24"/>
          <w:szCs w:val="24"/>
          <w:lang w:eastAsia="en-US"/>
        </w:rPr>
        <w:footnoteReference w:id="230"/>
      </w:r>
      <w:r w:rsidRPr="00505CF0">
        <w:rPr>
          <w:rFonts w:asciiTheme="majorBidi" w:eastAsia="Times New Roman" w:hAnsiTheme="majorBidi" w:cstheme="majorBidi"/>
          <w:bCs/>
          <w:sz w:val="24"/>
          <w:szCs w:val="24"/>
          <w:lang w:eastAsia="en-US"/>
        </w:rPr>
        <w:t xml:space="preserve"> The popularity of crossover fiction, in series such as </w:t>
      </w:r>
      <w:r w:rsidRPr="00505CF0">
        <w:rPr>
          <w:rFonts w:asciiTheme="majorBidi" w:eastAsia="Times New Roman" w:hAnsiTheme="majorBidi" w:cstheme="majorBidi"/>
          <w:bCs/>
          <w:i/>
          <w:iCs/>
          <w:sz w:val="24"/>
          <w:szCs w:val="24"/>
          <w:lang w:eastAsia="en-US"/>
        </w:rPr>
        <w:t>Harry Potter</w:t>
      </w:r>
      <w:r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i/>
          <w:iCs/>
          <w:sz w:val="24"/>
          <w:szCs w:val="24"/>
          <w:lang w:eastAsia="en-US"/>
        </w:rPr>
        <w:t>Twilight</w:t>
      </w:r>
      <w:r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i/>
          <w:iCs/>
          <w:sz w:val="24"/>
          <w:szCs w:val="24"/>
          <w:lang w:eastAsia="en-US"/>
        </w:rPr>
        <w:t xml:space="preserve">Mortal Instruments, </w:t>
      </w:r>
      <w:r w:rsidRPr="00505CF0">
        <w:rPr>
          <w:rFonts w:asciiTheme="majorBidi" w:eastAsia="Times New Roman" w:hAnsiTheme="majorBidi" w:cstheme="majorBidi"/>
          <w:bCs/>
          <w:sz w:val="24"/>
          <w:szCs w:val="24"/>
          <w:lang w:eastAsia="en-US"/>
        </w:rPr>
        <w:t xml:space="preserve">and </w:t>
      </w:r>
      <w:r w:rsidRPr="00505CF0">
        <w:rPr>
          <w:rFonts w:asciiTheme="majorBidi" w:eastAsia="Times New Roman" w:hAnsiTheme="majorBidi" w:cstheme="majorBidi"/>
          <w:bCs/>
          <w:i/>
          <w:iCs/>
          <w:sz w:val="24"/>
          <w:szCs w:val="24"/>
          <w:lang w:eastAsia="en-US"/>
        </w:rPr>
        <w:t>His Dark Materials</w:t>
      </w:r>
      <w:r w:rsidRPr="00505CF0">
        <w:rPr>
          <w:rFonts w:asciiTheme="majorBidi" w:eastAsia="Times New Roman" w:hAnsiTheme="majorBidi" w:cstheme="majorBidi"/>
          <w:bCs/>
          <w:sz w:val="24"/>
          <w:szCs w:val="24"/>
          <w:lang w:eastAsia="en-US"/>
        </w:rPr>
        <w:t xml:space="preserve">, does reveal a specific infantilised desire in society via this hybridization, suggesting a desire to legitimise the paraphernalia of childhood and childish mediums for an adult audience in an attempt to assuage any potential guilt at enjoying such forms (why else do we hide such novels in </w:t>
      </w:r>
      <w:r w:rsidR="002F7624">
        <w:rPr>
          <w:rFonts w:asciiTheme="majorBidi" w:eastAsia="Times New Roman" w:hAnsiTheme="majorBidi" w:cstheme="majorBidi"/>
          <w:bCs/>
          <w:sz w:val="24"/>
          <w:szCs w:val="24"/>
          <w:lang w:eastAsia="en-US"/>
        </w:rPr>
        <w:t xml:space="preserve">‘adult’ dust-jackets, after </w:t>
      </w:r>
      <w:r w:rsidR="002F7624">
        <w:rPr>
          <w:rFonts w:asciiTheme="majorBidi" w:eastAsia="Times New Roman" w:hAnsiTheme="majorBidi" w:cstheme="majorBidi"/>
          <w:bCs/>
          <w:sz w:val="24"/>
          <w:szCs w:val="24"/>
          <w:lang w:eastAsia="en-US"/>
        </w:rPr>
        <w:lastRenderedPageBreak/>
        <w:t>all</w:t>
      </w:r>
      <w:r w:rsidRPr="00505CF0">
        <w:rPr>
          <w:rFonts w:asciiTheme="majorBidi" w:eastAsia="Times New Roman" w:hAnsiTheme="majorBidi" w:cstheme="majorBidi"/>
          <w:bCs/>
          <w:sz w:val="24"/>
          <w:szCs w:val="24"/>
          <w:lang w:eastAsia="en-US"/>
        </w:rPr>
        <w:t>)</w:t>
      </w:r>
      <w:r w:rsidR="002F7624">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Paperchase, a shop devoted entirely to stationery, notebooks and novelty rubbers, flourishes; comic, toy, and gaming conventions receive enough custom and attention to become prestigious annual events; and </w:t>
      </w:r>
      <w:r w:rsidRPr="00505CF0">
        <w:rPr>
          <w:rFonts w:asciiTheme="majorBidi" w:eastAsia="Times New Roman" w:hAnsiTheme="majorBidi" w:cstheme="majorBidi"/>
          <w:bCs/>
          <w:i/>
          <w:iCs/>
          <w:sz w:val="24"/>
          <w:szCs w:val="24"/>
          <w:lang w:eastAsia="en-US"/>
        </w:rPr>
        <w:t>Dungeons and Dragons</w:t>
      </w:r>
      <w:r w:rsidRPr="00505CF0">
        <w:rPr>
          <w:rFonts w:asciiTheme="majorBidi" w:eastAsia="Times New Roman" w:hAnsiTheme="majorBidi" w:cstheme="majorBidi"/>
          <w:bCs/>
          <w:sz w:val="24"/>
          <w:szCs w:val="24"/>
          <w:lang w:eastAsia="en-US"/>
        </w:rPr>
        <w:t xml:space="preserve"> is witnessing an unprecedented renaissance. These infantilising factors, whether societal or self-inflicted, return western citizens to a state equivalent to that of adolescence, where the affectations of the teenage are propagated, youth is fetishized, ‘adulting’ is problematized (with a myriad of websites dedicated to ‘how to adult’) and ageing is postponed unendingly. </w:t>
      </w:r>
    </w:p>
    <w:p w14:paraId="32F1F1C2" w14:textId="3307E681" w:rsidR="00C46C7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Nostalgia alone cannot be the reason for such deterioration into childishness and infantilism, though it may have been a contributing factor. Instead, Kirby and da Silva, along with nerd culture poster-child Simon Pegg, all point to late capitalism as the culprit behind this shift. Pegg, recalling Jameson’s arguments about a cynical view of new social movements,</w:t>
      </w:r>
      <w:r w:rsidRPr="00505CF0">
        <w:rPr>
          <w:rStyle w:val="FootnoteReference"/>
          <w:rFonts w:asciiTheme="majorBidi" w:eastAsia="Times New Roman" w:hAnsiTheme="majorBidi" w:cstheme="majorBidi"/>
          <w:bCs/>
          <w:sz w:val="24"/>
          <w:szCs w:val="24"/>
          <w:lang w:eastAsia="en-US"/>
        </w:rPr>
        <w:footnoteReference w:id="231"/>
      </w:r>
      <w:r w:rsidRPr="00505CF0">
        <w:rPr>
          <w:rFonts w:asciiTheme="majorBidi" w:eastAsia="Times New Roman" w:hAnsiTheme="majorBidi" w:cstheme="majorBidi"/>
          <w:bCs/>
          <w:sz w:val="24"/>
          <w:szCs w:val="24"/>
          <w:lang w:eastAsia="en-US"/>
        </w:rPr>
        <w:t xml:space="preserve"> identifies the consumption of “childish things”</w:t>
      </w:r>
      <w:r w:rsidRPr="00505CF0">
        <w:rPr>
          <w:rFonts w:asciiTheme="majorBidi" w:eastAsia="Times New Roman" w:hAnsiTheme="majorBidi" w:cstheme="majorBidi"/>
          <w:bCs/>
          <w:sz w:val="24"/>
          <w:szCs w:val="24"/>
          <w:vertAlign w:val="superscript"/>
          <w:lang w:eastAsia="en-US"/>
        </w:rPr>
        <w:t xml:space="preserve"> </w:t>
      </w:r>
      <w:r w:rsidRPr="00505CF0">
        <w:rPr>
          <w:rFonts w:asciiTheme="majorBidi" w:eastAsia="Times New Roman" w:hAnsiTheme="majorBidi" w:cstheme="majorBidi"/>
          <w:bCs/>
          <w:sz w:val="24"/>
          <w:szCs w:val="24"/>
          <w:vertAlign w:val="superscript"/>
          <w:lang w:eastAsia="en-US"/>
        </w:rPr>
        <w:footnoteReference w:id="232"/>
      </w:r>
      <w:r w:rsidRPr="00505CF0">
        <w:rPr>
          <w:rFonts w:asciiTheme="majorBidi" w:eastAsia="Times New Roman" w:hAnsiTheme="majorBidi" w:cstheme="majorBidi"/>
          <w:bCs/>
          <w:sz w:val="24"/>
          <w:szCs w:val="24"/>
          <w:lang w:eastAsia="en-US"/>
        </w:rPr>
        <w:t xml:space="preserve"> – comic books, superheroes – by adults as an aspect of nerd culture, itself, according to Pegg, “a late capitalist conspiracy, designed to infantilize the consumer as a means of non-aggressive control.”</w:t>
      </w:r>
      <w:r w:rsidRPr="00505CF0">
        <w:rPr>
          <w:rFonts w:asciiTheme="majorBidi" w:eastAsia="Times New Roman" w:hAnsiTheme="majorBidi" w:cstheme="majorBidi"/>
          <w:bCs/>
          <w:sz w:val="24"/>
          <w:szCs w:val="24"/>
          <w:vertAlign w:val="superscript"/>
          <w:lang w:eastAsia="en-US"/>
        </w:rPr>
        <w:footnoteReference w:id="233"/>
      </w:r>
      <w:r w:rsidRPr="00505CF0">
        <w:rPr>
          <w:rFonts w:asciiTheme="majorBidi" w:eastAsia="Times New Roman" w:hAnsiTheme="majorBidi" w:cstheme="majorBidi"/>
          <w:bCs/>
          <w:sz w:val="24"/>
          <w:szCs w:val="24"/>
          <w:lang w:eastAsia="en-US"/>
        </w:rPr>
        <w:t xml:space="preserve"> While the comment originally sparked enough controversy to justify a reply by Pegg, the sentiment itself could not be a more apt assessment of the driving forces behind contemporary infantilism, to wit the dominance of global capitalism and the apparent attempts to standardize consumers into one marketable domain. Adolescence, it appears, ‘happens to be very profitable.’</w:t>
      </w:r>
      <w:r w:rsidRPr="00505CF0">
        <w:rPr>
          <w:rFonts w:asciiTheme="majorBidi" w:eastAsia="Times New Roman" w:hAnsiTheme="majorBidi" w:cstheme="majorBidi"/>
          <w:bCs/>
          <w:sz w:val="24"/>
          <w:szCs w:val="24"/>
          <w:vertAlign w:val="superscript"/>
          <w:lang w:eastAsia="en-US"/>
        </w:rPr>
        <w:footnoteReference w:id="234"/>
      </w:r>
      <w:r w:rsidRPr="00505CF0">
        <w:rPr>
          <w:rFonts w:asciiTheme="majorBidi" w:eastAsia="Times New Roman" w:hAnsiTheme="majorBidi" w:cstheme="majorBidi"/>
          <w:bCs/>
          <w:sz w:val="24"/>
          <w:szCs w:val="24"/>
          <w:lang w:eastAsia="en-US"/>
        </w:rPr>
        <w:t xml:space="preserve"> Da Silva highlights that the adolescent is the ideal consumer model ‘being as [they are] in an immature state of interior formation defined by impulsion, self-absorption, </w:t>
      </w:r>
      <w:r w:rsidRPr="00505CF0">
        <w:rPr>
          <w:rFonts w:asciiTheme="majorBidi" w:eastAsia="Times New Roman" w:hAnsiTheme="majorBidi" w:cstheme="majorBidi"/>
          <w:bCs/>
          <w:sz w:val="24"/>
          <w:szCs w:val="24"/>
          <w:lang w:eastAsia="en-US"/>
        </w:rPr>
        <w:lastRenderedPageBreak/>
        <w:t>and lack of long-term thought patterns.’</w:t>
      </w:r>
      <w:r w:rsidRPr="00505CF0">
        <w:rPr>
          <w:rFonts w:asciiTheme="majorBidi" w:eastAsia="Times New Roman" w:hAnsiTheme="majorBidi" w:cstheme="majorBidi"/>
          <w:bCs/>
          <w:sz w:val="24"/>
          <w:szCs w:val="24"/>
          <w:vertAlign w:val="superscript"/>
          <w:lang w:eastAsia="en-US"/>
        </w:rPr>
        <w:footnoteReference w:id="235"/>
      </w:r>
      <w:r w:rsidRPr="00505CF0">
        <w:rPr>
          <w:rFonts w:asciiTheme="majorBidi" w:eastAsia="Times New Roman" w:hAnsiTheme="majorBidi" w:cstheme="majorBidi"/>
          <w:bCs/>
          <w:sz w:val="24"/>
          <w:szCs w:val="24"/>
          <w:lang w:eastAsia="en-US"/>
        </w:rPr>
        <w:t xml:space="preserve"> Da Silva continues this argument, suggesting that the economic productions targeted at our society, therefore, ‘actively encourage the cheapening of our aesthetic sensibilities’ in order to appeal to this market and promote it, ‘churning out the mass-produced soft entertainment best fit for a globalized culture of perpetual adolescents.’</w:t>
      </w:r>
      <w:r w:rsidRPr="00505CF0">
        <w:rPr>
          <w:rFonts w:asciiTheme="majorBidi" w:eastAsia="Times New Roman" w:hAnsiTheme="majorBidi" w:cstheme="majorBidi"/>
          <w:bCs/>
          <w:sz w:val="24"/>
          <w:szCs w:val="24"/>
          <w:vertAlign w:val="superscript"/>
          <w:lang w:eastAsia="en-US"/>
        </w:rPr>
        <w:footnoteReference w:id="236"/>
      </w:r>
      <w:r w:rsidRPr="00505CF0">
        <w:rPr>
          <w:rFonts w:asciiTheme="majorBidi" w:eastAsia="Times New Roman" w:hAnsiTheme="majorBidi" w:cstheme="majorBidi"/>
          <w:bCs/>
          <w:sz w:val="24"/>
          <w:szCs w:val="24"/>
          <w:lang w:eastAsia="en-US"/>
        </w:rPr>
        <w:t xml:space="preserve"> Nostalgia then, in this model, provided an initial desire to look backward to a time of youth, thus opening a market desire for consumer products of the past, an opening so lucrative that market forces have sought to keep the desire from fading, infantilizing their consumers by providing increasingly childish goods in order to continue profiting from infantilized desires. Kirby, too, lays the blame at the feet of capitalist forces, arguing that ‘society has been infantilized, particularly through a consumerism that fetishizes spending and sees work as an irrelevant burden,’ linking this fetishization to ‘a failure of maturation, an economic refusal to outgrow childhood pretending, play, and dressing up.’</w:t>
      </w:r>
      <w:r w:rsidRPr="00505CF0">
        <w:rPr>
          <w:rFonts w:asciiTheme="majorBidi" w:eastAsia="Times New Roman" w:hAnsiTheme="majorBidi" w:cstheme="majorBidi"/>
          <w:bCs/>
          <w:sz w:val="24"/>
          <w:szCs w:val="24"/>
          <w:vertAlign w:val="superscript"/>
          <w:lang w:eastAsia="en-US"/>
        </w:rPr>
        <w:footnoteReference w:id="237"/>
      </w:r>
      <w:r w:rsidRPr="00505CF0">
        <w:rPr>
          <w:rFonts w:asciiTheme="majorBidi" w:eastAsia="Times New Roman" w:hAnsiTheme="majorBidi" w:cstheme="majorBidi"/>
          <w:bCs/>
          <w:sz w:val="24"/>
          <w:szCs w:val="24"/>
          <w:lang w:eastAsia="en-US"/>
        </w:rPr>
        <w:t xml:space="preserve"> The last of these points is particularly pertinent, as it reveals a larger cultural fear of autonomy that not only goes hand-in-hand with infantilism, but may go some way to offering an explanation as to how or why this has occurred.</w:t>
      </w:r>
      <w:r w:rsidR="002F7624">
        <w:rPr>
          <w:rStyle w:val="FootnoteReference"/>
          <w:rFonts w:asciiTheme="majorBidi" w:eastAsia="Times New Roman" w:hAnsiTheme="majorBidi" w:cstheme="majorBidi"/>
          <w:bCs/>
          <w:sz w:val="24"/>
          <w:szCs w:val="24"/>
          <w:lang w:eastAsia="en-US"/>
        </w:rPr>
        <w:footnoteReference w:id="238"/>
      </w:r>
      <w:r w:rsidRPr="00505CF0">
        <w:rPr>
          <w:rFonts w:asciiTheme="majorBidi" w:eastAsia="Times New Roman" w:hAnsiTheme="majorBidi" w:cstheme="majorBidi"/>
          <w:bCs/>
          <w:sz w:val="24"/>
          <w:szCs w:val="24"/>
          <w:lang w:eastAsia="en-US"/>
        </w:rPr>
        <w:t xml:space="preserve"> </w:t>
      </w:r>
    </w:p>
    <w:p w14:paraId="09CF0703" w14:textId="244E4D49" w:rsidR="00C111D3" w:rsidRPr="00505CF0" w:rsidRDefault="00C46C7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r>
      <w:r w:rsidR="00C111D3" w:rsidRPr="00505CF0">
        <w:rPr>
          <w:rFonts w:asciiTheme="majorBidi" w:eastAsia="Times New Roman" w:hAnsiTheme="majorBidi" w:cstheme="majorBidi"/>
          <w:bCs/>
          <w:sz w:val="24"/>
          <w:szCs w:val="24"/>
          <w:lang w:eastAsia="en-US"/>
        </w:rPr>
        <w:t>West identifies a lack of cultural confidence and confusion over societal expectations as symptomatic of both contemporary culture and traditional adolescence. She suggests that this stems from Western society’s ‘split personality as both world policeman and, in many people's eyes, world villain.’</w:t>
      </w:r>
      <w:r w:rsidR="00C111D3" w:rsidRPr="00505CF0">
        <w:rPr>
          <w:rFonts w:asciiTheme="majorBidi" w:eastAsia="Times New Roman" w:hAnsiTheme="majorBidi" w:cstheme="majorBidi"/>
          <w:bCs/>
          <w:sz w:val="24"/>
          <w:szCs w:val="24"/>
          <w:vertAlign w:val="superscript"/>
          <w:lang w:eastAsia="en-US"/>
        </w:rPr>
        <w:footnoteReference w:id="239"/>
      </w:r>
      <w:r w:rsidR="00C111D3" w:rsidRPr="00505CF0">
        <w:rPr>
          <w:rFonts w:asciiTheme="majorBidi" w:eastAsia="Times New Roman" w:hAnsiTheme="majorBidi" w:cstheme="majorBidi"/>
          <w:bCs/>
          <w:sz w:val="24"/>
          <w:szCs w:val="24"/>
          <w:lang w:eastAsia="en-US"/>
        </w:rPr>
        <w:t xml:space="preserve"> This conflict, between the desire to police and the fear of refutation (or vilification) speaks to the post-postmodern desire to avoid personal responsibility that has emerged as part of societal infantilization, and da Silva argues that the </w:t>
      </w:r>
      <w:r w:rsidR="00C111D3" w:rsidRPr="00505CF0">
        <w:rPr>
          <w:rFonts w:asciiTheme="majorBidi" w:eastAsia="Times New Roman" w:hAnsiTheme="majorBidi" w:cstheme="majorBidi"/>
          <w:bCs/>
          <w:sz w:val="24"/>
          <w:szCs w:val="24"/>
          <w:lang w:eastAsia="en-US"/>
        </w:rPr>
        <w:lastRenderedPageBreak/>
        <w:t>current epoch is mired in a state of affairs where responsibility and maturity are seen as ‘impossible ideals.’</w:t>
      </w:r>
      <w:r w:rsidR="00C111D3" w:rsidRPr="00505CF0">
        <w:rPr>
          <w:rFonts w:asciiTheme="majorBidi" w:eastAsia="Times New Roman" w:hAnsiTheme="majorBidi" w:cstheme="majorBidi"/>
          <w:bCs/>
          <w:sz w:val="24"/>
          <w:szCs w:val="24"/>
          <w:vertAlign w:val="superscript"/>
          <w:lang w:eastAsia="en-US"/>
        </w:rPr>
        <w:footnoteReference w:id="240"/>
      </w:r>
      <w:r w:rsidR="00C111D3" w:rsidRPr="00505CF0">
        <w:rPr>
          <w:rFonts w:asciiTheme="majorBidi" w:eastAsia="Times New Roman" w:hAnsiTheme="majorBidi" w:cstheme="majorBidi"/>
          <w:bCs/>
          <w:sz w:val="24"/>
          <w:szCs w:val="24"/>
          <w:lang w:eastAsia="en-US"/>
        </w:rPr>
        <w:t xml:space="preserve"> ‘Da Silva’s point here also aligns with Eshelman’s performatist concepts in which the individual obscures the self to avoid ontological issues, here suggesting that such a move is not so much about a radical reaction against community and culture, but instead a desire to avoid the direct responsibility of having to defend one’s convictions. Torralba too recognises this desire to avoid vilification through avoidance, though describes it as a contemporary fear of freedom</w:t>
      </w:r>
      <w:r w:rsidR="00C111D3" w:rsidRPr="00505CF0">
        <w:rPr>
          <w:rStyle w:val="FootnoteReference"/>
          <w:rFonts w:asciiTheme="majorBidi" w:eastAsia="Times New Roman" w:hAnsiTheme="majorBidi" w:cstheme="majorBidi"/>
          <w:bCs/>
          <w:sz w:val="24"/>
          <w:szCs w:val="24"/>
          <w:lang w:eastAsia="en-US"/>
        </w:rPr>
        <w:footnoteReference w:id="241"/>
      </w:r>
      <w:r w:rsidR="00C111D3" w:rsidRPr="00505CF0">
        <w:rPr>
          <w:rFonts w:asciiTheme="majorBidi" w:eastAsia="Times New Roman" w:hAnsiTheme="majorBidi" w:cstheme="majorBidi"/>
          <w:bCs/>
          <w:sz w:val="24"/>
          <w:szCs w:val="24"/>
          <w:lang w:eastAsia="en-US"/>
        </w:rPr>
        <w:t>, one among six major fears that dominate our society.</w:t>
      </w:r>
      <w:r w:rsidR="00C111D3" w:rsidRPr="00505CF0">
        <w:rPr>
          <w:rFonts w:asciiTheme="majorBidi" w:eastAsia="Times New Roman" w:hAnsiTheme="majorBidi" w:cstheme="majorBidi"/>
          <w:bCs/>
          <w:sz w:val="24"/>
          <w:szCs w:val="24"/>
          <w:vertAlign w:val="superscript"/>
          <w:lang w:eastAsia="en-US"/>
        </w:rPr>
        <w:footnoteReference w:id="242"/>
      </w:r>
      <w:r w:rsidR="00C111D3" w:rsidRPr="00505CF0">
        <w:rPr>
          <w:rFonts w:asciiTheme="majorBidi" w:eastAsia="Times New Roman" w:hAnsiTheme="majorBidi" w:cstheme="majorBidi"/>
          <w:bCs/>
          <w:sz w:val="24"/>
          <w:szCs w:val="24"/>
          <w:lang w:eastAsia="en-US"/>
        </w:rPr>
        <w:t xml:space="preserve"> Torralba identifies that the fear of personal self-determination, ‘of exercising one’s own autonomy, of defending one’s own convictions […] is growing significantly,’ continuing to state that the age in which we live fosters a fear within individuals when attempting to defend ‘solid ideas like freedom, truth, dignity or even equality,’ a fear based on seeming to cross the line of so-called political correctness or deviate from the ‘highways of official thinking.’</w:t>
      </w:r>
      <w:r w:rsidR="00C111D3" w:rsidRPr="00505CF0">
        <w:rPr>
          <w:rFonts w:asciiTheme="majorBidi" w:eastAsia="Times New Roman" w:hAnsiTheme="majorBidi" w:cstheme="majorBidi"/>
          <w:bCs/>
          <w:sz w:val="24"/>
          <w:szCs w:val="24"/>
          <w:vertAlign w:val="superscript"/>
          <w:lang w:eastAsia="en-US"/>
        </w:rPr>
        <w:footnoteReference w:id="243"/>
      </w:r>
      <w:r w:rsidR="00C111D3" w:rsidRPr="00505CF0">
        <w:rPr>
          <w:rFonts w:asciiTheme="majorBidi" w:eastAsia="Times New Roman" w:hAnsiTheme="majorBidi" w:cstheme="majorBidi"/>
          <w:bCs/>
          <w:sz w:val="24"/>
          <w:szCs w:val="24"/>
          <w:lang w:eastAsia="en-US"/>
        </w:rPr>
        <w:t xml:space="preserve"> By ignoring conflict, stifling potentially adverse opinions, and avoiding engagement with opposing arguments, the contemporary individual, via this self-censoring, actively participates in their own delayed maturation; as Wilson points out, individuals ‘learn to ignore, rather than engage with, genuine disagreement, and so ultimately dismantle the most important distinction between civil society and the playground — the ability to live respectfully alongside those with whom we disagree.’</w:t>
      </w:r>
      <w:r w:rsidR="00C111D3" w:rsidRPr="00505CF0">
        <w:rPr>
          <w:rFonts w:asciiTheme="majorBidi" w:eastAsia="Times New Roman" w:hAnsiTheme="majorBidi" w:cstheme="majorBidi"/>
          <w:bCs/>
          <w:sz w:val="24"/>
          <w:szCs w:val="24"/>
          <w:vertAlign w:val="superscript"/>
          <w:lang w:eastAsia="en-US"/>
        </w:rPr>
        <w:footnoteReference w:id="244"/>
      </w:r>
      <w:r w:rsidR="00C111D3" w:rsidRPr="00505CF0">
        <w:rPr>
          <w:rFonts w:asciiTheme="majorBidi" w:eastAsia="Times New Roman" w:hAnsiTheme="majorBidi" w:cstheme="majorBidi"/>
          <w:bCs/>
          <w:sz w:val="24"/>
          <w:szCs w:val="24"/>
          <w:lang w:eastAsia="en-US"/>
        </w:rPr>
        <w:t xml:space="preserve"> As a society, we self-infantilize in order to, as Kirby states ‘[take] the world away,’</w:t>
      </w:r>
      <w:r w:rsidR="00C111D3" w:rsidRPr="00505CF0">
        <w:rPr>
          <w:rFonts w:asciiTheme="majorBidi" w:eastAsia="Times New Roman" w:hAnsiTheme="majorBidi" w:cstheme="majorBidi"/>
          <w:bCs/>
          <w:sz w:val="24"/>
          <w:szCs w:val="24"/>
          <w:vertAlign w:val="superscript"/>
          <w:lang w:eastAsia="en-US"/>
        </w:rPr>
        <w:footnoteReference w:id="245"/>
      </w:r>
      <w:r w:rsidR="00C111D3" w:rsidRPr="00505CF0">
        <w:rPr>
          <w:rFonts w:asciiTheme="majorBidi" w:eastAsia="Times New Roman" w:hAnsiTheme="majorBidi" w:cstheme="majorBidi"/>
          <w:bCs/>
          <w:sz w:val="24"/>
          <w:szCs w:val="24"/>
          <w:lang w:eastAsia="en-US"/>
        </w:rPr>
        <w:t xml:space="preserve"> to remove ourselves from potentially fraught conflicts in which we may accidentally vilify ourselves in defending our convictions and opinions. Sturgeon links this movement and removal to Kant’s concept of the </w:t>
      </w:r>
      <w:r w:rsidR="00C111D3" w:rsidRPr="00505CF0">
        <w:rPr>
          <w:rFonts w:asciiTheme="majorBidi" w:eastAsia="Times New Roman" w:hAnsiTheme="majorBidi" w:cstheme="majorBidi"/>
          <w:bCs/>
          <w:sz w:val="24"/>
          <w:szCs w:val="24"/>
          <w:lang w:eastAsia="en-US"/>
        </w:rPr>
        <w:lastRenderedPageBreak/>
        <w:t>Unconditioned, suggesting that certain key figures emblematic of the current cultural zeitgeist express a desire for the ‘“tranquil inactivity and constant peace” that comes when all questions about the world have obvious answers,’ resulting in a ‘childlike, carefree glee.’</w:t>
      </w:r>
      <w:r w:rsidR="00C111D3" w:rsidRPr="00505CF0">
        <w:rPr>
          <w:rFonts w:asciiTheme="majorBidi" w:eastAsia="Times New Roman" w:hAnsiTheme="majorBidi" w:cstheme="majorBidi"/>
          <w:bCs/>
          <w:sz w:val="24"/>
          <w:szCs w:val="24"/>
          <w:vertAlign w:val="superscript"/>
          <w:lang w:eastAsia="en-US"/>
        </w:rPr>
        <w:footnoteReference w:id="246"/>
      </w:r>
      <w:r w:rsidR="00C111D3" w:rsidRPr="00505CF0">
        <w:rPr>
          <w:rFonts w:asciiTheme="majorBidi" w:eastAsia="Times New Roman" w:hAnsiTheme="majorBidi" w:cstheme="majorBidi"/>
          <w:bCs/>
          <w:sz w:val="24"/>
          <w:szCs w:val="24"/>
          <w:lang w:eastAsia="en-US"/>
        </w:rPr>
        <w:t xml:space="preserve"> Enlightenment principles have become the standard for maturity in the west, a stance also taken up by Wilson who compares current western infantilization to the end of Enlightenment as described by Theodor Adorno and Max Horkheimer in their </w:t>
      </w:r>
      <w:r w:rsidR="00C111D3" w:rsidRPr="00505CF0">
        <w:rPr>
          <w:rFonts w:asciiTheme="majorBidi" w:eastAsia="Times New Roman" w:hAnsiTheme="majorBidi" w:cstheme="majorBidi"/>
          <w:bCs/>
          <w:i/>
          <w:iCs/>
          <w:sz w:val="24"/>
          <w:szCs w:val="24"/>
          <w:lang w:eastAsia="en-US"/>
        </w:rPr>
        <w:t>Dialectic of Enlightenment</w:t>
      </w:r>
      <w:r w:rsidR="00C111D3" w:rsidRPr="00505CF0">
        <w:rPr>
          <w:rFonts w:asciiTheme="majorBidi" w:eastAsia="Times New Roman" w:hAnsiTheme="majorBidi" w:cstheme="majorBidi"/>
          <w:bCs/>
          <w:sz w:val="24"/>
          <w:szCs w:val="24"/>
          <w:lang w:eastAsia="en-US"/>
        </w:rPr>
        <w:t xml:space="preserve">. Wilson highlights that Adorno and Horkheimer discuss the ‘suicide of Enlightenment thinking’ as a consequence of three historical steps, the most notable of which being </w:t>
      </w:r>
      <w:proofErr w:type="gramStart"/>
      <w:r w:rsidR="00C111D3" w:rsidRPr="00505CF0">
        <w:rPr>
          <w:rFonts w:asciiTheme="majorBidi" w:eastAsia="Times New Roman" w:hAnsiTheme="majorBidi" w:cstheme="majorBidi"/>
          <w:bCs/>
          <w:sz w:val="24"/>
          <w:szCs w:val="24"/>
          <w:lang w:eastAsia="en-US"/>
        </w:rPr>
        <w:t>society’s</w:t>
      </w:r>
      <w:proofErr w:type="gramEnd"/>
      <w:r w:rsidR="00C111D3" w:rsidRPr="00505CF0">
        <w:rPr>
          <w:rFonts w:asciiTheme="majorBidi" w:eastAsia="Times New Roman" w:hAnsiTheme="majorBidi" w:cstheme="majorBidi"/>
          <w:bCs/>
          <w:sz w:val="24"/>
          <w:szCs w:val="24"/>
          <w:lang w:eastAsia="en-US"/>
        </w:rPr>
        <w:t xml:space="preserve"> ‘lapse into infantile solipsism, duped by the immediate gratifications of capitalism,’ though Wilson sees the West as ‘far more childish than even they anticipated.’</w:t>
      </w:r>
      <w:r w:rsidR="00C111D3" w:rsidRPr="00505CF0">
        <w:rPr>
          <w:rStyle w:val="FootnoteReference"/>
          <w:rFonts w:asciiTheme="majorBidi" w:eastAsia="Times New Roman" w:hAnsiTheme="majorBidi" w:cstheme="majorBidi"/>
          <w:bCs/>
          <w:sz w:val="24"/>
          <w:szCs w:val="24"/>
          <w:lang w:eastAsia="en-US"/>
        </w:rPr>
        <w:footnoteReference w:id="247"/>
      </w:r>
      <w:r w:rsidR="00C111D3" w:rsidRPr="00505CF0">
        <w:rPr>
          <w:rFonts w:asciiTheme="majorBidi" w:eastAsia="Times New Roman" w:hAnsiTheme="majorBidi" w:cstheme="majorBidi"/>
          <w:bCs/>
          <w:sz w:val="24"/>
          <w:szCs w:val="24"/>
          <w:lang w:eastAsia="en-US"/>
        </w:rPr>
        <w:t xml:space="preserve"> The dialectic between classical and contemporary enlightenment is thus one of friction, a collision between the desire for progressivism</w:t>
      </w:r>
      <w:r w:rsidR="00263907">
        <w:rPr>
          <w:rFonts w:asciiTheme="majorBidi" w:eastAsia="Times New Roman" w:hAnsiTheme="majorBidi" w:cstheme="majorBidi"/>
          <w:bCs/>
          <w:sz w:val="24"/>
          <w:szCs w:val="24"/>
          <w:lang w:eastAsia="en-US"/>
        </w:rPr>
        <w:t>,</w:t>
      </w:r>
      <w:r w:rsidR="00C111D3" w:rsidRPr="00505CF0">
        <w:rPr>
          <w:rFonts w:asciiTheme="majorBidi" w:eastAsia="Times New Roman" w:hAnsiTheme="majorBidi" w:cstheme="majorBidi"/>
          <w:bCs/>
          <w:sz w:val="24"/>
          <w:szCs w:val="24"/>
          <w:lang w:eastAsia="en-US"/>
        </w:rPr>
        <w:t xml:space="preserve"> so key to enlightenment thinking</w:t>
      </w:r>
      <w:r w:rsidR="00263907">
        <w:rPr>
          <w:rFonts w:asciiTheme="majorBidi" w:eastAsia="Times New Roman" w:hAnsiTheme="majorBidi" w:cstheme="majorBidi"/>
          <w:bCs/>
          <w:sz w:val="24"/>
          <w:szCs w:val="24"/>
          <w:lang w:eastAsia="en-US"/>
        </w:rPr>
        <w:t>,</w:t>
      </w:r>
      <w:r w:rsidR="00C111D3" w:rsidRPr="00505CF0">
        <w:rPr>
          <w:rFonts w:asciiTheme="majorBidi" w:eastAsia="Times New Roman" w:hAnsiTheme="majorBidi" w:cstheme="majorBidi"/>
          <w:bCs/>
          <w:sz w:val="24"/>
          <w:szCs w:val="24"/>
          <w:lang w:eastAsia="en-US"/>
        </w:rPr>
        <w:t xml:space="preserve"> and an anti-enlightenment immaturity defined by nonage. The term is somewhat passé by now, being as it attached to one of the most frequently </w:t>
      </w:r>
      <w:r w:rsidR="00263907">
        <w:rPr>
          <w:rFonts w:asciiTheme="majorBidi" w:eastAsia="Times New Roman" w:hAnsiTheme="majorBidi" w:cstheme="majorBidi"/>
          <w:bCs/>
          <w:sz w:val="24"/>
          <w:szCs w:val="24"/>
          <w:lang w:eastAsia="en-US"/>
        </w:rPr>
        <w:t xml:space="preserve">quoted </w:t>
      </w:r>
      <w:r w:rsidR="00C111D3" w:rsidRPr="00505CF0">
        <w:rPr>
          <w:rFonts w:asciiTheme="majorBidi" w:eastAsia="Times New Roman" w:hAnsiTheme="majorBidi" w:cstheme="majorBidi"/>
          <w:bCs/>
          <w:sz w:val="24"/>
          <w:szCs w:val="24"/>
          <w:lang w:eastAsia="en-US"/>
        </w:rPr>
        <w:t>passages of Kant’s description of Enlightenment as the emergence from a self-imposed reliance on the wisdom of others to guide us:</w:t>
      </w:r>
    </w:p>
    <w:p w14:paraId="664CC079" w14:textId="77777777" w:rsidR="00C111D3" w:rsidRPr="00505CF0" w:rsidRDefault="00C111D3" w:rsidP="004C3EE0">
      <w:pPr>
        <w:keepNext/>
        <w:tabs>
          <w:tab w:val="left" w:pos="720"/>
        </w:tabs>
        <w:spacing w:line="240" w:lineRule="auto"/>
        <w:jc w:val="both"/>
        <w:outlineLvl w:val="2"/>
        <w:rPr>
          <w:rFonts w:asciiTheme="majorBidi" w:eastAsia="Times New Roman" w:hAnsiTheme="majorBidi" w:cstheme="majorBidi"/>
          <w:bCs/>
          <w:sz w:val="24"/>
          <w:szCs w:val="24"/>
          <w:lang w:eastAsia="en-US"/>
        </w:rPr>
      </w:pPr>
    </w:p>
    <w:p w14:paraId="2980DF9D" w14:textId="77777777" w:rsidR="00C111D3" w:rsidRPr="00505CF0" w:rsidRDefault="00C111D3" w:rsidP="004C3EE0">
      <w:pPr>
        <w:keepNext/>
        <w:tabs>
          <w:tab w:val="left" w:pos="720"/>
        </w:tabs>
        <w:spacing w:line="240" w:lineRule="auto"/>
        <w:ind w:left="720" w:right="720"/>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Enlightenment is man's emergence from his self-imposed nonage. Nonage is the inability to use one's own understanding without another's guidance. This nonage is self-imposed if its cause lies not in lack of understanding but in indecision and lack of courage to use one's own mind without another's guidance. </w:t>
      </w:r>
      <w:r w:rsidRPr="00505CF0">
        <w:rPr>
          <w:rFonts w:asciiTheme="majorBidi" w:eastAsia="Times New Roman" w:hAnsiTheme="majorBidi" w:cstheme="majorBidi"/>
          <w:bCs/>
          <w:i/>
          <w:iCs/>
          <w:sz w:val="24"/>
          <w:szCs w:val="24"/>
          <w:lang w:eastAsia="en-US"/>
        </w:rPr>
        <w:t>Dare to know!</w:t>
      </w:r>
      <w:r w:rsidRPr="00505CF0">
        <w:rPr>
          <w:rFonts w:asciiTheme="majorBidi" w:eastAsia="Times New Roman" w:hAnsiTheme="majorBidi" w:cstheme="majorBidi"/>
          <w:bCs/>
          <w:sz w:val="24"/>
          <w:szCs w:val="24"/>
          <w:lang w:eastAsia="en-US"/>
        </w:rPr>
        <w:t xml:space="preserve"> </w:t>
      </w:r>
      <w:proofErr w:type="gramStart"/>
      <w:r w:rsidRPr="00505CF0">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i/>
          <w:iCs/>
          <w:sz w:val="24"/>
          <w:szCs w:val="24"/>
          <w:lang w:eastAsia="en-US"/>
        </w:rPr>
        <w:t>Sapere aude.</w:t>
      </w:r>
      <w:r w:rsidRPr="00505CF0">
        <w:rPr>
          <w:rFonts w:asciiTheme="majorBidi" w:eastAsia="Times New Roman" w:hAnsiTheme="majorBidi" w:cstheme="majorBidi"/>
          <w:bCs/>
          <w:sz w:val="24"/>
          <w:szCs w:val="24"/>
          <w:lang w:eastAsia="en-US"/>
        </w:rPr>
        <w:t>)</w:t>
      </w:r>
      <w:proofErr w:type="gramEnd"/>
      <w:r w:rsidRPr="00505CF0">
        <w:rPr>
          <w:rFonts w:asciiTheme="majorBidi" w:eastAsia="Times New Roman" w:hAnsiTheme="majorBidi" w:cstheme="majorBidi"/>
          <w:bCs/>
          <w:sz w:val="24"/>
          <w:szCs w:val="24"/>
          <w:lang w:eastAsia="en-US"/>
        </w:rPr>
        <w:t xml:space="preserve"> "Have the courage to use your own understanding," is therefore the motto of the enlightenment.</w:t>
      </w:r>
      <w:r w:rsidRPr="00505CF0">
        <w:rPr>
          <w:rFonts w:asciiTheme="majorBidi" w:eastAsia="Times New Roman" w:hAnsiTheme="majorBidi" w:cstheme="majorBidi"/>
          <w:bCs/>
          <w:sz w:val="24"/>
          <w:szCs w:val="24"/>
          <w:vertAlign w:val="superscript"/>
          <w:lang w:eastAsia="en-US"/>
        </w:rPr>
        <w:footnoteReference w:id="248"/>
      </w:r>
    </w:p>
    <w:p w14:paraId="500F54F6" w14:textId="77777777"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p>
    <w:p w14:paraId="773B53C8" w14:textId="77777777" w:rsidR="00C111D3" w:rsidRPr="00505CF0" w:rsidRDefault="00C111D3" w:rsidP="004C3EE0">
      <w:pPr>
        <w:keepNext/>
        <w:tabs>
          <w:tab w:val="left" w:pos="720"/>
        </w:tabs>
        <w:spacing w:line="480" w:lineRule="auto"/>
        <w:jc w:val="both"/>
        <w:outlineLvl w:val="2"/>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Western maturity is thus measured by wo/man’s ability to transcend this period of nonage, yet this term accurately describes the post-postmodern cultural infantilism that individuals </w:t>
      </w:r>
      <w:r w:rsidRPr="00505CF0">
        <w:rPr>
          <w:rFonts w:asciiTheme="majorBidi" w:eastAsia="Times New Roman" w:hAnsiTheme="majorBidi" w:cstheme="majorBidi"/>
          <w:bCs/>
          <w:sz w:val="24"/>
          <w:szCs w:val="24"/>
          <w:lang w:eastAsia="en-US"/>
        </w:rPr>
        <w:lastRenderedPageBreak/>
        <w:t>refuse to (or deliberately ignore the need to) transcend. Kant cites ‘laziness and cowardice’ as the reasons ‘why such a large part of mankind gladly remain minors all their lives, long after nature has freed them from external guidance,’</w:t>
      </w:r>
      <w:r w:rsidRPr="00505CF0">
        <w:rPr>
          <w:rFonts w:asciiTheme="majorBidi" w:eastAsia="Times New Roman" w:hAnsiTheme="majorBidi" w:cstheme="majorBidi"/>
          <w:bCs/>
          <w:sz w:val="24"/>
          <w:szCs w:val="24"/>
          <w:vertAlign w:val="superscript"/>
          <w:lang w:eastAsia="en-US"/>
        </w:rPr>
        <w:footnoteReference w:id="249"/>
      </w:r>
      <w:r w:rsidRPr="00505CF0">
        <w:rPr>
          <w:rFonts w:asciiTheme="majorBidi" w:eastAsia="Times New Roman" w:hAnsiTheme="majorBidi" w:cstheme="majorBidi"/>
          <w:bCs/>
          <w:sz w:val="24"/>
          <w:szCs w:val="24"/>
          <w:lang w:eastAsia="en-US"/>
        </w:rPr>
        <w:t xml:space="preserve"> and while to a certain extent we can describe the self-infantilization as a product of cultural cowardice, of giving in to a fear of potential vilification and demands upon autonomous justification, perhaps laziness is less accurate. While it is perhaps true that, to some extent, ‘it is so comfortable to be a minor,’ the overwhelming pressure of market forces that emphasise a youth-cult combined with a dystopian resignation that forces a nostalgic reverence are, arguably, more active than lazy activities; perhaps it is more accurate to say, desperation and fear are the reasons why such a large swathe of humankind gladly accepts or desires infantilization, remaining in perpetual, safe, nonage. We are infantilized by consumer culture, we self-infantilize for safety. </w:t>
      </w:r>
    </w:p>
    <w:p w14:paraId="4BAAFF09" w14:textId="3F7BFAD5" w:rsidR="00F74ECC" w:rsidRDefault="00F74ECC" w:rsidP="00967358">
      <w:pPr>
        <w:spacing w:line="480" w:lineRule="auto"/>
        <w:jc w:val="both"/>
        <w:rPr>
          <w:rFonts w:asciiTheme="majorBidi" w:eastAsia="Times New Roman" w:hAnsiTheme="majorBidi" w:cstheme="majorBidi"/>
          <w:b/>
          <w:sz w:val="32"/>
          <w:szCs w:val="20"/>
          <w:lang w:eastAsia="en-US"/>
        </w:rPr>
      </w:pPr>
    </w:p>
    <w:p w14:paraId="12528311" w14:textId="77777777" w:rsidR="001F081A" w:rsidRDefault="001F081A" w:rsidP="00967358">
      <w:pPr>
        <w:spacing w:line="480" w:lineRule="auto"/>
        <w:jc w:val="both"/>
        <w:rPr>
          <w:rFonts w:asciiTheme="majorBidi" w:eastAsia="Times New Roman" w:hAnsiTheme="majorBidi" w:cstheme="majorBidi"/>
          <w:b/>
          <w:sz w:val="32"/>
          <w:szCs w:val="20"/>
          <w:lang w:eastAsia="en-US"/>
        </w:rPr>
      </w:pPr>
    </w:p>
    <w:p w14:paraId="73124DE2" w14:textId="475B3490" w:rsidR="00C111D3" w:rsidRPr="00967358" w:rsidRDefault="00C111D3" w:rsidP="00967358">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
          <w:sz w:val="32"/>
          <w:szCs w:val="20"/>
          <w:lang w:eastAsia="en-US"/>
        </w:rPr>
        <w:t>3.</w:t>
      </w:r>
      <w:r w:rsidRPr="00505CF0">
        <w:rPr>
          <w:rFonts w:asciiTheme="majorBidi" w:eastAsia="Times New Roman" w:hAnsiTheme="majorBidi" w:cstheme="majorBidi"/>
          <w:b/>
          <w:sz w:val="32"/>
          <w:szCs w:val="20"/>
          <w:lang w:eastAsia="en-US"/>
        </w:rPr>
        <w:tab/>
        <w:t xml:space="preserve">Conclusion </w:t>
      </w:r>
    </w:p>
    <w:p w14:paraId="2042BCC8" w14:textId="77777777" w:rsidR="00C111D3" w:rsidRPr="00505CF0" w:rsidRDefault="00C111D3" w:rsidP="004C3EE0">
      <w:pPr>
        <w:keepNext/>
        <w:tabs>
          <w:tab w:val="left" w:pos="720"/>
        </w:tabs>
        <w:spacing w:line="480" w:lineRule="auto"/>
        <w:jc w:val="both"/>
        <w:outlineLvl w:val="0"/>
        <w:rPr>
          <w:rFonts w:asciiTheme="majorBidi" w:eastAsia="Times New Roman" w:hAnsiTheme="majorBidi" w:cstheme="majorBidi"/>
          <w:b/>
          <w:sz w:val="24"/>
          <w:szCs w:val="24"/>
          <w:lang w:eastAsia="en-US"/>
        </w:rPr>
      </w:pPr>
    </w:p>
    <w:p w14:paraId="3B510ADD" w14:textId="72FFD47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Postmodernism</w:t>
      </w:r>
      <w:r w:rsidR="00C46C73" w:rsidRPr="00505CF0">
        <w:rPr>
          <w:rFonts w:asciiTheme="majorBidi" w:hAnsiTheme="majorBidi" w:cstheme="majorBidi"/>
          <w:sz w:val="24"/>
          <w:szCs w:val="24"/>
        </w:rPr>
        <w:t>, in its purest form,</w:t>
      </w:r>
      <w:r w:rsidRPr="00505CF0">
        <w:rPr>
          <w:rFonts w:asciiTheme="majorBidi" w:hAnsiTheme="majorBidi" w:cstheme="majorBidi"/>
          <w:sz w:val="24"/>
          <w:szCs w:val="24"/>
        </w:rPr>
        <w:t xml:space="preserve"> is over, having been killed by globalization; the outright victory of capitalism against any other significant opposing ideology having led to a wide-spread consumer culture antithetical to the counter-cultural agenda of the postmodern paradigm. Standing over the </w:t>
      </w:r>
      <w:r w:rsidR="00C64B83" w:rsidRPr="00505CF0">
        <w:rPr>
          <w:rFonts w:asciiTheme="majorBidi" w:hAnsiTheme="majorBidi" w:cstheme="majorBidi"/>
          <w:sz w:val="24"/>
          <w:szCs w:val="24"/>
        </w:rPr>
        <w:t>corpse-like sleeper</w:t>
      </w:r>
      <w:r w:rsidRPr="00505CF0">
        <w:rPr>
          <w:rFonts w:asciiTheme="majorBidi" w:hAnsiTheme="majorBidi" w:cstheme="majorBidi"/>
          <w:sz w:val="24"/>
          <w:szCs w:val="24"/>
        </w:rPr>
        <w:t>, multiple new theories have emerged that identify the varying cultural models that have emerged with the supposed death of the grand cultural mode. Many propose re-assessments of modernist principles</w:t>
      </w:r>
      <w:r w:rsidRPr="00505CF0">
        <w:rPr>
          <w:rFonts w:asciiTheme="majorBidi" w:hAnsiTheme="majorBidi" w:cstheme="majorBidi"/>
          <w:sz w:val="24"/>
          <w:szCs w:val="24"/>
          <w:vertAlign w:val="superscript"/>
        </w:rPr>
        <w:footnoteReference w:id="250"/>
      </w:r>
      <w:r w:rsidRPr="00505CF0">
        <w:rPr>
          <w:rFonts w:asciiTheme="majorBidi" w:hAnsiTheme="majorBidi" w:cstheme="majorBidi"/>
          <w:sz w:val="24"/>
          <w:szCs w:val="24"/>
        </w:rPr>
        <w:t xml:space="preserve"> while others suggest a clean break away from the mode and into something entirely contemporaneous. New cultural identifiers have emerged, with separate theorists focusing on such varied topics as sheltered </w:t>
      </w:r>
      <w:r w:rsidRPr="00505CF0">
        <w:rPr>
          <w:rFonts w:asciiTheme="majorBidi" w:hAnsiTheme="majorBidi" w:cstheme="majorBidi"/>
          <w:sz w:val="24"/>
          <w:szCs w:val="24"/>
        </w:rPr>
        <w:lastRenderedPageBreak/>
        <w:t xml:space="preserve">selves, networked autonomy, anti-establishmentarianism sentiments, or the death of irony. Yet, while each focusses on seemingly disparate specifics, taken as a whole they all describe elements of a grander whole; a culture of dystopian resignation, attempting sincere progress without goal while simultaneously clinging to memories of the nostalgia-tinted selective past that creates a capitalist and risk induced infantilism.  We cling to the past, desperate to escape the horrors of the present. We long for a better </w:t>
      </w:r>
      <w:proofErr w:type="gramStart"/>
      <w:r w:rsidRPr="00505CF0">
        <w:rPr>
          <w:rFonts w:asciiTheme="majorBidi" w:hAnsiTheme="majorBidi" w:cstheme="majorBidi"/>
          <w:sz w:val="24"/>
          <w:szCs w:val="24"/>
        </w:rPr>
        <w:t>future,</w:t>
      </w:r>
      <w:proofErr w:type="gramEnd"/>
      <w:r w:rsidRPr="00505CF0">
        <w:rPr>
          <w:rFonts w:asciiTheme="majorBidi" w:hAnsiTheme="majorBidi" w:cstheme="majorBidi"/>
          <w:sz w:val="24"/>
          <w:szCs w:val="24"/>
        </w:rPr>
        <w:t xml:space="preserve"> yet know that there is none to come. Such is the post-postmodern prognosis, a world riddled with anxiety about the contemporary, frantically reaching forwards and backwards to resolve the issues of the present.</w:t>
      </w:r>
    </w:p>
    <w:p w14:paraId="01A764B1" w14:textId="77777777" w:rsidR="00C30008" w:rsidRDefault="00C30008" w:rsidP="00C30008">
      <w:pPr>
        <w:spacing w:line="240" w:lineRule="auto"/>
        <w:rPr>
          <w:rFonts w:asciiTheme="majorBidi" w:hAnsiTheme="majorBidi" w:cstheme="majorBidi"/>
          <w:sz w:val="36"/>
          <w:szCs w:val="36"/>
        </w:rPr>
      </w:pPr>
    </w:p>
    <w:p w14:paraId="0DCE791A" w14:textId="77777777" w:rsidR="00C30008" w:rsidRDefault="00C30008" w:rsidP="00C30008">
      <w:pPr>
        <w:spacing w:line="240" w:lineRule="auto"/>
        <w:rPr>
          <w:rFonts w:asciiTheme="majorBidi" w:hAnsiTheme="majorBidi" w:cstheme="majorBidi"/>
          <w:sz w:val="36"/>
          <w:szCs w:val="36"/>
        </w:rPr>
      </w:pPr>
    </w:p>
    <w:p w14:paraId="450880A9" w14:textId="77777777" w:rsidR="00C30008" w:rsidRDefault="00C30008" w:rsidP="00C30008">
      <w:pPr>
        <w:spacing w:line="240" w:lineRule="auto"/>
        <w:rPr>
          <w:rFonts w:asciiTheme="majorBidi" w:hAnsiTheme="majorBidi" w:cstheme="majorBidi"/>
          <w:sz w:val="36"/>
          <w:szCs w:val="36"/>
        </w:rPr>
      </w:pPr>
    </w:p>
    <w:p w14:paraId="723CAACC" w14:textId="77777777" w:rsidR="00C30008" w:rsidRDefault="00C30008" w:rsidP="00C30008">
      <w:pPr>
        <w:spacing w:line="240" w:lineRule="auto"/>
        <w:rPr>
          <w:rFonts w:asciiTheme="majorBidi" w:hAnsiTheme="majorBidi" w:cstheme="majorBidi"/>
          <w:sz w:val="36"/>
          <w:szCs w:val="36"/>
        </w:rPr>
      </w:pPr>
    </w:p>
    <w:p w14:paraId="1C713CB6" w14:textId="77777777" w:rsidR="00C30008" w:rsidRDefault="00C30008" w:rsidP="00C30008">
      <w:pPr>
        <w:spacing w:line="240" w:lineRule="auto"/>
        <w:rPr>
          <w:rFonts w:asciiTheme="majorBidi" w:hAnsiTheme="majorBidi" w:cstheme="majorBidi"/>
          <w:sz w:val="36"/>
          <w:szCs w:val="36"/>
        </w:rPr>
      </w:pPr>
    </w:p>
    <w:p w14:paraId="3F32DB79" w14:textId="77777777" w:rsidR="00C30008" w:rsidRDefault="00C30008" w:rsidP="00C30008">
      <w:pPr>
        <w:spacing w:line="240" w:lineRule="auto"/>
        <w:rPr>
          <w:rFonts w:asciiTheme="majorBidi" w:hAnsiTheme="majorBidi" w:cstheme="majorBidi"/>
          <w:sz w:val="36"/>
          <w:szCs w:val="36"/>
        </w:rPr>
      </w:pPr>
    </w:p>
    <w:p w14:paraId="1D1A8421" w14:textId="77777777" w:rsidR="00C30008" w:rsidRDefault="00C30008" w:rsidP="00C30008">
      <w:pPr>
        <w:spacing w:line="240" w:lineRule="auto"/>
        <w:rPr>
          <w:rFonts w:asciiTheme="majorBidi" w:hAnsiTheme="majorBidi" w:cstheme="majorBidi"/>
          <w:sz w:val="36"/>
          <w:szCs w:val="36"/>
        </w:rPr>
      </w:pPr>
    </w:p>
    <w:p w14:paraId="1D4BB14B" w14:textId="77777777" w:rsidR="00C30008" w:rsidRDefault="00C30008" w:rsidP="00C30008">
      <w:pPr>
        <w:spacing w:line="240" w:lineRule="auto"/>
        <w:rPr>
          <w:rFonts w:asciiTheme="majorBidi" w:hAnsiTheme="majorBidi" w:cstheme="majorBidi"/>
          <w:sz w:val="36"/>
          <w:szCs w:val="36"/>
        </w:rPr>
      </w:pPr>
    </w:p>
    <w:p w14:paraId="7BDD52C6" w14:textId="77777777" w:rsidR="00C30008" w:rsidRDefault="00C30008" w:rsidP="00C30008">
      <w:pPr>
        <w:spacing w:line="240" w:lineRule="auto"/>
        <w:rPr>
          <w:rFonts w:asciiTheme="majorBidi" w:hAnsiTheme="majorBidi" w:cstheme="majorBidi"/>
          <w:sz w:val="36"/>
          <w:szCs w:val="36"/>
        </w:rPr>
      </w:pPr>
    </w:p>
    <w:p w14:paraId="74BD6F89" w14:textId="77777777" w:rsidR="00C30008" w:rsidRDefault="00C30008" w:rsidP="00C30008">
      <w:pPr>
        <w:spacing w:line="240" w:lineRule="auto"/>
        <w:rPr>
          <w:rFonts w:asciiTheme="majorBidi" w:hAnsiTheme="majorBidi" w:cstheme="majorBidi"/>
          <w:sz w:val="36"/>
          <w:szCs w:val="36"/>
        </w:rPr>
      </w:pPr>
    </w:p>
    <w:p w14:paraId="226CD37B" w14:textId="77777777" w:rsidR="00C30008" w:rsidRDefault="00C30008" w:rsidP="00C30008">
      <w:pPr>
        <w:spacing w:line="240" w:lineRule="auto"/>
        <w:rPr>
          <w:rFonts w:asciiTheme="majorBidi" w:hAnsiTheme="majorBidi" w:cstheme="majorBidi"/>
          <w:sz w:val="36"/>
          <w:szCs w:val="36"/>
        </w:rPr>
      </w:pPr>
    </w:p>
    <w:p w14:paraId="43F9E123" w14:textId="77777777" w:rsidR="00C30008" w:rsidRDefault="00C30008" w:rsidP="00C30008">
      <w:pPr>
        <w:spacing w:line="240" w:lineRule="auto"/>
        <w:rPr>
          <w:rFonts w:asciiTheme="majorBidi" w:hAnsiTheme="majorBidi" w:cstheme="majorBidi"/>
          <w:sz w:val="36"/>
          <w:szCs w:val="36"/>
        </w:rPr>
      </w:pPr>
    </w:p>
    <w:p w14:paraId="643ED22E" w14:textId="77777777" w:rsidR="00C30008" w:rsidRDefault="00C30008" w:rsidP="00C30008">
      <w:pPr>
        <w:spacing w:line="240" w:lineRule="auto"/>
        <w:rPr>
          <w:rFonts w:asciiTheme="majorBidi" w:hAnsiTheme="majorBidi" w:cstheme="majorBidi"/>
          <w:sz w:val="36"/>
          <w:szCs w:val="36"/>
        </w:rPr>
      </w:pPr>
    </w:p>
    <w:p w14:paraId="59122014" w14:textId="77777777" w:rsidR="00C30008" w:rsidRDefault="00C30008" w:rsidP="00C30008">
      <w:pPr>
        <w:spacing w:line="240" w:lineRule="auto"/>
        <w:rPr>
          <w:rFonts w:asciiTheme="majorBidi" w:hAnsiTheme="majorBidi" w:cstheme="majorBidi"/>
          <w:sz w:val="36"/>
          <w:szCs w:val="36"/>
        </w:rPr>
      </w:pPr>
    </w:p>
    <w:p w14:paraId="2765724A" w14:textId="77777777" w:rsidR="00C30008" w:rsidRDefault="00C30008" w:rsidP="00C30008">
      <w:pPr>
        <w:spacing w:line="240" w:lineRule="auto"/>
        <w:rPr>
          <w:rFonts w:asciiTheme="majorBidi" w:hAnsiTheme="majorBidi" w:cstheme="majorBidi"/>
          <w:sz w:val="36"/>
          <w:szCs w:val="36"/>
        </w:rPr>
      </w:pPr>
    </w:p>
    <w:p w14:paraId="79DE3E3F" w14:textId="77777777" w:rsidR="00C30008" w:rsidRDefault="00C30008" w:rsidP="00C30008">
      <w:pPr>
        <w:spacing w:line="240" w:lineRule="auto"/>
        <w:rPr>
          <w:rFonts w:asciiTheme="majorBidi" w:hAnsiTheme="majorBidi" w:cstheme="majorBidi"/>
          <w:sz w:val="36"/>
          <w:szCs w:val="36"/>
        </w:rPr>
      </w:pPr>
    </w:p>
    <w:p w14:paraId="5E06EE05" w14:textId="77777777" w:rsidR="00C30008" w:rsidRDefault="00C30008" w:rsidP="00C30008">
      <w:pPr>
        <w:spacing w:line="240" w:lineRule="auto"/>
        <w:rPr>
          <w:rFonts w:asciiTheme="majorBidi" w:hAnsiTheme="majorBidi" w:cstheme="majorBidi"/>
          <w:sz w:val="36"/>
          <w:szCs w:val="36"/>
        </w:rPr>
      </w:pPr>
    </w:p>
    <w:p w14:paraId="4AE62EAD" w14:textId="77777777" w:rsidR="00C30008" w:rsidRDefault="00C30008" w:rsidP="00C30008">
      <w:pPr>
        <w:spacing w:line="240" w:lineRule="auto"/>
        <w:rPr>
          <w:rFonts w:asciiTheme="majorBidi" w:hAnsiTheme="majorBidi" w:cstheme="majorBidi"/>
          <w:sz w:val="36"/>
          <w:szCs w:val="36"/>
        </w:rPr>
      </w:pPr>
    </w:p>
    <w:p w14:paraId="7B997C29" w14:textId="77777777" w:rsidR="00C30008" w:rsidRDefault="00C30008" w:rsidP="00C30008">
      <w:pPr>
        <w:spacing w:line="240" w:lineRule="auto"/>
        <w:rPr>
          <w:rFonts w:asciiTheme="majorBidi" w:hAnsiTheme="majorBidi" w:cstheme="majorBidi"/>
          <w:sz w:val="36"/>
          <w:szCs w:val="36"/>
        </w:rPr>
      </w:pPr>
    </w:p>
    <w:p w14:paraId="4A3D1E84" w14:textId="77777777" w:rsidR="00C30008" w:rsidRDefault="00C30008" w:rsidP="00C30008">
      <w:pPr>
        <w:spacing w:line="240" w:lineRule="auto"/>
        <w:rPr>
          <w:rFonts w:asciiTheme="majorBidi" w:hAnsiTheme="majorBidi" w:cstheme="majorBidi"/>
          <w:sz w:val="36"/>
          <w:szCs w:val="36"/>
        </w:rPr>
      </w:pPr>
    </w:p>
    <w:p w14:paraId="25C87DE7" w14:textId="77777777" w:rsidR="00C30008" w:rsidRDefault="00C30008" w:rsidP="00C30008">
      <w:pPr>
        <w:spacing w:line="240" w:lineRule="auto"/>
        <w:rPr>
          <w:rFonts w:asciiTheme="majorBidi" w:hAnsiTheme="majorBidi" w:cstheme="majorBidi"/>
          <w:sz w:val="36"/>
          <w:szCs w:val="36"/>
        </w:rPr>
      </w:pPr>
    </w:p>
    <w:p w14:paraId="1792D97E" w14:textId="77777777" w:rsidR="00C30008" w:rsidRDefault="00C30008" w:rsidP="00C30008">
      <w:pPr>
        <w:spacing w:line="240" w:lineRule="auto"/>
        <w:rPr>
          <w:rFonts w:asciiTheme="majorBidi" w:hAnsiTheme="majorBidi" w:cstheme="majorBidi"/>
          <w:sz w:val="36"/>
          <w:szCs w:val="36"/>
        </w:rPr>
      </w:pPr>
    </w:p>
    <w:p w14:paraId="77AE70B1" w14:textId="77777777" w:rsidR="00C30008" w:rsidRDefault="00C30008" w:rsidP="00C30008">
      <w:pPr>
        <w:spacing w:line="240" w:lineRule="auto"/>
        <w:rPr>
          <w:rFonts w:asciiTheme="majorBidi" w:hAnsiTheme="majorBidi" w:cstheme="majorBidi"/>
          <w:sz w:val="36"/>
          <w:szCs w:val="36"/>
        </w:rPr>
      </w:pPr>
    </w:p>
    <w:p w14:paraId="7A261FCC" w14:textId="77777777" w:rsidR="00C30008" w:rsidRDefault="00C30008" w:rsidP="00C30008">
      <w:pPr>
        <w:spacing w:line="240" w:lineRule="auto"/>
        <w:rPr>
          <w:rFonts w:asciiTheme="majorBidi" w:hAnsiTheme="majorBidi" w:cstheme="majorBidi"/>
          <w:sz w:val="36"/>
          <w:szCs w:val="36"/>
        </w:rPr>
      </w:pPr>
    </w:p>
    <w:p w14:paraId="239ECBB9" w14:textId="77777777" w:rsidR="00C30008" w:rsidRDefault="00C30008" w:rsidP="00C30008">
      <w:pPr>
        <w:spacing w:line="240" w:lineRule="auto"/>
        <w:rPr>
          <w:rFonts w:asciiTheme="majorBidi" w:hAnsiTheme="majorBidi" w:cstheme="majorBidi"/>
          <w:sz w:val="36"/>
          <w:szCs w:val="36"/>
        </w:rPr>
      </w:pPr>
    </w:p>
    <w:p w14:paraId="1DFA405E" w14:textId="77777777" w:rsidR="00C30008" w:rsidRDefault="00C30008" w:rsidP="00C30008">
      <w:pPr>
        <w:spacing w:line="240" w:lineRule="auto"/>
        <w:rPr>
          <w:rFonts w:asciiTheme="majorBidi" w:hAnsiTheme="majorBidi" w:cstheme="majorBidi"/>
          <w:sz w:val="36"/>
          <w:szCs w:val="36"/>
        </w:rPr>
      </w:pPr>
    </w:p>
    <w:p w14:paraId="2484068E" w14:textId="77777777" w:rsidR="00C30008" w:rsidRDefault="00C30008" w:rsidP="00C30008">
      <w:pPr>
        <w:spacing w:line="240" w:lineRule="auto"/>
        <w:rPr>
          <w:rFonts w:asciiTheme="majorBidi" w:hAnsiTheme="majorBidi" w:cstheme="majorBidi"/>
          <w:sz w:val="36"/>
          <w:szCs w:val="36"/>
        </w:rPr>
      </w:pPr>
    </w:p>
    <w:p w14:paraId="77FC3619" w14:textId="77777777" w:rsidR="00C30008" w:rsidRDefault="00C30008" w:rsidP="00C30008">
      <w:pPr>
        <w:spacing w:line="240" w:lineRule="auto"/>
        <w:rPr>
          <w:rFonts w:asciiTheme="majorBidi" w:hAnsiTheme="majorBidi" w:cstheme="majorBidi"/>
          <w:sz w:val="36"/>
          <w:szCs w:val="36"/>
        </w:rPr>
      </w:pPr>
    </w:p>
    <w:p w14:paraId="21B445FC" w14:textId="77777777" w:rsidR="00C30008" w:rsidRDefault="00C30008" w:rsidP="00C30008">
      <w:pPr>
        <w:spacing w:line="240" w:lineRule="auto"/>
        <w:rPr>
          <w:rFonts w:asciiTheme="majorBidi" w:hAnsiTheme="majorBidi" w:cstheme="majorBidi"/>
          <w:sz w:val="36"/>
          <w:szCs w:val="36"/>
        </w:rPr>
      </w:pPr>
    </w:p>
    <w:p w14:paraId="1BED936A" w14:textId="77777777" w:rsidR="00C30008" w:rsidRDefault="00C30008" w:rsidP="00C30008">
      <w:pPr>
        <w:spacing w:line="240" w:lineRule="auto"/>
        <w:rPr>
          <w:rFonts w:asciiTheme="majorBidi" w:hAnsiTheme="majorBidi" w:cstheme="majorBidi"/>
          <w:sz w:val="36"/>
          <w:szCs w:val="36"/>
        </w:rPr>
      </w:pPr>
    </w:p>
    <w:p w14:paraId="043D0C33" w14:textId="77777777" w:rsidR="00C30008" w:rsidRDefault="00C30008" w:rsidP="00C30008">
      <w:pPr>
        <w:spacing w:line="240" w:lineRule="auto"/>
        <w:rPr>
          <w:rFonts w:asciiTheme="majorBidi" w:hAnsiTheme="majorBidi" w:cstheme="majorBidi"/>
          <w:sz w:val="36"/>
          <w:szCs w:val="36"/>
        </w:rPr>
      </w:pPr>
    </w:p>
    <w:p w14:paraId="3509A6F7" w14:textId="77777777" w:rsidR="00C30008" w:rsidRDefault="00C30008" w:rsidP="00C30008">
      <w:pPr>
        <w:spacing w:line="240" w:lineRule="auto"/>
        <w:rPr>
          <w:rFonts w:asciiTheme="majorBidi" w:hAnsiTheme="majorBidi" w:cstheme="majorBidi"/>
          <w:sz w:val="36"/>
          <w:szCs w:val="36"/>
        </w:rPr>
      </w:pPr>
    </w:p>
    <w:p w14:paraId="4E57328A" w14:textId="77777777" w:rsidR="00C30008" w:rsidRDefault="00C30008" w:rsidP="00C30008">
      <w:pPr>
        <w:spacing w:line="240" w:lineRule="auto"/>
        <w:rPr>
          <w:rFonts w:asciiTheme="majorBidi" w:hAnsiTheme="majorBidi" w:cstheme="majorBidi"/>
          <w:sz w:val="36"/>
          <w:szCs w:val="36"/>
        </w:rPr>
      </w:pPr>
    </w:p>
    <w:p w14:paraId="023AA5B0" w14:textId="77777777" w:rsidR="00C30008" w:rsidRPr="00C30008" w:rsidRDefault="00C30008" w:rsidP="00C30008">
      <w:pPr>
        <w:spacing w:line="240" w:lineRule="auto"/>
        <w:jc w:val="center"/>
        <w:rPr>
          <w:rFonts w:asciiTheme="majorBidi" w:hAnsiTheme="majorBidi" w:cstheme="majorBidi"/>
          <w:i/>
          <w:iCs/>
          <w:sz w:val="24"/>
          <w:szCs w:val="24"/>
        </w:rPr>
      </w:pPr>
      <w:r w:rsidRPr="00C30008">
        <w:rPr>
          <w:rFonts w:asciiTheme="majorBidi" w:hAnsiTheme="majorBidi" w:cstheme="majorBidi"/>
          <w:i/>
          <w:iCs/>
          <w:sz w:val="24"/>
          <w:szCs w:val="24"/>
        </w:rPr>
        <w:t>(This page left intentionally blank)</w:t>
      </w:r>
    </w:p>
    <w:p w14:paraId="6BFA484F" w14:textId="77777777" w:rsidR="00C30008" w:rsidRDefault="00C30008">
      <w:pPr>
        <w:spacing w:line="240" w:lineRule="auto"/>
        <w:rPr>
          <w:rFonts w:asciiTheme="majorBidi" w:eastAsia="Times New Roman" w:hAnsiTheme="majorBidi" w:cstheme="majorBidi"/>
          <w:sz w:val="36"/>
          <w:szCs w:val="36"/>
          <w:lang w:eastAsia="en-US"/>
        </w:rPr>
      </w:pPr>
      <w:r>
        <w:rPr>
          <w:rFonts w:asciiTheme="majorBidi" w:eastAsia="Times New Roman" w:hAnsiTheme="majorBidi" w:cstheme="majorBidi"/>
          <w:sz w:val="36"/>
          <w:szCs w:val="36"/>
          <w:lang w:eastAsia="en-US"/>
        </w:rPr>
        <w:br w:type="page"/>
      </w:r>
    </w:p>
    <w:p w14:paraId="1900DE32" w14:textId="034CFD0C" w:rsidR="009F32A6" w:rsidRPr="00505CF0" w:rsidRDefault="009F32A6" w:rsidP="00B9022C">
      <w:pPr>
        <w:keepNext/>
        <w:tabs>
          <w:tab w:val="left" w:pos="737"/>
        </w:tabs>
        <w:spacing w:line="240" w:lineRule="auto"/>
        <w:jc w:val="center"/>
        <w:outlineLvl w:val="0"/>
        <w:rPr>
          <w:rFonts w:asciiTheme="majorBidi" w:eastAsia="Times New Roman" w:hAnsiTheme="majorBidi" w:cstheme="majorBidi"/>
          <w:sz w:val="36"/>
          <w:szCs w:val="36"/>
          <w:lang w:eastAsia="en-US"/>
        </w:rPr>
      </w:pPr>
      <w:r w:rsidRPr="009F32A6">
        <w:rPr>
          <w:rFonts w:asciiTheme="majorBidi" w:eastAsia="Times New Roman" w:hAnsiTheme="majorBidi" w:cstheme="majorBidi"/>
          <w:sz w:val="44"/>
          <w:szCs w:val="36"/>
          <w:lang w:eastAsia="en-US"/>
        </w:rPr>
        <w:lastRenderedPageBreak/>
        <w:t>C</w:t>
      </w:r>
      <w:r w:rsidRPr="009F32A6">
        <w:rPr>
          <w:rFonts w:asciiTheme="majorBidi" w:eastAsia="Times New Roman" w:hAnsiTheme="majorBidi" w:cstheme="majorBidi"/>
          <w:sz w:val="32"/>
          <w:szCs w:val="36"/>
          <w:lang w:eastAsia="en-US"/>
        </w:rPr>
        <w:t>HAPTER</w:t>
      </w:r>
      <w:r>
        <w:rPr>
          <w:rFonts w:asciiTheme="majorBidi" w:eastAsia="Times New Roman" w:hAnsiTheme="majorBidi" w:cstheme="majorBidi"/>
          <w:sz w:val="36"/>
          <w:szCs w:val="36"/>
          <w:lang w:eastAsia="en-US"/>
        </w:rPr>
        <w:t xml:space="preserve"> </w:t>
      </w:r>
      <w:r w:rsidRPr="009F32A6">
        <w:rPr>
          <w:rFonts w:asciiTheme="majorBidi" w:eastAsia="Times New Roman" w:hAnsiTheme="majorBidi" w:cstheme="majorBidi"/>
          <w:sz w:val="44"/>
          <w:szCs w:val="36"/>
          <w:lang w:eastAsia="en-US"/>
        </w:rPr>
        <w:t>II</w:t>
      </w:r>
      <w:r>
        <w:rPr>
          <w:rFonts w:asciiTheme="majorBidi" w:eastAsia="Times New Roman" w:hAnsiTheme="majorBidi" w:cstheme="majorBidi"/>
          <w:sz w:val="36"/>
          <w:szCs w:val="36"/>
          <w:lang w:eastAsia="en-US"/>
        </w:rPr>
        <w:t xml:space="preserve"> </w:t>
      </w:r>
      <w:r>
        <w:rPr>
          <w:rFonts w:asciiTheme="majorBidi" w:eastAsia="Times New Roman" w:hAnsiTheme="majorBidi" w:cstheme="majorBidi"/>
          <w:sz w:val="44"/>
          <w:szCs w:val="36"/>
          <w:lang w:eastAsia="en-US"/>
        </w:rPr>
        <w:t>–</w:t>
      </w:r>
      <w:r>
        <w:rPr>
          <w:rFonts w:asciiTheme="majorBidi" w:eastAsia="Times New Roman" w:hAnsiTheme="majorBidi" w:cstheme="majorBidi"/>
          <w:sz w:val="36"/>
          <w:szCs w:val="36"/>
          <w:lang w:eastAsia="en-US"/>
        </w:rPr>
        <w:t xml:space="preserve"> </w:t>
      </w:r>
      <w:r w:rsidRPr="009F32A6">
        <w:rPr>
          <w:rFonts w:asciiTheme="majorBidi" w:eastAsia="Times New Roman" w:hAnsiTheme="majorBidi" w:cstheme="majorBidi"/>
          <w:sz w:val="44"/>
          <w:szCs w:val="36"/>
          <w:lang w:eastAsia="en-US"/>
        </w:rPr>
        <w:t>S</w:t>
      </w:r>
      <w:r w:rsidRPr="009F32A6">
        <w:rPr>
          <w:rFonts w:asciiTheme="majorBidi" w:eastAsia="Times New Roman" w:hAnsiTheme="majorBidi" w:cstheme="majorBidi"/>
          <w:sz w:val="32"/>
          <w:szCs w:val="36"/>
          <w:lang w:eastAsia="en-US"/>
        </w:rPr>
        <w:t>OUTHWARD</w:t>
      </w:r>
      <w:r>
        <w:rPr>
          <w:rFonts w:asciiTheme="majorBidi" w:eastAsia="Times New Roman" w:hAnsiTheme="majorBidi" w:cstheme="majorBidi"/>
          <w:sz w:val="36"/>
          <w:szCs w:val="36"/>
          <w:lang w:eastAsia="en-US"/>
        </w:rPr>
        <w:t xml:space="preserve"> </w:t>
      </w:r>
      <w:r w:rsidRPr="009F32A6">
        <w:rPr>
          <w:rFonts w:asciiTheme="majorBidi" w:eastAsia="Times New Roman" w:hAnsiTheme="majorBidi" w:cstheme="majorBidi"/>
          <w:sz w:val="44"/>
          <w:szCs w:val="36"/>
          <w:lang w:eastAsia="en-US"/>
        </w:rPr>
        <w:t>V</w:t>
      </w:r>
      <w:r w:rsidRPr="009F32A6">
        <w:rPr>
          <w:rFonts w:asciiTheme="majorBidi" w:eastAsia="Times New Roman" w:hAnsiTheme="majorBidi" w:cstheme="majorBidi"/>
          <w:sz w:val="32"/>
          <w:szCs w:val="36"/>
          <w:lang w:eastAsia="en-US"/>
        </w:rPr>
        <w:t>S</w:t>
      </w:r>
      <w:r>
        <w:rPr>
          <w:rFonts w:asciiTheme="majorBidi" w:eastAsia="Times New Roman" w:hAnsiTheme="majorBidi" w:cstheme="majorBidi"/>
          <w:sz w:val="36"/>
          <w:szCs w:val="36"/>
          <w:lang w:eastAsia="en-US"/>
        </w:rPr>
        <w:t xml:space="preserve"> </w:t>
      </w:r>
      <w:r w:rsidRPr="009F32A6">
        <w:rPr>
          <w:rFonts w:asciiTheme="majorBidi" w:eastAsia="Times New Roman" w:hAnsiTheme="majorBidi" w:cstheme="majorBidi"/>
          <w:sz w:val="44"/>
          <w:szCs w:val="36"/>
          <w:lang w:eastAsia="en-US"/>
        </w:rPr>
        <w:t>S</w:t>
      </w:r>
      <w:r w:rsidRPr="009F32A6">
        <w:rPr>
          <w:rFonts w:asciiTheme="majorBidi" w:eastAsia="Times New Roman" w:hAnsiTheme="majorBidi" w:cstheme="majorBidi"/>
          <w:sz w:val="32"/>
          <w:szCs w:val="36"/>
          <w:lang w:eastAsia="en-US"/>
        </w:rPr>
        <w:t>INCERITY</w:t>
      </w:r>
    </w:p>
    <w:p w14:paraId="2FC489C5" w14:textId="612BAF2D" w:rsidR="00E6558D" w:rsidRPr="00505CF0" w:rsidRDefault="00E6558D" w:rsidP="004C3EE0">
      <w:pPr>
        <w:keepNext/>
        <w:tabs>
          <w:tab w:val="left" w:pos="737"/>
        </w:tabs>
        <w:spacing w:line="240" w:lineRule="auto"/>
        <w:jc w:val="both"/>
        <w:outlineLvl w:val="0"/>
        <w:rPr>
          <w:rFonts w:asciiTheme="majorBidi" w:eastAsia="Times New Roman" w:hAnsiTheme="majorBidi" w:cstheme="majorBidi"/>
          <w:sz w:val="36"/>
          <w:szCs w:val="36"/>
          <w:lang w:eastAsia="en-US"/>
        </w:rPr>
      </w:pPr>
    </w:p>
    <w:p w14:paraId="63EC3D18" w14:textId="0E318CA4" w:rsidR="00E6558D" w:rsidRPr="00505CF0" w:rsidRDefault="00E6558D" w:rsidP="004C3EE0">
      <w:pPr>
        <w:keepNext/>
        <w:tabs>
          <w:tab w:val="left" w:pos="737"/>
        </w:tabs>
        <w:spacing w:line="240" w:lineRule="auto"/>
        <w:jc w:val="both"/>
        <w:outlineLvl w:val="0"/>
        <w:rPr>
          <w:rFonts w:asciiTheme="majorBidi" w:eastAsia="Times New Roman" w:hAnsiTheme="majorBidi" w:cstheme="majorBidi"/>
          <w:sz w:val="36"/>
          <w:szCs w:val="36"/>
          <w:lang w:eastAsia="en-US"/>
        </w:rPr>
      </w:pPr>
    </w:p>
    <w:p w14:paraId="1DED3976" w14:textId="10B93EB1" w:rsidR="00E6558D" w:rsidRDefault="00E6558D" w:rsidP="004C3EE0">
      <w:pPr>
        <w:keepNext/>
        <w:tabs>
          <w:tab w:val="left" w:pos="737"/>
        </w:tabs>
        <w:spacing w:line="240" w:lineRule="auto"/>
        <w:jc w:val="both"/>
        <w:outlineLvl w:val="0"/>
        <w:rPr>
          <w:rFonts w:asciiTheme="majorBidi" w:eastAsia="Times New Roman" w:hAnsiTheme="majorBidi" w:cstheme="majorBidi"/>
          <w:sz w:val="36"/>
          <w:szCs w:val="36"/>
          <w:lang w:eastAsia="en-US"/>
        </w:rPr>
      </w:pPr>
    </w:p>
    <w:p w14:paraId="3CAA8E2C" w14:textId="77777777" w:rsidR="0059434A" w:rsidRDefault="0059434A" w:rsidP="004C3EE0">
      <w:pPr>
        <w:keepNext/>
        <w:tabs>
          <w:tab w:val="left" w:pos="737"/>
        </w:tabs>
        <w:spacing w:line="240" w:lineRule="auto"/>
        <w:jc w:val="both"/>
        <w:outlineLvl w:val="0"/>
        <w:rPr>
          <w:rFonts w:asciiTheme="majorBidi" w:eastAsia="Times New Roman" w:hAnsiTheme="majorBidi" w:cstheme="majorBidi"/>
          <w:sz w:val="36"/>
          <w:szCs w:val="36"/>
          <w:lang w:eastAsia="en-US"/>
        </w:rPr>
      </w:pPr>
    </w:p>
    <w:p w14:paraId="15CE203D" w14:textId="77777777" w:rsidR="0059434A" w:rsidRPr="009F32A6" w:rsidRDefault="0059434A" w:rsidP="004C3EE0">
      <w:pPr>
        <w:keepNext/>
        <w:tabs>
          <w:tab w:val="left" w:pos="737"/>
        </w:tabs>
        <w:spacing w:line="240" w:lineRule="auto"/>
        <w:jc w:val="both"/>
        <w:outlineLvl w:val="0"/>
        <w:rPr>
          <w:rFonts w:asciiTheme="majorBidi" w:eastAsia="Times New Roman" w:hAnsiTheme="majorBidi" w:cstheme="majorBidi"/>
          <w:szCs w:val="36"/>
          <w:lang w:eastAsia="en-US"/>
        </w:rPr>
      </w:pPr>
    </w:p>
    <w:p w14:paraId="25ED4704" w14:textId="746F35BB" w:rsidR="00C111D3" w:rsidRDefault="0059434A" w:rsidP="0059434A">
      <w:pPr>
        <w:keepNext/>
        <w:tabs>
          <w:tab w:val="left" w:pos="737"/>
        </w:tabs>
        <w:spacing w:line="480" w:lineRule="auto"/>
        <w:jc w:val="both"/>
        <w:outlineLvl w:val="0"/>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 xml:space="preserve">In response to the vast amount of criticism Southward </w:t>
      </w:r>
      <w:r w:rsidR="006A6251">
        <w:rPr>
          <w:rFonts w:asciiTheme="majorBidi" w:eastAsia="Times New Roman" w:hAnsiTheme="majorBidi" w:cstheme="majorBidi"/>
          <w:sz w:val="24"/>
          <w:szCs w:val="24"/>
          <w:lang w:eastAsia="en-US"/>
        </w:rPr>
        <w:t>publicly</w:t>
      </w:r>
      <w:r>
        <w:rPr>
          <w:rFonts w:asciiTheme="majorBidi" w:eastAsia="Times New Roman" w:hAnsiTheme="majorBidi" w:cstheme="majorBidi"/>
          <w:sz w:val="24"/>
          <w:szCs w:val="24"/>
          <w:lang w:eastAsia="en-US"/>
        </w:rPr>
        <w:t xml:space="preserve"> received following the publication of </w:t>
      </w:r>
      <w:r>
        <w:rPr>
          <w:rFonts w:asciiTheme="majorBidi" w:eastAsia="Times New Roman" w:hAnsiTheme="majorBidi" w:cstheme="majorBidi"/>
          <w:i/>
          <w:iCs/>
          <w:sz w:val="24"/>
          <w:szCs w:val="24"/>
          <w:lang w:eastAsia="en-US"/>
        </w:rPr>
        <w:t>The Postmodern Problem</w:t>
      </w:r>
      <w:r>
        <w:rPr>
          <w:rFonts w:asciiTheme="majorBidi" w:eastAsia="Times New Roman" w:hAnsiTheme="majorBidi" w:cstheme="majorBidi"/>
          <w:sz w:val="24"/>
          <w:szCs w:val="24"/>
          <w:lang w:eastAsia="en-US"/>
        </w:rPr>
        <w:t xml:space="preserve">, Southward published </w:t>
      </w:r>
      <w:r>
        <w:rPr>
          <w:rFonts w:asciiTheme="majorBidi" w:eastAsia="Times New Roman" w:hAnsiTheme="majorBidi" w:cstheme="majorBidi"/>
          <w:i/>
          <w:iCs/>
          <w:sz w:val="24"/>
          <w:szCs w:val="24"/>
          <w:lang w:eastAsia="en-US"/>
        </w:rPr>
        <w:t>The Metamodern Solution</w:t>
      </w:r>
      <w:r>
        <w:rPr>
          <w:rFonts w:asciiTheme="majorBidi" w:eastAsia="Times New Roman" w:hAnsiTheme="majorBidi" w:cstheme="majorBidi"/>
          <w:sz w:val="24"/>
          <w:szCs w:val="24"/>
          <w:lang w:eastAsia="en-US"/>
        </w:rPr>
        <w:t xml:space="preserve">. This is the story we know from Southward’s own words and pseudo-autobiographical metamemoirs, though the essay presented here highlights a significant departure from the version later more widely publicised. </w:t>
      </w:r>
    </w:p>
    <w:p w14:paraId="647A8ACB" w14:textId="1FE4802D" w:rsidR="0059434A" w:rsidRDefault="0059434A" w:rsidP="0059434A">
      <w:pPr>
        <w:keepNext/>
        <w:tabs>
          <w:tab w:val="left" w:pos="737"/>
        </w:tabs>
        <w:spacing w:line="480" w:lineRule="auto"/>
        <w:jc w:val="both"/>
        <w:outlineLvl w:val="0"/>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ab/>
        <w:t>In this early draft version of the essay, Southward tackles what he deems the successor to the postmodern state, Metamodernism. The argument first explores metamodernism and the way in which it relates to the post-postmodern world through ironic play and oscillatory behaviours, before examining some minor ways in which the metamodern was seen to manifest at the time of writing. Significantly, Southward offers an analysis of several contemporary metamodern texts here, all examples of which have since been lost or burned in the great literary purge of his reign. Southward also posits a more optimistic model for contemporary life, in the form of a proposed ‘</w:t>
      </w:r>
      <w:r w:rsidR="006A6251">
        <w:rPr>
          <w:rFonts w:asciiTheme="majorBidi" w:eastAsia="Times New Roman" w:hAnsiTheme="majorBidi" w:cstheme="majorBidi"/>
          <w:sz w:val="24"/>
          <w:szCs w:val="24"/>
          <w:lang w:eastAsia="en-US"/>
        </w:rPr>
        <w:t>neo=s</w:t>
      </w:r>
      <w:r>
        <w:rPr>
          <w:rFonts w:asciiTheme="majorBidi" w:eastAsia="Times New Roman" w:hAnsiTheme="majorBidi" w:cstheme="majorBidi"/>
          <w:sz w:val="24"/>
          <w:szCs w:val="24"/>
          <w:lang w:eastAsia="en-US"/>
        </w:rPr>
        <w:t>isyphism’ to be taken up in lieu of the more narcissistic behaviours he observed waning at the beginning of the post-postmodern period</w:t>
      </w:r>
    </w:p>
    <w:p w14:paraId="51F69595" w14:textId="089E5188" w:rsidR="0059434A" w:rsidRPr="0059434A" w:rsidRDefault="0059434A" w:rsidP="0059434A">
      <w:pPr>
        <w:keepNext/>
        <w:tabs>
          <w:tab w:val="left" w:pos="737"/>
        </w:tabs>
        <w:spacing w:line="480" w:lineRule="auto"/>
        <w:jc w:val="both"/>
        <w:outlineLvl w:val="0"/>
        <w:rPr>
          <w:rFonts w:asciiTheme="majorBidi" w:eastAsia="Times New Roman" w:hAnsiTheme="majorBidi" w:cstheme="majorBidi"/>
          <w:sz w:val="24"/>
          <w:szCs w:val="24"/>
          <w:lang w:eastAsia="en-US"/>
        </w:rPr>
      </w:pPr>
      <w:r>
        <w:rPr>
          <w:rFonts w:asciiTheme="majorBidi" w:eastAsia="Times New Roman" w:hAnsiTheme="majorBidi" w:cstheme="majorBidi"/>
          <w:sz w:val="24"/>
          <w:szCs w:val="24"/>
          <w:lang w:eastAsia="en-US"/>
        </w:rPr>
        <w:tab/>
        <w:t xml:space="preserve">This early version of the essay is interesting in its departure from the latter examples </w:t>
      </w:r>
      <w:proofErr w:type="gramStart"/>
      <w:r>
        <w:rPr>
          <w:rFonts w:asciiTheme="majorBidi" w:eastAsia="Times New Roman" w:hAnsiTheme="majorBidi" w:cstheme="majorBidi"/>
          <w:sz w:val="24"/>
          <w:szCs w:val="24"/>
          <w:lang w:eastAsia="en-US"/>
        </w:rPr>
        <w:t>more well</w:t>
      </w:r>
      <w:proofErr w:type="gramEnd"/>
      <w:r>
        <w:rPr>
          <w:rFonts w:asciiTheme="majorBidi" w:eastAsia="Times New Roman" w:hAnsiTheme="majorBidi" w:cstheme="majorBidi"/>
          <w:sz w:val="24"/>
          <w:szCs w:val="24"/>
          <w:lang w:eastAsia="en-US"/>
        </w:rPr>
        <w:t xml:space="preserve"> known in our current age, as scholars will no doubt easily see. One of the major departures is Southward’s seeming enthusiasm for new literary production and finding a means to transcend the postmodern, which runs directly counter to all opinions and desires observed during his reign.  </w:t>
      </w:r>
    </w:p>
    <w:p w14:paraId="6993917C" w14:textId="77777777" w:rsidR="00DD4FA2" w:rsidRDefault="00D35560" w:rsidP="00D35560">
      <w:pPr>
        <w:keepNext/>
        <w:tabs>
          <w:tab w:val="left" w:pos="737"/>
        </w:tabs>
        <w:spacing w:line="240" w:lineRule="auto"/>
        <w:jc w:val="right"/>
        <w:outlineLvl w:val="0"/>
        <w:rPr>
          <w:rFonts w:asciiTheme="majorBidi" w:eastAsia="Times New Roman" w:hAnsiTheme="majorBidi" w:cstheme="majorBidi"/>
          <w:sz w:val="24"/>
          <w:szCs w:val="24"/>
          <w:lang w:eastAsia="en-US"/>
        </w:rPr>
        <w:sectPr w:rsidR="00DD4FA2" w:rsidSect="008C58E8">
          <w:headerReference w:type="default" r:id="rId11"/>
          <w:pgSz w:w="11906" w:h="16838"/>
          <w:pgMar w:top="1440" w:right="1440" w:bottom="1440" w:left="1440" w:header="708" w:footer="708" w:gutter="0"/>
          <w:pgNumType w:fmt="numberInDash" w:start="1"/>
          <w:cols w:space="708"/>
          <w:titlePg/>
          <w:docGrid w:linePitch="360"/>
        </w:sectPr>
      </w:pPr>
      <w:r w:rsidRPr="00505CF0">
        <w:rPr>
          <w:rFonts w:asciiTheme="majorBidi" w:eastAsia="Times New Roman" w:hAnsiTheme="majorBidi" w:cstheme="majorBidi"/>
          <w:sz w:val="32"/>
          <w:szCs w:val="32"/>
          <w:lang w:eastAsia="en-US"/>
        </w:rPr>
        <w:t>A</w:t>
      </w:r>
      <w:r w:rsidRPr="00505CF0">
        <w:rPr>
          <w:rFonts w:asciiTheme="majorBidi" w:eastAsia="Times New Roman" w:hAnsiTheme="majorBidi" w:cstheme="majorBidi"/>
          <w:sz w:val="24"/>
          <w:szCs w:val="24"/>
          <w:lang w:eastAsia="en-US"/>
        </w:rPr>
        <w:t>RCOT</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C.</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O</w:t>
      </w:r>
      <w:r w:rsidRPr="00505CF0">
        <w:rPr>
          <w:rFonts w:asciiTheme="majorBidi" w:eastAsia="Times New Roman" w:hAnsiTheme="majorBidi" w:cstheme="majorBidi"/>
          <w:sz w:val="24"/>
          <w:szCs w:val="24"/>
          <w:lang w:eastAsia="en-US"/>
        </w:rPr>
        <w:t>SBEORN</w:t>
      </w:r>
    </w:p>
    <w:p w14:paraId="23AB5B56" w14:textId="7A92B76C" w:rsidR="00E6558D" w:rsidRPr="00505CF0" w:rsidRDefault="00E6558D" w:rsidP="00D35560">
      <w:pPr>
        <w:keepNext/>
        <w:tabs>
          <w:tab w:val="left" w:pos="737"/>
        </w:tabs>
        <w:spacing w:line="240" w:lineRule="auto"/>
        <w:jc w:val="right"/>
        <w:outlineLvl w:val="0"/>
        <w:rPr>
          <w:rFonts w:asciiTheme="majorBidi" w:eastAsia="Times New Roman" w:hAnsiTheme="majorBidi" w:cstheme="majorBidi"/>
          <w:b/>
          <w:sz w:val="32"/>
          <w:szCs w:val="20"/>
          <w:u w:val="single"/>
          <w:lang w:eastAsia="en-US"/>
        </w:rPr>
      </w:pPr>
    </w:p>
    <w:p w14:paraId="379E3088" w14:textId="77777777" w:rsidR="00E6558D" w:rsidRPr="00505CF0" w:rsidRDefault="00E6558D">
      <w:pPr>
        <w:spacing w:line="240" w:lineRule="auto"/>
        <w:rPr>
          <w:rFonts w:asciiTheme="majorBidi" w:eastAsia="Times New Roman" w:hAnsiTheme="majorBidi" w:cstheme="majorBidi"/>
          <w:b/>
          <w:sz w:val="32"/>
          <w:szCs w:val="20"/>
          <w:u w:val="single"/>
          <w:lang w:eastAsia="en-US"/>
        </w:rPr>
      </w:pPr>
      <w:r w:rsidRPr="00505CF0">
        <w:rPr>
          <w:rFonts w:asciiTheme="majorBidi" w:eastAsia="Times New Roman" w:hAnsiTheme="majorBidi" w:cstheme="majorBidi"/>
          <w:b/>
          <w:sz w:val="32"/>
          <w:szCs w:val="20"/>
          <w:u w:val="single"/>
          <w:lang w:eastAsia="en-US"/>
        </w:rPr>
        <w:br w:type="page"/>
      </w:r>
    </w:p>
    <w:p w14:paraId="57CB02B3" w14:textId="4960F3E8" w:rsidR="00C111D3" w:rsidRPr="00505CF0" w:rsidRDefault="00E37E3E" w:rsidP="00E37E3E">
      <w:pPr>
        <w:keepNext/>
        <w:tabs>
          <w:tab w:val="left" w:pos="737"/>
        </w:tabs>
        <w:spacing w:line="240" w:lineRule="auto"/>
        <w:jc w:val="center"/>
        <w:outlineLvl w:val="0"/>
        <w:rPr>
          <w:rFonts w:asciiTheme="majorBidi" w:eastAsia="Times New Roman" w:hAnsiTheme="majorBidi" w:cstheme="majorBidi"/>
          <w:b/>
          <w:sz w:val="32"/>
          <w:szCs w:val="20"/>
          <w:lang w:eastAsia="en-US"/>
        </w:rPr>
      </w:pPr>
      <w:r w:rsidRPr="00E37E3E">
        <w:rPr>
          <w:rFonts w:asciiTheme="majorBidi" w:eastAsia="Times New Roman" w:hAnsiTheme="majorBidi" w:cstheme="majorBidi"/>
          <w:b/>
          <w:sz w:val="36"/>
          <w:szCs w:val="21"/>
          <w:lang w:eastAsia="en-US"/>
        </w:rPr>
        <w:lastRenderedPageBreak/>
        <w:t>T</w:t>
      </w:r>
      <w:r w:rsidRPr="00E37E3E">
        <w:rPr>
          <w:rFonts w:asciiTheme="majorBidi" w:eastAsia="Times New Roman" w:hAnsiTheme="majorBidi" w:cstheme="majorBidi"/>
          <w:b/>
          <w:sz w:val="28"/>
          <w:szCs w:val="18"/>
          <w:lang w:eastAsia="en-US"/>
        </w:rPr>
        <w:t>HE</w:t>
      </w:r>
      <w:r>
        <w:rPr>
          <w:rFonts w:asciiTheme="majorBidi" w:eastAsia="Times New Roman" w:hAnsiTheme="majorBidi" w:cstheme="majorBidi"/>
          <w:b/>
          <w:sz w:val="32"/>
          <w:szCs w:val="20"/>
          <w:lang w:eastAsia="en-US"/>
        </w:rPr>
        <w:t xml:space="preserve"> </w:t>
      </w:r>
      <w:r w:rsidRPr="00E37E3E">
        <w:rPr>
          <w:rFonts w:asciiTheme="majorBidi" w:eastAsia="Times New Roman" w:hAnsiTheme="majorBidi" w:cstheme="majorBidi"/>
          <w:b/>
          <w:sz w:val="36"/>
          <w:szCs w:val="21"/>
          <w:lang w:eastAsia="en-US"/>
        </w:rPr>
        <w:t>M</w:t>
      </w:r>
      <w:r w:rsidRPr="00E37E3E">
        <w:rPr>
          <w:rFonts w:asciiTheme="majorBidi" w:eastAsia="Times New Roman" w:hAnsiTheme="majorBidi" w:cstheme="majorBidi"/>
          <w:b/>
          <w:sz w:val="28"/>
          <w:szCs w:val="18"/>
          <w:lang w:eastAsia="en-US"/>
        </w:rPr>
        <w:t>ETAMODERN</w:t>
      </w:r>
      <w:r>
        <w:rPr>
          <w:rFonts w:asciiTheme="majorBidi" w:eastAsia="Times New Roman" w:hAnsiTheme="majorBidi" w:cstheme="majorBidi"/>
          <w:b/>
          <w:sz w:val="32"/>
          <w:szCs w:val="20"/>
          <w:lang w:eastAsia="en-US"/>
        </w:rPr>
        <w:t xml:space="preserve"> </w:t>
      </w:r>
      <w:r w:rsidRPr="00E37E3E">
        <w:rPr>
          <w:rFonts w:asciiTheme="majorBidi" w:eastAsia="Times New Roman" w:hAnsiTheme="majorBidi" w:cstheme="majorBidi"/>
          <w:b/>
          <w:sz w:val="36"/>
          <w:szCs w:val="21"/>
          <w:lang w:eastAsia="en-US"/>
        </w:rPr>
        <w:t>S</w:t>
      </w:r>
      <w:r w:rsidRPr="00E37E3E">
        <w:rPr>
          <w:rFonts w:asciiTheme="majorBidi" w:eastAsia="Times New Roman" w:hAnsiTheme="majorBidi" w:cstheme="majorBidi"/>
          <w:b/>
          <w:sz w:val="28"/>
          <w:szCs w:val="18"/>
          <w:lang w:eastAsia="en-US"/>
        </w:rPr>
        <w:t>OLUTION</w:t>
      </w:r>
    </w:p>
    <w:p w14:paraId="22336778" w14:textId="77777777" w:rsidR="00C111D3" w:rsidRDefault="00C111D3"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p>
    <w:p w14:paraId="12528209" w14:textId="77777777" w:rsidR="00E37E3E" w:rsidRPr="00505CF0" w:rsidRDefault="00E37E3E"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p>
    <w:p w14:paraId="2915234A" w14:textId="77777777" w:rsidR="00C111D3" w:rsidRPr="00505CF0" w:rsidRDefault="00C111D3"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r w:rsidRPr="00505CF0">
        <w:rPr>
          <w:rFonts w:asciiTheme="majorBidi" w:eastAsia="Times New Roman" w:hAnsiTheme="majorBidi" w:cstheme="majorBidi"/>
          <w:b/>
          <w:sz w:val="32"/>
          <w:szCs w:val="20"/>
          <w:lang w:eastAsia="en-US"/>
        </w:rPr>
        <w:t>1.</w:t>
      </w:r>
      <w:r w:rsidRPr="00505CF0">
        <w:rPr>
          <w:rFonts w:asciiTheme="majorBidi" w:eastAsia="Times New Roman" w:hAnsiTheme="majorBidi" w:cstheme="majorBidi"/>
          <w:b/>
          <w:sz w:val="32"/>
          <w:szCs w:val="20"/>
          <w:lang w:eastAsia="en-US"/>
        </w:rPr>
        <w:tab/>
        <w:t xml:space="preserve">Introduction </w:t>
      </w:r>
    </w:p>
    <w:p w14:paraId="2AF7864E" w14:textId="77777777" w:rsidR="00C111D3" w:rsidRPr="00505CF0" w:rsidRDefault="00C111D3" w:rsidP="004C3EE0">
      <w:pPr>
        <w:keepNext/>
        <w:tabs>
          <w:tab w:val="left" w:pos="737"/>
        </w:tabs>
        <w:spacing w:line="240" w:lineRule="auto"/>
        <w:jc w:val="both"/>
        <w:outlineLvl w:val="0"/>
        <w:rPr>
          <w:rFonts w:asciiTheme="majorBidi" w:eastAsia="Times New Roman" w:hAnsiTheme="majorBidi" w:cstheme="majorBidi"/>
          <w:b/>
          <w:sz w:val="32"/>
          <w:szCs w:val="20"/>
          <w:lang w:eastAsia="en-US"/>
        </w:rPr>
      </w:pPr>
    </w:p>
    <w:p w14:paraId="74E82F8E" w14:textId="77777777" w:rsidR="00C111D3" w:rsidRPr="00505CF0" w:rsidRDefault="00C111D3" w:rsidP="004C3EE0">
      <w:pPr>
        <w:tabs>
          <w:tab w:val="left" w:pos="737"/>
        </w:tabs>
        <w:jc w:val="both"/>
        <w:rPr>
          <w:rFonts w:asciiTheme="majorBidi" w:hAnsiTheme="majorBidi" w:cstheme="majorBidi"/>
        </w:rPr>
      </w:pPr>
    </w:p>
    <w:p w14:paraId="0A7556E5"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Post-postmodernism is an ugly word and an awkward term, but, for the purposes of my previous argument, a necessary one.</w:t>
      </w:r>
      <w:r w:rsidRPr="00505CF0">
        <w:rPr>
          <w:rStyle w:val="FootnoteReference"/>
          <w:rFonts w:asciiTheme="majorBidi" w:hAnsiTheme="majorBidi" w:cstheme="majorBidi"/>
          <w:sz w:val="24"/>
          <w:szCs w:val="24"/>
        </w:rPr>
        <w:footnoteReference w:id="251"/>
      </w:r>
      <w:r w:rsidRPr="00505CF0">
        <w:rPr>
          <w:rFonts w:asciiTheme="majorBidi" w:hAnsiTheme="majorBidi" w:cstheme="majorBidi"/>
          <w:sz w:val="24"/>
          <w:szCs w:val="24"/>
        </w:rPr>
        <w:t xml:space="preserve"> For all the contenders to the throne of dominant cultural paradigm, there are none which accurately, or perhaps fully, describe the conditions of the contemporary zeitgeist and so eliminating the need for such a clumsy term – all barring one. Eagle-eyed footnote fiends may have noticed passing references to the grand theory which will form the centre of my argument here, but for the most part I have attempted to avoid discussing it until this point in my analyses of the present, perhaps in a poor imitation of Germanic ‘point-late’ style,</w:t>
      </w:r>
      <w:r w:rsidRPr="00505CF0">
        <w:rPr>
          <w:rStyle w:val="FootnoteReference"/>
          <w:rFonts w:asciiTheme="majorBidi" w:hAnsiTheme="majorBidi" w:cstheme="majorBidi"/>
        </w:rPr>
        <w:footnoteReference w:id="252"/>
      </w:r>
      <w:r w:rsidRPr="00505CF0">
        <w:rPr>
          <w:rFonts w:asciiTheme="majorBidi" w:hAnsiTheme="majorBidi" w:cstheme="majorBidi"/>
          <w:sz w:val="24"/>
          <w:szCs w:val="24"/>
        </w:rPr>
        <w:t xml:space="preserve"> but more likely for the sense of drama.</w:t>
      </w:r>
      <w:r w:rsidRPr="00505CF0">
        <w:rPr>
          <w:rStyle w:val="FootnoteReference"/>
          <w:rFonts w:asciiTheme="majorBidi" w:hAnsiTheme="majorBidi" w:cstheme="majorBidi"/>
        </w:rPr>
        <w:footnoteReference w:id="253"/>
      </w:r>
      <w:r w:rsidRPr="00505CF0">
        <w:rPr>
          <w:rFonts w:asciiTheme="majorBidi" w:hAnsiTheme="majorBidi" w:cstheme="majorBidi"/>
          <w:sz w:val="24"/>
          <w:szCs w:val="24"/>
        </w:rPr>
        <w:t xml:space="preserve"> The theory to which I refer describes the contemporary zeitgeist and the current cultural paradigms of the post-postmodern with far more accuracy than others previously suggested, tying together and answering all of the modal patterns as described in my previous argument. I refer here, of course, to Timotheus Vermeulen and Robin van den Akker’s formation of the Metamodern. </w:t>
      </w:r>
    </w:p>
    <w:p w14:paraId="52934FDB"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This chapter aims, first and foremost, to analyse the metamodern impulse, and the definitions thereof, next looking at the under-researched topic of metamodern literature before a final, and by that point relatively apparent, examination of the way that ideas of the metamodern respond to the charges of the contemporary as outlined in </w:t>
      </w:r>
      <w:r w:rsidRPr="00505CF0">
        <w:rPr>
          <w:rFonts w:asciiTheme="majorBidi" w:hAnsiTheme="majorBidi" w:cstheme="majorBidi"/>
          <w:i/>
          <w:iCs/>
          <w:sz w:val="24"/>
          <w:szCs w:val="24"/>
        </w:rPr>
        <w:t>The Post-postmodern Problem</w:t>
      </w:r>
      <w:r w:rsidRPr="00505CF0">
        <w:rPr>
          <w:rFonts w:asciiTheme="majorBidi" w:hAnsiTheme="majorBidi" w:cstheme="majorBidi"/>
          <w:sz w:val="24"/>
          <w:szCs w:val="24"/>
        </w:rPr>
        <w:t xml:space="preserve">. To that end, let us first define and outline the markers of the cultural structure of feeling that is the metamodern. </w:t>
      </w:r>
    </w:p>
    <w:p w14:paraId="41FDFB54" w14:textId="77777777" w:rsidR="008C4E4F" w:rsidRDefault="008C4E4F">
      <w:pPr>
        <w:spacing w:line="240" w:lineRule="auto"/>
        <w:rPr>
          <w:rFonts w:asciiTheme="majorBidi" w:eastAsia="Times New Roman" w:hAnsiTheme="majorBidi" w:cstheme="majorBidi"/>
          <w:b/>
          <w:sz w:val="32"/>
          <w:szCs w:val="32"/>
          <w:lang w:eastAsia="en-US"/>
        </w:rPr>
      </w:pPr>
      <w:r>
        <w:rPr>
          <w:rFonts w:asciiTheme="majorBidi" w:eastAsia="Times New Roman" w:hAnsiTheme="majorBidi" w:cstheme="majorBidi"/>
          <w:b/>
          <w:sz w:val="32"/>
          <w:szCs w:val="32"/>
          <w:lang w:eastAsia="en-US"/>
        </w:rPr>
        <w:lastRenderedPageBreak/>
        <w:br w:type="page"/>
      </w:r>
    </w:p>
    <w:p w14:paraId="786B5507" w14:textId="5BF430B8" w:rsidR="00C111D3" w:rsidRPr="00505CF0" w:rsidRDefault="00C111D3" w:rsidP="004C3EE0">
      <w:pPr>
        <w:keepNext/>
        <w:tabs>
          <w:tab w:val="left" w:pos="737"/>
        </w:tabs>
        <w:spacing w:line="240" w:lineRule="auto"/>
        <w:ind w:left="720" w:hanging="720"/>
        <w:jc w:val="both"/>
        <w:outlineLvl w:val="0"/>
        <w:rPr>
          <w:rFonts w:asciiTheme="majorBidi" w:eastAsia="Times New Roman" w:hAnsiTheme="majorBidi" w:cstheme="majorBidi"/>
          <w:b/>
          <w:sz w:val="32"/>
          <w:szCs w:val="32"/>
          <w:lang w:eastAsia="en-US"/>
        </w:rPr>
      </w:pPr>
      <w:r w:rsidRPr="00505CF0">
        <w:rPr>
          <w:rFonts w:asciiTheme="majorBidi" w:eastAsia="Times New Roman" w:hAnsiTheme="majorBidi" w:cstheme="majorBidi"/>
          <w:b/>
          <w:sz w:val="32"/>
          <w:szCs w:val="32"/>
          <w:lang w:eastAsia="en-US"/>
        </w:rPr>
        <w:lastRenderedPageBreak/>
        <w:t>2.</w:t>
      </w:r>
      <w:r w:rsidRPr="00505CF0">
        <w:rPr>
          <w:rFonts w:asciiTheme="majorBidi" w:eastAsia="Times New Roman" w:hAnsiTheme="majorBidi" w:cstheme="majorBidi"/>
          <w:b/>
          <w:sz w:val="32"/>
          <w:szCs w:val="32"/>
          <w:lang w:eastAsia="en-US"/>
        </w:rPr>
        <w:tab/>
        <w:t xml:space="preserve">What is Metamodernism (and </w:t>
      </w:r>
      <w:proofErr w:type="gramStart"/>
      <w:r w:rsidRPr="00505CF0">
        <w:rPr>
          <w:rFonts w:asciiTheme="majorBidi" w:eastAsia="Times New Roman" w:hAnsiTheme="majorBidi" w:cstheme="majorBidi"/>
          <w:b/>
          <w:sz w:val="32"/>
          <w:szCs w:val="32"/>
          <w:lang w:eastAsia="en-US"/>
        </w:rPr>
        <w:t>Why Aren’t They Saying Such Terrible Things About</w:t>
      </w:r>
      <w:proofErr w:type="gramEnd"/>
      <w:r w:rsidRPr="00505CF0">
        <w:rPr>
          <w:rFonts w:asciiTheme="majorBidi" w:eastAsia="Times New Roman" w:hAnsiTheme="majorBidi" w:cstheme="majorBidi"/>
          <w:b/>
          <w:sz w:val="32"/>
          <w:szCs w:val="32"/>
          <w:lang w:eastAsia="en-US"/>
        </w:rPr>
        <w:t xml:space="preserve"> It)? </w:t>
      </w:r>
    </w:p>
    <w:p w14:paraId="48A9F0E4" w14:textId="77777777" w:rsidR="00C111D3" w:rsidRPr="00505CF0" w:rsidRDefault="00C111D3" w:rsidP="004C3EE0">
      <w:pPr>
        <w:tabs>
          <w:tab w:val="left" w:pos="737"/>
        </w:tabs>
        <w:spacing w:line="240" w:lineRule="auto"/>
        <w:ind w:left="720" w:right="720"/>
        <w:jc w:val="both"/>
        <w:rPr>
          <w:rFonts w:asciiTheme="majorBidi" w:hAnsiTheme="majorBidi" w:cstheme="majorBidi"/>
          <w:i/>
          <w:iCs/>
          <w:sz w:val="20"/>
          <w:szCs w:val="20"/>
        </w:rPr>
      </w:pPr>
    </w:p>
    <w:p w14:paraId="3A8B44B4" w14:textId="77777777" w:rsidR="00C111D3" w:rsidRPr="00505CF0" w:rsidRDefault="00C111D3" w:rsidP="004C3EE0">
      <w:pPr>
        <w:tabs>
          <w:tab w:val="left" w:pos="737"/>
        </w:tabs>
        <w:spacing w:line="240" w:lineRule="auto"/>
        <w:ind w:left="720" w:right="720"/>
        <w:jc w:val="both"/>
        <w:rPr>
          <w:rFonts w:asciiTheme="majorBidi" w:hAnsiTheme="majorBidi" w:cstheme="majorBidi"/>
          <w:i/>
          <w:iCs/>
          <w:sz w:val="20"/>
          <w:szCs w:val="20"/>
        </w:rPr>
      </w:pPr>
    </w:p>
    <w:p w14:paraId="78996A3A" w14:textId="1C15F067" w:rsidR="001B6631" w:rsidRDefault="00C111D3" w:rsidP="001B6631">
      <w:pPr>
        <w:tabs>
          <w:tab w:val="left" w:pos="737"/>
        </w:tabs>
        <w:spacing w:line="240" w:lineRule="auto"/>
        <w:ind w:left="1440"/>
        <w:jc w:val="right"/>
        <w:rPr>
          <w:rFonts w:asciiTheme="majorBidi" w:hAnsiTheme="majorBidi" w:cstheme="majorBidi"/>
          <w:sz w:val="24"/>
          <w:szCs w:val="24"/>
        </w:rPr>
      </w:pPr>
      <w:r w:rsidRPr="00505CF0">
        <w:rPr>
          <w:rFonts w:asciiTheme="majorBidi" w:hAnsiTheme="majorBidi" w:cstheme="majorBidi"/>
          <w:i/>
          <w:iCs/>
          <w:sz w:val="24"/>
          <w:szCs w:val="24"/>
        </w:rPr>
        <w:t>[Current cultural] trends and tendencies can no longer be explained in terms of the postmodern. They express a (often guarded) hopefulness and (at times feigned) sincerity that hint at another structure of feeling, intimating another discourse [</w:t>
      </w:r>
      <w:r w:rsidR="001B6631" w:rsidRPr="00505CF0">
        <w:rPr>
          <w:rFonts w:asciiTheme="majorBidi" w:hAnsiTheme="majorBidi" w:cstheme="majorBidi"/>
          <w:i/>
          <w:iCs/>
          <w:sz w:val="24"/>
          <w:szCs w:val="24"/>
        </w:rPr>
        <w:t>…] The</w:t>
      </w:r>
      <w:r w:rsidRPr="00505CF0">
        <w:rPr>
          <w:rFonts w:asciiTheme="majorBidi" w:hAnsiTheme="majorBidi" w:cstheme="majorBidi"/>
          <w:i/>
          <w:iCs/>
          <w:sz w:val="24"/>
          <w:szCs w:val="24"/>
        </w:rPr>
        <w:t xml:space="preserve"> Postmodern years of plenty, pastiche and parataxis are </w:t>
      </w:r>
      <w:r w:rsidR="001B6631" w:rsidRPr="00505CF0">
        <w:rPr>
          <w:rFonts w:asciiTheme="majorBidi" w:hAnsiTheme="majorBidi" w:cstheme="majorBidi"/>
          <w:i/>
          <w:iCs/>
          <w:sz w:val="24"/>
          <w:szCs w:val="24"/>
        </w:rPr>
        <w:t>over. In</w:t>
      </w:r>
      <w:r w:rsidRPr="00505CF0">
        <w:rPr>
          <w:rFonts w:asciiTheme="majorBidi" w:hAnsiTheme="majorBidi" w:cstheme="majorBidi"/>
          <w:i/>
          <w:iCs/>
          <w:sz w:val="24"/>
          <w:szCs w:val="24"/>
        </w:rPr>
        <w:t xml:space="preserve"> fact […] they have been over for quite a while now</w:t>
      </w:r>
      <w:r w:rsidRPr="00505CF0">
        <w:rPr>
          <w:rFonts w:asciiTheme="majorBidi" w:hAnsiTheme="majorBidi" w:cstheme="majorBidi"/>
          <w:sz w:val="24"/>
          <w:szCs w:val="24"/>
        </w:rPr>
        <w:t>.</w:t>
      </w:r>
    </w:p>
    <w:p w14:paraId="0BD77A1F" w14:textId="179ABFAC" w:rsidR="00C111D3" w:rsidRPr="00FE7EAF" w:rsidRDefault="001B6631" w:rsidP="001B6631">
      <w:pPr>
        <w:tabs>
          <w:tab w:val="left" w:pos="737"/>
        </w:tabs>
        <w:spacing w:line="240" w:lineRule="auto"/>
        <w:jc w:val="right"/>
        <w:rPr>
          <w:rFonts w:asciiTheme="majorBidi" w:hAnsiTheme="majorBidi" w:cstheme="majorBidi"/>
          <w:sz w:val="24"/>
          <w:szCs w:val="24"/>
          <w:lang w:val="nl-NL"/>
        </w:rPr>
      </w:pPr>
      <w:r w:rsidRPr="00FE7EAF">
        <w:rPr>
          <w:rStyle w:val="FootnoteReference"/>
          <w:lang w:val="nl-NL"/>
        </w:rPr>
        <w:t>-</w:t>
      </w:r>
      <w:r w:rsidRPr="00FE7EAF">
        <w:rPr>
          <w:rStyle w:val="FootnoteReference"/>
          <w:i/>
          <w:lang w:val="nl-NL"/>
        </w:rPr>
        <w:t>-</w:t>
      </w:r>
      <w:r w:rsidRPr="00FE7EAF">
        <w:rPr>
          <w:rFonts w:asciiTheme="majorBidi" w:hAnsiTheme="majorBidi" w:cstheme="majorBidi"/>
          <w:i/>
          <w:sz w:val="24"/>
          <w:szCs w:val="24"/>
          <w:lang w:val="nl-NL"/>
        </w:rPr>
        <w:t>Timotheus Vermeulen and Robin van den Akker-</w:t>
      </w:r>
      <w:r w:rsidR="00C111D3" w:rsidRPr="00505CF0">
        <w:rPr>
          <w:rStyle w:val="FootnoteReference"/>
          <w:rFonts w:asciiTheme="majorBidi" w:hAnsiTheme="majorBidi" w:cstheme="majorBidi"/>
          <w:sz w:val="24"/>
          <w:szCs w:val="24"/>
        </w:rPr>
        <w:footnoteReference w:id="254"/>
      </w:r>
    </w:p>
    <w:p w14:paraId="6474AABC" w14:textId="5D472761" w:rsidR="00C111D3" w:rsidRPr="00FE7EAF" w:rsidRDefault="001B6631" w:rsidP="001B6631">
      <w:pPr>
        <w:tabs>
          <w:tab w:val="left" w:pos="6944"/>
        </w:tabs>
        <w:spacing w:line="480" w:lineRule="auto"/>
        <w:jc w:val="both"/>
        <w:rPr>
          <w:rFonts w:asciiTheme="majorBidi" w:hAnsiTheme="majorBidi" w:cstheme="majorBidi"/>
          <w:sz w:val="24"/>
          <w:szCs w:val="24"/>
          <w:lang w:val="nl-NL"/>
        </w:rPr>
      </w:pPr>
      <w:r w:rsidRPr="00FE7EAF">
        <w:rPr>
          <w:rFonts w:asciiTheme="majorBidi" w:hAnsiTheme="majorBidi" w:cstheme="majorBidi"/>
          <w:sz w:val="24"/>
          <w:szCs w:val="24"/>
          <w:lang w:val="nl-NL"/>
        </w:rPr>
        <w:tab/>
      </w:r>
    </w:p>
    <w:p w14:paraId="6AC6E654" w14:textId="72CB569E" w:rsidR="00C111D3" w:rsidRPr="00505CF0" w:rsidRDefault="00C111D3" w:rsidP="00FE7EAF">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In 2010, Vermeulen and van den Akker published their article ‘Notes on Metamodernism</w:t>
      </w:r>
      <w:r w:rsidRPr="00505CF0">
        <w:rPr>
          <w:rFonts w:asciiTheme="majorBidi" w:hAnsiTheme="majorBidi" w:cstheme="majorBidi"/>
          <w:i/>
          <w:iCs/>
          <w:sz w:val="24"/>
          <w:szCs w:val="24"/>
        </w:rPr>
        <w:t>,</w:t>
      </w:r>
      <w:r w:rsidRPr="00505CF0">
        <w:rPr>
          <w:rFonts w:asciiTheme="majorBidi" w:hAnsiTheme="majorBidi" w:cstheme="majorBidi"/>
          <w:sz w:val="24"/>
          <w:szCs w:val="24"/>
        </w:rPr>
        <w:t xml:space="preserve">’ in the </w:t>
      </w:r>
      <w:r w:rsidRPr="00505CF0">
        <w:rPr>
          <w:rFonts w:asciiTheme="majorBidi" w:hAnsiTheme="majorBidi" w:cstheme="majorBidi"/>
          <w:i/>
          <w:iCs/>
          <w:sz w:val="24"/>
          <w:szCs w:val="24"/>
        </w:rPr>
        <w:t>Journal of Aesthetics and Culture</w:t>
      </w:r>
      <w:r w:rsidRPr="00505CF0">
        <w:rPr>
          <w:rFonts w:asciiTheme="majorBidi" w:hAnsiTheme="majorBidi" w:cstheme="majorBidi"/>
          <w:sz w:val="24"/>
          <w:szCs w:val="24"/>
        </w:rPr>
        <w:t>, claiming (as in the epigraph above) that the postmodern moment was on the way out and that emerging new phenomena across culture and in the arts were ‘characterized by an attempt to incorporate postmodern stylistics and formal conventions while moving beyond them.</w:t>
      </w:r>
      <w:r w:rsidRPr="00505CF0">
        <w:rPr>
          <w:rStyle w:val="FootnoteReference"/>
          <w:rFonts w:asciiTheme="majorBidi" w:hAnsiTheme="majorBidi" w:cstheme="majorBidi"/>
          <w:sz w:val="24"/>
          <w:szCs w:val="24"/>
        </w:rPr>
        <w:footnoteReference w:id="255"/>
      </w:r>
      <w:r w:rsidRPr="00505CF0">
        <w:rPr>
          <w:rFonts w:asciiTheme="majorBidi" w:hAnsiTheme="majorBidi" w:cstheme="majorBidi"/>
          <w:sz w:val="24"/>
          <w:szCs w:val="24"/>
        </w:rPr>
        <w:t xml:space="preserve"> In the wake of postmodernism, Vermeulen and van den Akker identified a movement beyond the familiar tropes </w:t>
      </w:r>
      <w:r w:rsidR="00380F2D">
        <w:rPr>
          <w:rFonts w:asciiTheme="majorBidi" w:hAnsiTheme="majorBidi" w:cstheme="majorBidi"/>
          <w:sz w:val="24"/>
          <w:szCs w:val="24"/>
        </w:rPr>
        <w:t>of</w:t>
      </w:r>
      <w:r w:rsidR="00380F2D" w:rsidRPr="00505CF0">
        <w:rPr>
          <w:rFonts w:asciiTheme="majorBidi" w:hAnsiTheme="majorBidi" w:cstheme="majorBidi"/>
          <w:sz w:val="24"/>
          <w:szCs w:val="24"/>
        </w:rPr>
        <w:t xml:space="preserve"> </w:t>
      </w:r>
      <w:r w:rsidRPr="00505CF0">
        <w:rPr>
          <w:rFonts w:asciiTheme="majorBidi" w:hAnsiTheme="majorBidi" w:cstheme="majorBidi"/>
          <w:sz w:val="24"/>
          <w:szCs w:val="24"/>
        </w:rPr>
        <w:t>pastiche, a movement – or rather cultural sentiment – that they titled Metamodernism. Building on from Frederic Jameson’s assertion of postmodernism ‘as a hegemonic “Structure of feeling” characterized by senses of an end,’</w:t>
      </w:r>
      <w:r w:rsidRPr="00505CF0">
        <w:rPr>
          <w:rStyle w:val="FootnoteReference"/>
          <w:rFonts w:asciiTheme="majorBidi" w:hAnsiTheme="majorBidi" w:cstheme="majorBidi"/>
          <w:sz w:val="24"/>
          <w:szCs w:val="24"/>
        </w:rPr>
        <w:footnoteReference w:id="256"/>
      </w:r>
      <w:r w:rsidRPr="00505CF0">
        <w:rPr>
          <w:rFonts w:asciiTheme="majorBidi" w:hAnsiTheme="majorBidi" w:cstheme="majorBidi"/>
          <w:sz w:val="24"/>
          <w:szCs w:val="24"/>
        </w:rPr>
        <w:t xml:space="preserve"> metamodernism describes a new, somewhat inchoate post-postmodern version: ‘a structure of feeling is a sentiment or, rather, still a sensibility that many people share, that many are aware of, but which cannot easily, if at all, be pinned down.’</w:t>
      </w:r>
      <w:r w:rsidRPr="00505CF0">
        <w:rPr>
          <w:rStyle w:val="FootnoteReference"/>
          <w:rFonts w:asciiTheme="majorBidi" w:hAnsiTheme="majorBidi" w:cstheme="majorBidi"/>
          <w:sz w:val="24"/>
          <w:szCs w:val="24"/>
        </w:rPr>
        <w:footnoteReference w:id="257"/>
      </w:r>
      <w:r w:rsidRPr="00505CF0">
        <w:rPr>
          <w:rFonts w:asciiTheme="majorBidi" w:hAnsiTheme="majorBidi" w:cstheme="majorBidi"/>
          <w:sz w:val="24"/>
          <w:szCs w:val="24"/>
        </w:rPr>
        <w:t xml:space="preserve"> Metamodernism differs from the previous ‘-isms’ offered up in that it does not seek to prescribe any specific dogma for culture so much as </w:t>
      </w:r>
      <w:r w:rsidR="00380F2D">
        <w:rPr>
          <w:rFonts w:asciiTheme="majorBidi" w:hAnsiTheme="majorBidi" w:cstheme="majorBidi"/>
          <w:sz w:val="24"/>
          <w:szCs w:val="24"/>
        </w:rPr>
        <w:t xml:space="preserve">describe </w:t>
      </w:r>
      <w:r w:rsidRPr="00505CF0">
        <w:rPr>
          <w:rFonts w:asciiTheme="majorBidi" w:hAnsiTheme="majorBidi" w:cstheme="majorBidi"/>
          <w:sz w:val="24"/>
          <w:szCs w:val="24"/>
        </w:rPr>
        <w:t xml:space="preserve">a series of current cultural developments. Metamodernism, according to Vermeulen, is a ‘mapping of contemporary culture,’ a term or label that ‘we [Vermeulen and van den Akker] could use to understand the post-postmodern condition, to understand those developments, those strategies, those new phenomena that were occurring, that we found we found we could no longer explain, we no </w:t>
      </w:r>
      <w:r w:rsidRPr="00505CF0">
        <w:rPr>
          <w:rFonts w:asciiTheme="majorBidi" w:hAnsiTheme="majorBidi" w:cstheme="majorBidi"/>
          <w:sz w:val="24"/>
          <w:szCs w:val="24"/>
        </w:rPr>
        <w:lastRenderedPageBreak/>
        <w:t>longer contextualize, or map, with the vernacular that we had learned as students about postmodernism.’</w:t>
      </w:r>
      <w:r w:rsidRPr="00505CF0">
        <w:rPr>
          <w:rStyle w:val="FootnoteReference"/>
          <w:rFonts w:asciiTheme="majorBidi" w:hAnsiTheme="majorBidi" w:cstheme="majorBidi"/>
          <w:sz w:val="24"/>
          <w:szCs w:val="24"/>
        </w:rPr>
        <w:footnoteReference w:id="258"/>
      </w:r>
      <w:r w:rsidRPr="00505CF0">
        <w:rPr>
          <w:rFonts w:asciiTheme="majorBidi" w:hAnsiTheme="majorBidi" w:cstheme="majorBidi"/>
          <w:sz w:val="24"/>
          <w:szCs w:val="24"/>
        </w:rPr>
        <w:t xml:space="preserve"> Metamodernism is not the extending of a dogma,</w:t>
      </w:r>
      <w:r w:rsidRPr="00505CF0">
        <w:rPr>
          <w:rStyle w:val="FootnoteReference"/>
          <w:rFonts w:asciiTheme="majorBidi" w:hAnsiTheme="majorBidi" w:cstheme="majorBidi"/>
          <w:sz w:val="24"/>
          <w:szCs w:val="24"/>
        </w:rPr>
        <w:footnoteReference w:id="259"/>
      </w:r>
      <w:r w:rsidRPr="00505CF0">
        <w:rPr>
          <w:rFonts w:asciiTheme="majorBidi" w:hAnsiTheme="majorBidi" w:cstheme="majorBidi"/>
          <w:sz w:val="24"/>
          <w:szCs w:val="24"/>
        </w:rPr>
        <w:t xml:space="preserve"> nor a philosophy, movement, programme, aesthetic register, visual strategy, literary technique, </w:t>
      </w:r>
      <w:proofErr w:type="gramStart"/>
      <w:r w:rsidRPr="00505CF0">
        <w:rPr>
          <w:rFonts w:asciiTheme="majorBidi" w:hAnsiTheme="majorBidi" w:cstheme="majorBidi"/>
          <w:sz w:val="24"/>
          <w:szCs w:val="24"/>
        </w:rPr>
        <w:t>trope</w:t>
      </w:r>
      <w:proofErr w:type="gramEnd"/>
      <w:r w:rsidRPr="00505CF0">
        <w:rPr>
          <w:rFonts w:asciiTheme="majorBidi" w:hAnsiTheme="majorBidi" w:cstheme="majorBidi"/>
          <w:sz w:val="24"/>
          <w:szCs w:val="24"/>
        </w:rPr>
        <w:t>, a system of thought, a manifesto, or a way of life.</w:t>
      </w:r>
      <w:r w:rsidRPr="00505CF0">
        <w:rPr>
          <w:rStyle w:val="FootnoteReference"/>
          <w:rFonts w:asciiTheme="majorBidi" w:hAnsiTheme="majorBidi" w:cstheme="majorBidi"/>
          <w:sz w:val="24"/>
          <w:szCs w:val="24"/>
        </w:rPr>
        <w:footnoteReference w:id="260"/>
      </w:r>
      <w:r w:rsidRPr="00505CF0">
        <w:rPr>
          <w:rFonts w:asciiTheme="majorBidi" w:hAnsiTheme="majorBidi" w:cstheme="majorBidi"/>
          <w:sz w:val="24"/>
          <w:szCs w:val="24"/>
        </w:rPr>
        <w:t xml:space="preserve"> Instead, as Vermeulen and van den Akker repeatedly contend, drawing on Raymond Williams’s phrase, it is a structure of feeling:</w:t>
      </w:r>
    </w:p>
    <w:p w14:paraId="6B7F2444" w14:textId="77777777" w:rsidR="00C111D3" w:rsidRPr="00505CF0" w:rsidRDefault="00C111D3" w:rsidP="004C3EE0">
      <w:pPr>
        <w:tabs>
          <w:tab w:val="left" w:pos="737"/>
        </w:tabs>
        <w:spacing w:line="240" w:lineRule="auto"/>
        <w:ind w:left="737" w:right="737" w:firstLine="720"/>
        <w:jc w:val="both"/>
        <w:rPr>
          <w:rFonts w:asciiTheme="majorBidi" w:hAnsiTheme="majorBidi" w:cstheme="majorBidi"/>
          <w:sz w:val="24"/>
          <w:szCs w:val="24"/>
        </w:rPr>
      </w:pPr>
    </w:p>
    <w:p w14:paraId="079F395F"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When we say that metamodernism is a structure of feeling, we intend to say [...] that it is a sensibility that is widespread enough to be called structural [...] yet [it] cannot be reduced to one particular strategy […] </w:t>
      </w:r>
      <w:proofErr w:type="gramStart"/>
      <w:r w:rsidRPr="00505CF0">
        <w:rPr>
          <w:rFonts w:asciiTheme="majorBidi" w:hAnsiTheme="majorBidi" w:cstheme="majorBidi"/>
          <w:sz w:val="24"/>
          <w:szCs w:val="24"/>
        </w:rPr>
        <w:t>Ultimately</w:t>
      </w:r>
      <w:proofErr w:type="gramEnd"/>
      <w:r w:rsidRPr="00505CF0">
        <w:rPr>
          <w:rFonts w:asciiTheme="majorBidi" w:hAnsiTheme="majorBidi" w:cstheme="majorBidi"/>
          <w:sz w:val="24"/>
          <w:szCs w:val="24"/>
        </w:rPr>
        <w:t>, therefore, metamodernism is a term used, by us, to periodize the contemporary and think the present historically.</w:t>
      </w:r>
      <w:r w:rsidRPr="00505CF0">
        <w:rPr>
          <w:rStyle w:val="FootnoteReference"/>
          <w:rFonts w:asciiTheme="majorBidi" w:hAnsiTheme="majorBidi" w:cstheme="majorBidi"/>
          <w:sz w:val="24"/>
          <w:szCs w:val="24"/>
        </w:rPr>
        <w:footnoteReference w:id="261"/>
      </w:r>
    </w:p>
    <w:p w14:paraId="02689DF3" w14:textId="77777777" w:rsidR="00C111D3" w:rsidRPr="00505CF0" w:rsidRDefault="00C111D3" w:rsidP="004C3EE0">
      <w:pPr>
        <w:tabs>
          <w:tab w:val="left" w:pos="737"/>
        </w:tabs>
        <w:spacing w:line="480" w:lineRule="auto"/>
        <w:ind w:left="737" w:right="737"/>
        <w:jc w:val="both"/>
        <w:rPr>
          <w:rFonts w:asciiTheme="majorBidi" w:hAnsiTheme="majorBidi" w:cstheme="majorBidi"/>
          <w:sz w:val="24"/>
          <w:szCs w:val="24"/>
        </w:rPr>
      </w:pPr>
    </w:p>
    <w:p w14:paraId="02801BBE" w14:textId="7DC6D8DD" w:rsidR="00C111D3" w:rsidRPr="00505CF0" w:rsidRDefault="00C111D3" w:rsidP="004C3EE0">
      <w:pPr>
        <w:pStyle w:val="FootnoteText"/>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Rather than, say, the hypermodern movement, which dictates that all human behaviour is regulated by hypermodern tropes and elements of hyper-individualism, the metamodern works as an umbrella term for the myriad developments that have emerged in the wake of the postmodern. Another significant difference between the Metamodern theory and those previously espoused is that the </w:t>
      </w:r>
      <w:proofErr w:type="gramStart"/>
      <w:r w:rsidRPr="00505CF0">
        <w:rPr>
          <w:rFonts w:asciiTheme="majorBidi" w:hAnsiTheme="majorBidi" w:cstheme="majorBidi"/>
          <w:sz w:val="24"/>
          <w:szCs w:val="24"/>
        </w:rPr>
        <w:t>metamodern</w:t>
      </w:r>
      <w:proofErr w:type="gramEnd"/>
      <w:r w:rsidRPr="00505CF0">
        <w:rPr>
          <w:rFonts w:asciiTheme="majorBidi" w:hAnsiTheme="majorBidi" w:cstheme="majorBidi"/>
          <w:sz w:val="24"/>
          <w:szCs w:val="24"/>
        </w:rPr>
        <w:t xml:space="preserve"> denies the events of 9/11 as the risk-trigger for the current complications of society:</w:t>
      </w:r>
    </w:p>
    <w:p w14:paraId="07B4FECD" w14:textId="77777777" w:rsidR="00C111D3" w:rsidRPr="00505CF0" w:rsidRDefault="00C111D3" w:rsidP="004C3EE0">
      <w:pPr>
        <w:pStyle w:val="FootnoteText"/>
        <w:spacing w:line="480" w:lineRule="auto"/>
        <w:jc w:val="both"/>
        <w:rPr>
          <w:rFonts w:asciiTheme="majorBidi" w:hAnsiTheme="majorBidi" w:cstheme="majorBidi"/>
          <w:sz w:val="24"/>
          <w:szCs w:val="24"/>
        </w:rPr>
      </w:pPr>
    </w:p>
    <w:p w14:paraId="459FC07B"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 quite the contrary. […] The threefold ‘‘threat’’ of the credit crunch, a collapsed centre, and climate change has the opposite effect, as it infuses doubt, inspires reflection, and incites a move forward out of the postmodern and into the metamodern.’</w:t>
      </w:r>
      <w:r w:rsidRPr="00505CF0">
        <w:rPr>
          <w:rStyle w:val="FootnoteReference"/>
          <w:rFonts w:asciiTheme="majorBidi" w:hAnsiTheme="majorBidi" w:cstheme="majorBidi"/>
          <w:sz w:val="24"/>
          <w:szCs w:val="24"/>
        </w:rPr>
        <w:footnoteReference w:id="262"/>
      </w:r>
      <w:r w:rsidRPr="00505CF0">
        <w:rPr>
          <w:rFonts w:asciiTheme="majorBidi" w:hAnsiTheme="majorBidi" w:cstheme="majorBidi"/>
          <w:sz w:val="24"/>
          <w:szCs w:val="24"/>
        </w:rPr>
        <w:t xml:space="preserve"> </w:t>
      </w:r>
    </w:p>
    <w:p w14:paraId="1CA801E0"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745CB1CF" w14:textId="0C19B212"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lastRenderedPageBreak/>
        <w:tab/>
        <w:t xml:space="preserve">Luke Turner, another key figure in the developing metamodern field, elaborates on Vermeulen and van den Akker’s point (who readily accept the need for such elaboration, describing their initial article as ‘still very much flawed, leaving many of the issues </w:t>
      </w:r>
      <w:r w:rsidR="00A524DD" w:rsidRPr="00505CF0">
        <w:rPr>
          <w:rFonts w:asciiTheme="majorBidi" w:hAnsiTheme="majorBidi" w:cstheme="majorBidi"/>
          <w:sz w:val="24"/>
          <w:szCs w:val="24"/>
        </w:rPr>
        <w:t>raised</w:t>
      </w:r>
      <w:r w:rsidRPr="00505CF0">
        <w:rPr>
          <w:rFonts w:asciiTheme="majorBidi" w:hAnsiTheme="majorBidi" w:cstheme="majorBidi"/>
          <w:sz w:val="24"/>
          <w:szCs w:val="24"/>
        </w:rPr>
        <w:t xml:space="preserve"> in the original contemporary aesthetics and culture underdeveloped or unexplored,)</w:t>
      </w:r>
      <w:r w:rsidRPr="00505CF0">
        <w:rPr>
          <w:rStyle w:val="FootnoteReference"/>
          <w:rFonts w:asciiTheme="majorBidi" w:hAnsiTheme="majorBidi" w:cstheme="majorBidi"/>
          <w:sz w:val="24"/>
          <w:szCs w:val="24"/>
        </w:rPr>
        <w:footnoteReference w:id="263"/>
      </w:r>
      <w:r w:rsidRPr="00505CF0">
        <w:rPr>
          <w:rFonts w:asciiTheme="majorBidi" w:hAnsiTheme="majorBidi" w:cstheme="majorBidi"/>
          <w:sz w:val="24"/>
          <w:szCs w:val="24"/>
        </w:rPr>
        <w:t xml:space="preserve"> describing metamodernism as ‘descriptive, rather than prescriptive</w:t>
      </w:r>
      <w:r w:rsidR="00380F2D">
        <w:rPr>
          <w:rFonts w:asciiTheme="majorBidi" w:hAnsiTheme="majorBidi" w:cstheme="majorBidi"/>
          <w:sz w:val="24"/>
          <w:szCs w:val="24"/>
        </w:rPr>
        <w:t>.</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264"/>
      </w:r>
      <w:r w:rsidR="00380F2D">
        <w:rPr>
          <w:rFonts w:asciiTheme="majorBidi" w:hAnsiTheme="majorBidi" w:cstheme="majorBidi"/>
          <w:sz w:val="24"/>
          <w:szCs w:val="24"/>
        </w:rPr>
        <w:t xml:space="preserve"> Turner posits metamodernism as</w:t>
      </w:r>
      <w:r w:rsidRPr="00505CF0">
        <w:rPr>
          <w:rFonts w:asciiTheme="majorBidi" w:hAnsiTheme="majorBidi" w:cstheme="majorBidi"/>
          <w:sz w:val="24"/>
          <w:szCs w:val="24"/>
        </w:rPr>
        <w:t xml:space="preserve"> a structure of feeling that is ‘</w:t>
      </w:r>
      <w:r w:rsidRPr="00505CF0">
        <w:rPr>
          <w:rFonts w:asciiTheme="majorBidi" w:hAnsiTheme="majorBidi" w:cstheme="majorBidi"/>
          <w:i/>
          <w:iCs/>
          <w:sz w:val="24"/>
          <w:szCs w:val="24"/>
        </w:rPr>
        <w:t xml:space="preserve">not </w:t>
      </w:r>
      <w:r w:rsidRPr="00505CF0">
        <w:rPr>
          <w:rFonts w:asciiTheme="majorBidi" w:hAnsiTheme="majorBidi" w:cstheme="majorBidi"/>
          <w:sz w:val="24"/>
          <w:szCs w:val="24"/>
        </w:rPr>
        <w:t>intended as a philosophy or an art movement, since it does not define or delineate a closed system of thought, or dictate any particular set of aesthetic values or methodologies.’</w:t>
      </w:r>
      <w:r w:rsidRPr="00505CF0">
        <w:rPr>
          <w:rStyle w:val="FootnoteReference"/>
          <w:rFonts w:asciiTheme="majorBidi" w:hAnsiTheme="majorBidi" w:cstheme="majorBidi"/>
          <w:sz w:val="24"/>
          <w:szCs w:val="24"/>
        </w:rPr>
        <w:footnoteReference w:id="265"/>
      </w:r>
      <w:r w:rsidRPr="00505CF0">
        <w:rPr>
          <w:rFonts w:asciiTheme="majorBidi" w:hAnsiTheme="majorBidi" w:cstheme="majorBidi"/>
          <w:sz w:val="24"/>
          <w:szCs w:val="24"/>
        </w:rPr>
        <w:t xml:space="preserve"> Great pains are taken by those describing the metamodern to ensure that it adheres to this conception as ‘the best </w:t>
      </w:r>
      <w:r w:rsidRPr="00505CF0">
        <w:rPr>
          <w:rFonts w:asciiTheme="majorBidi" w:hAnsiTheme="majorBidi" w:cstheme="majorBidi"/>
          <w:i/>
          <w:iCs/>
          <w:sz w:val="24"/>
          <w:szCs w:val="24"/>
        </w:rPr>
        <w:t xml:space="preserve">descriptor </w:t>
      </w:r>
      <w:r w:rsidRPr="00505CF0">
        <w:rPr>
          <w:rFonts w:asciiTheme="majorBidi" w:hAnsiTheme="majorBidi" w:cstheme="majorBidi"/>
          <w:sz w:val="24"/>
          <w:szCs w:val="24"/>
        </w:rPr>
        <w:t>for contemporary culture.’</w:t>
      </w:r>
      <w:r w:rsidRPr="00505CF0">
        <w:rPr>
          <w:rStyle w:val="FootnoteReference"/>
          <w:rFonts w:asciiTheme="majorBidi" w:hAnsiTheme="majorBidi" w:cstheme="majorBidi"/>
          <w:sz w:val="24"/>
          <w:szCs w:val="24"/>
        </w:rPr>
        <w:footnoteReference w:id="266"/>
      </w:r>
      <w:r w:rsidRPr="00505CF0">
        <w:rPr>
          <w:rFonts w:asciiTheme="majorBidi" w:hAnsiTheme="majorBidi" w:cstheme="majorBidi"/>
          <w:sz w:val="24"/>
          <w:szCs w:val="24"/>
        </w:rPr>
        <w:t xml:space="preserve"> ‘Ultimately,’ Vermuelen and van den Akker </w:t>
      </w:r>
      <w:proofErr w:type="gramStart"/>
      <w:r w:rsidRPr="00505CF0">
        <w:rPr>
          <w:rFonts w:asciiTheme="majorBidi" w:hAnsiTheme="majorBidi" w:cstheme="majorBidi"/>
          <w:sz w:val="24"/>
          <w:szCs w:val="24"/>
        </w:rPr>
        <w:t>argue</w:t>
      </w:r>
      <w:proofErr w:type="gramEnd"/>
      <w:r w:rsidRPr="00505CF0">
        <w:rPr>
          <w:rFonts w:asciiTheme="majorBidi" w:hAnsiTheme="majorBidi" w:cstheme="majorBidi"/>
          <w:sz w:val="24"/>
          <w:szCs w:val="24"/>
        </w:rPr>
        <w:t>, ‘metamodernism for us, is a cultural logic, a certain dominant ideological patterning that leaves its traces across culture.’</w:t>
      </w:r>
      <w:r w:rsidRPr="00505CF0">
        <w:rPr>
          <w:rStyle w:val="FootnoteReference"/>
          <w:rFonts w:asciiTheme="majorBidi" w:hAnsiTheme="majorBidi" w:cstheme="majorBidi"/>
          <w:sz w:val="24"/>
          <w:szCs w:val="24"/>
        </w:rPr>
        <w:footnoteReference w:id="267"/>
      </w:r>
      <w:r w:rsidRPr="00505CF0">
        <w:rPr>
          <w:rFonts w:asciiTheme="majorBidi" w:hAnsiTheme="majorBidi" w:cstheme="majorBidi"/>
          <w:sz w:val="24"/>
          <w:szCs w:val="24"/>
        </w:rPr>
        <w:t xml:space="preserve"> This dominant ideological patterning takes many forms, to be explored hereafter, but a universal constant of the metamodern moment is a palpable desire to surpass the dominant postmodern ideologies of  deconstruction, irony, pastiche, relativism, nihilism, the rejection of grand narratives,</w:t>
      </w:r>
      <w:r w:rsidRPr="00505CF0">
        <w:rPr>
          <w:rStyle w:val="FootnoteReference"/>
          <w:rFonts w:asciiTheme="majorBidi" w:hAnsiTheme="majorBidi" w:cstheme="majorBidi"/>
          <w:sz w:val="24"/>
          <w:szCs w:val="24"/>
        </w:rPr>
        <w:footnoteReference w:id="268"/>
      </w:r>
      <w:r w:rsidRPr="00505CF0">
        <w:rPr>
          <w:rFonts w:asciiTheme="majorBidi" w:hAnsiTheme="majorBidi" w:cstheme="majorBidi"/>
          <w:sz w:val="24"/>
          <w:szCs w:val="24"/>
        </w:rPr>
        <w:t xml:space="preserve"> alongside ‘cynicism, and the sort of despair that comes from thinking that everything is coming apart.’</w:t>
      </w:r>
      <w:r w:rsidRPr="00505CF0">
        <w:rPr>
          <w:rStyle w:val="FootnoteReference"/>
          <w:rFonts w:asciiTheme="majorBidi" w:hAnsiTheme="majorBidi" w:cstheme="majorBidi"/>
          <w:sz w:val="24"/>
          <w:szCs w:val="24"/>
        </w:rPr>
        <w:footnoteReference w:id="269"/>
      </w:r>
      <w:r w:rsidRPr="00505CF0">
        <w:rPr>
          <w:rFonts w:asciiTheme="majorBidi" w:hAnsiTheme="majorBidi" w:cstheme="majorBidi"/>
          <w:sz w:val="24"/>
          <w:szCs w:val="24"/>
        </w:rPr>
        <w:t xml:space="preserve"> Metamodernism, its proponents argue, engages with this task by re-introducing themes of hope, dialogue, collaboration, sincerity</w:t>
      </w:r>
      <w:r w:rsidR="009A0899">
        <w:rPr>
          <w:rFonts w:asciiTheme="majorBidi" w:hAnsiTheme="majorBidi" w:cstheme="majorBidi"/>
          <w:sz w:val="24"/>
          <w:szCs w:val="24"/>
        </w:rPr>
        <w:t>,</w:t>
      </w:r>
      <w:r w:rsidRPr="00505CF0">
        <w:rPr>
          <w:rFonts w:asciiTheme="majorBidi" w:hAnsiTheme="majorBidi" w:cstheme="majorBidi"/>
          <w:sz w:val="24"/>
          <w:szCs w:val="24"/>
        </w:rPr>
        <w:t xml:space="preserve"> and optimism,</w:t>
      </w:r>
      <w:r w:rsidRPr="00505CF0">
        <w:rPr>
          <w:rStyle w:val="FootnoteReference"/>
          <w:rFonts w:asciiTheme="majorBidi" w:hAnsiTheme="majorBidi" w:cstheme="majorBidi"/>
          <w:sz w:val="24"/>
          <w:szCs w:val="24"/>
        </w:rPr>
        <w:footnoteReference w:id="270"/>
      </w:r>
      <w:r w:rsidRPr="00505CF0">
        <w:rPr>
          <w:rFonts w:asciiTheme="majorBidi" w:hAnsiTheme="majorBidi" w:cstheme="majorBidi"/>
          <w:sz w:val="24"/>
          <w:szCs w:val="24"/>
        </w:rPr>
        <w:t xml:space="preserve"> as well as an emergent ‘New Romanticism,’ ‘and the potential for grand narratives and universal truths.’</w:t>
      </w:r>
      <w:r w:rsidRPr="00505CF0">
        <w:rPr>
          <w:rStyle w:val="FootnoteReference"/>
          <w:rFonts w:asciiTheme="majorBidi" w:hAnsiTheme="majorBidi" w:cstheme="majorBidi"/>
          <w:sz w:val="24"/>
          <w:szCs w:val="24"/>
        </w:rPr>
        <w:footnoteReference w:id="271"/>
      </w:r>
      <w:r w:rsidRPr="00505CF0">
        <w:rPr>
          <w:rFonts w:asciiTheme="majorBidi" w:hAnsiTheme="majorBidi" w:cstheme="majorBidi"/>
          <w:sz w:val="24"/>
          <w:szCs w:val="24"/>
        </w:rPr>
        <w:t xml:space="preserve"> Rather than a diametric negation of those elements attempted to be surpassed with the elements to be re-introduced, irony with sincerity, deconstruction with reconstruction, the metamodern is characterised by the concurrent existence of both positions and an ideological desire to achieve the post-postmodern without abandoning the lessons learned within the postmodern era.</w:t>
      </w:r>
      <w:r w:rsidR="002F7624">
        <w:rPr>
          <w:rStyle w:val="FootnoteReference"/>
          <w:rFonts w:asciiTheme="majorBidi" w:hAnsiTheme="majorBidi" w:cstheme="majorBidi"/>
          <w:sz w:val="24"/>
          <w:szCs w:val="24"/>
        </w:rPr>
        <w:footnoteReference w:id="272"/>
      </w:r>
      <w:r w:rsidRPr="00505CF0">
        <w:rPr>
          <w:rFonts w:asciiTheme="majorBidi" w:hAnsiTheme="majorBidi" w:cstheme="majorBidi"/>
          <w:sz w:val="24"/>
          <w:szCs w:val="24"/>
        </w:rPr>
        <w:t xml:space="preserve"> </w:t>
      </w:r>
    </w:p>
    <w:p w14:paraId="231E3E53" w14:textId="77777777" w:rsidR="00C111D3" w:rsidRPr="00505CF0" w:rsidRDefault="00C111D3" w:rsidP="004C3EE0">
      <w:pPr>
        <w:tabs>
          <w:tab w:val="left" w:pos="737"/>
        </w:tabs>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Metamodernism, ultimately then, is an effort to respond to the current cultural turmoil, a term to indicate the passing of the postmodern – or, rather, the contemporary attempts to do so. It is a cultural descriptor, not a creed to live by, and the major element of society as described by the metamodern impulse is one of oscillation between a ‘typically modern commitment and a markedly postmodern detachment.’</w:t>
      </w:r>
      <w:r w:rsidRPr="00505CF0">
        <w:rPr>
          <w:rStyle w:val="FootnoteReference"/>
          <w:rFonts w:asciiTheme="majorBidi" w:hAnsiTheme="majorBidi" w:cstheme="majorBidi"/>
          <w:sz w:val="24"/>
          <w:szCs w:val="24"/>
        </w:rPr>
        <w:footnoteReference w:id="273"/>
      </w:r>
    </w:p>
    <w:p w14:paraId="5A49ADD3"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8"/>
          <w:szCs w:val="28"/>
          <w:lang w:eastAsia="en-US"/>
        </w:rPr>
      </w:pPr>
    </w:p>
    <w:p w14:paraId="579E4FEB"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8"/>
          <w:szCs w:val="28"/>
          <w:lang w:eastAsia="en-US"/>
        </w:rPr>
      </w:pPr>
    </w:p>
    <w:p w14:paraId="6F6CC329"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2.1</w:t>
      </w:r>
      <w:r w:rsidRPr="00505CF0">
        <w:rPr>
          <w:rFonts w:asciiTheme="majorBidi" w:eastAsia="Times New Roman" w:hAnsiTheme="majorBidi" w:cstheme="majorBidi"/>
          <w:b/>
          <w:sz w:val="28"/>
          <w:szCs w:val="28"/>
          <w:lang w:eastAsia="en-US"/>
        </w:rPr>
        <w:tab/>
        <w:t xml:space="preserve">Metamodern Oscillation </w:t>
      </w:r>
    </w:p>
    <w:p w14:paraId="3A87DF1A"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0986AECE"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Metamodernism, according to Vermeulen, is ‘above all’ about oscillation: ‘it is about the oscillation between the modern and the postmodern, history and ahistoricity, optimism and pessimism, sincerity and irony, the concept and the material, the figurative and the formless, narrative and the plotless, discursive originality and individual intertextuality, meaning and meaninglessness.’</w:t>
      </w:r>
      <w:r w:rsidRPr="00505CF0">
        <w:rPr>
          <w:rStyle w:val="FootnoteReference"/>
          <w:rFonts w:asciiTheme="majorBidi" w:hAnsiTheme="majorBidi" w:cstheme="majorBidi"/>
          <w:sz w:val="24"/>
          <w:szCs w:val="24"/>
        </w:rPr>
        <w:footnoteReference w:id="274"/>
      </w:r>
      <w:r w:rsidRPr="00505CF0">
        <w:rPr>
          <w:rFonts w:asciiTheme="majorBidi" w:hAnsiTheme="majorBidi" w:cstheme="majorBidi"/>
          <w:sz w:val="24"/>
          <w:szCs w:val="24"/>
        </w:rPr>
        <w:t xml:space="preserve"> The metamodern moment is one of constant tension between two distinct, though not necessarily binary, poles, in which an individual is pulled between two opposing ideologies:</w:t>
      </w:r>
    </w:p>
    <w:p w14:paraId="0EECDDD2" w14:textId="77777777" w:rsidR="00C111D3" w:rsidRPr="00505CF0" w:rsidRDefault="00C111D3" w:rsidP="004C3EE0">
      <w:pPr>
        <w:tabs>
          <w:tab w:val="left" w:pos="737"/>
        </w:tabs>
        <w:spacing w:line="240" w:lineRule="auto"/>
        <w:ind w:left="737" w:right="737"/>
        <w:jc w:val="both"/>
        <w:rPr>
          <w:rFonts w:asciiTheme="majorBidi" w:hAnsiTheme="majorBidi" w:cstheme="majorBidi"/>
          <w:i/>
          <w:iCs/>
          <w:sz w:val="24"/>
          <w:szCs w:val="24"/>
        </w:rPr>
      </w:pPr>
    </w:p>
    <w:p w14:paraId="3006719E"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Ontologically, metamodernism oscillates between the modern and the postmodern. It oscillates between a modern enthusiasm and a postmodern irony, between hope and melancholy, between naïveté and knowingness, empathy and apathy, 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w:t>
      </w:r>
      <w:r w:rsidRPr="00505CF0">
        <w:rPr>
          <w:rStyle w:val="FootnoteReference"/>
          <w:rFonts w:asciiTheme="majorBidi" w:hAnsiTheme="majorBidi" w:cstheme="majorBidi"/>
          <w:sz w:val="24"/>
          <w:szCs w:val="24"/>
        </w:rPr>
        <w:footnoteReference w:id="275"/>
      </w:r>
    </w:p>
    <w:p w14:paraId="02419A50"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29C98F5C"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Indeed, the epistemological origin of the </w:t>
      </w:r>
      <w:r w:rsidRPr="00505CF0">
        <w:rPr>
          <w:rFonts w:asciiTheme="majorBidi" w:hAnsiTheme="majorBidi" w:cstheme="majorBidi"/>
          <w:i/>
          <w:iCs/>
          <w:sz w:val="24"/>
          <w:szCs w:val="24"/>
        </w:rPr>
        <w:t>meta</w:t>
      </w:r>
      <w:r w:rsidRPr="00505CF0">
        <w:rPr>
          <w:rFonts w:asciiTheme="majorBidi" w:hAnsiTheme="majorBidi" w:cstheme="majorBidi"/>
          <w:sz w:val="24"/>
          <w:szCs w:val="24"/>
        </w:rPr>
        <w:t>modern, not in the common sense of ‘meta’ as self-aware (though there are aspects of that within the metamodern), derives from Plato’s metaxis, ‘describing an oscillation and simultaneity between and beyond diametrically opposed poles.’</w:t>
      </w:r>
      <w:r w:rsidRPr="00505CF0">
        <w:rPr>
          <w:rStyle w:val="FootnoteReference"/>
          <w:rFonts w:asciiTheme="majorBidi" w:hAnsiTheme="majorBidi" w:cstheme="majorBidi"/>
          <w:sz w:val="24"/>
          <w:szCs w:val="24"/>
        </w:rPr>
        <w:footnoteReference w:id="276"/>
      </w:r>
      <w:r w:rsidRPr="00505CF0">
        <w:rPr>
          <w:rFonts w:asciiTheme="majorBidi" w:hAnsiTheme="majorBidi" w:cstheme="majorBidi"/>
          <w:sz w:val="24"/>
          <w:szCs w:val="24"/>
        </w:rPr>
        <w:t xml:space="preserve"> By way of example, Vermeulen and van den Akker analogize this societal oscillation by describing a captain sailing between islands on an archipelago, whose ship begins to sink:</w:t>
      </w:r>
    </w:p>
    <w:p w14:paraId="348D7AEA" w14:textId="77777777" w:rsidR="00C111D3" w:rsidRPr="00505CF0" w:rsidRDefault="00C111D3" w:rsidP="004C3EE0">
      <w:pPr>
        <w:tabs>
          <w:tab w:val="left" w:pos="737"/>
        </w:tabs>
        <w:spacing w:line="240" w:lineRule="auto"/>
        <w:jc w:val="both"/>
        <w:rPr>
          <w:rFonts w:asciiTheme="majorBidi" w:hAnsiTheme="majorBidi" w:cstheme="majorBidi"/>
          <w:sz w:val="24"/>
          <w:szCs w:val="24"/>
        </w:rPr>
      </w:pPr>
    </w:p>
    <w:p w14:paraId="32B14038"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Lyotard proposes another kind of </w:t>
      </w:r>
      <w:proofErr w:type="gramStart"/>
      <w:r w:rsidRPr="00505CF0">
        <w:rPr>
          <w:rFonts w:asciiTheme="majorBidi" w:hAnsiTheme="majorBidi" w:cstheme="majorBidi"/>
          <w:sz w:val="24"/>
          <w:szCs w:val="24"/>
        </w:rPr>
        <w:t>system,</w:t>
      </w:r>
      <w:proofErr w:type="gramEnd"/>
      <w:r w:rsidRPr="00505CF0">
        <w:rPr>
          <w:rFonts w:asciiTheme="majorBidi" w:hAnsiTheme="majorBidi" w:cstheme="majorBidi"/>
          <w:sz w:val="24"/>
          <w:szCs w:val="24"/>
        </w:rPr>
        <w:t xml:space="preserve"> this is a system in which you are a captain on a ship sailing between different islands. And so Lyotard says, in the postmodern vernacular, we need to sail between the islands without ever really setting foot on land and so you are constantly sailing between these islands. [...][ In the metamodern] the ship is sinking at this moment and so you are forced to make a decision, although you know that all of these islands probably have some value, that no one island is intrinsically better or more true than another. And so you are choosing, while knowing that you can't choose.</w:t>
      </w:r>
      <w:r w:rsidRPr="00505CF0">
        <w:rPr>
          <w:rStyle w:val="FootnoteReference"/>
          <w:rFonts w:asciiTheme="majorBidi" w:hAnsiTheme="majorBidi" w:cstheme="majorBidi"/>
          <w:sz w:val="24"/>
          <w:szCs w:val="24"/>
        </w:rPr>
        <w:footnoteReference w:id="277"/>
      </w:r>
    </w:p>
    <w:p w14:paraId="54F97CAF"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02312556" w14:textId="50D11CAD"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 The ship is sinking and so s/he is forced to make a decision. The captain knows that ‘all of these islands probably have some value’, that ‘no one island is intrinsically better or </w:t>
      </w:r>
      <w:proofErr w:type="gramStart"/>
      <w:r w:rsidRPr="00505CF0">
        <w:rPr>
          <w:rFonts w:asciiTheme="majorBidi" w:hAnsiTheme="majorBidi" w:cstheme="majorBidi"/>
          <w:sz w:val="24"/>
          <w:szCs w:val="24"/>
        </w:rPr>
        <w:t>more true</w:t>
      </w:r>
      <w:proofErr w:type="gramEnd"/>
      <w:r w:rsidRPr="00505CF0">
        <w:rPr>
          <w:rFonts w:asciiTheme="majorBidi" w:hAnsiTheme="majorBidi" w:cstheme="majorBidi"/>
          <w:sz w:val="24"/>
          <w:szCs w:val="24"/>
        </w:rPr>
        <w:t xml:space="preserve"> than another,’ and so is constantly dragged between them, unable to choose. Metamodernism is this moment of ‘radical doubt,’</w:t>
      </w:r>
      <w:r w:rsidRPr="00505CF0">
        <w:rPr>
          <w:rStyle w:val="FootnoteReference"/>
          <w:rFonts w:asciiTheme="majorBidi" w:hAnsiTheme="majorBidi" w:cstheme="majorBidi"/>
          <w:sz w:val="24"/>
          <w:szCs w:val="24"/>
        </w:rPr>
        <w:footnoteReference w:id="278"/>
      </w:r>
      <w:r w:rsidRPr="00505CF0">
        <w:rPr>
          <w:rFonts w:asciiTheme="majorBidi" w:hAnsiTheme="majorBidi" w:cstheme="majorBidi"/>
          <w:sz w:val="24"/>
          <w:szCs w:val="24"/>
        </w:rPr>
        <w:t xml:space="preserve"> of constantly shifting and repositioning between the islands, the innumerable poles, before ultimately having to choose, despite knowing it may not be the best choice. In their later </w:t>
      </w:r>
      <w:r w:rsidRPr="00505CF0">
        <w:rPr>
          <w:rFonts w:asciiTheme="majorBidi" w:hAnsiTheme="majorBidi" w:cstheme="majorBidi"/>
          <w:i/>
          <w:iCs/>
          <w:sz w:val="24"/>
          <w:szCs w:val="24"/>
        </w:rPr>
        <w:t>Misunderstandings and Clarifications</w:t>
      </w:r>
      <w:r w:rsidRPr="00505CF0">
        <w:rPr>
          <w:rFonts w:asciiTheme="majorBidi" w:hAnsiTheme="majorBidi" w:cstheme="majorBidi"/>
          <w:sz w:val="24"/>
          <w:szCs w:val="24"/>
        </w:rPr>
        <w:t>, Vermeulen and van den Akker further suggest ‘elasticism’ as a descriptor of this moment ‘in the sense that the captain is tied by an elastic to different islands and the further he stretches the band to one island, the more violently the pull, the swing, back to another will be – until it snaps, of course.’</w:t>
      </w:r>
      <w:r w:rsidRPr="00505CF0">
        <w:rPr>
          <w:rStyle w:val="FootnoteReference"/>
          <w:rFonts w:asciiTheme="majorBidi" w:hAnsiTheme="majorBidi" w:cstheme="majorBidi"/>
          <w:sz w:val="24"/>
          <w:szCs w:val="24"/>
        </w:rPr>
        <w:footnoteReference w:id="279"/>
      </w:r>
      <w:r w:rsidRPr="00505CF0">
        <w:rPr>
          <w:rFonts w:asciiTheme="majorBidi" w:hAnsiTheme="majorBidi" w:cstheme="majorBidi"/>
          <w:sz w:val="24"/>
          <w:szCs w:val="24"/>
        </w:rPr>
        <w:t xml:space="preserve"> In particular relation to the post-postmodern, ‘metamodernism’ describes this radical doubt as a ‘double-bind’ tension between wanting to take a modernist ideological position on a subject whilst still being aware of a postmodern cynicism about the tenability of such a position; as Vermeulen and Van den Akker put it, ‘a modern desire for </w:t>
      </w:r>
      <w:r w:rsidRPr="00505CF0">
        <w:rPr>
          <w:rFonts w:asciiTheme="majorBidi" w:hAnsiTheme="majorBidi" w:cstheme="majorBidi"/>
          <w:i/>
          <w:iCs/>
          <w:sz w:val="24"/>
          <w:szCs w:val="24"/>
        </w:rPr>
        <w:t>sens</w:t>
      </w:r>
      <w:r w:rsidRPr="00505CF0">
        <w:rPr>
          <w:rFonts w:asciiTheme="majorBidi" w:hAnsiTheme="majorBidi" w:cstheme="majorBidi"/>
          <w:sz w:val="24"/>
          <w:szCs w:val="24"/>
        </w:rPr>
        <w:t>, and a postmodern doubt about the sense of it all.’</w:t>
      </w:r>
      <w:r w:rsidRPr="00505CF0">
        <w:rPr>
          <w:rStyle w:val="FootnoteReference"/>
          <w:rFonts w:asciiTheme="majorBidi" w:hAnsiTheme="majorBidi" w:cstheme="majorBidi"/>
          <w:sz w:val="24"/>
          <w:szCs w:val="24"/>
        </w:rPr>
        <w:footnoteReference w:id="280"/>
      </w:r>
      <w:r w:rsidRPr="00505CF0">
        <w:rPr>
          <w:rFonts w:asciiTheme="majorBidi" w:hAnsiTheme="majorBidi" w:cstheme="majorBidi"/>
          <w:sz w:val="24"/>
          <w:szCs w:val="24"/>
        </w:rPr>
        <w:t xml:space="preserve">  The dominant sensibility of present culture seems to have become an expression of ‘irreconcilability,’ in which an individual’s actions are governed by a cognizance that one possible position is incompatible with the other, despite a desire to ‘occupy both at once.’</w:t>
      </w:r>
      <w:r w:rsidRPr="00505CF0">
        <w:rPr>
          <w:rStyle w:val="FootnoteReference"/>
          <w:rFonts w:asciiTheme="majorBidi" w:hAnsiTheme="majorBidi" w:cstheme="majorBidi"/>
          <w:sz w:val="24"/>
          <w:szCs w:val="24"/>
        </w:rPr>
        <w:footnoteReference w:id="281"/>
      </w:r>
      <w:r w:rsidRPr="00505CF0">
        <w:rPr>
          <w:rFonts w:asciiTheme="majorBidi" w:hAnsiTheme="majorBidi" w:cstheme="majorBidi"/>
          <w:sz w:val="24"/>
          <w:szCs w:val="24"/>
        </w:rPr>
        <w:t xml:space="preserve"> The double-bind of needing to make one choice while constantly drawn to a second, then leaning towards the second before being drawn to another (the first or otherwise), results in what Turner describes as ‘a kind of informed naivety, a pragmatic realism, a moderate fanaticism,’ in which two opposing or alternative ideological positions (islands in the archipelago), that in some way negate one another, are sought to be occupied simultaneously as the individual attempts ‘to attain some sort of transcendent position, </w:t>
      </w:r>
      <w:r w:rsidRPr="00505CF0">
        <w:rPr>
          <w:rFonts w:asciiTheme="majorBidi" w:hAnsiTheme="majorBidi" w:cstheme="majorBidi"/>
          <w:i/>
          <w:iCs/>
          <w:sz w:val="24"/>
          <w:szCs w:val="24"/>
        </w:rPr>
        <w:t>as if</w:t>
      </w:r>
      <w:r w:rsidRPr="00505CF0">
        <w:rPr>
          <w:rFonts w:asciiTheme="majorBidi" w:hAnsiTheme="majorBidi" w:cstheme="majorBidi"/>
          <w:sz w:val="24"/>
          <w:szCs w:val="24"/>
        </w:rPr>
        <w:t xml:space="preserve"> such a thing were within our grasp.’</w:t>
      </w:r>
      <w:r w:rsidRPr="00505CF0">
        <w:rPr>
          <w:rStyle w:val="FootnoteReference"/>
          <w:rFonts w:asciiTheme="majorBidi" w:hAnsiTheme="majorBidi" w:cstheme="majorBidi"/>
          <w:sz w:val="24"/>
          <w:szCs w:val="24"/>
        </w:rPr>
        <w:footnoteReference w:id="282"/>
      </w:r>
      <w:r w:rsidRPr="00505CF0">
        <w:rPr>
          <w:rFonts w:asciiTheme="majorBidi" w:hAnsiTheme="majorBidi" w:cstheme="majorBidi"/>
          <w:sz w:val="24"/>
          <w:szCs w:val="24"/>
        </w:rPr>
        <w:t xml:space="preserve"> Vermeulen and van den Akker describe this situation, or complexity of complicity in the wrongs the individual may attempt to right by taking a distinct ideological position</w:t>
      </w:r>
      <w:r w:rsidR="006E5A83">
        <w:rPr>
          <w:rFonts w:asciiTheme="majorBidi" w:hAnsiTheme="majorBidi" w:cstheme="majorBidi"/>
          <w:sz w:val="24"/>
          <w:szCs w:val="24"/>
        </w:rPr>
        <w:t>, as follows</w:t>
      </w:r>
      <w:r w:rsidRPr="00505CF0">
        <w:rPr>
          <w:rFonts w:asciiTheme="majorBidi" w:hAnsiTheme="majorBidi" w:cstheme="majorBidi"/>
          <w:sz w:val="24"/>
          <w:szCs w:val="24"/>
        </w:rPr>
        <w:t xml:space="preserve">: ‘Fair trade? Some, if not most, of your T-shirts are still being produced in sweatshops. Yet you try. </w:t>
      </w:r>
      <w:proofErr w:type="gramStart"/>
      <w:r w:rsidRPr="00505CF0">
        <w:rPr>
          <w:rFonts w:asciiTheme="majorBidi" w:hAnsiTheme="majorBidi" w:cstheme="majorBidi"/>
          <w:sz w:val="24"/>
          <w:szCs w:val="24"/>
        </w:rPr>
        <w:t>Climate change?</w:t>
      </w:r>
      <w:proofErr w:type="gramEnd"/>
      <w:r w:rsidRPr="00505CF0">
        <w:rPr>
          <w:rFonts w:asciiTheme="majorBidi" w:hAnsiTheme="majorBidi" w:cstheme="majorBidi"/>
          <w:sz w:val="24"/>
          <w:szCs w:val="24"/>
        </w:rPr>
        <w:t xml:space="preserve"> You consume as much so-called ‘renewable’ energy as possible, but your car still drives on gasoline. And so on and so forth.’</w:t>
      </w:r>
      <w:r w:rsidRPr="00505CF0">
        <w:rPr>
          <w:rStyle w:val="FootnoteReference"/>
          <w:rFonts w:asciiTheme="majorBidi" w:hAnsiTheme="majorBidi" w:cstheme="majorBidi"/>
          <w:sz w:val="24"/>
          <w:szCs w:val="24"/>
        </w:rPr>
        <w:footnoteReference w:id="283"/>
      </w:r>
      <w:r w:rsidRPr="00505CF0">
        <w:rPr>
          <w:rFonts w:asciiTheme="majorBidi" w:hAnsiTheme="majorBidi" w:cstheme="majorBidi"/>
          <w:sz w:val="24"/>
          <w:szCs w:val="24"/>
        </w:rPr>
        <w:t xml:space="preserve"> </w:t>
      </w:r>
    </w:p>
    <w:p w14:paraId="32720CF7" w14:textId="4F729DF2" w:rsidR="00C111D3" w:rsidRPr="00505CF0" w:rsidRDefault="00C111D3" w:rsidP="004C3EE0">
      <w:pPr>
        <w:tabs>
          <w:tab w:val="left" w:pos="737"/>
        </w:tabs>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The metamodern individual is aware of the weighted options in any situation, of one option being more viable than the other, possibly less morally reprehensible</w:t>
      </w:r>
      <w:r w:rsidR="006E5A83">
        <w:rPr>
          <w:rFonts w:asciiTheme="majorBidi" w:hAnsiTheme="majorBidi" w:cstheme="majorBidi"/>
          <w:sz w:val="24"/>
          <w:szCs w:val="24"/>
        </w:rPr>
        <w:t>,</w:t>
      </w:r>
      <w:r w:rsidRPr="00505CF0">
        <w:rPr>
          <w:rFonts w:asciiTheme="majorBidi" w:hAnsiTheme="majorBidi" w:cstheme="majorBidi"/>
          <w:sz w:val="24"/>
          <w:szCs w:val="24"/>
        </w:rPr>
        <w:t xml:space="preserve"> choice, yet oscillates between both in an attempt to occupy both standpoints. For instance, recycling </w:t>
      </w:r>
      <w:r w:rsidR="006E5A83">
        <w:rPr>
          <w:rFonts w:asciiTheme="majorBidi" w:hAnsiTheme="majorBidi" w:cstheme="majorBidi"/>
          <w:sz w:val="24"/>
          <w:szCs w:val="24"/>
        </w:rPr>
        <w:t xml:space="preserve">aluminium </w:t>
      </w:r>
      <w:r w:rsidRPr="00505CF0">
        <w:rPr>
          <w:rFonts w:asciiTheme="majorBidi" w:hAnsiTheme="majorBidi" w:cstheme="majorBidi"/>
          <w:sz w:val="24"/>
          <w:szCs w:val="24"/>
        </w:rPr>
        <w:t xml:space="preserve">cans in the appropriate bins where available, yet throwing a can in general </w:t>
      </w:r>
      <w:proofErr w:type="gramStart"/>
      <w:r w:rsidRPr="00505CF0">
        <w:rPr>
          <w:rFonts w:asciiTheme="majorBidi" w:hAnsiTheme="majorBidi" w:cstheme="majorBidi"/>
          <w:sz w:val="24"/>
          <w:szCs w:val="24"/>
        </w:rPr>
        <w:t>waste</w:t>
      </w:r>
      <w:proofErr w:type="gramEnd"/>
      <w:r w:rsidRPr="00505CF0">
        <w:rPr>
          <w:rFonts w:asciiTheme="majorBidi" w:hAnsiTheme="majorBidi" w:cstheme="majorBidi"/>
          <w:sz w:val="24"/>
          <w:szCs w:val="24"/>
        </w:rPr>
        <w:t xml:space="preserve"> in public because it is the only </w:t>
      </w:r>
      <w:r w:rsidR="006E5A83">
        <w:rPr>
          <w:rFonts w:asciiTheme="majorBidi" w:hAnsiTheme="majorBidi" w:cstheme="majorBidi"/>
          <w:sz w:val="24"/>
          <w:szCs w:val="24"/>
        </w:rPr>
        <w:t>option</w:t>
      </w:r>
      <w:r w:rsidRPr="00505CF0">
        <w:rPr>
          <w:rFonts w:asciiTheme="majorBidi" w:hAnsiTheme="majorBidi" w:cstheme="majorBidi"/>
          <w:sz w:val="24"/>
          <w:szCs w:val="24"/>
        </w:rPr>
        <w:t xml:space="preserve"> nearby, </w:t>
      </w:r>
      <w:r w:rsidR="006E5A83">
        <w:rPr>
          <w:rFonts w:asciiTheme="majorBidi" w:hAnsiTheme="majorBidi" w:cstheme="majorBidi"/>
          <w:sz w:val="24"/>
          <w:szCs w:val="24"/>
        </w:rPr>
        <w:t>a</w:t>
      </w:r>
      <w:r w:rsidRPr="00505CF0">
        <w:rPr>
          <w:rFonts w:asciiTheme="majorBidi" w:hAnsiTheme="majorBidi" w:cstheme="majorBidi"/>
          <w:sz w:val="24"/>
          <w:szCs w:val="24"/>
        </w:rPr>
        <w:t>s an honest-enough sounding example. This oscillation, also termed an informed naivety or pragmatic idealism,</w:t>
      </w:r>
      <w:r w:rsidRPr="00505CF0">
        <w:rPr>
          <w:rStyle w:val="FootnoteReference"/>
          <w:rFonts w:asciiTheme="majorBidi" w:hAnsiTheme="majorBidi" w:cstheme="majorBidi"/>
          <w:sz w:val="24"/>
          <w:szCs w:val="24"/>
        </w:rPr>
        <w:footnoteReference w:id="284"/>
      </w:r>
      <w:r w:rsidRPr="00505CF0">
        <w:rPr>
          <w:rFonts w:asciiTheme="majorBidi" w:hAnsiTheme="majorBidi" w:cstheme="majorBidi"/>
          <w:sz w:val="24"/>
          <w:szCs w:val="24"/>
        </w:rPr>
        <w:t xml:space="preserve"> is most often framed in terms of a sincere-ironic swing that epitomises the modern-postmodern poles (though, as Turner emphasises, it should be noted that ‘one does not necessarily diminish the other’) and this aspect, the new resurgence of sincerity, has been picked up as one of the hallmarks of the metamodern moment, specifically emerging via a New Romantic sentiment. </w:t>
      </w:r>
    </w:p>
    <w:p w14:paraId="5C682677"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22987FB2"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4F6788AF"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2.2</w:t>
      </w:r>
      <w:r w:rsidRPr="00505CF0">
        <w:rPr>
          <w:rFonts w:asciiTheme="majorBidi" w:eastAsia="Times New Roman" w:hAnsiTheme="majorBidi" w:cstheme="majorBidi"/>
          <w:b/>
          <w:sz w:val="28"/>
          <w:szCs w:val="28"/>
          <w:lang w:eastAsia="en-US"/>
        </w:rPr>
        <w:tab/>
        <w:t>A Resurgence of Romanticism and Markers of Movement</w:t>
      </w:r>
    </w:p>
    <w:p w14:paraId="51F3842E"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8"/>
          <w:szCs w:val="28"/>
          <w:lang w:eastAsia="en-US"/>
        </w:rPr>
      </w:pPr>
    </w:p>
    <w:p w14:paraId="0622B40D"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Vermeulen and van den Akker argue that metamodernism finds its clearest expression in an emergent sensibility akin to Romanticism.</w:t>
      </w:r>
      <w:r w:rsidRPr="00505CF0">
        <w:rPr>
          <w:rStyle w:val="FootnoteReference"/>
          <w:rFonts w:asciiTheme="majorBidi" w:hAnsiTheme="majorBidi" w:cstheme="majorBidi"/>
          <w:sz w:val="24"/>
          <w:szCs w:val="24"/>
        </w:rPr>
        <w:footnoteReference w:id="285"/>
      </w:r>
      <w:r w:rsidRPr="00505CF0">
        <w:rPr>
          <w:rFonts w:asciiTheme="majorBidi" w:hAnsiTheme="majorBidi" w:cstheme="majorBidi"/>
          <w:sz w:val="24"/>
          <w:szCs w:val="24"/>
        </w:rPr>
        <w:t xml:space="preserve"> In order to (circum)navigate the ‘notoriously pluralistic and ambiguous’ definition of Romanticism,</w:t>
      </w:r>
      <w:r w:rsidRPr="00505CF0">
        <w:rPr>
          <w:rStyle w:val="FootnoteReference"/>
          <w:rFonts w:asciiTheme="majorBidi" w:hAnsiTheme="majorBidi" w:cstheme="majorBidi"/>
          <w:sz w:val="24"/>
          <w:szCs w:val="24"/>
        </w:rPr>
        <w:footnoteReference w:id="286"/>
      </w:r>
      <w:r w:rsidRPr="00505CF0">
        <w:rPr>
          <w:rFonts w:asciiTheme="majorBidi" w:hAnsiTheme="majorBidi" w:cstheme="majorBidi"/>
          <w:sz w:val="24"/>
          <w:szCs w:val="24"/>
        </w:rPr>
        <w:t xml:space="preserve"> they suggest that the current New Romantic sentiment, as aligned with the metamodern impulse, is defined by an oscillation between the seemingly binary elements of Romanticism as identified by Isaiah Berlin: unity and multiplicity; fidelity to the particular and vagueness of outline; beauty and ugliness; art for its own sake and art as instrument of social salvation; strength and weakness; individualism and collectivism; purity and corruption; revolution and reaction; peace and war; love of life and love of death.</w:t>
      </w:r>
      <w:r w:rsidRPr="00505CF0">
        <w:rPr>
          <w:rStyle w:val="FootnoteReference"/>
          <w:rFonts w:asciiTheme="majorBidi" w:hAnsiTheme="majorBidi" w:cstheme="majorBidi"/>
          <w:sz w:val="24"/>
          <w:szCs w:val="24"/>
        </w:rPr>
        <w:footnoteReference w:id="287"/>
      </w:r>
      <w:r w:rsidRPr="00505CF0">
        <w:rPr>
          <w:rFonts w:asciiTheme="majorBidi" w:hAnsiTheme="majorBidi" w:cstheme="majorBidi"/>
          <w:sz w:val="24"/>
          <w:szCs w:val="24"/>
        </w:rPr>
        <w:t xml:space="preserve"> The New Romantic attitude,</w:t>
      </w:r>
      <w:r w:rsidRPr="00505CF0">
        <w:rPr>
          <w:rStyle w:val="FootnoteReference"/>
          <w:rFonts w:asciiTheme="majorBidi" w:hAnsiTheme="majorBidi" w:cstheme="majorBidi"/>
          <w:sz w:val="24"/>
          <w:szCs w:val="24"/>
        </w:rPr>
        <w:footnoteReference w:id="288"/>
      </w:r>
      <w:r w:rsidRPr="00505CF0">
        <w:rPr>
          <w:rFonts w:asciiTheme="majorBidi" w:hAnsiTheme="majorBidi" w:cstheme="majorBidi"/>
          <w:sz w:val="24"/>
          <w:szCs w:val="24"/>
        </w:rPr>
        <w:t xml:space="preserve"> Vermeulen and van den Akker argue, is defined by the oscillation between these opposite poles in attempt to ‘turn the finite into the infinite, while recognizing that it can never be realized,’ though ultimately they reduce this to a ‘general idea’ of Romanticism as oscillating between attempt and failure, modern enthusiasm and postmodern irony. </w:t>
      </w:r>
      <w:r w:rsidRPr="00505CF0">
        <w:rPr>
          <w:rStyle w:val="FootnoteReference"/>
          <w:rFonts w:asciiTheme="majorBidi" w:hAnsiTheme="majorBidi" w:cstheme="majorBidi"/>
          <w:sz w:val="24"/>
          <w:szCs w:val="24"/>
        </w:rPr>
        <w:footnoteReference w:id="289"/>
      </w:r>
      <w:r w:rsidRPr="00505CF0">
        <w:rPr>
          <w:rFonts w:asciiTheme="majorBidi" w:hAnsiTheme="majorBidi" w:cstheme="majorBidi"/>
          <w:sz w:val="24"/>
          <w:szCs w:val="24"/>
        </w:rPr>
        <w:t xml:space="preserve"> Seemingly as vague as the definitions of Romanticism as before, Vermeulen and van den Akker’s New Romanticism centres on this idea of failure in spite of itself, artistic attempts which attempt production in spite of the obvious pitfalls of such endeavours, emblematic of the metamodern desire to transcend the seemingly unsurmountable postmodern ideologies of recent history. Metamodern Romanticism, that is to say the New Romantic sentiment in the </w:t>
      </w:r>
      <w:proofErr w:type="gramStart"/>
      <w:r w:rsidRPr="00505CF0">
        <w:rPr>
          <w:rFonts w:asciiTheme="majorBidi" w:hAnsiTheme="majorBidi" w:cstheme="majorBidi"/>
          <w:sz w:val="24"/>
          <w:szCs w:val="24"/>
        </w:rPr>
        <w:t>metamodern</w:t>
      </w:r>
      <w:proofErr w:type="gramEnd"/>
      <w:r w:rsidRPr="00505CF0">
        <w:rPr>
          <w:rFonts w:asciiTheme="majorBidi" w:hAnsiTheme="majorBidi" w:cstheme="majorBidi"/>
          <w:sz w:val="24"/>
          <w:szCs w:val="24"/>
        </w:rPr>
        <w:t xml:space="preserve"> era, relies on the swing between attempt and failure</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as seen in certain artists’ conscious decision to keep creating their art, in spite of the ‘untenableness’ of their project.</w:t>
      </w:r>
      <w:r w:rsidRPr="00505CF0">
        <w:rPr>
          <w:rStyle w:val="FootnoteReference"/>
          <w:rFonts w:asciiTheme="majorBidi" w:hAnsiTheme="majorBidi" w:cstheme="majorBidi"/>
          <w:sz w:val="24"/>
          <w:szCs w:val="24"/>
        </w:rPr>
        <w:footnoteReference w:id="290"/>
      </w:r>
      <w:r w:rsidRPr="00505CF0">
        <w:rPr>
          <w:rFonts w:asciiTheme="majorBidi" w:hAnsiTheme="majorBidi" w:cstheme="majorBidi"/>
          <w:sz w:val="24"/>
          <w:szCs w:val="24"/>
        </w:rPr>
        <w:t xml:space="preserve"> As evidence, Vermeulen and van den Akker highlight the works of Bas Jan Adder and Glen Rubsamen as artists whose works could have been more successfully employed through the use of differing techniques, but who chose to work in the original materials regardless: </w:t>
      </w:r>
    </w:p>
    <w:p w14:paraId="7C621A4E"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5A981C65"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Ader could have equipped himself with a better boat in order to sail the seas (</w:t>
      </w:r>
      <w:r w:rsidRPr="00505CF0">
        <w:rPr>
          <w:rFonts w:asciiTheme="majorBidi" w:hAnsiTheme="majorBidi" w:cstheme="majorBidi"/>
          <w:i/>
          <w:iCs/>
          <w:sz w:val="24"/>
          <w:szCs w:val="24"/>
        </w:rPr>
        <w:t>In search of the miraculous</w:t>
      </w:r>
      <w:r w:rsidRPr="00505CF0">
        <w:rPr>
          <w:rFonts w:asciiTheme="majorBidi" w:hAnsiTheme="majorBidi" w:cstheme="majorBidi"/>
          <w:sz w:val="24"/>
          <w:szCs w:val="24"/>
        </w:rPr>
        <w:t>, 1975); and he could have trained himself better in the art of tree climbing in order to longer hang on to branches (</w:t>
      </w:r>
      <w:r w:rsidRPr="00505CF0">
        <w:rPr>
          <w:rFonts w:asciiTheme="majorBidi" w:hAnsiTheme="majorBidi" w:cstheme="majorBidi"/>
          <w:i/>
          <w:iCs/>
          <w:sz w:val="24"/>
          <w:szCs w:val="24"/>
        </w:rPr>
        <w:t>Broken fall</w:t>
      </w:r>
      <w:r w:rsidRPr="00505CF0">
        <w:rPr>
          <w:rFonts w:asciiTheme="majorBidi" w:hAnsiTheme="majorBidi" w:cstheme="majorBidi"/>
          <w:sz w:val="24"/>
          <w:szCs w:val="24"/>
        </w:rPr>
        <w:t>, 1971). […] The reason these artists haven’t opted to employ methods and materials better suited to their mission or task is that their intention is not to fulfill it, but to attempt to fulfill it in spite of its ‘‘unfulfillableness’’. The point of Ader’s journey is precisely that he might not return from it; of his tree climbing precisely that he cannot but fall eventually. […] Culture and nature cannot be one and the same, nor can any one of them ever entirely overtake the other.</w:t>
      </w:r>
      <w:r w:rsidRPr="00505CF0">
        <w:rPr>
          <w:rStyle w:val="FootnoteReference"/>
          <w:rFonts w:asciiTheme="majorBidi" w:hAnsiTheme="majorBidi" w:cstheme="majorBidi"/>
          <w:sz w:val="24"/>
          <w:szCs w:val="24"/>
        </w:rPr>
        <w:footnoteReference w:id="291"/>
      </w:r>
      <w:r w:rsidRPr="00505CF0">
        <w:rPr>
          <w:rFonts w:asciiTheme="majorBidi" w:hAnsiTheme="majorBidi" w:cstheme="majorBidi"/>
          <w:sz w:val="24"/>
          <w:szCs w:val="24"/>
        </w:rPr>
        <w:t xml:space="preserve"> </w:t>
      </w:r>
    </w:p>
    <w:p w14:paraId="1886247D"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6D32820F" w14:textId="7B2236C9"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This decision to continue the work despite its ‘unfulfillableness,’ is precisely the</w:t>
      </w:r>
      <w:r w:rsidR="00FA06CC">
        <w:rPr>
          <w:rFonts w:asciiTheme="majorBidi" w:hAnsiTheme="majorBidi" w:cstheme="majorBidi"/>
          <w:sz w:val="24"/>
          <w:szCs w:val="24"/>
        </w:rPr>
        <w:t xml:space="preserve"> New</w:t>
      </w:r>
      <w:r w:rsidRPr="00505CF0">
        <w:rPr>
          <w:rFonts w:asciiTheme="majorBidi" w:hAnsiTheme="majorBidi" w:cstheme="majorBidi"/>
          <w:sz w:val="24"/>
          <w:szCs w:val="24"/>
        </w:rPr>
        <w:t xml:space="preserve"> Romantic sentiment Vermeulen and van den Akker describe, and which Abramson articulates as a ‘romantic response to crisis,’</w:t>
      </w:r>
      <w:r w:rsidRPr="00505CF0">
        <w:rPr>
          <w:rStyle w:val="FootnoteReference"/>
          <w:rFonts w:asciiTheme="majorBidi" w:hAnsiTheme="majorBidi" w:cstheme="majorBidi"/>
          <w:sz w:val="24"/>
          <w:szCs w:val="24"/>
        </w:rPr>
        <w:footnoteReference w:id="292"/>
      </w:r>
      <w:r w:rsidRPr="00505CF0">
        <w:rPr>
          <w:rFonts w:asciiTheme="majorBidi" w:hAnsiTheme="majorBidi" w:cstheme="majorBidi"/>
          <w:sz w:val="24"/>
          <w:szCs w:val="24"/>
        </w:rPr>
        <w:t xml:space="preserve"> which asks that society ‘remain optimistic in the face of our postmodernism-enabled hopelessness and act “as if” things will get better (even if we don’t necessarily think they will).’</w:t>
      </w:r>
      <w:r w:rsidRPr="00505CF0">
        <w:rPr>
          <w:rStyle w:val="FootnoteReference"/>
          <w:rFonts w:asciiTheme="majorBidi" w:hAnsiTheme="majorBidi" w:cstheme="majorBidi"/>
          <w:sz w:val="24"/>
          <w:szCs w:val="24"/>
        </w:rPr>
        <w:footnoteReference w:id="293"/>
      </w:r>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The ‘wilful decision to act as though the facts on the ground aren’t the facts on the ground,’</w:t>
      </w:r>
      <w:r w:rsidRPr="00505CF0">
        <w:rPr>
          <w:rStyle w:val="FootnoteReference"/>
          <w:rFonts w:asciiTheme="majorBidi" w:hAnsiTheme="majorBidi" w:cstheme="majorBidi"/>
          <w:sz w:val="24"/>
          <w:szCs w:val="24"/>
        </w:rPr>
        <w:footnoteReference w:id="294"/>
      </w:r>
      <w:r w:rsidRPr="00505CF0">
        <w:rPr>
          <w:rFonts w:asciiTheme="majorBidi" w:hAnsiTheme="majorBidi" w:cstheme="majorBidi"/>
          <w:sz w:val="24"/>
          <w:szCs w:val="24"/>
        </w:rPr>
        <w:t xml:space="preserve"> or the current informed naiveté, is also characterized by what Turner identifies as a contemporary ‘yearning for meaning – for sincere and constructive progression and expression.’</w:t>
      </w:r>
      <w:proofErr w:type="gramEnd"/>
      <w:r w:rsidRPr="00505CF0">
        <w:rPr>
          <w:rStyle w:val="FootnoteReference"/>
          <w:rFonts w:asciiTheme="majorBidi" w:hAnsiTheme="majorBidi" w:cstheme="majorBidi"/>
          <w:sz w:val="24"/>
          <w:szCs w:val="24"/>
        </w:rPr>
        <w:footnoteReference w:id="295"/>
      </w:r>
      <w:r w:rsidRPr="00505CF0">
        <w:rPr>
          <w:rFonts w:asciiTheme="majorBidi" w:hAnsiTheme="majorBidi" w:cstheme="majorBidi"/>
          <w:sz w:val="24"/>
          <w:szCs w:val="24"/>
        </w:rPr>
        <w:t xml:space="preserve"> The desire for meaning in the face of postmodern fatigue has resulted in a metamodern cultural mode dominated by a desire for progression and a yearning for movement ‘in pursuit of plurality of disparate and elusive horizons.’ </w:t>
      </w:r>
      <w:r w:rsidRPr="00505CF0">
        <w:rPr>
          <w:rStyle w:val="FootnoteReference"/>
          <w:rFonts w:asciiTheme="majorBidi" w:hAnsiTheme="majorBidi" w:cstheme="majorBidi"/>
          <w:sz w:val="24"/>
          <w:szCs w:val="24"/>
        </w:rPr>
        <w:footnoteReference w:id="296"/>
      </w:r>
      <w:r w:rsidRPr="00505CF0">
        <w:rPr>
          <w:rFonts w:asciiTheme="majorBidi" w:hAnsiTheme="majorBidi" w:cstheme="majorBidi"/>
          <w:sz w:val="24"/>
          <w:szCs w:val="24"/>
        </w:rPr>
        <w:t xml:space="preserve"> An optimistic desire for progress in the face of the conviction ‘that humanity is in decline’ as a result of postmodern conditioning,</w:t>
      </w:r>
      <w:r w:rsidRPr="00505CF0">
        <w:rPr>
          <w:rStyle w:val="FootnoteReference"/>
          <w:rFonts w:asciiTheme="majorBidi" w:hAnsiTheme="majorBidi" w:cstheme="majorBidi"/>
          <w:sz w:val="24"/>
          <w:szCs w:val="24"/>
        </w:rPr>
        <w:footnoteReference w:id="297"/>
      </w:r>
      <w:r w:rsidRPr="00505CF0">
        <w:rPr>
          <w:rFonts w:asciiTheme="majorBidi" w:hAnsiTheme="majorBidi" w:cstheme="majorBidi"/>
          <w:sz w:val="24"/>
          <w:szCs w:val="24"/>
        </w:rPr>
        <w:t xml:space="preserve"> thus characterizes contemporary artistic production and this New Romantic desire for meaning and progress can be seen in varying forms, such as the popularity of the pop-cultural analysis YouTube channels like </w:t>
      </w:r>
      <w:r w:rsidRPr="00505CF0">
        <w:rPr>
          <w:rFonts w:asciiTheme="majorBidi" w:hAnsiTheme="majorBidi" w:cstheme="majorBidi"/>
          <w:i/>
          <w:iCs/>
          <w:sz w:val="24"/>
          <w:szCs w:val="24"/>
        </w:rPr>
        <w:t>Game Theory</w:t>
      </w:r>
      <w:r w:rsidRPr="00505CF0">
        <w:rPr>
          <w:rFonts w:asciiTheme="majorBidi" w:hAnsiTheme="majorBidi" w:cstheme="majorBidi"/>
          <w:sz w:val="24"/>
          <w:szCs w:val="24"/>
        </w:rPr>
        <w:t xml:space="preserve"> &amp; </w:t>
      </w:r>
      <w:r w:rsidRPr="00505CF0">
        <w:rPr>
          <w:rFonts w:asciiTheme="majorBidi" w:hAnsiTheme="majorBidi" w:cstheme="majorBidi"/>
          <w:i/>
          <w:iCs/>
          <w:sz w:val="24"/>
          <w:szCs w:val="24"/>
        </w:rPr>
        <w:t>Film Theory</w:t>
      </w:r>
      <w:r w:rsidRPr="00505CF0">
        <w:rPr>
          <w:rFonts w:asciiTheme="majorBidi" w:hAnsiTheme="majorBidi" w:cstheme="majorBidi"/>
          <w:sz w:val="24"/>
          <w:szCs w:val="24"/>
        </w:rPr>
        <w:t xml:space="preserve">, or the ontological questions foregrounded by both </w:t>
      </w:r>
      <w:r w:rsidRPr="00505CF0">
        <w:rPr>
          <w:rFonts w:asciiTheme="majorBidi" w:hAnsiTheme="majorBidi" w:cstheme="majorBidi"/>
          <w:i/>
          <w:iCs/>
          <w:sz w:val="24"/>
          <w:szCs w:val="24"/>
        </w:rPr>
        <w:t>Rick and Morty</w:t>
      </w:r>
      <w:r w:rsidRPr="00505CF0">
        <w:rPr>
          <w:rFonts w:asciiTheme="majorBidi" w:hAnsiTheme="majorBidi" w:cstheme="majorBidi"/>
          <w:sz w:val="24"/>
          <w:szCs w:val="24"/>
        </w:rPr>
        <w:t xml:space="preserve"> (2013) and </w:t>
      </w:r>
      <w:r w:rsidRPr="00505CF0">
        <w:rPr>
          <w:rFonts w:asciiTheme="majorBidi" w:hAnsiTheme="majorBidi" w:cstheme="majorBidi"/>
          <w:i/>
          <w:iCs/>
          <w:sz w:val="24"/>
          <w:szCs w:val="24"/>
        </w:rPr>
        <w:t xml:space="preserve">Bojack Horseman </w:t>
      </w:r>
      <w:r w:rsidRPr="00505CF0">
        <w:rPr>
          <w:rFonts w:asciiTheme="majorBidi" w:hAnsiTheme="majorBidi" w:cstheme="majorBidi"/>
          <w:sz w:val="24"/>
          <w:szCs w:val="24"/>
        </w:rPr>
        <w:t xml:space="preserve">(2014). Both of these latter examples display protagonists searching for a grander meaning in a (fictional) universe which denies such; Bojack’s search for ‘happiness’ is constantly questioned by others and thwarted by his own narcissism, while Morty struggles to embrace his grandfather Rick’s Absurdist philosophies on the inherent meaningless of an existence in an infinite and uncaring universe. A useful example through which to explore this desire, though, is </w:t>
      </w:r>
      <w:r w:rsidR="00FA06CC">
        <w:rPr>
          <w:rFonts w:asciiTheme="majorBidi" w:hAnsiTheme="majorBidi" w:cstheme="majorBidi"/>
          <w:sz w:val="24"/>
          <w:szCs w:val="24"/>
        </w:rPr>
        <w:t>that of</w:t>
      </w:r>
      <w:r w:rsidR="00FA06CC"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the musical genre of Vaporwave. </w:t>
      </w:r>
    </w:p>
    <w:p w14:paraId="45B4718F"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36755B62"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4F3F8FAC" w14:textId="77777777" w:rsidR="00C111D3" w:rsidRPr="00505CF0" w:rsidRDefault="00C111D3" w:rsidP="004C3EE0">
      <w:pPr>
        <w:tabs>
          <w:tab w:val="left" w:pos="737"/>
        </w:tabs>
        <w:spacing w:line="480" w:lineRule="auto"/>
        <w:jc w:val="both"/>
        <w:rPr>
          <w:rFonts w:asciiTheme="majorBidi" w:eastAsia="Times New Roman" w:hAnsiTheme="majorBidi" w:cstheme="majorBidi"/>
          <w:b/>
          <w:sz w:val="24"/>
          <w:szCs w:val="24"/>
          <w:lang w:eastAsia="en-US"/>
        </w:rPr>
      </w:pPr>
      <w:r w:rsidRPr="00505CF0">
        <w:rPr>
          <w:rFonts w:asciiTheme="majorBidi" w:eastAsia="Times New Roman" w:hAnsiTheme="majorBidi" w:cstheme="majorBidi"/>
          <w:b/>
          <w:sz w:val="24"/>
          <w:szCs w:val="24"/>
          <w:lang w:eastAsia="en-US"/>
        </w:rPr>
        <w:t>2.2.1</w:t>
      </w:r>
      <w:r w:rsidRPr="00505CF0">
        <w:rPr>
          <w:rFonts w:asciiTheme="majorBidi" w:eastAsia="Times New Roman" w:hAnsiTheme="majorBidi" w:cstheme="majorBidi"/>
          <w:b/>
          <w:sz w:val="24"/>
          <w:szCs w:val="24"/>
          <w:lang w:eastAsia="en-US"/>
        </w:rPr>
        <w:tab/>
      </w:r>
      <w:proofErr w:type="gramStart"/>
      <w:r w:rsidRPr="00505CF0">
        <w:rPr>
          <w:rFonts w:asciiTheme="majorBidi" w:eastAsia="Times New Roman" w:hAnsiTheme="majorBidi" w:cstheme="majorBidi"/>
          <w:b/>
          <w:sz w:val="24"/>
          <w:szCs w:val="24"/>
          <w:lang w:eastAsia="en-US"/>
        </w:rPr>
        <w:t>From</w:t>
      </w:r>
      <w:proofErr w:type="gramEnd"/>
      <w:r w:rsidRPr="00505CF0">
        <w:rPr>
          <w:rFonts w:asciiTheme="majorBidi" w:eastAsia="Times New Roman" w:hAnsiTheme="majorBidi" w:cstheme="majorBidi"/>
          <w:b/>
          <w:sz w:val="24"/>
          <w:szCs w:val="24"/>
          <w:lang w:eastAsia="en-US"/>
        </w:rPr>
        <w:t xml:space="preserve"> Vapourware to Vaporwave</w:t>
      </w:r>
    </w:p>
    <w:p w14:paraId="5477A7DA"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p>
    <w:p w14:paraId="0D6F4564"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New Romantic sentiment is seen in attempts to present the ‘commonplace with significance, the quotidian with mystery, </w:t>
      </w:r>
      <w:proofErr w:type="gramStart"/>
      <w:r w:rsidRPr="00505CF0">
        <w:rPr>
          <w:rFonts w:asciiTheme="majorBidi" w:hAnsiTheme="majorBidi" w:cstheme="majorBidi"/>
          <w:sz w:val="24"/>
          <w:szCs w:val="24"/>
        </w:rPr>
        <w:t>the</w:t>
      </w:r>
      <w:proofErr w:type="gramEnd"/>
      <w:r w:rsidRPr="00505CF0">
        <w:rPr>
          <w:rFonts w:asciiTheme="majorBidi" w:hAnsiTheme="majorBidi" w:cstheme="majorBidi"/>
          <w:sz w:val="24"/>
          <w:szCs w:val="24"/>
        </w:rPr>
        <w:t xml:space="preserve"> familiar with the aura of the unfamiliar and the finite with the appearance of the infinite.’</w:t>
      </w:r>
      <w:r w:rsidRPr="00505CF0">
        <w:rPr>
          <w:rStyle w:val="FootnoteReference"/>
          <w:rFonts w:asciiTheme="majorBidi" w:hAnsiTheme="majorBidi" w:cstheme="majorBidi"/>
          <w:sz w:val="24"/>
          <w:szCs w:val="24"/>
        </w:rPr>
        <w:footnoteReference w:id="298"/>
      </w:r>
      <w:r w:rsidRPr="00505CF0">
        <w:rPr>
          <w:rFonts w:asciiTheme="majorBidi" w:hAnsiTheme="majorBidi" w:cstheme="majorBidi"/>
          <w:sz w:val="24"/>
          <w:szCs w:val="24"/>
        </w:rPr>
        <w:t xml:space="preserve"> These are endeavours that may not succeed but are attempted nonetheless and such a description easily applies to the (relatively) recently birthed musical genre of vaporwave. Epistemologically deriving from ‘vapourware’ – a product never intended to be produced, but advertised nonetheless to raise the profile of the production company</w:t>
      </w:r>
      <w:r w:rsidRPr="00505CF0">
        <w:rPr>
          <w:rStyle w:val="FootnoteReference"/>
          <w:rFonts w:asciiTheme="majorBidi" w:hAnsiTheme="majorBidi" w:cstheme="majorBidi"/>
          <w:sz w:val="24"/>
          <w:szCs w:val="24"/>
        </w:rPr>
        <w:footnoteReference w:id="299"/>
      </w:r>
      <w:r w:rsidRPr="00505CF0">
        <w:rPr>
          <w:rFonts w:asciiTheme="majorBidi" w:hAnsiTheme="majorBidi" w:cstheme="majorBidi"/>
          <w:sz w:val="24"/>
          <w:szCs w:val="24"/>
        </w:rPr>
        <w:t xml:space="preserve"> – vaporwave is an anti-capitalist genre in which various forms of popular Muzak (lounge, smooth jazz, elevator music, phone hold tones as some examples), as well as ‘extracts of mainstream commercials and 1980s pop music,’</w:t>
      </w:r>
      <w:r w:rsidRPr="00505CF0">
        <w:rPr>
          <w:rStyle w:val="FootnoteReference"/>
          <w:rFonts w:asciiTheme="majorBidi" w:hAnsiTheme="majorBidi" w:cstheme="majorBidi"/>
          <w:sz w:val="24"/>
          <w:szCs w:val="24"/>
        </w:rPr>
        <w:footnoteReference w:id="300"/>
      </w:r>
      <w:r w:rsidRPr="00505CF0">
        <w:rPr>
          <w:rFonts w:asciiTheme="majorBidi" w:hAnsiTheme="majorBidi" w:cstheme="majorBidi"/>
          <w:sz w:val="24"/>
          <w:szCs w:val="24"/>
        </w:rPr>
        <w:t xml:space="preserve"> are parodied through a process of deconstruction and then reconstruction, becoming ‘distorted by time stretching and pitch shifting.’</w:t>
      </w:r>
      <w:r w:rsidRPr="00505CF0">
        <w:rPr>
          <w:rStyle w:val="FootnoteReference"/>
          <w:rFonts w:asciiTheme="majorBidi" w:hAnsiTheme="majorBidi" w:cstheme="majorBidi"/>
          <w:sz w:val="24"/>
          <w:szCs w:val="24"/>
        </w:rPr>
        <w:footnoteReference w:id="301"/>
      </w:r>
      <w:r w:rsidRPr="00505CF0">
        <w:rPr>
          <w:rFonts w:asciiTheme="majorBidi" w:hAnsiTheme="majorBidi" w:cstheme="majorBidi"/>
          <w:sz w:val="24"/>
          <w:szCs w:val="24"/>
        </w:rPr>
        <w:t xml:space="preserve"> This sound is then placed over distorted video imagery symbolic of VHS recordings, alongside other visual cues designed to trigger a nostalgic vision of the 1980s:</w:t>
      </w:r>
    </w:p>
    <w:p w14:paraId="00C5D616" w14:textId="77777777" w:rsidR="00C111D3" w:rsidRPr="00505CF0" w:rsidRDefault="00C111D3" w:rsidP="004C3EE0">
      <w:pPr>
        <w:tabs>
          <w:tab w:val="left" w:pos="737"/>
        </w:tabs>
        <w:spacing w:line="240" w:lineRule="auto"/>
        <w:jc w:val="both"/>
        <w:rPr>
          <w:rFonts w:asciiTheme="majorBidi" w:hAnsiTheme="majorBidi" w:cstheme="majorBidi"/>
          <w:sz w:val="24"/>
          <w:szCs w:val="24"/>
        </w:rPr>
      </w:pPr>
    </w:p>
    <w:p w14:paraId="40B2CBC8" w14:textId="77777777" w:rsidR="00C111D3" w:rsidRPr="00505CF0" w:rsidRDefault="00C111D3" w:rsidP="004C3EE0">
      <w:pPr>
        <w:tabs>
          <w:tab w:val="left" w:pos="737"/>
        </w:tabs>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Just as the Muzak samples are distorted by time stretching and pitch shifting and musically reflect the layered critical and nostalgic narrative of consumer culture, so too the visual component of the music clips repurpose, decontextualise and distort symbolic artefacts of 1980s consumer culture. Vaporwave visual clips that accompany the music creations incorporate glitch art, early digital graphic design, isolated and floating roman busks, computerised tropical landscapes, with Japanese Kanji (language writing system) and other Japanese cultural elements also evident throughout, teamed with a consistent soft pastel colouring popular in the 1980s.</w:t>
      </w:r>
      <w:r w:rsidRPr="00505CF0">
        <w:rPr>
          <w:rStyle w:val="FootnoteReference"/>
          <w:rFonts w:asciiTheme="majorBidi" w:hAnsiTheme="majorBidi" w:cstheme="majorBidi"/>
          <w:sz w:val="24"/>
          <w:szCs w:val="24"/>
        </w:rPr>
        <w:footnoteReference w:id="302"/>
      </w:r>
    </w:p>
    <w:p w14:paraId="26407D91" w14:textId="77777777" w:rsidR="00C111D3" w:rsidRPr="00505CF0" w:rsidRDefault="00C111D3" w:rsidP="004C3EE0">
      <w:pPr>
        <w:tabs>
          <w:tab w:val="left" w:pos="737"/>
        </w:tabs>
        <w:spacing w:line="480" w:lineRule="auto"/>
        <w:jc w:val="both"/>
        <w:rPr>
          <w:rFonts w:asciiTheme="majorBidi" w:hAnsiTheme="majorBidi" w:cstheme="majorBidi"/>
        </w:rPr>
      </w:pPr>
    </w:p>
    <w:p w14:paraId="131DF4AD" w14:textId="77777777"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In doing so, the commercialised music and Muzak sampled is distorted into a form that demands attention and inspection, commenting on the parody of such pieces by turning them into unique songs.  As Sharon Schembri and Jac Tichbon, in possibly the most significant academic analysis of vaporwave to date, identify, ‘Vaporwave participants [are] self-confessed digital rebels heretically presenting a critical narrative on consumerism […] producing, consuming and (inter)mediating culture in new and innovative ways.’</w:t>
      </w:r>
      <w:r w:rsidRPr="00505CF0">
        <w:rPr>
          <w:rStyle w:val="FootnoteReference"/>
          <w:rFonts w:asciiTheme="majorBidi" w:hAnsiTheme="majorBidi" w:cstheme="majorBidi"/>
          <w:sz w:val="24"/>
          <w:szCs w:val="24"/>
        </w:rPr>
        <w:footnoteReference w:id="303"/>
      </w:r>
    </w:p>
    <w:p w14:paraId="7F4051E2" w14:textId="43434226"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Schembri and Tichbon also identify the nostalgic elements that are brought to the fore by the combination of 1980s music and visual signifiers, an effect that can be clearly seen in the two pieces that have become synonymous with the vaporwave moment - Vektroid’s ‘</w:t>
      </w:r>
      <w:r w:rsidRPr="00505CF0">
        <w:rPr>
          <w:rFonts w:asciiTheme="majorBidi" w:eastAsia="MS Mincho" w:hAnsiTheme="majorBidi" w:cstheme="majorBidi"/>
          <w:sz w:val="24"/>
          <w:szCs w:val="24"/>
        </w:rPr>
        <w:t>リサフランク</w:t>
      </w:r>
      <w:r w:rsidRPr="00505CF0">
        <w:rPr>
          <w:rFonts w:asciiTheme="majorBidi" w:hAnsiTheme="majorBidi" w:cstheme="majorBidi"/>
          <w:sz w:val="24"/>
          <w:szCs w:val="24"/>
        </w:rPr>
        <w:t xml:space="preserve">420 / </w:t>
      </w:r>
      <w:r w:rsidRPr="00505CF0">
        <w:rPr>
          <w:rFonts w:asciiTheme="majorBidi" w:eastAsia="MS Mincho" w:hAnsiTheme="majorBidi" w:cstheme="majorBidi"/>
          <w:sz w:val="24"/>
          <w:szCs w:val="24"/>
        </w:rPr>
        <w:t>現代のコンピュー</w:t>
      </w:r>
      <w:r w:rsidRPr="00505CF0">
        <w:rPr>
          <w:rFonts w:asciiTheme="majorBidi" w:hAnsiTheme="majorBidi" w:cstheme="majorBidi"/>
          <w:sz w:val="24"/>
          <w:szCs w:val="24"/>
        </w:rPr>
        <w:t>’ (2012), a slowed and edited version of ‘It’s Your Move’ by Diana Ross (1984), and Saint Pepsi’s ‘E N J O Y  Y O U R S E L F’ (2014), which contains distorted elements of Michael Jackson’s ‘Off the Wall’ (1979) played over clips of Mac Tonight, the anthropomorphised moon from a string of McDonald’s commercials in 1986. Both these examples adhere to the concept of presenting the commonplace with significance, in that, despite the anti-consumer message inherent in appropriating</w:t>
      </w:r>
      <w:r w:rsidR="00BA6457">
        <w:rPr>
          <w:rFonts w:asciiTheme="majorBidi" w:hAnsiTheme="majorBidi" w:cstheme="majorBidi"/>
          <w:sz w:val="24"/>
          <w:szCs w:val="24"/>
        </w:rPr>
        <w:t xml:space="preserve"> and distorting</w:t>
      </w:r>
      <w:r w:rsidRPr="00505CF0">
        <w:rPr>
          <w:rFonts w:asciiTheme="majorBidi" w:hAnsiTheme="majorBidi" w:cstheme="majorBidi"/>
          <w:sz w:val="24"/>
          <w:szCs w:val="24"/>
        </w:rPr>
        <w:t xml:space="preserve"> their themes, these pieces attempt, in a manner aligning them with metamodern New Romanticism and as Sutherland says, ‘to give meaning to soulless Muzak,’</w:t>
      </w:r>
      <w:r w:rsidRPr="00505CF0">
        <w:rPr>
          <w:rStyle w:val="FootnoteReference"/>
          <w:rFonts w:asciiTheme="majorBidi" w:hAnsiTheme="majorBidi" w:cstheme="majorBidi"/>
          <w:sz w:val="24"/>
          <w:szCs w:val="24"/>
        </w:rPr>
        <w:footnoteReference w:id="304"/>
      </w:r>
      <w:r w:rsidRPr="00505CF0">
        <w:rPr>
          <w:rFonts w:asciiTheme="majorBidi" w:hAnsiTheme="majorBidi" w:cstheme="majorBidi"/>
          <w:sz w:val="24"/>
          <w:szCs w:val="24"/>
        </w:rPr>
        <w:t xml:space="preserve"> turning it away from the generic and into something more strange and potentially calming that demands analysis and attention. In line with the New Romantic sentiment as identified within the metamodern, this practice is also doomed to fail in this attempt.  Ultimately, the techniques of vaporwave are often construed as part of ‘meme culture,’ purely parodical and nonsensical pieces which have more in common with the techniques of the postmodern than any attempt to surpass it and the flawed capitalist message contained</w:t>
      </w:r>
      <w:r w:rsidR="00BA6457">
        <w:rPr>
          <w:rFonts w:asciiTheme="majorBidi" w:hAnsiTheme="majorBidi" w:cstheme="majorBidi"/>
          <w:sz w:val="24"/>
          <w:szCs w:val="24"/>
        </w:rPr>
        <w:t xml:space="preserve"> within</w:t>
      </w:r>
      <w:r w:rsidRPr="00505CF0">
        <w:rPr>
          <w:rFonts w:asciiTheme="majorBidi" w:hAnsiTheme="majorBidi" w:cstheme="majorBidi"/>
          <w:sz w:val="24"/>
          <w:szCs w:val="24"/>
        </w:rPr>
        <w:t>.</w:t>
      </w:r>
      <w:r w:rsidR="00BA6457">
        <w:rPr>
          <w:rFonts w:asciiTheme="majorBidi" w:hAnsiTheme="majorBidi" w:cstheme="majorBidi"/>
          <w:sz w:val="24"/>
          <w:szCs w:val="24"/>
        </w:rPr>
        <w:t xml:space="preserve"> Vaporwave is further hampered through the very aesthetics of the practice</w:t>
      </w:r>
      <w:r w:rsidRPr="00505CF0">
        <w:rPr>
          <w:rFonts w:asciiTheme="majorBidi" w:hAnsiTheme="majorBidi" w:cstheme="majorBidi"/>
          <w:sz w:val="24"/>
          <w:szCs w:val="24"/>
        </w:rPr>
        <w:t xml:space="preserve">; Schembri and Tichbon highlight that ‘the essence of Vaporwave is [to be] retro cultural and nostalgic,’ following that, in relying on lo-fi technology for major releases seen on ‘cassettes, vinyl and VHS,’ Vaporwave ‘conveys a message of nostalgia and a sentimental attachment to technology of a bygone era,’ thus aligning itself with the current global capitalist agenda of comfortable nostalgia (as discussed fully in </w:t>
      </w:r>
      <w:r w:rsidRPr="00505CF0">
        <w:rPr>
          <w:rFonts w:asciiTheme="majorBidi" w:hAnsiTheme="majorBidi" w:cstheme="majorBidi"/>
          <w:i/>
          <w:iCs/>
          <w:sz w:val="24"/>
          <w:szCs w:val="24"/>
        </w:rPr>
        <w:t>The Post-postmodern Problem</w:t>
      </w:r>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While aware of this contradiction – of using 1980s nostalgia to give meaning to songs as part of an anti-capitalist agenda, whilst the capitalist agenda seeks to commodify and profit from mass nostalgia – productions of Vaporwave continue</w:t>
      </w:r>
      <w:r w:rsidR="00BA6457">
        <w:rPr>
          <w:rFonts w:asciiTheme="majorBidi" w:hAnsiTheme="majorBidi" w:cstheme="majorBidi"/>
          <w:sz w:val="24"/>
          <w:szCs w:val="24"/>
        </w:rPr>
        <w:t>.</w:t>
      </w:r>
      <w:proofErr w:type="gramEnd"/>
      <w:r w:rsidR="00BA6457">
        <w:rPr>
          <w:rFonts w:asciiTheme="majorBidi" w:hAnsiTheme="majorBidi" w:cstheme="majorBidi"/>
          <w:sz w:val="24"/>
          <w:szCs w:val="24"/>
        </w:rPr>
        <w:t xml:space="preserve"> Vaporwave</w:t>
      </w:r>
      <w:r w:rsidRPr="00505CF0">
        <w:rPr>
          <w:rFonts w:asciiTheme="majorBidi" w:hAnsiTheme="majorBidi" w:cstheme="majorBidi"/>
          <w:sz w:val="24"/>
          <w:szCs w:val="24"/>
        </w:rPr>
        <w:t xml:space="preserve"> artists seemingly attempt</w:t>
      </w:r>
      <w:r w:rsidR="00BA6457">
        <w:rPr>
          <w:rFonts w:asciiTheme="majorBidi" w:hAnsiTheme="majorBidi" w:cstheme="majorBidi"/>
          <w:sz w:val="24"/>
          <w:szCs w:val="24"/>
        </w:rPr>
        <w:t>,</w:t>
      </w:r>
      <w:r w:rsidRPr="00505CF0">
        <w:rPr>
          <w:rFonts w:asciiTheme="majorBidi" w:hAnsiTheme="majorBidi" w:cstheme="majorBidi"/>
          <w:sz w:val="24"/>
          <w:szCs w:val="24"/>
        </w:rPr>
        <w:t xml:space="preserve"> in spite of the ‘unfulfillableness’ of their task, to convey</w:t>
      </w:r>
      <w:r w:rsidR="007E47C7">
        <w:rPr>
          <w:rStyle w:val="FootnoteReference"/>
          <w:rFonts w:asciiTheme="majorBidi" w:hAnsiTheme="majorBidi" w:cstheme="majorBidi"/>
          <w:sz w:val="24"/>
          <w:szCs w:val="24"/>
        </w:rPr>
        <w:footnoteReference w:id="305"/>
      </w:r>
      <w:r w:rsidRPr="00505CF0">
        <w:rPr>
          <w:rFonts w:asciiTheme="majorBidi" w:hAnsiTheme="majorBidi" w:cstheme="majorBidi"/>
          <w:sz w:val="24"/>
          <w:szCs w:val="24"/>
        </w:rPr>
        <w:t xml:space="preserve"> a message of meaning and deeper purpose to that which seemed purposeless, aligning to Vermeulen and van den Akker’s concept of metamodern upcycling, that is, taking lessons from the past and incorporating ‘them into a present, or future, that is as of yet unobtainable.’</w:t>
      </w:r>
      <w:r w:rsidRPr="00505CF0">
        <w:rPr>
          <w:rStyle w:val="FootnoteReference"/>
          <w:rFonts w:asciiTheme="majorBidi" w:hAnsiTheme="majorBidi" w:cstheme="majorBidi"/>
          <w:sz w:val="24"/>
          <w:szCs w:val="24"/>
        </w:rPr>
        <w:footnoteReference w:id="306"/>
      </w:r>
      <w:r w:rsidRPr="00505CF0">
        <w:rPr>
          <w:rFonts w:asciiTheme="majorBidi" w:hAnsiTheme="majorBidi" w:cstheme="majorBidi"/>
          <w:sz w:val="24"/>
          <w:szCs w:val="24"/>
        </w:rPr>
        <w:t xml:space="preserve"> Vaporwave is indicative of the metamodern oscillation between irony and sincerity (although the pull towards the postmodern, especially in terms of parody and irony, is perhaps rather stronger here), but also demonstrates the desire for progress in an optimistic reclaiming of postmodern materials and cultural artefacts, imbuing them with a contemporary sense of meaning suggestive of a grander human ability to progress. From the ashes of postmodern cultural production, vaporwave demonstrates how new forms can be built and the yearning for meaning, purpose and movement can aim to be fulfilled. </w:t>
      </w:r>
    </w:p>
    <w:p w14:paraId="61923E6A" w14:textId="064D77C9" w:rsidR="00C111D3" w:rsidRPr="00505CF0" w:rsidRDefault="00C111D3" w:rsidP="004C3EE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A key identifier of the metamodern times is this yearning for meaning and desire for movement, though as Vermeulen and van den Akker explicitly signpost, it is a desire for a state which the subject knows is unattainable. They argue that </w:t>
      </w:r>
      <w:r w:rsidR="00BA6457">
        <w:rPr>
          <w:rFonts w:asciiTheme="majorBidi" w:hAnsiTheme="majorBidi" w:cstheme="majorBidi"/>
          <w:sz w:val="24"/>
          <w:szCs w:val="24"/>
        </w:rPr>
        <w:t>mankind is</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not</w:t>
      </w:r>
      <w:r w:rsidRPr="00505CF0">
        <w:rPr>
          <w:rFonts w:asciiTheme="majorBidi" w:hAnsiTheme="majorBidi" w:cstheme="majorBidi"/>
          <w:sz w:val="24"/>
          <w:szCs w:val="24"/>
        </w:rPr>
        <w:t xml:space="preserve"> ‘going toward a natural but unknown goal, but they pretend they do so that they progress morally as well as politically.’</w:t>
      </w:r>
      <w:r w:rsidRPr="00505CF0">
        <w:rPr>
          <w:rStyle w:val="FootnoteReference"/>
          <w:rFonts w:asciiTheme="majorBidi" w:hAnsiTheme="majorBidi" w:cstheme="majorBidi"/>
          <w:sz w:val="24"/>
          <w:szCs w:val="24"/>
        </w:rPr>
        <w:footnoteReference w:id="307"/>
      </w:r>
      <w:r w:rsidRPr="00505CF0">
        <w:rPr>
          <w:rFonts w:asciiTheme="majorBidi" w:hAnsiTheme="majorBidi" w:cstheme="majorBidi"/>
          <w:sz w:val="24"/>
          <w:szCs w:val="24"/>
        </w:rPr>
        <w:t xml:space="preserve"> Metamodernism is defined by individuals moving, in this manner, ‘for the sake of moving,’ attempting in spite of the inevitable failure of such attempts.</w:t>
      </w:r>
      <w:r w:rsidRPr="00505CF0">
        <w:rPr>
          <w:rStyle w:val="FootnoteReference"/>
          <w:rFonts w:asciiTheme="majorBidi" w:hAnsiTheme="majorBidi" w:cstheme="majorBidi"/>
          <w:sz w:val="24"/>
          <w:szCs w:val="24"/>
        </w:rPr>
        <w:footnoteReference w:id="308"/>
      </w:r>
      <w:r w:rsidRPr="00505CF0">
        <w:rPr>
          <w:rFonts w:asciiTheme="majorBidi" w:hAnsiTheme="majorBidi" w:cstheme="majorBidi"/>
          <w:sz w:val="24"/>
          <w:szCs w:val="24"/>
        </w:rPr>
        <w:t xml:space="preserve"> The contemporary individual seeks forever for a truth that it never expects to find, which does not diminish the search, but rather fuels it further,</w:t>
      </w:r>
      <w:r w:rsidRPr="00505CF0">
        <w:rPr>
          <w:rStyle w:val="FootnoteReference"/>
          <w:rFonts w:asciiTheme="majorBidi" w:hAnsiTheme="majorBidi" w:cstheme="majorBidi"/>
          <w:sz w:val="24"/>
          <w:szCs w:val="24"/>
        </w:rPr>
        <w:footnoteReference w:id="309"/>
      </w:r>
      <w:r w:rsidRPr="00505CF0">
        <w:rPr>
          <w:rFonts w:asciiTheme="majorBidi" w:hAnsiTheme="majorBidi" w:cstheme="majorBidi"/>
          <w:sz w:val="24"/>
          <w:szCs w:val="24"/>
        </w:rPr>
        <w:t xml:space="preserve"> ‘for indeed, that is the ‘‘destiny’’ of the metamodern wo/man: to pursue a horizon that is forever receding.’</w:t>
      </w:r>
      <w:r w:rsidRPr="00505CF0">
        <w:rPr>
          <w:rStyle w:val="FootnoteReference"/>
          <w:rFonts w:asciiTheme="majorBidi" w:hAnsiTheme="majorBidi" w:cstheme="majorBidi"/>
          <w:sz w:val="24"/>
          <w:szCs w:val="24"/>
        </w:rPr>
        <w:footnoteReference w:id="310"/>
      </w:r>
      <w:r w:rsidRPr="00505CF0">
        <w:rPr>
          <w:rFonts w:asciiTheme="majorBidi" w:hAnsiTheme="majorBidi" w:cstheme="majorBidi"/>
          <w:sz w:val="24"/>
          <w:szCs w:val="24"/>
        </w:rPr>
        <w:t xml:space="preserve"> </w:t>
      </w:r>
    </w:p>
    <w:p w14:paraId="42715754" w14:textId="77777777" w:rsidR="00C111D3" w:rsidRPr="00505CF0" w:rsidRDefault="00C111D3" w:rsidP="004C3EE0">
      <w:pPr>
        <w:keepNext/>
        <w:tabs>
          <w:tab w:val="left" w:pos="737"/>
        </w:tabs>
        <w:spacing w:line="480" w:lineRule="auto"/>
        <w:ind w:left="720" w:hanging="720"/>
        <w:jc w:val="both"/>
        <w:outlineLvl w:val="0"/>
        <w:rPr>
          <w:rFonts w:asciiTheme="majorBidi" w:eastAsia="Times New Roman" w:hAnsiTheme="majorBidi" w:cstheme="majorBidi"/>
          <w:b/>
          <w:sz w:val="28"/>
          <w:szCs w:val="28"/>
          <w:lang w:eastAsia="en-US"/>
        </w:rPr>
      </w:pPr>
    </w:p>
    <w:p w14:paraId="112FFDCC" w14:textId="77777777" w:rsidR="00C111D3" w:rsidRPr="00505CF0" w:rsidRDefault="00C111D3" w:rsidP="004C3EE0">
      <w:pPr>
        <w:keepNext/>
        <w:tabs>
          <w:tab w:val="left" w:pos="737"/>
        </w:tabs>
        <w:spacing w:line="480" w:lineRule="auto"/>
        <w:ind w:left="720" w:hanging="720"/>
        <w:jc w:val="both"/>
        <w:outlineLvl w:val="0"/>
        <w:rPr>
          <w:rFonts w:asciiTheme="majorBidi" w:eastAsia="Times New Roman" w:hAnsiTheme="majorBidi" w:cstheme="majorBidi"/>
          <w:b/>
          <w:sz w:val="28"/>
          <w:szCs w:val="28"/>
          <w:lang w:eastAsia="en-US"/>
        </w:rPr>
      </w:pPr>
    </w:p>
    <w:p w14:paraId="79282B23" w14:textId="77777777" w:rsidR="00C111D3" w:rsidRPr="00505CF0" w:rsidRDefault="00C111D3" w:rsidP="004C3EE0">
      <w:pPr>
        <w:keepNext/>
        <w:tabs>
          <w:tab w:val="left" w:pos="737"/>
        </w:tabs>
        <w:spacing w:line="480" w:lineRule="auto"/>
        <w:ind w:left="720" w:hanging="720"/>
        <w:jc w:val="both"/>
        <w:outlineLvl w:val="0"/>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2.3</w:t>
      </w:r>
      <w:r w:rsidRPr="00505CF0">
        <w:rPr>
          <w:rFonts w:asciiTheme="majorBidi" w:eastAsia="Times New Roman" w:hAnsiTheme="majorBidi" w:cstheme="majorBidi"/>
          <w:b/>
          <w:sz w:val="28"/>
          <w:szCs w:val="28"/>
          <w:lang w:eastAsia="en-US"/>
        </w:rPr>
        <w:tab/>
        <w:t>Neo-Utopianism</w:t>
      </w:r>
    </w:p>
    <w:p w14:paraId="150BC81E" w14:textId="77777777" w:rsidR="00C111D3" w:rsidRPr="00505CF0" w:rsidRDefault="00C111D3" w:rsidP="004C3EE0">
      <w:pPr>
        <w:keepNext/>
        <w:tabs>
          <w:tab w:val="left" w:pos="737"/>
        </w:tabs>
        <w:spacing w:line="480" w:lineRule="auto"/>
        <w:ind w:left="720" w:hanging="720"/>
        <w:jc w:val="both"/>
        <w:outlineLvl w:val="0"/>
        <w:rPr>
          <w:rFonts w:asciiTheme="majorBidi" w:eastAsia="Times New Roman" w:hAnsiTheme="majorBidi" w:cstheme="majorBidi"/>
          <w:b/>
          <w:sz w:val="28"/>
          <w:szCs w:val="28"/>
          <w:lang w:eastAsia="en-US"/>
        </w:rPr>
      </w:pPr>
    </w:p>
    <w:p w14:paraId="31B9FE30" w14:textId="4295C6A7" w:rsidR="00A524DD" w:rsidRDefault="00C111D3" w:rsidP="00811F20">
      <w:pPr>
        <w:tabs>
          <w:tab w:val="left" w:pos="737"/>
        </w:tabs>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As a final brief observation, the metamodern, in pursuing the endless horizon, also describes another movement across culture, specifically the emerging collective re-examination, and desire for, utopia. Vermeulen and van den Akker identify the fact that ‘“Utopia” </w:t>
      </w:r>
      <w:r w:rsidR="00DA4271">
        <w:rPr>
          <w:rFonts w:asciiTheme="majorBidi" w:hAnsiTheme="majorBidi" w:cstheme="majorBidi"/>
          <w:sz w:val="24"/>
          <w:szCs w:val="24"/>
        </w:rPr>
        <w:t>–</w:t>
      </w:r>
      <w:r w:rsidRPr="00505CF0">
        <w:rPr>
          <w:rFonts w:asciiTheme="majorBidi" w:hAnsiTheme="majorBidi" w:cstheme="majorBidi"/>
          <w:sz w:val="24"/>
          <w:szCs w:val="24"/>
        </w:rPr>
        <w:t xml:space="preserve"> as a trope, individual desire or collective fantasy </w:t>
      </w:r>
      <w:r w:rsidR="00DA4271">
        <w:rPr>
          <w:rFonts w:asciiTheme="majorBidi" w:hAnsiTheme="majorBidi" w:cstheme="majorBidi"/>
          <w:sz w:val="24"/>
          <w:szCs w:val="24"/>
        </w:rPr>
        <w:t>–</w:t>
      </w:r>
      <w:r w:rsidRPr="00505CF0">
        <w:rPr>
          <w:rFonts w:asciiTheme="majorBidi" w:hAnsiTheme="majorBidi" w:cstheme="majorBidi"/>
          <w:sz w:val="24"/>
          <w:szCs w:val="24"/>
        </w:rPr>
        <w:t xml:space="preserve"> is once more, and increasingly, visible and noticeable across artistic practices,’</w:t>
      </w:r>
      <w:r w:rsidRPr="00505CF0">
        <w:rPr>
          <w:rStyle w:val="FootnoteReference"/>
          <w:rFonts w:asciiTheme="majorBidi" w:hAnsiTheme="majorBidi" w:cstheme="majorBidi"/>
          <w:sz w:val="24"/>
          <w:szCs w:val="24"/>
        </w:rPr>
        <w:footnoteReference w:id="311"/>
      </w:r>
      <w:r w:rsidRPr="00505CF0">
        <w:rPr>
          <w:rFonts w:asciiTheme="majorBidi" w:hAnsiTheme="majorBidi" w:cstheme="majorBidi"/>
          <w:sz w:val="24"/>
          <w:szCs w:val="24"/>
        </w:rPr>
        <w:t xml:space="preserve"> though they are quick to point out that this practice is merely a desire, with metamodern utopianism expressing ‘that there are no clear utopian horizons after decades of TINA and carless consumerism.’</w:t>
      </w:r>
      <w:r w:rsidRPr="00505CF0">
        <w:rPr>
          <w:rStyle w:val="FootnoteReference"/>
          <w:rFonts w:asciiTheme="majorBidi" w:hAnsiTheme="majorBidi" w:cstheme="majorBidi"/>
          <w:sz w:val="24"/>
          <w:szCs w:val="24"/>
        </w:rPr>
        <w:footnoteReference w:id="312"/>
      </w:r>
      <w:r w:rsidRPr="00505CF0">
        <w:rPr>
          <w:rFonts w:asciiTheme="majorBidi" w:hAnsiTheme="majorBidi" w:cstheme="majorBidi"/>
          <w:sz w:val="24"/>
          <w:szCs w:val="24"/>
        </w:rPr>
        <w:t xml:space="preserve"> Instead, as Luke Turner agrees, within the metamodern, we witness a ‘</w:t>
      </w:r>
      <w:r w:rsidRPr="00505CF0">
        <w:rPr>
          <w:rFonts w:asciiTheme="majorBidi" w:hAnsiTheme="majorBidi" w:cstheme="majorBidi"/>
          <w:i/>
          <w:iCs/>
        </w:rPr>
        <w:t>yearning</w:t>
      </w:r>
      <w:r w:rsidRPr="00505CF0">
        <w:rPr>
          <w:rFonts w:asciiTheme="majorBidi" w:hAnsiTheme="majorBidi" w:cstheme="majorBidi"/>
        </w:rPr>
        <w:t xml:space="preserve"> for utopias, despite their futile nature.’</w:t>
      </w:r>
      <w:r w:rsidRPr="00505CF0">
        <w:rPr>
          <w:rStyle w:val="FootnoteReference"/>
          <w:rFonts w:asciiTheme="majorBidi" w:hAnsiTheme="majorBidi" w:cstheme="majorBidi"/>
        </w:rPr>
        <w:footnoteReference w:id="313"/>
      </w:r>
      <w:r w:rsidRPr="00505CF0">
        <w:rPr>
          <w:rFonts w:asciiTheme="majorBidi" w:hAnsiTheme="majorBidi" w:cstheme="majorBidi"/>
        </w:rPr>
        <w:t xml:space="preserve"> </w:t>
      </w:r>
      <w:r w:rsidRPr="00505CF0">
        <w:rPr>
          <w:rFonts w:asciiTheme="majorBidi" w:hAnsiTheme="majorBidi" w:cstheme="majorBidi"/>
          <w:sz w:val="24"/>
          <w:szCs w:val="24"/>
        </w:rPr>
        <w:t>Vaporwave, by way of example, emphasises a yearning for reconstruction beyond the postmodern and, by extension, a world beyond capitalism, yet cannot articulate such a world from within the generic limits of its form. The metamodern does not seek that perfect society, but rather new conceptions of the means by which to attain a positively different situation than that of the present. Utopian longings are not an escape mechanism, but rather a methodology by which alternatives can be examined. As Vermeulen and van den Akker posit, contemporary utopian longings are more a tool, ‘a looking glass’ for ‘scanning this world and others for alternative possibilities. It is not invoked to get us away from something according to this or that dogma.’</w:t>
      </w:r>
      <w:r w:rsidRPr="00505CF0">
        <w:rPr>
          <w:rStyle w:val="FootnoteReference"/>
          <w:rFonts w:asciiTheme="majorBidi" w:hAnsiTheme="majorBidi" w:cstheme="majorBidi"/>
          <w:sz w:val="24"/>
          <w:szCs w:val="24"/>
        </w:rPr>
        <w:footnoteReference w:id="314"/>
      </w:r>
      <w:r w:rsidRPr="00505CF0">
        <w:rPr>
          <w:rFonts w:asciiTheme="majorBidi" w:hAnsiTheme="majorBidi" w:cstheme="majorBidi"/>
          <w:sz w:val="24"/>
          <w:szCs w:val="24"/>
        </w:rPr>
        <w:t xml:space="preserve"> While I have expounded the issues pertaining to contemporary utopian yearnings as expressed through a dystopian acceptance elsewhere</w:t>
      </w:r>
      <w:r w:rsidR="00811F20">
        <w:rPr>
          <w:rFonts w:asciiTheme="majorBidi" w:hAnsiTheme="majorBidi" w:cstheme="majorBidi"/>
          <w:sz w:val="24"/>
          <w:szCs w:val="24"/>
        </w:rPr>
        <w:t>,</w:t>
      </w:r>
      <w:r w:rsidR="00811F20">
        <w:rPr>
          <w:rStyle w:val="FootnoteReference"/>
          <w:rFonts w:asciiTheme="majorBidi" w:hAnsiTheme="majorBidi" w:cstheme="majorBidi"/>
          <w:sz w:val="24"/>
          <w:szCs w:val="24"/>
        </w:rPr>
        <w:footnoteReference w:id="315"/>
      </w:r>
      <w:r w:rsidRPr="00505CF0">
        <w:rPr>
          <w:rFonts w:asciiTheme="majorBidi" w:hAnsiTheme="majorBidi" w:cstheme="majorBidi"/>
          <w:sz w:val="24"/>
          <w:szCs w:val="24"/>
        </w:rPr>
        <w:t xml:space="preserve"> the metamodern supposes that such longings derive from a reaction to a ‘radically unstable and uncertain world, where political systems and power relations are diffuse and unpredictable, [and] financial security a rare privilege.’</w:t>
      </w:r>
      <w:r w:rsidRPr="00505CF0">
        <w:rPr>
          <w:rStyle w:val="FootnoteReference"/>
          <w:rFonts w:asciiTheme="majorBidi" w:hAnsiTheme="majorBidi" w:cstheme="majorBidi"/>
          <w:sz w:val="24"/>
          <w:szCs w:val="24"/>
        </w:rPr>
        <w:footnoteReference w:id="316"/>
      </w:r>
      <w:r w:rsidRPr="00505CF0">
        <w:rPr>
          <w:rFonts w:asciiTheme="majorBidi" w:hAnsiTheme="majorBidi" w:cstheme="majorBidi"/>
          <w:sz w:val="24"/>
          <w:szCs w:val="24"/>
        </w:rPr>
        <w:t xml:space="preserve"> Risk and fears for the dystopian present thus instigate new utopian longings that are expressed via a search for meaning and purpose within artistic creation, an optimistic response in the wake of postmodern irony and cynicism that speaks of the metamodern oscillation once more; we swing between fear of dystopia and desire for utopia, the need to attempt and the certainty of failure, the modern desire for purpose and the postmodern acceptance of meaninglessness.</w:t>
      </w:r>
      <w:r w:rsidRPr="00505CF0">
        <w:rPr>
          <w:rStyle w:val="FootnoteReference"/>
          <w:rFonts w:asciiTheme="majorBidi" w:hAnsiTheme="majorBidi" w:cstheme="majorBidi"/>
        </w:rPr>
        <w:footnoteReference w:id="317"/>
      </w:r>
    </w:p>
    <w:p w14:paraId="0880B858" w14:textId="77777777" w:rsidR="00A524DD" w:rsidRDefault="00A524DD">
      <w:pPr>
        <w:spacing w:line="240" w:lineRule="auto"/>
        <w:rPr>
          <w:rFonts w:asciiTheme="majorBidi" w:hAnsiTheme="majorBidi" w:cstheme="majorBidi"/>
          <w:sz w:val="24"/>
          <w:szCs w:val="24"/>
        </w:rPr>
      </w:pPr>
      <w:r>
        <w:rPr>
          <w:rFonts w:asciiTheme="majorBidi" w:hAnsiTheme="majorBidi" w:cstheme="majorBidi"/>
          <w:sz w:val="24"/>
          <w:szCs w:val="24"/>
        </w:rPr>
        <w:br w:type="page"/>
      </w:r>
    </w:p>
    <w:p w14:paraId="475945E3" w14:textId="77777777" w:rsidR="00C111D3" w:rsidRPr="00505CF0" w:rsidRDefault="00C111D3" w:rsidP="004C3EE0">
      <w:pPr>
        <w:keepNext/>
        <w:tabs>
          <w:tab w:val="left" w:pos="720"/>
        </w:tabs>
        <w:spacing w:line="240" w:lineRule="auto"/>
        <w:jc w:val="both"/>
        <w:outlineLvl w:val="0"/>
        <w:rPr>
          <w:rFonts w:asciiTheme="majorBidi" w:eastAsia="Times New Roman" w:hAnsiTheme="majorBidi" w:cstheme="majorBidi"/>
          <w:b/>
          <w:sz w:val="32"/>
          <w:szCs w:val="20"/>
          <w:lang w:eastAsia="en-US"/>
        </w:rPr>
      </w:pPr>
      <w:r w:rsidRPr="00505CF0">
        <w:rPr>
          <w:rFonts w:asciiTheme="majorBidi" w:eastAsia="Times New Roman" w:hAnsiTheme="majorBidi" w:cstheme="majorBidi"/>
          <w:b/>
          <w:sz w:val="32"/>
          <w:szCs w:val="20"/>
          <w:lang w:eastAsia="en-US"/>
        </w:rPr>
        <w:t>3.</w:t>
      </w:r>
      <w:r w:rsidRPr="00505CF0">
        <w:rPr>
          <w:rFonts w:asciiTheme="majorBidi" w:eastAsia="Times New Roman" w:hAnsiTheme="majorBidi" w:cstheme="majorBidi"/>
          <w:b/>
          <w:sz w:val="32"/>
          <w:szCs w:val="20"/>
          <w:lang w:eastAsia="en-US"/>
        </w:rPr>
        <w:tab/>
        <w:t xml:space="preserve">Metamodern Literature </w:t>
      </w:r>
    </w:p>
    <w:p w14:paraId="46DAF61F" w14:textId="77777777" w:rsidR="00C111D3" w:rsidRPr="00505CF0" w:rsidRDefault="00C111D3" w:rsidP="004C3EE0">
      <w:pPr>
        <w:keepNext/>
        <w:tabs>
          <w:tab w:val="left" w:pos="720"/>
        </w:tabs>
        <w:spacing w:line="240" w:lineRule="auto"/>
        <w:jc w:val="both"/>
        <w:outlineLvl w:val="0"/>
        <w:rPr>
          <w:rFonts w:asciiTheme="majorBidi" w:eastAsia="Times New Roman" w:hAnsiTheme="majorBidi" w:cstheme="majorBidi"/>
          <w:b/>
          <w:sz w:val="32"/>
          <w:szCs w:val="20"/>
          <w:lang w:eastAsia="en-US"/>
        </w:rPr>
      </w:pPr>
    </w:p>
    <w:p w14:paraId="5920E93D" w14:textId="77777777" w:rsidR="00C111D3" w:rsidRPr="00505CF0" w:rsidRDefault="00C111D3" w:rsidP="004C3EE0">
      <w:pPr>
        <w:keepNext/>
        <w:tabs>
          <w:tab w:val="left" w:pos="720"/>
        </w:tabs>
        <w:spacing w:line="240" w:lineRule="auto"/>
        <w:jc w:val="both"/>
        <w:outlineLvl w:val="0"/>
        <w:rPr>
          <w:rFonts w:asciiTheme="majorBidi" w:eastAsia="Times New Roman" w:hAnsiTheme="majorBidi" w:cstheme="majorBidi"/>
          <w:b/>
          <w:sz w:val="32"/>
          <w:szCs w:val="20"/>
          <w:lang w:eastAsia="en-US"/>
        </w:rPr>
      </w:pPr>
    </w:p>
    <w:p w14:paraId="5EA0AB2A"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Metamodern literary analysis is still a little-researched,</w:t>
      </w:r>
      <w:r w:rsidRPr="00505CF0">
        <w:rPr>
          <w:rFonts w:asciiTheme="majorBidi" w:hAnsiTheme="majorBidi" w:cstheme="majorBidi"/>
          <w:sz w:val="24"/>
          <w:szCs w:val="24"/>
          <w:vertAlign w:val="superscript"/>
        </w:rPr>
        <w:footnoteReference w:id="318"/>
      </w:r>
      <w:r w:rsidRPr="00505CF0">
        <w:rPr>
          <w:rFonts w:asciiTheme="majorBidi" w:hAnsiTheme="majorBidi" w:cstheme="majorBidi"/>
          <w:sz w:val="24"/>
          <w:szCs w:val="24"/>
        </w:rPr>
        <w:t xml:space="preserve"> rather inchoate field, as is to be expected considering the infancy of the movement into the post-postmodern. The majority of metamodern literary analysis, as yet, tends towards that of the case study, with any singular ‘comprehensive study of the ways in which contemporary literature relates to the metamodern paradigm,’</w:t>
      </w:r>
      <w:r w:rsidRPr="00505CF0">
        <w:rPr>
          <w:rFonts w:asciiTheme="majorBidi" w:hAnsiTheme="majorBidi" w:cstheme="majorBidi"/>
          <w:sz w:val="24"/>
          <w:szCs w:val="24"/>
          <w:vertAlign w:val="superscript"/>
        </w:rPr>
        <w:t xml:space="preserve"> </w:t>
      </w:r>
      <w:r w:rsidRPr="00505CF0">
        <w:rPr>
          <w:rFonts w:asciiTheme="majorBidi" w:hAnsiTheme="majorBidi" w:cstheme="majorBidi"/>
          <w:sz w:val="24"/>
          <w:szCs w:val="24"/>
          <w:vertAlign w:val="superscript"/>
        </w:rPr>
        <w:footnoteReference w:id="319"/>
      </w:r>
      <w:r w:rsidRPr="00505CF0">
        <w:rPr>
          <w:rFonts w:asciiTheme="majorBidi" w:hAnsiTheme="majorBidi" w:cstheme="majorBidi"/>
          <w:sz w:val="24"/>
          <w:szCs w:val="24"/>
        </w:rPr>
        <w:t xml:space="preserve"> far from complete in the current field. </w:t>
      </w:r>
    </w:p>
    <w:p w14:paraId="54D35A93"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Although it is far from the scope of this argument to suggest just such a complete, comprehensive means by which the fledgling form of metamodern literature may be framed, it is my intention here, instead, to outline a particular trend that has begun to emerge across literature in the metamodern moment. This is not a complete categorization of the techniques that define the mode, but rather an overview of one potentially partially unifying paradigm that may begin to thread together some of the disparate literary examples of the epoch which, like postmodernism beforehand, is both the descriptor of the era and a genre.</w:t>
      </w:r>
      <w:r w:rsidRPr="00505CF0">
        <w:rPr>
          <w:rFonts w:asciiTheme="majorBidi" w:hAnsiTheme="majorBidi" w:cstheme="majorBidi"/>
          <w:sz w:val="24"/>
          <w:szCs w:val="24"/>
          <w:vertAlign w:val="superscript"/>
        </w:rPr>
        <w:footnoteReference w:id="320"/>
      </w:r>
      <w:r w:rsidRPr="00505CF0">
        <w:rPr>
          <w:rFonts w:asciiTheme="majorBidi" w:hAnsiTheme="majorBidi" w:cstheme="majorBidi"/>
          <w:sz w:val="24"/>
          <w:szCs w:val="24"/>
        </w:rPr>
        <w:t xml:space="preserve"> What I will focus on here is an emergent engagement with mythic modes and folkloric narratives indicative of the contemporary Sisyphistic quest for post-postmodern purpose. </w:t>
      </w:r>
    </w:p>
    <w:p w14:paraId="27DA5CC7" w14:textId="77777777" w:rsidR="00967358" w:rsidRPr="00505CF0" w:rsidRDefault="00967358" w:rsidP="004C3EE0">
      <w:pPr>
        <w:jc w:val="both"/>
        <w:rPr>
          <w:rFonts w:asciiTheme="majorBidi" w:hAnsiTheme="majorBidi" w:cstheme="majorBidi"/>
        </w:rPr>
      </w:pPr>
    </w:p>
    <w:p w14:paraId="6F2690B3" w14:textId="77777777" w:rsidR="00C111D3" w:rsidRPr="00505CF0" w:rsidRDefault="00C111D3" w:rsidP="004C3EE0">
      <w:pPr>
        <w:jc w:val="both"/>
        <w:rPr>
          <w:rFonts w:asciiTheme="majorBidi" w:hAnsiTheme="majorBidi" w:cstheme="majorBidi"/>
        </w:rPr>
      </w:pPr>
    </w:p>
    <w:p w14:paraId="358A14EB" w14:textId="77777777" w:rsidR="00C111D3" w:rsidRPr="00505CF0" w:rsidRDefault="00C111D3" w:rsidP="004C3EE0">
      <w:pPr>
        <w:jc w:val="both"/>
        <w:rPr>
          <w:rFonts w:asciiTheme="majorBidi" w:hAnsiTheme="majorBidi" w:cstheme="majorBidi"/>
        </w:rPr>
      </w:pPr>
    </w:p>
    <w:p w14:paraId="0D5158CF"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3.1</w:t>
      </w:r>
      <w:r w:rsidRPr="00505CF0">
        <w:rPr>
          <w:rFonts w:asciiTheme="majorBidi" w:eastAsia="Times New Roman" w:hAnsiTheme="majorBidi" w:cstheme="majorBidi"/>
          <w:b/>
          <w:sz w:val="28"/>
          <w:szCs w:val="28"/>
          <w:lang w:eastAsia="en-US"/>
        </w:rPr>
        <w:tab/>
        <w:t>Mythical Mitigation of Present-Day Pain</w:t>
      </w:r>
    </w:p>
    <w:p w14:paraId="04C8C416" w14:textId="77777777" w:rsidR="00C111D3" w:rsidRPr="00505CF0" w:rsidRDefault="00C111D3" w:rsidP="004C3EE0">
      <w:pPr>
        <w:spacing w:line="240" w:lineRule="auto"/>
        <w:jc w:val="both"/>
        <w:rPr>
          <w:rFonts w:asciiTheme="majorBidi" w:eastAsia="Times New Roman" w:hAnsiTheme="majorBidi" w:cstheme="majorBidi"/>
          <w:b/>
          <w:sz w:val="28"/>
          <w:szCs w:val="28"/>
          <w:lang w:eastAsia="en-US"/>
        </w:rPr>
      </w:pPr>
    </w:p>
    <w:p w14:paraId="25172D07" w14:textId="2B482A24"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hAnsiTheme="majorBidi" w:cstheme="majorBidi"/>
          <w:sz w:val="24"/>
          <w:szCs w:val="24"/>
        </w:rPr>
        <w:t xml:space="preserve">Contemporary literature, Sara Helen Binney contends, is characterized by a </w:t>
      </w:r>
      <w:r w:rsidRPr="00505CF0">
        <w:rPr>
          <w:rFonts w:asciiTheme="majorBidi" w:hAnsiTheme="majorBidi" w:cstheme="majorBidi"/>
          <w:bCs/>
          <w:sz w:val="24"/>
          <w:szCs w:val="24"/>
          <w:lang w:eastAsia="en-US"/>
        </w:rPr>
        <w:t>questioning of</w:t>
      </w:r>
      <w:r w:rsidRPr="00505CF0">
        <w:rPr>
          <w:rFonts w:asciiTheme="majorBidi" w:eastAsia="Times New Roman" w:hAnsiTheme="majorBidi" w:cstheme="majorBidi"/>
          <w:bCs/>
          <w:sz w:val="24"/>
          <w:szCs w:val="24"/>
          <w:lang w:eastAsia="en-US"/>
        </w:rPr>
        <w:t xml:space="preserve"> the Enlightenment concept of concrete and complete human understanding and ability to fully anal</w:t>
      </w:r>
      <w:r w:rsidRPr="00505CF0">
        <w:rPr>
          <w:rFonts w:asciiTheme="majorBidi" w:hAnsiTheme="majorBidi" w:cstheme="majorBidi"/>
          <w:bCs/>
          <w:sz w:val="24"/>
          <w:szCs w:val="24"/>
          <w:lang w:eastAsia="en-US"/>
        </w:rPr>
        <w:t>yse each phenomenon encountered.</w:t>
      </w:r>
      <w:r w:rsidRPr="00505CF0">
        <w:rPr>
          <w:rStyle w:val="FootnoteReference"/>
          <w:rFonts w:asciiTheme="majorBidi" w:eastAsia="Times New Roman" w:hAnsiTheme="majorBidi" w:cstheme="majorBidi"/>
          <w:bCs/>
          <w:sz w:val="24"/>
          <w:szCs w:val="24"/>
          <w:lang w:eastAsia="en-US"/>
        </w:rPr>
        <w:footnoteReference w:id="321"/>
      </w:r>
      <w:r w:rsidRPr="00505CF0">
        <w:rPr>
          <w:rStyle w:val="FootnoteReference"/>
          <w:rFonts w:asciiTheme="majorBidi" w:hAnsiTheme="majorBidi" w:cstheme="majorBidi"/>
          <w:bCs/>
          <w:sz w:val="24"/>
          <w:szCs w:val="24"/>
          <w:lang w:eastAsia="en-US"/>
        </w:rPr>
        <w:t xml:space="preserve"> </w:t>
      </w:r>
      <w:r w:rsidRPr="00505CF0">
        <w:rPr>
          <w:rFonts w:asciiTheme="majorBidi" w:hAnsiTheme="majorBidi" w:cstheme="majorBidi"/>
          <w:bCs/>
          <w:sz w:val="24"/>
          <w:szCs w:val="24"/>
          <w:lang w:eastAsia="en-US"/>
        </w:rPr>
        <w:t>Wh</w:t>
      </w:r>
      <w:r w:rsidRPr="00505CF0">
        <w:rPr>
          <w:rFonts w:asciiTheme="majorBidi" w:eastAsia="Times New Roman" w:hAnsiTheme="majorBidi" w:cstheme="majorBidi"/>
          <w:bCs/>
          <w:sz w:val="24"/>
          <w:szCs w:val="24"/>
          <w:lang w:eastAsia="en-US"/>
        </w:rPr>
        <w:t>ile the field is, as stated, rather under-researched at present,</w:t>
      </w:r>
      <w:r w:rsidRPr="00505CF0">
        <w:rPr>
          <w:rStyle w:val="FootnoteReference"/>
          <w:rFonts w:asciiTheme="majorBidi" w:eastAsia="Times New Roman" w:hAnsiTheme="majorBidi" w:cstheme="majorBidi"/>
          <w:bCs/>
          <w:sz w:val="24"/>
          <w:szCs w:val="24"/>
          <w:lang w:eastAsia="en-US"/>
        </w:rPr>
        <w:footnoteReference w:id="322"/>
      </w:r>
      <w:r w:rsidRPr="00505CF0">
        <w:rPr>
          <w:rFonts w:asciiTheme="majorBidi" w:eastAsia="Times New Roman" w:hAnsiTheme="majorBidi" w:cstheme="majorBidi"/>
          <w:bCs/>
          <w:sz w:val="24"/>
          <w:szCs w:val="24"/>
          <w:lang w:eastAsia="en-US"/>
        </w:rPr>
        <w:t xml:space="preserve"> one possible unifying concept of metam</w:t>
      </w:r>
      <w:r w:rsidRPr="00505CF0">
        <w:rPr>
          <w:rFonts w:asciiTheme="majorBidi" w:hAnsiTheme="majorBidi" w:cstheme="majorBidi"/>
          <w:bCs/>
          <w:sz w:val="24"/>
          <w:szCs w:val="24"/>
          <w:lang w:eastAsia="en-US"/>
        </w:rPr>
        <w:t>odern literature seems to emerge</w:t>
      </w:r>
      <w:r w:rsidRPr="00505CF0">
        <w:rPr>
          <w:rFonts w:asciiTheme="majorBidi" w:eastAsia="Times New Roman" w:hAnsiTheme="majorBidi" w:cstheme="majorBidi"/>
          <w:bCs/>
          <w:sz w:val="24"/>
          <w:szCs w:val="24"/>
          <w:lang w:eastAsia="en-US"/>
        </w:rPr>
        <w:t xml:space="preserve"> in the increasing number of contemporary novels</w:t>
      </w:r>
      <w:r w:rsidRPr="00505CF0">
        <w:rPr>
          <w:rFonts w:asciiTheme="majorBidi" w:hAnsiTheme="majorBidi" w:cstheme="majorBidi"/>
          <w:bCs/>
          <w:sz w:val="24"/>
          <w:szCs w:val="24"/>
          <w:lang w:eastAsia="en-US"/>
        </w:rPr>
        <w:t xml:space="preserve"> that evidence this anti-enlightenment sentiment and a</w:t>
      </w:r>
      <w:r w:rsidRPr="00505CF0">
        <w:rPr>
          <w:rFonts w:asciiTheme="majorBidi" w:eastAsia="Times New Roman" w:hAnsiTheme="majorBidi" w:cstheme="majorBidi"/>
          <w:bCs/>
          <w:sz w:val="24"/>
          <w:szCs w:val="24"/>
          <w:lang w:eastAsia="en-US"/>
        </w:rPr>
        <w:t>n emerging ‘</w:t>
      </w:r>
      <w:r w:rsidRPr="00505CF0">
        <w:rPr>
          <w:rFonts w:asciiTheme="majorBidi" w:hAnsiTheme="majorBidi" w:cstheme="majorBidi"/>
          <w:sz w:val="24"/>
          <w:szCs w:val="24"/>
        </w:rPr>
        <w:t>interest […] in the inexplicable, in the things that cannot be encompassed rationally.’</w:t>
      </w:r>
      <w:r w:rsidRPr="00505CF0">
        <w:rPr>
          <w:rStyle w:val="FootnoteReference"/>
          <w:rFonts w:asciiTheme="majorBidi" w:hAnsiTheme="majorBidi" w:cstheme="majorBidi"/>
          <w:sz w:val="24"/>
          <w:szCs w:val="24"/>
        </w:rPr>
        <w:footnoteReference w:id="323"/>
      </w:r>
      <w:r w:rsidRPr="00505CF0">
        <w:rPr>
          <w:rFonts w:asciiTheme="majorBidi" w:hAnsiTheme="majorBidi" w:cstheme="majorBidi"/>
          <w:sz w:val="24"/>
          <w:szCs w:val="24"/>
        </w:rPr>
        <w:t xml:space="preserve"> Specifically, the metamodern moment can be, in part, defined by </w:t>
      </w:r>
      <w:r w:rsidRPr="00505CF0">
        <w:rPr>
          <w:rFonts w:asciiTheme="majorBidi" w:eastAsia="Times New Roman" w:hAnsiTheme="majorBidi" w:cstheme="majorBidi"/>
          <w:bCs/>
          <w:sz w:val="24"/>
          <w:szCs w:val="24"/>
          <w:lang w:eastAsia="en-US"/>
        </w:rPr>
        <w:t>the increasing number of contemporary novels that encourage ‘a second look’</w:t>
      </w:r>
      <w:r w:rsidRPr="00505CF0">
        <w:rPr>
          <w:rStyle w:val="FootnoteReference"/>
          <w:rFonts w:asciiTheme="majorBidi" w:eastAsia="Times New Roman" w:hAnsiTheme="majorBidi" w:cstheme="majorBidi"/>
          <w:bCs/>
          <w:sz w:val="24"/>
          <w:szCs w:val="24"/>
          <w:lang w:eastAsia="en-US"/>
        </w:rPr>
        <w:footnoteReference w:id="324"/>
      </w:r>
      <w:r w:rsidRPr="00505CF0">
        <w:rPr>
          <w:rFonts w:asciiTheme="majorBidi" w:eastAsia="Times New Roman" w:hAnsiTheme="majorBidi" w:cstheme="majorBidi"/>
          <w:bCs/>
          <w:sz w:val="24"/>
          <w:szCs w:val="24"/>
          <w:lang w:eastAsia="en-US"/>
        </w:rPr>
        <w:t xml:space="preserve"> at folkloric or mythical narratives, reconsidering and re-examining these in a manner differing from pure postmodern deconstruction and re-imagining, in the manner of Angela Carter’s </w:t>
      </w:r>
      <w:r w:rsidRPr="00505CF0">
        <w:rPr>
          <w:rFonts w:asciiTheme="majorBidi" w:eastAsia="Times New Roman" w:hAnsiTheme="majorBidi" w:cstheme="majorBidi"/>
          <w:bCs/>
          <w:i/>
          <w:iCs/>
          <w:sz w:val="24"/>
          <w:szCs w:val="24"/>
          <w:lang w:eastAsia="en-US"/>
        </w:rPr>
        <w:t>The Bloody Chamber</w:t>
      </w:r>
      <w:r w:rsidRPr="00505CF0">
        <w:rPr>
          <w:rFonts w:asciiTheme="majorBidi" w:eastAsia="Times New Roman" w:hAnsiTheme="majorBidi" w:cstheme="majorBidi"/>
          <w:bCs/>
          <w:sz w:val="24"/>
          <w:szCs w:val="24"/>
          <w:lang w:eastAsia="en-US"/>
        </w:rPr>
        <w:t xml:space="preserve"> (1979) and Robert McKinley’s </w:t>
      </w:r>
      <w:r w:rsidRPr="00505CF0">
        <w:rPr>
          <w:rFonts w:asciiTheme="majorBidi" w:eastAsia="Times New Roman" w:hAnsiTheme="majorBidi" w:cstheme="majorBidi"/>
          <w:bCs/>
          <w:i/>
          <w:iCs/>
          <w:sz w:val="24"/>
          <w:szCs w:val="24"/>
          <w:lang w:eastAsia="en-US"/>
        </w:rPr>
        <w:t xml:space="preserve">Deerskin </w:t>
      </w:r>
      <w:r w:rsidRPr="00505CF0">
        <w:rPr>
          <w:rFonts w:asciiTheme="majorBidi" w:eastAsia="Times New Roman" w:hAnsiTheme="majorBidi" w:cstheme="majorBidi"/>
          <w:bCs/>
          <w:sz w:val="24"/>
          <w:szCs w:val="24"/>
          <w:lang w:eastAsia="en-US"/>
        </w:rPr>
        <w:t xml:space="preserve">(1993). </w:t>
      </w:r>
    </w:p>
    <w:p w14:paraId="05271F64" w14:textId="23C9F899"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I will first turn to two </w:t>
      </w:r>
      <w:r w:rsidR="003F4D38">
        <w:rPr>
          <w:rFonts w:asciiTheme="majorBidi" w:eastAsia="Times New Roman" w:hAnsiTheme="majorBidi" w:cstheme="majorBidi"/>
          <w:bCs/>
          <w:sz w:val="24"/>
          <w:szCs w:val="24"/>
          <w:lang w:eastAsia="en-US"/>
        </w:rPr>
        <w:t xml:space="preserve">contemporary </w:t>
      </w:r>
      <w:r w:rsidRPr="00505CF0">
        <w:rPr>
          <w:rFonts w:asciiTheme="majorBidi" w:eastAsia="Times New Roman" w:hAnsiTheme="majorBidi" w:cstheme="majorBidi"/>
          <w:bCs/>
          <w:sz w:val="24"/>
          <w:szCs w:val="24"/>
          <w:lang w:eastAsia="en-US"/>
        </w:rPr>
        <w:t xml:space="preserve">texts which explore the mythic in juxtaposition with the commonplace. Both </w:t>
      </w:r>
      <w:r w:rsidRPr="00505CF0">
        <w:rPr>
          <w:rFonts w:asciiTheme="majorBidi" w:eastAsia="Times New Roman" w:hAnsiTheme="majorBidi" w:cstheme="majorBidi"/>
          <w:bCs/>
          <w:i/>
          <w:iCs/>
          <w:sz w:val="24"/>
          <w:szCs w:val="24"/>
          <w:lang w:eastAsia="en-US"/>
        </w:rPr>
        <w:t xml:space="preserve">The Crane Wife </w:t>
      </w:r>
      <w:r w:rsidRPr="00505CF0">
        <w:rPr>
          <w:rFonts w:asciiTheme="majorBidi" w:eastAsia="Times New Roman" w:hAnsiTheme="majorBidi" w:cstheme="majorBidi"/>
          <w:bCs/>
          <w:sz w:val="24"/>
          <w:szCs w:val="24"/>
          <w:lang w:eastAsia="en-US"/>
        </w:rPr>
        <w:t xml:space="preserve">(2013) by Patrick Ness and E.B. Hudspeth’s </w:t>
      </w:r>
      <w:r w:rsidRPr="00505CF0">
        <w:rPr>
          <w:rFonts w:asciiTheme="majorBidi" w:eastAsia="Times New Roman" w:hAnsiTheme="majorBidi" w:cstheme="majorBidi"/>
          <w:bCs/>
          <w:i/>
          <w:iCs/>
          <w:sz w:val="24"/>
          <w:szCs w:val="24"/>
          <w:lang w:eastAsia="en-US"/>
        </w:rPr>
        <w:t xml:space="preserve">The Resurrectionist </w:t>
      </w:r>
      <w:r w:rsidRPr="00505CF0">
        <w:rPr>
          <w:rFonts w:asciiTheme="majorBidi" w:eastAsia="Times New Roman" w:hAnsiTheme="majorBidi" w:cstheme="majorBidi"/>
          <w:bCs/>
          <w:sz w:val="24"/>
          <w:szCs w:val="24"/>
          <w:lang w:eastAsia="en-US"/>
        </w:rPr>
        <w:t xml:space="preserve">(2013) have definitive qualities that demarcate them from the postmodern and define them as metamodern texts. </w:t>
      </w:r>
      <w:r w:rsidRPr="00505CF0">
        <w:rPr>
          <w:rFonts w:asciiTheme="majorBidi" w:eastAsia="Times New Roman" w:hAnsiTheme="majorBidi" w:cstheme="majorBidi"/>
          <w:bCs/>
          <w:i/>
          <w:iCs/>
          <w:sz w:val="24"/>
          <w:szCs w:val="24"/>
          <w:lang w:eastAsia="en-US"/>
        </w:rPr>
        <w:t>The Crane Wife</w:t>
      </w:r>
      <w:r w:rsidRPr="00505CF0">
        <w:rPr>
          <w:rFonts w:asciiTheme="majorBidi" w:eastAsia="Times New Roman" w:hAnsiTheme="majorBidi" w:cstheme="majorBidi"/>
          <w:bCs/>
          <w:sz w:val="24"/>
          <w:szCs w:val="24"/>
          <w:lang w:eastAsia="en-US"/>
        </w:rPr>
        <w:t xml:space="preserve"> centres </w:t>
      </w:r>
      <w:proofErr w:type="gramStart"/>
      <w:r w:rsidRPr="00505CF0">
        <w:rPr>
          <w:rFonts w:asciiTheme="majorBidi" w:eastAsia="Times New Roman" w:hAnsiTheme="majorBidi" w:cstheme="majorBidi"/>
          <w:bCs/>
          <w:sz w:val="24"/>
          <w:szCs w:val="24"/>
          <w:lang w:eastAsia="en-US"/>
        </w:rPr>
        <w:t>around</w:t>
      </w:r>
      <w:proofErr w:type="gramEnd"/>
      <w:r w:rsidRPr="00505CF0">
        <w:rPr>
          <w:rFonts w:asciiTheme="majorBidi" w:eastAsia="Times New Roman" w:hAnsiTheme="majorBidi" w:cstheme="majorBidi"/>
          <w:bCs/>
          <w:sz w:val="24"/>
          <w:szCs w:val="24"/>
          <w:lang w:eastAsia="en-US"/>
        </w:rPr>
        <w:t xml:space="preserve"> the story of George Duncan who, after helping an injured </w:t>
      </w:r>
      <w:r w:rsidR="009B21A8">
        <w:rPr>
          <w:rFonts w:asciiTheme="majorBidi" w:eastAsia="Times New Roman" w:hAnsiTheme="majorBidi" w:cstheme="majorBidi"/>
          <w:bCs/>
          <w:sz w:val="24"/>
          <w:szCs w:val="24"/>
          <w:lang w:eastAsia="en-US"/>
        </w:rPr>
        <w:t>r</w:t>
      </w:r>
      <w:r w:rsidRPr="00505CF0">
        <w:rPr>
          <w:rFonts w:asciiTheme="majorBidi" w:eastAsia="Times New Roman" w:hAnsiTheme="majorBidi" w:cstheme="majorBidi"/>
          <w:bCs/>
          <w:sz w:val="24"/>
          <w:szCs w:val="24"/>
          <w:lang w:eastAsia="en-US"/>
        </w:rPr>
        <w:t xml:space="preserve">ed-crowned crane in his London garden, finds himself suddenly in a romantic relationship with the enigmatic Kumiko, an artist who works with feathers. Together they collaborate on a successful art venture, while George and his daughter Amanda become increasingly attached to the enigmatic figure, before the final revelation of her status as a mythic </w:t>
      </w:r>
      <w:r w:rsidR="009B21A8">
        <w:rPr>
          <w:rFonts w:asciiTheme="majorBidi" w:eastAsia="Times New Roman" w:hAnsiTheme="majorBidi" w:cstheme="majorBidi"/>
          <w:bCs/>
          <w:sz w:val="24"/>
          <w:szCs w:val="24"/>
          <w:lang w:eastAsia="en-US"/>
        </w:rPr>
        <w:t>c</w:t>
      </w:r>
      <w:r w:rsidRPr="00505CF0">
        <w:rPr>
          <w:rFonts w:asciiTheme="majorBidi" w:eastAsia="Times New Roman" w:hAnsiTheme="majorBidi" w:cstheme="majorBidi"/>
          <w:bCs/>
          <w:sz w:val="24"/>
          <w:szCs w:val="24"/>
          <w:lang w:eastAsia="en-US"/>
        </w:rPr>
        <w:t>rane</w:t>
      </w:r>
      <w:r w:rsidR="0014389D">
        <w:rPr>
          <w:rFonts w:asciiTheme="majorBidi" w:eastAsia="Times New Roman" w:hAnsiTheme="majorBidi" w:cstheme="majorBidi"/>
          <w:bCs/>
          <w:sz w:val="24"/>
          <w:szCs w:val="24"/>
          <w:lang w:eastAsia="en-US"/>
        </w:rPr>
        <w:t xml:space="preserve"> </w:t>
      </w:r>
      <w:r w:rsidR="00191E68">
        <w:rPr>
          <w:rFonts w:asciiTheme="majorBidi" w:eastAsia="Times New Roman" w:hAnsiTheme="majorBidi" w:cstheme="majorBidi"/>
          <w:bCs/>
          <w:sz w:val="24"/>
          <w:szCs w:val="24"/>
          <w:lang w:eastAsia="en-US"/>
        </w:rPr>
        <w:t>goddess</w:t>
      </w:r>
      <w:r w:rsidRPr="00505CF0">
        <w:rPr>
          <w:rFonts w:asciiTheme="majorBidi" w:eastAsia="Times New Roman" w:hAnsiTheme="majorBidi" w:cstheme="majorBidi"/>
          <w:bCs/>
          <w:sz w:val="24"/>
          <w:szCs w:val="24"/>
          <w:lang w:eastAsia="en-US"/>
        </w:rPr>
        <w:t xml:space="preserve">, in a re-working of the </w:t>
      </w:r>
      <w:r w:rsidRPr="00505CF0">
        <w:rPr>
          <w:rFonts w:asciiTheme="majorBidi" w:eastAsia="Times New Roman" w:hAnsiTheme="majorBidi" w:cstheme="majorBidi"/>
          <w:bCs/>
          <w:i/>
          <w:iCs/>
          <w:sz w:val="24"/>
          <w:szCs w:val="24"/>
          <w:lang w:eastAsia="en-US"/>
        </w:rPr>
        <w:t>Tsuru no Ongaeshi</w:t>
      </w:r>
      <w:r w:rsidRPr="00505CF0">
        <w:rPr>
          <w:rFonts w:asciiTheme="majorBidi" w:eastAsia="Times New Roman" w:hAnsiTheme="majorBidi" w:cstheme="majorBidi"/>
          <w:bCs/>
          <w:sz w:val="24"/>
          <w:szCs w:val="24"/>
          <w:lang w:eastAsia="en-US"/>
        </w:rPr>
        <w:t xml:space="preserve"> folklore tale. In terms of the metamodern, the text marks a significant departure from the postmodern via the oscillation between irony and sincerity, evidencing a more metamodern stance that swings between both postmodern and modern ideological poles without privileging either. This is best illustrated in a comparison between the first and final paragraphs of the first chapter, as follows:</w:t>
      </w:r>
    </w:p>
    <w:p w14:paraId="48EBFB7F" w14:textId="77777777" w:rsidR="00C111D3" w:rsidRPr="00505CF0" w:rsidRDefault="00C111D3" w:rsidP="004C3EE0">
      <w:pPr>
        <w:spacing w:line="240" w:lineRule="auto"/>
        <w:jc w:val="both"/>
        <w:rPr>
          <w:rFonts w:asciiTheme="majorBidi" w:eastAsia="Times New Roman" w:hAnsiTheme="majorBidi" w:cstheme="majorBidi"/>
          <w:bCs/>
          <w:sz w:val="24"/>
          <w:szCs w:val="24"/>
          <w:lang w:eastAsia="en-US"/>
        </w:rPr>
      </w:pPr>
    </w:p>
    <w:p w14:paraId="201C0B82"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What actually woke him was the unearthly sound itself- a mournful shatter of frozen midnight falling to pierce his heart and lodge there forever, never to move, never to melt – but he, being who he was, assumed it was his bladder.</w:t>
      </w:r>
      <w:r w:rsidRPr="00505CF0">
        <w:rPr>
          <w:rStyle w:val="FootnoteReference"/>
          <w:rFonts w:asciiTheme="majorBidi" w:eastAsia="Times New Roman" w:hAnsiTheme="majorBidi" w:cstheme="majorBidi"/>
          <w:bCs/>
          <w:sz w:val="24"/>
          <w:szCs w:val="24"/>
          <w:lang w:eastAsia="en-US"/>
        </w:rPr>
        <w:footnoteReference w:id="325"/>
      </w:r>
    </w:p>
    <w:p w14:paraId="6EF241EE" w14:textId="77777777" w:rsidR="00C111D3" w:rsidRPr="00505CF0" w:rsidRDefault="00C111D3" w:rsidP="004C3EE0">
      <w:pPr>
        <w:spacing w:line="480" w:lineRule="auto"/>
        <w:ind w:left="737" w:right="737"/>
        <w:jc w:val="both"/>
        <w:rPr>
          <w:rFonts w:asciiTheme="majorBidi" w:eastAsia="Times New Roman" w:hAnsiTheme="majorBidi" w:cstheme="majorBidi"/>
          <w:bCs/>
          <w:sz w:val="24"/>
          <w:szCs w:val="24"/>
          <w:lang w:eastAsia="en-US"/>
        </w:rPr>
      </w:pPr>
    </w:p>
    <w:p w14:paraId="5ED84125"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And, on hearing the Crane’s keening noise as it departs his garden, following George extracting a large arrow from its wing:</w:t>
      </w:r>
    </w:p>
    <w:p w14:paraId="294801AF"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4A7556DD"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And then he realised that the call hadn’t come from an impossible bird vanishing from his garden and life and out of the whole world for all he knew. The keen had been set free from his own body, cried out from icy blue lips, torn from a chest that suddenly seemed to hold his irreparably broken, yet still beating heart.</w:t>
      </w:r>
      <w:r w:rsidRPr="00505CF0">
        <w:rPr>
          <w:rStyle w:val="FootnoteReference"/>
          <w:rFonts w:asciiTheme="majorBidi" w:eastAsia="Times New Roman" w:hAnsiTheme="majorBidi" w:cstheme="majorBidi"/>
          <w:bCs/>
          <w:sz w:val="24"/>
          <w:szCs w:val="24"/>
          <w:lang w:eastAsia="en-US"/>
        </w:rPr>
        <w:footnoteReference w:id="326"/>
      </w:r>
    </w:p>
    <w:p w14:paraId="12923048"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0D530563" w14:textId="5FDC0F81"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eastAsia="Times New Roman" w:hAnsiTheme="majorBidi" w:cstheme="majorBidi"/>
          <w:bCs/>
          <w:sz w:val="24"/>
          <w:szCs w:val="24"/>
          <w:lang w:eastAsia="en-US"/>
        </w:rPr>
        <w:t>The initial paragraph undercuts the fantastic with the mundane in a move that instantly suggests the presence of the postmodern sensibility in a particular</w:t>
      </w:r>
      <w:r w:rsidR="0014389D">
        <w:rPr>
          <w:rFonts w:asciiTheme="majorBidi" w:eastAsia="Times New Roman" w:hAnsiTheme="majorBidi" w:cstheme="majorBidi"/>
          <w:bCs/>
          <w:sz w:val="24"/>
          <w:szCs w:val="24"/>
          <w:lang w:eastAsia="en-US"/>
        </w:rPr>
        <w:t>ly</w:t>
      </w:r>
      <w:r w:rsidRPr="00505CF0">
        <w:rPr>
          <w:rFonts w:asciiTheme="majorBidi" w:eastAsia="Times New Roman" w:hAnsiTheme="majorBidi" w:cstheme="majorBidi"/>
          <w:bCs/>
          <w:sz w:val="24"/>
          <w:szCs w:val="24"/>
          <w:lang w:eastAsia="en-US"/>
        </w:rPr>
        <w:t xml:space="preserve"> parod</w:t>
      </w:r>
      <w:r w:rsidR="0014389D">
        <w:rPr>
          <w:rFonts w:asciiTheme="majorBidi" w:eastAsia="Times New Roman" w:hAnsiTheme="majorBidi" w:cstheme="majorBidi"/>
          <w:bCs/>
          <w:sz w:val="24"/>
          <w:szCs w:val="24"/>
          <w:lang w:eastAsia="en-US"/>
        </w:rPr>
        <w:t>ic</w:t>
      </w:r>
      <w:r w:rsidRPr="00505CF0">
        <w:rPr>
          <w:rFonts w:asciiTheme="majorBidi" w:eastAsia="Times New Roman" w:hAnsiTheme="majorBidi" w:cstheme="majorBidi"/>
          <w:bCs/>
          <w:sz w:val="24"/>
          <w:szCs w:val="24"/>
          <w:lang w:eastAsia="en-US"/>
        </w:rPr>
        <w:t xml:space="preserve"> moment; the call of the natural is assumed to be a call of nature in a subtle pun, which stands in stark contrast to the final moment in which George bids farewell to the Crane and has a significant emotional reaction. This sincerity of action relates to Nadine Fessler’s definition of metamodern literature as that which does not ‘dismiss postmodern ideas’ (the call of nature), </w:t>
      </w:r>
      <w:r w:rsidRPr="00505CF0">
        <w:rPr>
          <w:rFonts w:asciiTheme="majorBidi" w:hAnsiTheme="majorBidi" w:cstheme="majorBidi"/>
          <w:sz w:val="24"/>
          <w:szCs w:val="24"/>
        </w:rPr>
        <w:t>but rather incorporates those ideas, though ‘utilizing them for completely different outcomes, for example for installing authenticity or sincerity.’</w:t>
      </w:r>
      <w:r w:rsidRPr="00505CF0">
        <w:rPr>
          <w:rStyle w:val="FootnoteReference"/>
          <w:rFonts w:asciiTheme="majorBidi" w:hAnsiTheme="majorBidi" w:cstheme="majorBidi"/>
          <w:sz w:val="24"/>
          <w:szCs w:val="24"/>
        </w:rPr>
        <w:footnoteReference w:id="327"/>
      </w:r>
      <w:r w:rsidRPr="00505CF0">
        <w:rPr>
          <w:rFonts w:asciiTheme="majorBidi" w:hAnsiTheme="majorBidi" w:cstheme="majorBidi"/>
          <w:sz w:val="24"/>
          <w:szCs w:val="24"/>
        </w:rPr>
        <w:t xml:space="preserve"> The initial reaction is that of postmodern parody, yet by the time George witnesses the call a second time, now even issued by himself in longing, we are witness to a metamodern swing, specifically from irony to sincerity, all before the comical nature of the start to the chapter which follows draws the pendulum back to irony and play. This play between irony and sincerity, between play and authenticity, continues throughout the text, to the extent that the novel turns in on itself metafictionally at the finale. George, it is revealed, is the author of the text, though the questions of authenticity this would usually raise in such a text – such as the revelation at the end of Douglas Coupland’s </w:t>
      </w:r>
      <w:r w:rsidRPr="00505CF0">
        <w:rPr>
          <w:rFonts w:asciiTheme="majorBidi" w:hAnsiTheme="majorBidi" w:cstheme="majorBidi"/>
          <w:i/>
          <w:iCs/>
          <w:sz w:val="24"/>
          <w:szCs w:val="24"/>
        </w:rPr>
        <w:t>JPod</w:t>
      </w:r>
      <w:r w:rsidRPr="00505CF0">
        <w:rPr>
          <w:rFonts w:asciiTheme="majorBidi" w:hAnsiTheme="majorBidi" w:cstheme="majorBidi"/>
          <w:sz w:val="24"/>
          <w:szCs w:val="24"/>
        </w:rPr>
        <w:t xml:space="preserve"> that the novel, in its entirety, was written subversively for the sake of achieving a set number of pages in order to fulfil a contractual obligation – are directly mitigated by George’s instant and sublime-seeming reaction to his ability to create the text: </w:t>
      </w:r>
    </w:p>
    <w:p w14:paraId="45026887" w14:textId="77777777" w:rsidR="00C111D3" w:rsidRPr="00505CF0" w:rsidRDefault="00C111D3" w:rsidP="004C3EE0">
      <w:pPr>
        <w:spacing w:line="240" w:lineRule="auto"/>
        <w:jc w:val="both"/>
        <w:rPr>
          <w:rFonts w:asciiTheme="majorBidi" w:hAnsiTheme="majorBidi" w:cstheme="majorBidi"/>
          <w:sz w:val="24"/>
          <w:szCs w:val="24"/>
        </w:rPr>
      </w:pPr>
    </w:p>
    <w:p w14:paraId="0870DA6A" w14:textId="77777777" w:rsidR="00C111D3" w:rsidRPr="00505CF0" w:rsidRDefault="00C111D3" w:rsidP="004C3EE0">
      <w:pPr>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He felt his heart surge, as if a golden light was flowing from it […] </w:t>
      </w:r>
    </w:p>
    <w:p w14:paraId="6C77C00A" w14:textId="77777777" w:rsidR="00C111D3" w:rsidRPr="00505CF0" w:rsidRDefault="00C111D3" w:rsidP="004C3EE0">
      <w:pPr>
        <w:spacing w:line="240" w:lineRule="auto"/>
        <w:ind w:left="737" w:right="737" w:firstLine="720"/>
        <w:jc w:val="both"/>
        <w:rPr>
          <w:rFonts w:asciiTheme="majorBidi" w:hAnsiTheme="majorBidi" w:cstheme="majorBidi"/>
          <w:sz w:val="24"/>
          <w:szCs w:val="24"/>
        </w:rPr>
      </w:pPr>
      <w:r w:rsidRPr="00505CF0">
        <w:rPr>
          <w:rFonts w:asciiTheme="majorBidi" w:hAnsiTheme="majorBidi" w:cstheme="majorBidi"/>
          <w:sz w:val="24"/>
          <w:szCs w:val="24"/>
        </w:rPr>
        <w:t xml:space="preserve">Yes, he thought, tears in his eyes again. </w:t>
      </w:r>
    </w:p>
    <w:p w14:paraId="490F2DED" w14:textId="77777777" w:rsidR="00C111D3" w:rsidRPr="00505CF0" w:rsidRDefault="00C111D3" w:rsidP="004C3EE0">
      <w:pPr>
        <w:spacing w:line="240" w:lineRule="auto"/>
        <w:ind w:left="737" w:right="737" w:firstLine="720"/>
        <w:jc w:val="both"/>
        <w:rPr>
          <w:rFonts w:asciiTheme="majorBidi" w:hAnsiTheme="majorBidi" w:cstheme="majorBidi"/>
          <w:sz w:val="24"/>
          <w:szCs w:val="24"/>
        </w:rPr>
      </w:pPr>
      <w:r w:rsidRPr="00505CF0">
        <w:rPr>
          <w:rFonts w:asciiTheme="majorBidi" w:hAnsiTheme="majorBidi" w:cstheme="majorBidi"/>
          <w:i/>
          <w:iCs/>
          <w:sz w:val="24"/>
          <w:szCs w:val="24"/>
        </w:rPr>
        <w:t>Yes</w:t>
      </w:r>
      <w:r w:rsidRPr="00505CF0">
        <w:rPr>
          <w:rFonts w:asciiTheme="majorBidi" w:hAnsiTheme="majorBidi" w:cstheme="majorBidi"/>
          <w:sz w:val="24"/>
          <w:szCs w:val="24"/>
        </w:rPr>
        <w:t xml:space="preserve">. </w:t>
      </w:r>
    </w:p>
    <w:p w14:paraId="6661C552" w14:textId="77777777" w:rsidR="00C111D3" w:rsidRPr="00505CF0" w:rsidRDefault="00C111D3" w:rsidP="004C3EE0">
      <w:pPr>
        <w:spacing w:line="240" w:lineRule="auto"/>
        <w:ind w:left="737" w:right="737" w:firstLine="720"/>
        <w:jc w:val="both"/>
        <w:rPr>
          <w:rFonts w:asciiTheme="majorBidi" w:hAnsiTheme="majorBidi" w:cstheme="majorBidi"/>
          <w:sz w:val="24"/>
          <w:szCs w:val="24"/>
        </w:rPr>
      </w:pPr>
      <w:r w:rsidRPr="00505CF0">
        <w:rPr>
          <w:rFonts w:asciiTheme="majorBidi" w:hAnsiTheme="majorBidi" w:cstheme="majorBidi"/>
          <w:sz w:val="24"/>
          <w:szCs w:val="24"/>
        </w:rPr>
        <w:t>He answered the phone to his daughter with a broken but joyous heart, ready to speak with her of astonishment and wonder.</w:t>
      </w:r>
      <w:r w:rsidRPr="00505CF0">
        <w:rPr>
          <w:rStyle w:val="FootnoteReference"/>
          <w:rFonts w:asciiTheme="majorBidi" w:hAnsiTheme="majorBidi" w:cstheme="majorBidi"/>
          <w:sz w:val="24"/>
          <w:szCs w:val="24"/>
        </w:rPr>
        <w:footnoteReference w:id="328"/>
      </w:r>
    </w:p>
    <w:p w14:paraId="4FDBCE07" w14:textId="77777777" w:rsidR="00C111D3" w:rsidRPr="00505CF0" w:rsidRDefault="00C111D3" w:rsidP="004C3EE0">
      <w:pPr>
        <w:spacing w:line="480" w:lineRule="auto"/>
        <w:jc w:val="both"/>
        <w:rPr>
          <w:rFonts w:asciiTheme="majorBidi" w:hAnsiTheme="majorBidi" w:cstheme="majorBidi"/>
          <w:sz w:val="24"/>
          <w:szCs w:val="24"/>
        </w:rPr>
      </w:pPr>
    </w:p>
    <w:p w14:paraId="3E7BCA52"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proofErr w:type="gramStart"/>
      <w:r w:rsidRPr="00505CF0">
        <w:rPr>
          <w:rFonts w:asciiTheme="majorBidi" w:hAnsiTheme="majorBidi" w:cstheme="majorBidi"/>
          <w:sz w:val="24"/>
          <w:szCs w:val="24"/>
        </w:rPr>
        <w:t>The metamodern striving for post-irony filters into the textual treatment of the mythic within the text, specifically forming an over-arching argument about the need for mythic integration with the everyday in order to combat the crushing banality and pain of contemporary life.</w:t>
      </w:r>
      <w:proofErr w:type="gramEnd"/>
      <w:r w:rsidRPr="00505CF0">
        <w:rPr>
          <w:rFonts w:asciiTheme="majorBidi" w:hAnsiTheme="majorBidi" w:cstheme="majorBidi"/>
          <w:sz w:val="24"/>
          <w:szCs w:val="24"/>
        </w:rPr>
        <w:t xml:space="preserve"> The mythic interrupts the contemporary lives of the individuals, from Kumiko’s sudden appearance at the beginning of the text through to her actions saving the life of George’s daughter Amanda at the end, and is juxtaposed against the seeming futility, terror and pain of the everyday, as articulated primarily through Amanda and her struggle to find purpose or happiness:</w:t>
      </w:r>
    </w:p>
    <w:p w14:paraId="2E0D7538" w14:textId="77777777" w:rsidR="00C111D3" w:rsidRPr="00505CF0" w:rsidRDefault="00C111D3" w:rsidP="004C3EE0">
      <w:pPr>
        <w:spacing w:line="480" w:lineRule="auto"/>
        <w:jc w:val="both"/>
        <w:rPr>
          <w:rFonts w:asciiTheme="majorBidi" w:hAnsiTheme="majorBidi" w:cstheme="majorBidi"/>
          <w:sz w:val="24"/>
          <w:szCs w:val="24"/>
        </w:rPr>
      </w:pPr>
    </w:p>
    <w:p w14:paraId="5556BF7B" w14:textId="77777777" w:rsidR="00C111D3" w:rsidRPr="00505CF0" w:rsidRDefault="00C111D3" w:rsidP="004C3EE0">
      <w:pPr>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Amanda sat back, lunchless, drinkless, furious that the tears were coming again, furious that everything felt like it was sliding apart, that it was doing so for </w:t>
      </w:r>
      <w:r w:rsidRPr="00505CF0">
        <w:rPr>
          <w:rFonts w:asciiTheme="majorBidi" w:hAnsiTheme="majorBidi" w:cstheme="majorBidi"/>
          <w:i/>
          <w:iCs/>
          <w:sz w:val="24"/>
          <w:szCs w:val="24"/>
        </w:rPr>
        <w:t>no good reason</w:t>
      </w:r>
      <w:r w:rsidRPr="00505CF0">
        <w:rPr>
          <w:rFonts w:asciiTheme="majorBidi" w:hAnsiTheme="majorBidi" w:cstheme="majorBidi"/>
          <w:sz w:val="24"/>
          <w:szCs w:val="24"/>
        </w:rPr>
        <w:t xml:space="preserve">, that nothing had changed except something slight, something she couldn’t put her finger on, something that took everything that was her life and placed it slightly higher up on a mountainside so that she had to climb for it, and when she got there, there was only more mountain, there was only ever going to </w:t>
      </w:r>
      <w:r w:rsidRPr="00505CF0">
        <w:rPr>
          <w:rFonts w:asciiTheme="majorBidi" w:hAnsiTheme="majorBidi" w:cstheme="majorBidi"/>
          <w:i/>
          <w:iCs/>
          <w:sz w:val="24"/>
          <w:szCs w:val="24"/>
        </w:rPr>
        <w:t>be</w:t>
      </w:r>
      <w:r w:rsidRPr="00505CF0">
        <w:rPr>
          <w:rFonts w:asciiTheme="majorBidi" w:hAnsiTheme="majorBidi" w:cstheme="majorBidi"/>
          <w:sz w:val="24"/>
          <w:szCs w:val="24"/>
        </w:rPr>
        <w:t xml:space="preserve"> more mountain for as long as she lived, and if that was the case then what was the goddamn </w:t>
      </w:r>
      <w:r w:rsidRPr="00505CF0">
        <w:rPr>
          <w:rFonts w:asciiTheme="majorBidi" w:hAnsiTheme="majorBidi" w:cstheme="majorBidi"/>
          <w:i/>
          <w:iCs/>
          <w:sz w:val="24"/>
          <w:szCs w:val="24"/>
        </w:rPr>
        <w:t>point</w:t>
      </w:r>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 xml:space="preserve">Of </w:t>
      </w:r>
      <w:r w:rsidRPr="00505CF0">
        <w:rPr>
          <w:rFonts w:asciiTheme="majorBidi" w:hAnsiTheme="majorBidi" w:cstheme="majorBidi"/>
          <w:i/>
          <w:iCs/>
          <w:sz w:val="24"/>
          <w:szCs w:val="24"/>
        </w:rPr>
        <w:t>any</w:t>
      </w:r>
      <w:r w:rsidRPr="00505CF0">
        <w:rPr>
          <w:rFonts w:asciiTheme="majorBidi" w:hAnsiTheme="majorBidi" w:cstheme="majorBidi"/>
          <w:sz w:val="24"/>
          <w:szCs w:val="24"/>
        </w:rPr>
        <w:t xml:space="preserve"> of it?</w:t>
      </w:r>
      <w:proofErr w:type="gramEnd"/>
      <w:r w:rsidRPr="00505CF0">
        <w:rPr>
          <w:rStyle w:val="FootnoteReference"/>
          <w:rFonts w:asciiTheme="majorBidi" w:hAnsiTheme="majorBidi" w:cstheme="majorBidi"/>
          <w:sz w:val="24"/>
          <w:szCs w:val="24"/>
        </w:rPr>
        <w:footnoteReference w:id="329"/>
      </w:r>
    </w:p>
    <w:p w14:paraId="7BFCBF3A" w14:textId="77777777" w:rsidR="00C111D3" w:rsidRPr="00505CF0" w:rsidRDefault="00C111D3" w:rsidP="004C3EE0">
      <w:pPr>
        <w:spacing w:line="480" w:lineRule="auto"/>
        <w:jc w:val="both"/>
        <w:rPr>
          <w:rFonts w:asciiTheme="majorBidi" w:hAnsiTheme="majorBidi" w:cstheme="majorBidi"/>
          <w:sz w:val="24"/>
          <w:szCs w:val="24"/>
        </w:rPr>
      </w:pPr>
    </w:p>
    <w:p w14:paraId="2A410357" w14:textId="635373FE"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Amanda’s personal belief that she is in some manner ‘broken’</w:t>
      </w:r>
      <w:r w:rsidRPr="00505CF0">
        <w:rPr>
          <w:rStyle w:val="FootnoteReference"/>
          <w:rFonts w:asciiTheme="majorBidi" w:hAnsiTheme="majorBidi" w:cstheme="majorBidi"/>
          <w:sz w:val="24"/>
          <w:szCs w:val="24"/>
        </w:rPr>
        <w:footnoteReference w:id="330"/>
      </w:r>
      <w:r w:rsidRPr="00505CF0">
        <w:rPr>
          <w:rFonts w:asciiTheme="majorBidi" w:hAnsiTheme="majorBidi" w:cstheme="majorBidi"/>
          <w:sz w:val="24"/>
          <w:szCs w:val="24"/>
        </w:rPr>
        <w:t xml:space="preserve"> at her core, and unable to find happiness, is mitigated by her experiences with the mythic, which fill her with a hopefulness for a ‘hard-earned’ peace, or ‘possible liberation’.</w:t>
      </w:r>
      <w:r w:rsidRPr="00505CF0">
        <w:rPr>
          <w:rStyle w:val="FootnoteReference"/>
          <w:rFonts w:asciiTheme="majorBidi" w:hAnsiTheme="majorBidi" w:cstheme="majorBidi"/>
          <w:sz w:val="24"/>
          <w:szCs w:val="24"/>
        </w:rPr>
        <w:footnoteReference w:id="331"/>
      </w:r>
      <w:r w:rsidRPr="00505CF0">
        <w:rPr>
          <w:rFonts w:asciiTheme="majorBidi" w:hAnsiTheme="majorBidi" w:cstheme="majorBidi"/>
          <w:sz w:val="24"/>
          <w:szCs w:val="24"/>
        </w:rPr>
        <w:t xml:space="preserve"> Ness’s characters </w:t>
      </w:r>
      <w:r w:rsidR="0014389D">
        <w:rPr>
          <w:rFonts w:asciiTheme="majorBidi" w:hAnsiTheme="majorBidi" w:cstheme="majorBidi"/>
          <w:sz w:val="24"/>
          <w:szCs w:val="24"/>
        </w:rPr>
        <w:t xml:space="preserve">also </w:t>
      </w:r>
      <w:r w:rsidRPr="00505CF0">
        <w:rPr>
          <w:rFonts w:asciiTheme="majorBidi" w:hAnsiTheme="majorBidi" w:cstheme="majorBidi"/>
          <w:sz w:val="24"/>
          <w:szCs w:val="24"/>
        </w:rPr>
        <w:t>seem to constantly desire Kumiko herself, the representation of the mythic in the text being, as she is, the Crane Wife of the title, with George ‘ashamed of his greed’</w:t>
      </w:r>
      <w:r w:rsidRPr="00505CF0">
        <w:rPr>
          <w:rStyle w:val="FootnoteReference"/>
          <w:rFonts w:asciiTheme="majorBidi" w:hAnsiTheme="majorBidi" w:cstheme="majorBidi"/>
          <w:sz w:val="24"/>
          <w:szCs w:val="24"/>
        </w:rPr>
        <w:footnoteReference w:id="332"/>
      </w:r>
      <w:r w:rsidRPr="00505CF0">
        <w:rPr>
          <w:rFonts w:asciiTheme="majorBidi" w:hAnsiTheme="majorBidi" w:cstheme="majorBidi"/>
          <w:sz w:val="24"/>
          <w:szCs w:val="24"/>
        </w:rPr>
        <w:t xml:space="preserve"> for Kumiko, his desire for whom he makes repeated references to, his need to understand. As he states, ‘so much of her is completely unknowable. And I get greedy for any tiny bit of her I can have,’ a sentiment reflected by Amanda’s </w:t>
      </w:r>
      <w:r w:rsidR="0014389D">
        <w:rPr>
          <w:rFonts w:asciiTheme="majorBidi" w:hAnsiTheme="majorBidi" w:cstheme="majorBidi"/>
          <w:sz w:val="24"/>
          <w:szCs w:val="24"/>
        </w:rPr>
        <w:t xml:space="preserve">initial </w:t>
      </w:r>
      <w:r w:rsidRPr="00505CF0">
        <w:rPr>
          <w:rFonts w:asciiTheme="majorBidi" w:hAnsiTheme="majorBidi" w:cstheme="majorBidi"/>
          <w:sz w:val="24"/>
          <w:szCs w:val="24"/>
        </w:rPr>
        <w:t>reaction</w:t>
      </w:r>
      <w:r w:rsidR="0014389D">
        <w:rPr>
          <w:rFonts w:asciiTheme="majorBidi" w:hAnsiTheme="majorBidi" w:cstheme="majorBidi"/>
          <w:sz w:val="24"/>
          <w:szCs w:val="24"/>
        </w:rPr>
        <w:t xml:space="preserve"> to Kumiko</w:t>
      </w:r>
      <w:r w:rsidRPr="00505CF0">
        <w:rPr>
          <w:rFonts w:asciiTheme="majorBidi" w:hAnsiTheme="majorBidi" w:cstheme="majorBidi"/>
          <w:sz w:val="24"/>
          <w:szCs w:val="24"/>
        </w:rPr>
        <w:t>. Amanda, after first meeting the enigmatic Crane Wife, describes her as ‘a vital element that [she] needed to keep on living.’</w:t>
      </w:r>
      <w:r w:rsidRPr="00505CF0">
        <w:rPr>
          <w:rStyle w:val="FootnoteReference"/>
          <w:rFonts w:asciiTheme="majorBidi" w:hAnsiTheme="majorBidi" w:cstheme="majorBidi"/>
          <w:sz w:val="24"/>
          <w:szCs w:val="24"/>
        </w:rPr>
        <w:footnoteReference w:id="333"/>
      </w:r>
      <w:r w:rsidRPr="00505CF0">
        <w:rPr>
          <w:rFonts w:asciiTheme="majorBidi" w:hAnsiTheme="majorBidi" w:cstheme="majorBidi"/>
          <w:sz w:val="24"/>
          <w:szCs w:val="24"/>
        </w:rPr>
        <w:t xml:space="preserve"> Not only do the protagonists desperately desire this embodied form of myth, but the collaborative </w:t>
      </w:r>
      <w:r w:rsidR="00DC49C3">
        <w:rPr>
          <w:rFonts w:asciiTheme="majorBidi" w:hAnsiTheme="majorBidi" w:cstheme="majorBidi"/>
          <w:sz w:val="24"/>
          <w:szCs w:val="24"/>
        </w:rPr>
        <w:t xml:space="preserve">art </w:t>
      </w:r>
      <w:r w:rsidRPr="00505CF0">
        <w:rPr>
          <w:rFonts w:asciiTheme="majorBidi" w:hAnsiTheme="majorBidi" w:cstheme="majorBidi"/>
          <w:sz w:val="24"/>
          <w:szCs w:val="24"/>
        </w:rPr>
        <w:t xml:space="preserve">project of Kumiko and George, small tiles created from a combination of Kumiko’s own feathers and George’s deconstructed clippings from novels, have a similar effect on those who witness or possess them. </w:t>
      </w:r>
      <w:r w:rsidR="00DC49C3">
        <w:rPr>
          <w:rFonts w:asciiTheme="majorBidi" w:hAnsiTheme="majorBidi" w:cstheme="majorBidi"/>
          <w:sz w:val="24"/>
          <w:szCs w:val="24"/>
        </w:rPr>
        <w:t>Namely</w:t>
      </w:r>
      <w:proofErr w:type="gramStart"/>
      <w:r w:rsidR="00DC49C3">
        <w:rPr>
          <w:rFonts w:asciiTheme="majorBidi" w:hAnsiTheme="majorBidi" w:cstheme="majorBidi"/>
          <w:sz w:val="24"/>
          <w:szCs w:val="24"/>
        </w:rPr>
        <w:t>,</w:t>
      </w:r>
      <w:r w:rsidR="00DC49C3"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 a</w:t>
      </w:r>
      <w:proofErr w:type="gramEnd"/>
      <w:r w:rsidRPr="00505CF0">
        <w:rPr>
          <w:rFonts w:asciiTheme="majorBidi" w:hAnsiTheme="majorBidi" w:cstheme="majorBidi"/>
          <w:sz w:val="24"/>
          <w:szCs w:val="24"/>
        </w:rPr>
        <w:t xml:space="preserve"> wondrous appreciation of</w:t>
      </w:r>
      <w:r w:rsidR="00DC49C3">
        <w:rPr>
          <w:rFonts w:asciiTheme="majorBidi" w:hAnsiTheme="majorBidi" w:cstheme="majorBidi"/>
          <w:sz w:val="24"/>
          <w:szCs w:val="24"/>
        </w:rPr>
        <w:t xml:space="preserve"> the works, which are</w:t>
      </w:r>
      <w:r w:rsidRPr="00505CF0">
        <w:rPr>
          <w:rFonts w:asciiTheme="majorBidi" w:hAnsiTheme="majorBidi" w:cstheme="majorBidi"/>
          <w:sz w:val="24"/>
          <w:szCs w:val="24"/>
        </w:rPr>
        <w:t xml:space="preserve"> described as somehow ‘right,’</w:t>
      </w:r>
      <w:r w:rsidRPr="00505CF0">
        <w:rPr>
          <w:rStyle w:val="FootnoteReference"/>
          <w:rFonts w:asciiTheme="majorBidi" w:hAnsiTheme="majorBidi" w:cstheme="majorBidi"/>
          <w:sz w:val="24"/>
          <w:szCs w:val="24"/>
        </w:rPr>
        <w:footnoteReference w:id="334"/>
      </w:r>
      <w:r w:rsidRPr="00505CF0">
        <w:rPr>
          <w:rFonts w:asciiTheme="majorBidi" w:hAnsiTheme="majorBidi" w:cstheme="majorBidi"/>
          <w:sz w:val="24"/>
          <w:szCs w:val="24"/>
        </w:rPr>
        <w:t xml:space="preserve"> ‘extraordinary,’</w:t>
      </w:r>
      <w:r w:rsidRPr="00505CF0">
        <w:rPr>
          <w:rStyle w:val="FootnoteReference"/>
          <w:rFonts w:asciiTheme="majorBidi" w:hAnsiTheme="majorBidi" w:cstheme="majorBidi"/>
          <w:sz w:val="24"/>
          <w:szCs w:val="24"/>
        </w:rPr>
        <w:footnoteReference w:id="335"/>
      </w:r>
      <w:r w:rsidRPr="00505CF0">
        <w:rPr>
          <w:rFonts w:asciiTheme="majorBidi" w:hAnsiTheme="majorBidi" w:cstheme="majorBidi"/>
          <w:sz w:val="24"/>
          <w:szCs w:val="24"/>
        </w:rPr>
        <w:t xml:space="preserve"> and inducing a ‘desperate longing.’</w:t>
      </w:r>
      <w:r w:rsidRPr="00505CF0">
        <w:rPr>
          <w:rStyle w:val="FootnoteReference"/>
          <w:rFonts w:asciiTheme="majorBidi" w:hAnsiTheme="majorBidi" w:cstheme="majorBidi"/>
          <w:sz w:val="24"/>
          <w:szCs w:val="24"/>
        </w:rPr>
        <w:footnoteReference w:id="336"/>
      </w:r>
      <w:r w:rsidRPr="00505CF0">
        <w:rPr>
          <w:rFonts w:asciiTheme="majorBidi" w:hAnsiTheme="majorBidi" w:cstheme="majorBidi"/>
          <w:sz w:val="24"/>
          <w:szCs w:val="24"/>
        </w:rPr>
        <w:t xml:space="preserve"> Characters gravitate to these artefacts of the mythical, both Kumiko and her creations, in order to fulfil some inarticulable desire for a sublime reaction</w:t>
      </w:r>
      <w:r w:rsidR="00DC49C3">
        <w:rPr>
          <w:rFonts w:asciiTheme="majorBidi" w:hAnsiTheme="majorBidi" w:cstheme="majorBidi"/>
          <w:sz w:val="24"/>
          <w:szCs w:val="24"/>
        </w:rPr>
        <w:t>;</w:t>
      </w:r>
      <w:r w:rsidRPr="00505CF0">
        <w:rPr>
          <w:rFonts w:asciiTheme="majorBidi" w:hAnsiTheme="majorBidi" w:cstheme="majorBidi"/>
          <w:sz w:val="24"/>
          <w:szCs w:val="24"/>
        </w:rPr>
        <w:t xml:space="preserve"> </w:t>
      </w:r>
      <w:r w:rsidR="00DC49C3">
        <w:rPr>
          <w:rFonts w:asciiTheme="majorBidi" w:hAnsiTheme="majorBidi" w:cstheme="majorBidi"/>
          <w:sz w:val="24"/>
          <w:szCs w:val="24"/>
        </w:rPr>
        <w:t>Amanda, l</w:t>
      </w:r>
      <w:r w:rsidRPr="00505CF0">
        <w:rPr>
          <w:rFonts w:asciiTheme="majorBidi" w:hAnsiTheme="majorBidi" w:cstheme="majorBidi"/>
          <w:sz w:val="24"/>
          <w:szCs w:val="24"/>
        </w:rPr>
        <w:t>ooking at</w:t>
      </w:r>
      <w:r w:rsidR="00DC49C3">
        <w:rPr>
          <w:rFonts w:asciiTheme="majorBidi" w:hAnsiTheme="majorBidi" w:cstheme="majorBidi"/>
          <w:sz w:val="24"/>
          <w:szCs w:val="24"/>
        </w:rPr>
        <w:t xml:space="preserve"> the</w:t>
      </w:r>
      <w:r w:rsidRPr="00505CF0">
        <w:rPr>
          <w:rFonts w:asciiTheme="majorBidi" w:hAnsiTheme="majorBidi" w:cstheme="majorBidi"/>
          <w:sz w:val="24"/>
          <w:szCs w:val="24"/>
        </w:rPr>
        <w:t xml:space="preserve"> private tile gifted to</w:t>
      </w:r>
      <w:r w:rsidR="00DC49C3">
        <w:rPr>
          <w:rFonts w:asciiTheme="majorBidi" w:hAnsiTheme="majorBidi" w:cstheme="majorBidi"/>
          <w:sz w:val="24"/>
          <w:szCs w:val="24"/>
        </w:rPr>
        <w:t xml:space="preserve"> her</w:t>
      </w:r>
      <w:r w:rsidRPr="00505CF0">
        <w:rPr>
          <w:rFonts w:asciiTheme="majorBidi" w:hAnsiTheme="majorBidi" w:cstheme="majorBidi"/>
          <w:sz w:val="24"/>
          <w:szCs w:val="24"/>
        </w:rPr>
        <w:t xml:space="preserve"> by Kumiko and subsequently hidden away in her desk at work, she states that it ‘made her short of breath.’</w:t>
      </w:r>
      <w:r w:rsidRPr="00505CF0">
        <w:rPr>
          <w:rStyle w:val="FootnoteReference"/>
          <w:rFonts w:asciiTheme="majorBidi" w:hAnsiTheme="majorBidi" w:cstheme="majorBidi"/>
          <w:sz w:val="24"/>
          <w:szCs w:val="24"/>
        </w:rPr>
        <w:footnoteReference w:id="337"/>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The Crane Wife</w:t>
      </w:r>
      <w:r w:rsidRPr="00505CF0">
        <w:rPr>
          <w:rFonts w:asciiTheme="majorBidi" w:hAnsiTheme="majorBidi" w:cstheme="majorBidi"/>
          <w:sz w:val="24"/>
          <w:szCs w:val="24"/>
        </w:rPr>
        <w:t xml:space="preserve"> depicts human interaction as a ‘hostile landscape, […] one whose entire set of rules seemed to exist for you to never properly learn and therefore be forever excluded, no matter how much you pretended it didn’t matter.’</w:t>
      </w:r>
      <w:r w:rsidRPr="00505CF0">
        <w:rPr>
          <w:rStyle w:val="FootnoteReference"/>
          <w:rFonts w:asciiTheme="majorBidi" w:hAnsiTheme="majorBidi" w:cstheme="majorBidi"/>
          <w:sz w:val="24"/>
          <w:szCs w:val="24"/>
        </w:rPr>
        <w:footnoteReference w:id="338"/>
      </w:r>
      <w:r w:rsidRPr="00505CF0">
        <w:rPr>
          <w:rFonts w:asciiTheme="majorBidi" w:hAnsiTheme="majorBidi" w:cstheme="majorBidi"/>
          <w:sz w:val="24"/>
          <w:szCs w:val="24"/>
        </w:rPr>
        <w:t xml:space="preserve"> Against this, though, characters find emotional resonance and possible transcendence of the hostile world via their experiences with the mythical, which inspire tears, awe, and a reaction tending towards the sublime – the unthinkable that expands the mind.</w:t>
      </w:r>
      <w:r w:rsidRPr="00505CF0">
        <w:rPr>
          <w:rStyle w:val="FootnoteReference"/>
          <w:rFonts w:asciiTheme="majorBidi" w:hAnsiTheme="majorBidi" w:cstheme="majorBidi"/>
          <w:sz w:val="24"/>
          <w:szCs w:val="24"/>
        </w:rPr>
        <w:footnoteReference w:id="339"/>
      </w:r>
      <w:r w:rsidRPr="00505CF0">
        <w:rPr>
          <w:rFonts w:asciiTheme="majorBidi" w:hAnsiTheme="majorBidi" w:cstheme="majorBidi"/>
          <w:sz w:val="24"/>
          <w:szCs w:val="24"/>
        </w:rPr>
        <w:t xml:space="preserve"> Ness’s text posits a cure for the apparent pain of human existence in the form of mythic, or narrative, integration through which his characters gain transcendence. Tellingly, if somewhat unsubtly, Kumiko herself is the one to articulate this overt textual agenda, metafictionally advocating for fiction’s ability to assist in the process of personal transcendence:</w:t>
      </w:r>
    </w:p>
    <w:p w14:paraId="1B29F068" w14:textId="77777777" w:rsidR="00C111D3" w:rsidRPr="00505CF0" w:rsidRDefault="00C111D3" w:rsidP="004C3EE0">
      <w:pPr>
        <w:spacing w:line="240" w:lineRule="auto"/>
        <w:jc w:val="both"/>
        <w:rPr>
          <w:rFonts w:asciiTheme="majorBidi" w:hAnsiTheme="majorBidi" w:cstheme="majorBidi"/>
          <w:sz w:val="24"/>
          <w:szCs w:val="24"/>
        </w:rPr>
      </w:pPr>
    </w:p>
    <w:p w14:paraId="32F88A6B" w14:textId="77777777" w:rsidR="00C111D3" w:rsidRPr="00505CF0" w:rsidRDefault="00C111D3" w:rsidP="004C3EE0">
      <w:pPr>
        <w:spacing w:line="240" w:lineRule="auto"/>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 xml:space="preserve">‘[…] a story </w:t>
      </w:r>
      <w:r w:rsidRPr="00505CF0">
        <w:rPr>
          <w:rFonts w:asciiTheme="majorBidi" w:hAnsiTheme="majorBidi" w:cstheme="majorBidi"/>
          <w:i/>
          <w:iCs/>
          <w:sz w:val="24"/>
          <w:szCs w:val="24"/>
        </w:rPr>
        <w:t xml:space="preserve">must </w:t>
      </w:r>
      <w:r w:rsidRPr="00505CF0">
        <w:rPr>
          <w:rFonts w:asciiTheme="majorBidi" w:hAnsiTheme="majorBidi" w:cstheme="majorBidi"/>
          <w:sz w:val="24"/>
          <w:szCs w:val="24"/>
        </w:rPr>
        <w:t>be told. How else can we live in this world that makes no sense?’</w:t>
      </w:r>
    </w:p>
    <w:p w14:paraId="03E2ED09" w14:textId="77777777" w:rsidR="00C111D3" w:rsidRPr="00505CF0" w:rsidRDefault="00C111D3" w:rsidP="004C3EE0">
      <w:pPr>
        <w:spacing w:line="240" w:lineRule="auto"/>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‘How else can we live with the extraordinary?’ George murmured.</w:t>
      </w:r>
    </w:p>
    <w:p w14:paraId="33AC34A8" w14:textId="77777777" w:rsidR="00C111D3" w:rsidRPr="00505CF0" w:rsidRDefault="00C111D3" w:rsidP="004C3EE0">
      <w:pPr>
        <w:spacing w:line="240" w:lineRule="auto"/>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 xml:space="preserve">‘Yes,’ Kumiko said, seriously. </w:t>
      </w:r>
      <w:proofErr w:type="gramStart"/>
      <w:r w:rsidRPr="00505CF0">
        <w:rPr>
          <w:rFonts w:asciiTheme="majorBidi" w:hAnsiTheme="majorBidi" w:cstheme="majorBidi"/>
          <w:sz w:val="24"/>
          <w:szCs w:val="24"/>
        </w:rPr>
        <w:t>‘Exactly that.</w:t>
      </w:r>
      <w:proofErr w:type="gramEnd"/>
      <w:r w:rsidRPr="00505CF0">
        <w:rPr>
          <w:rFonts w:asciiTheme="majorBidi" w:hAnsiTheme="majorBidi" w:cstheme="majorBidi"/>
          <w:sz w:val="24"/>
          <w:szCs w:val="24"/>
        </w:rPr>
        <w:t xml:space="preserve"> The extraordinary happens all the time. So much, we can’t take it. </w:t>
      </w:r>
      <w:proofErr w:type="gramStart"/>
      <w:r w:rsidRPr="00505CF0">
        <w:rPr>
          <w:rFonts w:asciiTheme="majorBidi" w:hAnsiTheme="majorBidi" w:cstheme="majorBidi"/>
          <w:sz w:val="24"/>
          <w:szCs w:val="24"/>
        </w:rPr>
        <w:t>Life and happiness and heartache and love.</w:t>
      </w:r>
      <w:proofErr w:type="gramEnd"/>
      <w:r w:rsidRPr="00505CF0">
        <w:rPr>
          <w:rFonts w:asciiTheme="majorBidi" w:hAnsiTheme="majorBidi" w:cstheme="majorBidi"/>
          <w:sz w:val="24"/>
          <w:szCs w:val="24"/>
        </w:rPr>
        <w:t xml:space="preserve"> If we couldn’t put it into a story-’ </w:t>
      </w:r>
    </w:p>
    <w:p w14:paraId="706CE852" w14:textId="77777777" w:rsidR="00C111D3" w:rsidRPr="00505CF0" w:rsidRDefault="00C111D3" w:rsidP="004C3EE0">
      <w:pPr>
        <w:spacing w:line="240" w:lineRule="auto"/>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‘And explain it-’</w:t>
      </w:r>
    </w:p>
    <w:p w14:paraId="1D198315" w14:textId="77777777" w:rsidR="00C111D3" w:rsidRPr="00505CF0" w:rsidRDefault="00C111D3" w:rsidP="004C3EE0">
      <w:pPr>
        <w:spacing w:line="240" w:lineRule="auto"/>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 xml:space="preserve">‘No!’ she said, suddenly sharp. ‘Not explain. Stories do not explain. They seem to, but all they provide is a starting point […] No, a story is not an explanation, it is a net, a net through which the truth flows. The net catches some of the truth, but not all, </w:t>
      </w:r>
      <w:r w:rsidRPr="00505CF0">
        <w:rPr>
          <w:rFonts w:asciiTheme="majorBidi" w:hAnsiTheme="majorBidi" w:cstheme="majorBidi"/>
          <w:i/>
          <w:iCs/>
          <w:sz w:val="24"/>
          <w:szCs w:val="24"/>
        </w:rPr>
        <w:t xml:space="preserve">never </w:t>
      </w:r>
      <w:r w:rsidRPr="00505CF0">
        <w:rPr>
          <w:rFonts w:asciiTheme="majorBidi" w:hAnsiTheme="majorBidi" w:cstheme="majorBidi"/>
          <w:sz w:val="24"/>
          <w:szCs w:val="24"/>
        </w:rPr>
        <w:t>all, only enough so that we can live with the extraordinary without it killing us.’</w:t>
      </w:r>
      <w:r w:rsidRPr="00505CF0">
        <w:rPr>
          <w:rStyle w:val="FootnoteReference"/>
          <w:rFonts w:asciiTheme="majorBidi" w:hAnsiTheme="majorBidi" w:cstheme="majorBidi"/>
          <w:sz w:val="24"/>
          <w:szCs w:val="24"/>
        </w:rPr>
        <w:footnoteReference w:id="340"/>
      </w:r>
    </w:p>
    <w:p w14:paraId="76C688AE" w14:textId="77777777" w:rsidR="00C111D3" w:rsidRPr="00505CF0" w:rsidRDefault="00C111D3" w:rsidP="004C3EE0">
      <w:pPr>
        <w:spacing w:line="480" w:lineRule="auto"/>
        <w:jc w:val="both"/>
        <w:rPr>
          <w:rFonts w:asciiTheme="majorBidi" w:hAnsiTheme="majorBidi" w:cstheme="majorBidi"/>
          <w:sz w:val="24"/>
          <w:szCs w:val="24"/>
        </w:rPr>
      </w:pPr>
    </w:p>
    <w:p w14:paraId="39766310" w14:textId="761F1900" w:rsidR="00C111D3" w:rsidRPr="00505CF0" w:rsidRDefault="00C111D3" w:rsidP="004C3EE0">
      <w:pPr>
        <w:spacing w:line="480" w:lineRule="auto"/>
        <w:jc w:val="both"/>
        <w:rPr>
          <w:rFonts w:asciiTheme="majorBidi" w:hAnsiTheme="majorBidi" w:cstheme="majorBidi"/>
          <w:i/>
          <w:iCs/>
          <w:sz w:val="24"/>
          <w:szCs w:val="24"/>
        </w:rPr>
      </w:pPr>
      <w:r w:rsidRPr="00505CF0">
        <w:rPr>
          <w:rFonts w:asciiTheme="majorBidi" w:hAnsiTheme="majorBidi" w:cstheme="majorBidi"/>
          <w:sz w:val="24"/>
          <w:szCs w:val="24"/>
        </w:rPr>
        <w:t xml:space="preserve">Myth and narrative, according to Kumiko, are not solutions to the </w:t>
      </w:r>
      <w:r w:rsidR="00DC49C3">
        <w:rPr>
          <w:rFonts w:asciiTheme="majorBidi" w:hAnsiTheme="majorBidi" w:cstheme="majorBidi"/>
          <w:sz w:val="24"/>
          <w:szCs w:val="24"/>
        </w:rPr>
        <w:t xml:space="preserve">potentially maddening </w:t>
      </w:r>
      <w:r w:rsidR="004B6650">
        <w:rPr>
          <w:rFonts w:asciiTheme="majorBidi" w:hAnsiTheme="majorBidi" w:cstheme="majorBidi"/>
          <w:sz w:val="24"/>
          <w:szCs w:val="24"/>
        </w:rPr>
        <w:t>and inhospitable world</w:t>
      </w:r>
      <w:r w:rsidR="004B6650" w:rsidRPr="00505CF0">
        <w:rPr>
          <w:rFonts w:asciiTheme="majorBidi" w:hAnsiTheme="majorBidi" w:cstheme="majorBidi"/>
          <w:sz w:val="24"/>
          <w:szCs w:val="24"/>
        </w:rPr>
        <w:t xml:space="preserve"> </w:t>
      </w:r>
      <w:r w:rsidRPr="00505CF0">
        <w:rPr>
          <w:rFonts w:asciiTheme="majorBidi" w:hAnsiTheme="majorBidi" w:cstheme="majorBidi"/>
          <w:sz w:val="24"/>
          <w:szCs w:val="24"/>
        </w:rPr>
        <w:t>around us, but are a necessary element to add something more to life</w:t>
      </w:r>
      <w:r w:rsidR="004B6650">
        <w:rPr>
          <w:rFonts w:asciiTheme="majorBidi" w:hAnsiTheme="majorBidi" w:cstheme="majorBidi"/>
          <w:sz w:val="24"/>
          <w:szCs w:val="24"/>
        </w:rPr>
        <w:t xml:space="preserve"> in the form of the inexplicable, or the mythic</w:t>
      </w:r>
      <w:r w:rsidRPr="00505CF0">
        <w:rPr>
          <w:rFonts w:asciiTheme="majorBidi" w:hAnsiTheme="majorBidi" w:cstheme="majorBidi"/>
          <w:sz w:val="24"/>
          <w:szCs w:val="24"/>
        </w:rPr>
        <w:t>; myth, in Ness’s text, is not a tool for explanation, but an aid to personal revelation in the desire for something beyond the mundane. The inexplicable helps us to survive the world made difficult by our own knowledge and cleverness, as seen by George’s retreat into his own historical story, after which ‘pain was at bay, fear was held off, and everything was astonishment and wonder.’</w:t>
      </w:r>
      <w:r w:rsidRPr="00505CF0">
        <w:rPr>
          <w:rStyle w:val="FootnoteReference"/>
          <w:rFonts w:asciiTheme="majorBidi" w:hAnsiTheme="majorBidi" w:cstheme="majorBidi"/>
          <w:sz w:val="24"/>
          <w:szCs w:val="24"/>
        </w:rPr>
        <w:footnoteReference w:id="341"/>
      </w:r>
      <w:r w:rsidRPr="00505CF0">
        <w:rPr>
          <w:rFonts w:asciiTheme="majorBidi" w:hAnsiTheme="majorBidi" w:cstheme="majorBidi"/>
          <w:sz w:val="24"/>
          <w:szCs w:val="24"/>
        </w:rPr>
        <w:t xml:space="preserve"> The inexplicable, in the metamodern, augments reality and hints at a desire for movement beyond postmodern meaninglessness: As Kumiko says, ‘how else can we live in this world that makes no sense?’ The intrusion of the mythic provides temporary relief from the pain and seeming injustice, or at least the indifference, of the everyday for Amanda, yet the same cannot be said of Spencer Black, the protagonist of E.B. Hudspeth’s </w:t>
      </w:r>
      <w:r w:rsidRPr="00505CF0">
        <w:rPr>
          <w:rFonts w:asciiTheme="majorBidi" w:hAnsiTheme="majorBidi" w:cstheme="majorBidi"/>
          <w:i/>
          <w:iCs/>
          <w:sz w:val="24"/>
          <w:szCs w:val="24"/>
        </w:rPr>
        <w:t xml:space="preserve">The Resurrectionist. </w:t>
      </w:r>
    </w:p>
    <w:p w14:paraId="0DC32D5D" w14:textId="33C20AB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iCs/>
          <w:sz w:val="24"/>
          <w:szCs w:val="24"/>
        </w:rPr>
        <w:t>The Resurrectionist</w:t>
      </w:r>
      <w:r w:rsidRPr="00505CF0">
        <w:rPr>
          <w:rFonts w:asciiTheme="majorBidi" w:hAnsiTheme="majorBidi" w:cstheme="majorBidi"/>
          <w:sz w:val="24"/>
          <w:szCs w:val="24"/>
        </w:rPr>
        <w:t xml:space="preserve"> is a novel of two halves, the first of which is the </w:t>
      </w:r>
      <w:r w:rsidR="004B6650">
        <w:rPr>
          <w:rFonts w:asciiTheme="majorBidi" w:hAnsiTheme="majorBidi" w:cstheme="majorBidi"/>
          <w:sz w:val="24"/>
          <w:szCs w:val="24"/>
        </w:rPr>
        <w:t>apparent</w:t>
      </w:r>
      <w:r w:rsidRPr="00505CF0">
        <w:rPr>
          <w:rFonts w:asciiTheme="majorBidi" w:hAnsiTheme="majorBidi" w:cstheme="majorBidi"/>
          <w:sz w:val="24"/>
          <w:szCs w:val="24"/>
        </w:rPr>
        <w:t xml:space="preserve"> biography of Dr Spencer Black, a 19</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century anatomist who, following several personal tragedies, becomes obsessed with the notion that such classical mythical beasts as the chimera, Pegasus, the mermaid, and the harpy, are all genetic ancestors of humankind. The story follows Black’s descent into obsession and his </w:t>
      </w:r>
      <w:r w:rsidR="004B6650">
        <w:rPr>
          <w:rFonts w:asciiTheme="majorBidi" w:hAnsiTheme="majorBidi" w:cstheme="majorBidi"/>
          <w:sz w:val="24"/>
          <w:szCs w:val="24"/>
        </w:rPr>
        <w:t>decline</w:t>
      </w:r>
      <w:r w:rsidR="004B6650" w:rsidRPr="00505CF0">
        <w:rPr>
          <w:rFonts w:asciiTheme="majorBidi" w:hAnsiTheme="majorBidi" w:cstheme="majorBidi"/>
          <w:sz w:val="24"/>
          <w:szCs w:val="24"/>
        </w:rPr>
        <w:t xml:space="preserve"> </w:t>
      </w:r>
      <w:r w:rsidRPr="00505CF0">
        <w:rPr>
          <w:rFonts w:asciiTheme="majorBidi" w:hAnsiTheme="majorBidi" w:cstheme="majorBidi"/>
          <w:sz w:val="24"/>
          <w:szCs w:val="24"/>
        </w:rPr>
        <w:t>from rising star of medical science and surgery</w:t>
      </w:r>
      <w:r w:rsidR="004B6650">
        <w:rPr>
          <w:rFonts w:asciiTheme="majorBidi" w:hAnsiTheme="majorBidi" w:cstheme="majorBidi"/>
          <w:sz w:val="24"/>
          <w:szCs w:val="24"/>
        </w:rPr>
        <w:t>,</w:t>
      </w:r>
      <w:r w:rsidRPr="00505CF0">
        <w:rPr>
          <w:rFonts w:asciiTheme="majorBidi" w:hAnsiTheme="majorBidi" w:cstheme="majorBidi"/>
          <w:sz w:val="24"/>
          <w:szCs w:val="24"/>
        </w:rPr>
        <w:t xml:space="preserve"> to circus side-show exhibitor, and</w:t>
      </w:r>
      <w:r w:rsidR="004B6650">
        <w:rPr>
          <w:rFonts w:asciiTheme="majorBidi" w:hAnsiTheme="majorBidi" w:cstheme="majorBidi"/>
          <w:sz w:val="24"/>
          <w:szCs w:val="24"/>
        </w:rPr>
        <w:t>,</w:t>
      </w:r>
      <w:r w:rsidRPr="00505CF0">
        <w:rPr>
          <w:rFonts w:asciiTheme="majorBidi" w:hAnsiTheme="majorBidi" w:cstheme="majorBidi"/>
          <w:sz w:val="24"/>
          <w:szCs w:val="24"/>
        </w:rPr>
        <w:t xml:space="preserve"> finally</w:t>
      </w:r>
      <w:r w:rsidR="004B6650">
        <w:rPr>
          <w:rFonts w:asciiTheme="majorBidi" w:hAnsiTheme="majorBidi" w:cstheme="majorBidi"/>
          <w:sz w:val="24"/>
          <w:szCs w:val="24"/>
        </w:rPr>
        <w:t>,</w:t>
      </w:r>
      <w:r w:rsidRPr="00505CF0">
        <w:rPr>
          <w:rFonts w:asciiTheme="majorBidi" w:hAnsiTheme="majorBidi" w:cstheme="majorBidi"/>
          <w:sz w:val="24"/>
          <w:szCs w:val="24"/>
        </w:rPr>
        <w:t xml:space="preserve"> to his death. The second half of the text is a facsimile of an academic text published by Black himself, </w:t>
      </w:r>
      <w:r w:rsidRPr="00505CF0">
        <w:rPr>
          <w:rFonts w:asciiTheme="majorBidi" w:hAnsiTheme="majorBidi" w:cstheme="majorBidi"/>
          <w:i/>
          <w:iCs/>
          <w:sz w:val="24"/>
          <w:szCs w:val="24"/>
        </w:rPr>
        <w:t>The Codex Extinct Animalia</w:t>
      </w:r>
      <w:r w:rsidRPr="00505CF0">
        <w:rPr>
          <w:rFonts w:asciiTheme="majorBidi" w:hAnsiTheme="majorBidi" w:cstheme="majorBidi"/>
          <w:sz w:val="24"/>
          <w:szCs w:val="24"/>
        </w:rPr>
        <w:t xml:space="preserve">, containing a series of extremely detailed anatomical drawings of Black’s creatures, including accurately labelled skeletal and muscular diagrams alongside minor notes from Black. </w:t>
      </w:r>
    </w:p>
    <w:p w14:paraId="13B00661" w14:textId="1766EE60"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Much like </w:t>
      </w:r>
      <w:r w:rsidRPr="00505CF0">
        <w:rPr>
          <w:rFonts w:asciiTheme="majorBidi" w:hAnsiTheme="majorBidi" w:cstheme="majorBidi"/>
          <w:i/>
          <w:iCs/>
          <w:sz w:val="24"/>
          <w:szCs w:val="24"/>
        </w:rPr>
        <w:t xml:space="preserve">The Crane Wife, </w:t>
      </w:r>
      <w:r w:rsidRPr="00505CF0">
        <w:rPr>
          <w:rFonts w:asciiTheme="majorBidi" w:hAnsiTheme="majorBidi" w:cstheme="majorBidi"/>
          <w:sz w:val="24"/>
          <w:szCs w:val="24"/>
        </w:rPr>
        <w:t xml:space="preserve">Hudspeth’s text falls into the category of metamodern literature, not just by virtue </w:t>
      </w:r>
      <w:proofErr w:type="gramStart"/>
      <w:r w:rsidRPr="00505CF0">
        <w:rPr>
          <w:rFonts w:asciiTheme="majorBidi" w:hAnsiTheme="majorBidi" w:cstheme="majorBidi"/>
          <w:sz w:val="24"/>
          <w:szCs w:val="24"/>
        </w:rPr>
        <w:t>of  publication</w:t>
      </w:r>
      <w:proofErr w:type="gramEnd"/>
      <w:r w:rsidRPr="00505CF0">
        <w:rPr>
          <w:rFonts w:asciiTheme="majorBidi" w:hAnsiTheme="majorBidi" w:cstheme="majorBidi"/>
          <w:sz w:val="24"/>
          <w:szCs w:val="24"/>
        </w:rPr>
        <w:t xml:space="preserve"> date, but in </w:t>
      </w:r>
      <w:r w:rsidR="004B6650">
        <w:rPr>
          <w:rFonts w:asciiTheme="majorBidi" w:hAnsiTheme="majorBidi" w:cstheme="majorBidi"/>
          <w:sz w:val="24"/>
          <w:szCs w:val="24"/>
        </w:rPr>
        <w:t>the</w:t>
      </w:r>
      <w:r w:rsidRPr="00505CF0">
        <w:rPr>
          <w:rFonts w:asciiTheme="majorBidi" w:hAnsiTheme="majorBidi" w:cstheme="majorBidi"/>
          <w:sz w:val="24"/>
          <w:szCs w:val="24"/>
        </w:rPr>
        <w:t xml:space="preserve"> clear attempt to transcend postmodern irony via the construction of sincere textuality. The text itself presents as a relatively paint-by-numbers Gothic affair, though the ironic twist, or parodic joke, never seems to arrive as it should in a text that adheres so stringently to Gothic conventions. Far from the oscillating register switches of Ness, Hudspeth’s text relies on Gothic tropes throughout, never attempting subversion or parody and, in doing so, forces a sincere reading of the story; the expectation of postmodern irony in a story that at first fits the genre so perfectly as to be parodic, is never fulfilled and, instead, the genre conventions are treated with a sincerity that denies the postmodern. The story itself, though, evidences the metamodern New Romantic sensibility, particularly the attempt to ‘turn the finite into the infinite, while recognizing that it can never be realized,’</w:t>
      </w:r>
      <w:r w:rsidRPr="00505CF0">
        <w:rPr>
          <w:rStyle w:val="FootnoteReference"/>
          <w:rFonts w:asciiTheme="majorBidi" w:hAnsiTheme="majorBidi" w:cstheme="majorBidi"/>
          <w:sz w:val="24"/>
          <w:szCs w:val="24"/>
        </w:rPr>
        <w:footnoteReference w:id="342"/>
      </w:r>
      <w:r w:rsidRPr="00505CF0">
        <w:rPr>
          <w:rFonts w:asciiTheme="majorBidi" w:hAnsiTheme="majorBidi" w:cstheme="majorBidi"/>
          <w:sz w:val="24"/>
          <w:szCs w:val="24"/>
        </w:rPr>
        <w:t xml:space="preserve"> through an oscillation between attempt and failure, as Spencer Black desperately attempts to re-myth the world, to bring back mythical creatures into the everyday, and the unfortunate failures and frightful successes he has in doing so. Black experiments on his eldest son, Alphonse, ‘completing a procedure that rendered him “ageless,”’</w:t>
      </w:r>
      <w:r w:rsidRPr="00505CF0">
        <w:rPr>
          <w:rStyle w:val="FootnoteReference"/>
          <w:rFonts w:asciiTheme="majorBidi" w:hAnsiTheme="majorBidi" w:cstheme="majorBidi"/>
          <w:sz w:val="24"/>
          <w:szCs w:val="24"/>
        </w:rPr>
        <w:footnoteReference w:id="343"/>
      </w:r>
      <w:r w:rsidRPr="00505CF0">
        <w:rPr>
          <w:rFonts w:asciiTheme="majorBidi" w:hAnsiTheme="majorBidi" w:cstheme="majorBidi"/>
          <w:sz w:val="24"/>
          <w:szCs w:val="24"/>
        </w:rPr>
        <w:t xml:space="preserve"> and </w:t>
      </w:r>
      <w:r w:rsidRPr="00505CF0">
        <w:rPr>
          <w:rFonts w:asciiTheme="majorBidi" w:hAnsiTheme="majorBidi" w:cstheme="majorBidi"/>
          <w:color w:val="000000" w:themeColor="text1"/>
          <w:sz w:val="24"/>
          <w:szCs w:val="24"/>
        </w:rPr>
        <w:t xml:space="preserve">turning him into </w:t>
      </w:r>
      <w:r w:rsidRPr="00505CF0">
        <w:rPr>
          <w:rFonts w:asciiTheme="majorBidi" w:hAnsiTheme="majorBidi" w:cstheme="majorBidi"/>
          <w:sz w:val="24"/>
          <w:szCs w:val="24"/>
        </w:rPr>
        <w:t>The Sleepless Man. Black is also revealed to have been operating on his severely injured wife – injured in her attempts to destroy his work with fire – turning her, as is implied by her head appearing on the monstrous diagrams within the codex,</w:t>
      </w:r>
      <w:r w:rsidRPr="00505CF0">
        <w:rPr>
          <w:rStyle w:val="FootnoteReference"/>
          <w:rFonts w:asciiTheme="majorBidi" w:hAnsiTheme="majorBidi" w:cstheme="majorBidi"/>
          <w:sz w:val="24"/>
          <w:szCs w:val="24"/>
        </w:rPr>
        <w:footnoteReference w:id="344"/>
      </w:r>
      <w:r w:rsidRPr="00505CF0">
        <w:rPr>
          <w:rFonts w:asciiTheme="majorBidi" w:hAnsiTheme="majorBidi" w:cstheme="majorBidi"/>
          <w:sz w:val="24"/>
          <w:szCs w:val="24"/>
        </w:rPr>
        <w:t xml:space="preserve"> into a whole host of mythological beasts before she ultimately kills him. The postmodern eye deconstructs the images in </w:t>
      </w:r>
      <w:r w:rsidRPr="00505CF0">
        <w:rPr>
          <w:rFonts w:asciiTheme="majorBidi" w:hAnsiTheme="majorBidi" w:cstheme="majorBidi"/>
          <w:i/>
          <w:iCs/>
          <w:sz w:val="24"/>
          <w:szCs w:val="24"/>
        </w:rPr>
        <w:t>The Codex Extinct Animalia</w:t>
      </w:r>
      <w:r w:rsidRPr="00505CF0">
        <w:rPr>
          <w:rFonts w:asciiTheme="majorBidi" w:hAnsiTheme="majorBidi" w:cstheme="majorBidi"/>
          <w:sz w:val="24"/>
          <w:szCs w:val="24"/>
        </w:rPr>
        <w:t xml:space="preserve">, while the modern eye marvels at their detail, and the oscillation between horror and wonder affirms the metamodern sensibility. </w:t>
      </w:r>
    </w:p>
    <w:p w14:paraId="62F1768D" w14:textId="77777777"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sz w:val="24"/>
          <w:szCs w:val="24"/>
        </w:rPr>
        <w:t xml:space="preserve">Again, much like Ness’s text, </w:t>
      </w:r>
      <w:r w:rsidRPr="00505CF0">
        <w:rPr>
          <w:rFonts w:asciiTheme="majorBidi" w:hAnsiTheme="majorBidi" w:cstheme="majorBidi"/>
          <w:i/>
          <w:iCs/>
          <w:sz w:val="24"/>
          <w:szCs w:val="24"/>
        </w:rPr>
        <w:t xml:space="preserve">The Resurrectionist </w:t>
      </w:r>
      <w:r w:rsidRPr="00505CF0">
        <w:rPr>
          <w:rFonts w:asciiTheme="majorBidi" w:hAnsiTheme="majorBidi" w:cstheme="majorBidi"/>
          <w:sz w:val="24"/>
          <w:szCs w:val="24"/>
        </w:rPr>
        <w:t>examines myth in terms of a desired augmentation to life, though here seen as a macabre, obsessive, and doomed endeavour. Black’s life is marked by repeated tragedy and death, beginning with that of his father after which he, according to his brother ‘leapt into [their] Father’s grave with all his heart, chasing after death to seek out its hiding place.’</w:t>
      </w:r>
      <w:r w:rsidRPr="00505CF0">
        <w:rPr>
          <w:rStyle w:val="FootnoteReference"/>
          <w:rFonts w:asciiTheme="majorBidi" w:hAnsiTheme="majorBidi" w:cstheme="majorBidi"/>
          <w:sz w:val="24"/>
          <w:szCs w:val="24"/>
        </w:rPr>
        <w:footnoteReference w:id="345"/>
      </w:r>
      <w:r w:rsidRPr="00505CF0">
        <w:rPr>
          <w:rFonts w:asciiTheme="majorBidi" w:hAnsiTheme="majorBidi" w:cstheme="majorBidi"/>
          <w:sz w:val="24"/>
          <w:szCs w:val="24"/>
        </w:rPr>
        <w:t xml:space="preserve"> This is later followed by </w:t>
      </w:r>
      <w:r w:rsidRPr="00505CF0">
        <w:rPr>
          <w:rFonts w:asciiTheme="majorBidi" w:hAnsiTheme="majorBidi" w:cstheme="majorBidi"/>
          <w:color w:val="000000" w:themeColor="text1"/>
          <w:sz w:val="24"/>
          <w:szCs w:val="24"/>
        </w:rPr>
        <w:t>the deaths of his children Victor and Elizabeth, their names an overt nod to the text’s Frankensteinian lineage. As a result, Black becomes obsessed with discovering and proving the mythic origins of humanity, validated by his accidental discovery of a preserved, satyr-like body:</w:t>
      </w:r>
    </w:p>
    <w:p w14:paraId="645DEBB8" w14:textId="77777777" w:rsidR="00C111D3" w:rsidRPr="00505CF0" w:rsidRDefault="00C111D3" w:rsidP="004C3EE0">
      <w:pPr>
        <w:spacing w:line="240" w:lineRule="auto"/>
        <w:ind w:firstLine="720"/>
        <w:jc w:val="both"/>
        <w:rPr>
          <w:rFonts w:asciiTheme="majorBidi" w:hAnsiTheme="majorBidi" w:cstheme="majorBidi"/>
          <w:color w:val="000000" w:themeColor="text1"/>
          <w:sz w:val="24"/>
          <w:szCs w:val="24"/>
        </w:rPr>
      </w:pPr>
    </w:p>
    <w:p w14:paraId="0228CC49" w14:textId="62D38FCC" w:rsidR="00C111D3" w:rsidRPr="00505CF0" w:rsidRDefault="00C111D3" w:rsidP="004C3EE0">
      <w:pPr>
        <w:spacing w:line="240" w:lineRule="auto"/>
        <w:ind w:left="737" w:right="737"/>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Black was convinced that the specimen held the secret to his research. He believed that the mutations were manifestations of the ancient past he had written about – evidence of a genetic code that was not completely eradicated […] the encounter with the fawn-child fuelled his obsession for finding a cure for the deformation that was paramount in his work. He would never again practise conventional medicine.</w:t>
      </w:r>
      <w:r w:rsidRPr="00505CF0">
        <w:rPr>
          <w:rStyle w:val="FootnoteReference"/>
          <w:rFonts w:asciiTheme="majorBidi" w:hAnsiTheme="majorBidi" w:cstheme="majorBidi"/>
          <w:color w:val="000000" w:themeColor="text1"/>
          <w:sz w:val="24"/>
          <w:szCs w:val="24"/>
        </w:rPr>
        <w:footnoteReference w:id="346"/>
      </w:r>
    </w:p>
    <w:p w14:paraId="7231C935" w14:textId="77777777"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p>
    <w:p w14:paraId="7B00FB67" w14:textId="21339B01"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sz w:val="24"/>
          <w:szCs w:val="24"/>
        </w:rPr>
        <w:t>Black’s obsession reveals a quest for, if not a specific meaning behind the seeming unpredictability of life (‘a triumph over the fate of man’</w:t>
      </w:r>
      <w:r w:rsidRPr="00505CF0">
        <w:rPr>
          <w:rStyle w:val="FootnoteReference"/>
          <w:rFonts w:asciiTheme="majorBidi" w:hAnsiTheme="majorBidi" w:cstheme="majorBidi"/>
          <w:sz w:val="24"/>
          <w:szCs w:val="24"/>
        </w:rPr>
        <w:footnoteReference w:id="347"/>
      </w:r>
      <w:r w:rsidRPr="00505CF0">
        <w:rPr>
          <w:rFonts w:asciiTheme="majorBidi" w:hAnsiTheme="majorBidi" w:cstheme="majorBidi"/>
          <w:sz w:val="24"/>
          <w:szCs w:val="24"/>
        </w:rPr>
        <w:t xml:space="preserve"> as he states of his own work), </w:t>
      </w:r>
      <w:r w:rsidRPr="00505CF0">
        <w:rPr>
          <w:rStyle w:val="FootnoteReference"/>
          <w:rFonts w:asciiTheme="majorBidi" w:hAnsiTheme="majorBidi" w:cstheme="majorBidi"/>
          <w:sz w:val="24"/>
          <w:szCs w:val="24"/>
        </w:rPr>
        <w:footnoteReference w:id="348"/>
      </w:r>
      <w:r w:rsidRPr="00505CF0">
        <w:rPr>
          <w:rFonts w:asciiTheme="majorBidi" w:hAnsiTheme="majorBidi" w:cstheme="majorBidi"/>
          <w:sz w:val="24"/>
          <w:szCs w:val="24"/>
        </w:rPr>
        <w:t xml:space="preserve"> then something approaching Vermeullen’s concept of ‘depthiness’ – </w:t>
      </w:r>
      <w:r w:rsidRPr="00505CF0">
        <w:rPr>
          <w:rFonts w:asciiTheme="majorBidi" w:hAnsiTheme="majorBidi" w:cstheme="majorBidi"/>
          <w:color w:val="000000" w:themeColor="text1"/>
          <w:sz w:val="24"/>
          <w:szCs w:val="24"/>
        </w:rPr>
        <w:t>looking below the postmodern surface and finding nothing to see, but exhibiting a desire to find something there nonetheless.</w:t>
      </w:r>
      <w:r w:rsidRPr="00505CF0">
        <w:rPr>
          <w:rStyle w:val="FootnoteReference"/>
          <w:rFonts w:asciiTheme="majorBidi" w:hAnsiTheme="majorBidi" w:cstheme="majorBidi"/>
          <w:color w:val="000000" w:themeColor="text1"/>
          <w:sz w:val="24"/>
          <w:szCs w:val="24"/>
        </w:rPr>
        <w:footnoteReference w:id="349"/>
      </w:r>
      <w:r w:rsidRPr="00505CF0">
        <w:rPr>
          <w:rFonts w:asciiTheme="majorBidi" w:hAnsiTheme="majorBidi" w:cstheme="majorBidi"/>
          <w:color w:val="000000" w:themeColor="text1"/>
          <w:sz w:val="24"/>
          <w:szCs w:val="24"/>
        </w:rPr>
        <w:t xml:space="preserve"> Black’s obsession with the search for something beyond the pain and seemingly chaotic nature </w:t>
      </w:r>
      <w:r w:rsidR="00372D64">
        <w:rPr>
          <w:rFonts w:asciiTheme="majorBidi" w:hAnsiTheme="majorBidi" w:cstheme="majorBidi"/>
          <w:color w:val="000000" w:themeColor="text1"/>
          <w:sz w:val="24"/>
          <w:szCs w:val="24"/>
        </w:rPr>
        <w:t xml:space="preserve">of existence </w:t>
      </w:r>
      <w:r w:rsidRPr="00505CF0">
        <w:rPr>
          <w:rFonts w:asciiTheme="majorBidi" w:hAnsiTheme="majorBidi" w:cstheme="majorBidi"/>
          <w:color w:val="000000" w:themeColor="text1"/>
          <w:sz w:val="24"/>
          <w:szCs w:val="24"/>
        </w:rPr>
        <w:t xml:space="preserve">expresses itself through a desire to augment the present with the mythical, much like the inarticulable desires of Amanda and George in </w:t>
      </w:r>
      <w:r w:rsidRPr="00505CF0">
        <w:rPr>
          <w:rFonts w:asciiTheme="majorBidi" w:hAnsiTheme="majorBidi" w:cstheme="majorBidi"/>
          <w:i/>
          <w:iCs/>
          <w:color w:val="000000" w:themeColor="text1"/>
          <w:sz w:val="24"/>
          <w:szCs w:val="24"/>
        </w:rPr>
        <w:t>The Crane Wife</w:t>
      </w:r>
      <w:r w:rsidRPr="00505CF0">
        <w:rPr>
          <w:rFonts w:asciiTheme="majorBidi" w:hAnsiTheme="majorBidi" w:cstheme="majorBidi"/>
          <w:color w:val="000000" w:themeColor="text1"/>
          <w:sz w:val="24"/>
          <w:szCs w:val="24"/>
        </w:rPr>
        <w:t xml:space="preserve">, though in Hudspeth’s text the protagonist actively seeks to drag the mythical into the realm of the everyday via his experimental manipulations of animal and human tissues, as evidenced ultimately by his decision to ‘revert’ his wife to her ancestral mythic form: </w:t>
      </w:r>
    </w:p>
    <w:p w14:paraId="6FB986A4" w14:textId="77777777" w:rsidR="00C111D3" w:rsidRPr="00505CF0" w:rsidRDefault="00C111D3" w:rsidP="004C3EE0">
      <w:pPr>
        <w:spacing w:line="240" w:lineRule="auto"/>
        <w:ind w:left="737" w:right="737" w:firstLine="720"/>
        <w:jc w:val="both"/>
        <w:rPr>
          <w:rFonts w:asciiTheme="majorBidi" w:hAnsiTheme="majorBidi" w:cstheme="majorBidi"/>
          <w:color w:val="000000" w:themeColor="text1"/>
          <w:sz w:val="24"/>
          <w:szCs w:val="24"/>
        </w:rPr>
      </w:pPr>
    </w:p>
    <w:p w14:paraId="3B6F34E5" w14:textId="6940646A" w:rsidR="00C111D3" w:rsidRPr="00505CF0" w:rsidRDefault="00C111D3" w:rsidP="004C3EE0">
      <w:pPr>
        <w:spacing w:line="240" w:lineRule="auto"/>
        <w:ind w:left="737" w:right="737"/>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I can hear Hell calling my name. Elise, my dear wife! I resolved to save her. I chose to give her a great gift, an ancient past resurrected. She was a descendent of a powerful species, the Fury. Elise is no longer the same woman, not is she one in the cracked body of burned flesh. She has emerged, she has awoken like the cicada […] I baptized her; with my knife, I saved her … again, I saved her.</w:t>
      </w:r>
      <w:r w:rsidRPr="00505CF0">
        <w:rPr>
          <w:rStyle w:val="FootnoteReference"/>
          <w:rFonts w:asciiTheme="majorBidi" w:hAnsiTheme="majorBidi" w:cstheme="majorBidi"/>
          <w:color w:val="000000" w:themeColor="text1"/>
          <w:sz w:val="24"/>
          <w:szCs w:val="24"/>
        </w:rPr>
        <w:footnoteReference w:id="350"/>
      </w:r>
    </w:p>
    <w:p w14:paraId="344CFDA6" w14:textId="77777777" w:rsidR="00C111D3" w:rsidRPr="00505CF0" w:rsidRDefault="00C111D3" w:rsidP="004C3EE0">
      <w:pPr>
        <w:spacing w:line="480" w:lineRule="auto"/>
        <w:ind w:left="737" w:right="737"/>
        <w:jc w:val="both"/>
        <w:rPr>
          <w:rFonts w:asciiTheme="majorBidi" w:hAnsiTheme="majorBidi" w:cstheme="majorBidi"/>
          <w:color w:val="000000" w:themeColor="text1"/>
          <w:sz w:val="24"/>
          <w:szCs w:val="24"/>
        </w:rPr>
      </w:pPr>
    </w:p>
    <w:p w14:paraId="08AB9596" w14:textId="66593882"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 xml:space="preserve">Myth, and additionally the representation of madness on Black’s part, becomes a means by which one can escape the seemingly random and painfully fickle nature of existence, though </w:t>
      </w:r>
      <w:r w:rsidRPr="00505CF0">
        <w:rPr>
          <w:rFonts w:asciiTheme="majorBidi" w:hAnsiTheme="majorBidi" w:cstheme="majorBidi"/>
          <w:i/>
          <w:iCs/>
          <w:color w:val="000000" w:themeColor="text1"/>
          <w:sz w:val="24"/>
          <w:szCs w:val="24"/>
        </w:rPr>
        <w:t>The Resurrectionist</w:t>
      </w:r>
      <w:r w:rsidRPr="00505CF0">
        <w:rPr>
          <w:rFonts w:asciiTheme="majorBidi" w:hAnsiTheme="majorBidi" w:cstheme="majorBidi"/>
          <w:color w:val="000000" w:themeColor="text1"/>
          <w:sz w:val="24"/>
          <w:szCs w:val="24"/>
        </w:rPr>
        <w:t xml:space="preserve"> points to a clear, polar opposite lesson to that of </w:t>
      </w:r>
      <w:r w:rsidRPr="00505CF0">
        <w:rPr>
          <w:rFonts w:asciiTheme="majorBidi" w:hAnsiTheme="majorBidi" w:cstheme="majorBidi"/>
          <w:i/>
          <w:iCs/>
          <w:color w:val="000000" w:themeColor="text1"/>
          <w:sz w:val="24"/>
          <w:szCs w:val="24"/>
        </w:rPr>
        <w:t>The Crane Wife</w:t>
      </w:r>
      <w:r w:rsidRPr="00505CF0">
        <w:rPr>
          <w:rFonts w:asciiTheme="majorBidi" w:hAnsiTheme="majorBidi" w:cstheme="majorBidi"/>
          <w:color w:val="000000" w:themeColor="text1"/>
          <w:sz w:val="24"/>
          <w:szCs w:val="24"/>
        </w:rPr>
        <w:t xml:space="preserve">; while Ness insinuates the need for the mythic to augment the everyday, as a cure for misanthropy, Hudspeth seems to argue that even such escapes, whether successes or failures, ultimately cannot mitigate the harshness of reality nor the finality of death, and the unpredictability of life. This is a sentiment, too, shared by Krysta, the protagonist of Eliza Granville’s </w:t>
      </w:r>
      <w:r w:rsidRPr="00505CF0">
        <w:rPr>
          <w:rFonts w:asciiTheme="majorBidi" w:hAnsiTheme="majorBidi" w:cstheme="majorBidi"/>
          <w:i/>
          <w:iCs/>
          <w:color w:val="000000" w:themeColor="text1"/>
          <w:sz w:val="24"/>
          <w:szCs w:val="24"/>
        </w:rPr>
        <w:t xml:space="preserve">Gretel and the Dark </w:t>
      </w:r>
      <w:r w:rsidRPr="00505CF0">
        <w:rPr>
          <w:rFonts w:asciiTheme="majorBidi" w:hAnsiTheme="majorBidi" w:cstheme="majorBidi"/>
          <w:color w:val="000000" w:themeColor="text1"/>
          <w:sz w:val="24"/>
          <w:szCs w:val="24"/>
        </w:rPr>
        <w:t>(2014)</w:t>
      </w:r>
      <w:r w:rsidR="000F0BA9">
        <w:rPr>
          <w:rFonts w:asciiTheme="majorBidi" w:hAnsiTheme="majorBidi" w:cstheme="majorBidi"/>
          <w:color w:val="000000" w:themeColor="text1"/>
          <w:sz w:val="24"/>
          <w:szCs w:val="24"/>
        </w:rPr>
        <w:t xml:space="preserve"> who emphatically writes that</w:t>
      </w:r>
      <w:r w:rsidRPr="00505CF0">
        <w:rPr>
          <w:rFonts w:asciiTheme="majorBidi" w:hAnsiTheme="majorBidi" w:cstheme="majorBidi"/>
          <w:color w:val="000000" w:themeColor="text1"/>
          <w:sz w:val="24"/>
          <w:szCs w:val="24"/>
        </w:rPr>
        <w:t xml:space="preserve"> ‘life is hard.’</w:t>
      </w:r>
      <w:r w:rsidRPr="00505CF0">
        <w:rPr>
          <w:rStyle w:val="FootnoteReference"/>
          <w:rFonts w:asciiTheme="majorBidi" w:hAnsiTheme="majorBidi" w:cstheme="majorBidi"/>
          <w:color w:val="000000" w:themeColor="text1"/>
          <w:sz w:val="24"/>
          <w:szCs w:val="24"/>
        </w:rPr>
        <w:footnoteReference w:id="351"/>
      </w:r>
    </w:p>
    <w:p w14:paraId="39964B86" w14:textId="07D9B2B0"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 xml:space="preserve">Both </w:t>
      </w:r>
      <w:r w:rsidRPr="00505CF0">
        <w:rPr>
          <w:rFonts w:asciiTheme="majorBidi" w:hAnsiTheme="majorBidi" w:cstheme="majorBidi"/>
          <w:i/>
          <w:iCs/>
          <w:color w:val="000000" w:themeColor="text1"/>
          <w:sz w:val="24"/>
          <w:szCs w:val="24"/>
        </w:rPr>
        <w:t>Gretel and the Dark</w:t>
      </w:r>
      <w:r w:rsidRPr="00505CF0">
        <w:rPr>
          <w:rFonts w:asciiTheme="majorBidi" w:hAnsiTheme="majorBidi" w:cstheme="majorBidi"/>
          <w:color w:val="000000" w:themeColor="text1"/>
          <w:sz w:val="24"/>
          <w:szCs w:val="24"/>
        </w:rPr>
        <w:t xml:space="preserve"> and John Connolly’s </w:t>
      </w:r>
      <w:r w:rsidRPr="00505CF0">
        <w:rPr>
          <w:rFonts w:asciiTheme="majorBidi" w:hAnsiTheme="majorBidi" w:cstheme="majorBidi"/>
          <w:i/>
          <w:iCs/>
          <w:color w:val="000000" w:themeColor="text1"/>
          <w:sz w:val="24"/>
          <w:szCs w:val="24"/>
        </w:rPr>
        <w:t>The Book of Lost Things</w:t>
      </w:r>
      <w:r w:rsidRPr="00505CF0">
        <w:rPr>
          <w:rFonts w:asciiTheme="majorBidi" w:hAnsiTheme="majorBidi" w:cstheme="majorBidi"/>
          <w:color w:val="000000" w:themeColor="text1"/>
          <w:sz w:val="24"/>
          <w:szCs w:val="24"/>
        </w:rPr>
        <w:t xml:space="preserve"> (2006) pose similar questions, though these texts focus on the manipulation of folklore over that of myth.   First, then, </w:t>
      </w:r>
      <w:r w:rsidRPr="00505CF0">
        <w:rPr>
          <w:rFonts w:asciiTheme="majorBidi" w:hAnsiTheme="majorBidi" w:cstheme="majorBidi"/>
          <w:i/>
          <w:iCs/>
          <w:color w:val="000000" w:themeColor="text1"/>
          <w:sz w:val="24"/>
          <w:szCs w:val="24"/>
        </w:rPr>
        <w:t xml:space="preserve">Gretel and the Dark </w:t>
      </w:r>
      <w:r w:rsidRPr="00505CF0">
        <w:rPr>
          <w:rFonts w:asciiTheme="majorBidi" w:hAnsiTheme="majorBidi" w:cstheme="majorBidi"/>
          <w:color w:val="000000" w:themeColor="text1"/>
          <w:sz w:val="24"/>
          <w:szCs w:val="24"/>
        </w:rPr>
        <w:t xml:space="preserve">is a dual-narrative holocaust novel in which one narrative follows the horrors of a concentration camp as seen through the eyes of Krysta, while, in the second narrative, in pre-war Vienna, Josef Breuer struggles to discover the identity of young girl, whom he names Lilie, found naked and claiming not to be a human, but an idea sent back from the future to kill The Monster, a thin allusion to Adolf Hitler. The folkloric elements predominate in the Krysta passages, as she continually remembers the allegorical tales told to her by her former nanny, though these soon turn into an expression of, and escape from, Krysta’s sexual abuse at the hands of the Nazi officer ‘uncle’ Hraben. The content of Krysta’s plot is dark, yet the folk tales and memories which she retreats into are equally so, detailing parables </w:t>
      </w:r>
      <w:r w:rsidR="000F41D4">
        <w:rPr>
          <w:rFonts w:asciiTheme="majorBidi" w:hAnsiTheme="majorBidi" w:cstheme="majorBidi"/>
          <w:color w:val="000000" w:themeColor="text1"/>
          <w:sz w:val="24"/>
          <w:szCs w:val="24"/>
        </w:rPr>
        <w:t>ranging from</w:t>
      </w:r>
      <w:r w:rsidR="000F41D4" w:rsidRPr="00505CF0">
        <w:rPr>
          <w:rFonts w:asciiTheme="majorBidi" w:hAnsiTheme="majorBidi" w:cstheme="majorBidi"/>
          <w:color w:val="000000" w:themeColor="text1"/>
          <w:sz w:val="24"/>
          <w:szCs w:val="24"/>
        </w:rPr>
        <w:t xml:space="preserve"> </w:t>
      </w:r>
      <w:r w:rsidRPr="00505CF0">
        <w:rPr>
          <w:rFonts w:asciiTheme="majorBidi" w:hAnsiTheme="majorBidi" w:cstheme="majorBidi"/>
          <w:color w:val="000000" w:themeColor="text1"/>
          <w:sz w:val="24"/>
          <w:szCs w:val="24"/>
        </w:rPr>
        <w:t>a scissor man coming to cut off sucked-thumbs, to the rape and murder of a young woman while two women hide nearby.</w:t>
      </w:r>
      <w:r w:rsidRPr="00505CF0">
        <w:rPr>
          <w:rStyle w:val="FootnoteReference"/>
          <w:rFonts w:asciiTheme="majorBidi" w:hAnsiTheme="majorBidi" w:cstheme="majorBidi"/>
          <w:color w:val="000000" w:themeColor="text1"/>
          <w:sz w:val="24"/>
          <w:szCs w:val="24"/>
        </w:rPr>
        <w:footnoteReference w:id="352"/>
      </w:r>
      <w:r w:rsidRPr="00505CF0">
        <w:rPr>
          <w:rFonts w:asciiTheme="majorBidi" w:hAnsiTheme="majorBidi" w:cstheme="majorBidi"/>
          <w:color w:val="000000" w:themeColor="text1"/>
          <w:sz w:val="24"/>
          <w:szCs w:val="24"/>
        </w:rPr>
        <w:t xml:space="preserve"> This latter story is recalled by Krysta in lieu of depictions of her sexual abuse, yet, as it is repeated multiple times in the latter end of the text,</w:t>
      </w:r>
      <w:r w:rsidRPr="00505CF0">
        <w:rPr>
          <w:rStyle w:val="FootnoteReference"/>
          <w:rFonts w:asciiTheme="majorBidi" w:hAnsiTheme="majorBidi" w:cstheme="majorBidi"/>
          <w:color w:val="000000" w:themeColor="text1"/>
          <w:sz w:val="24"/>
          <w:szCs w:val="24"/>
        </w:rPr>
        <w:t xml:space="preserve"> </w:t>
      </w:r>
      <w:r w:rsidRPr="00505CF0">
        <w:rPr>
          <w:rStyle w:val="FootnoteReference"/>
          <w:rFonts w:asciiTheme="majorBidi" w:hAnsiTheme="majorBidi" w:cstheme="majorBidi"/>
          <w:color w:val="000000" w:themeColor="text1"/>
          <w:sz w:val="24"/>
          <w:szCs w:val="24"/>
        </w:rPr>
        <w:footnoteReference w:id="353"/>
      </w:r>
      <w:r w:rsidRPr="00505CF0">
        <w:rPr>
          <w:rFonts w:asciiTheme="majorBidi" w:hAnsiTheme="majorBidi" w:cstheme="majorBidi"/>
          <w:color w:val="000000" w:themeColor="text1"/>
          <w:sz w:val="24"/>
          <w:szCs w:val="24"/>
        </w:rPr>
        <w:t xml:space="preserve"> it serves only to reinforce the repeated nature of the attacks and the inability of the young girl to fully comprehend</w:t>
      </w:r>
      <w:r w:rsidR="00DD20CE">
        <w:rPr>
          <w:rFonts w:asciiTheme="majorBidi" w:hAnsiTheme="majorBidi" w:cstheme="majorBidi"/>
          <w:color w:val="000000" w:themeColor="text1"/>
          <w:sz w:val="24"/>
          <w:szCs w:val="24"/>
        </w:rPr>
        <w:t xml:space="preserve"> (or perhaps, more accurately, to bear to repeat)</w:t>
      </w:r>
      <w:r w:rsidRPr="00505CF0">
        <w:rPr>
          <w:rFonts w:asciiTheme="majorBidi" w:hAnsiTheme="majorBidi" w:cstheme="majorBidi"/>
          <w:color w:val="000000" w:themeColor="text1"/>
          <w:sz w:val="24"/>
          <w:szCs w:val="24"/>
        </w:rPr>
        <w:t xml:space="preserve"> the nature of these events. Krysta is not retreating into the story, so much as covering some of the pain of her existence with a more metaphorical version that distances the acts from the teller. Krysta’s version nonetheless reveals the terrible acts forced upon her, but in doing so ties these acts to the allegorical, providing some form of meaning or lesson from trauma. While not explicit in the retellings, there is an implicit desire for justice that pervades these repetitions. In the original telling, the robbers who rape and murder the young girl are later brought to trial, before being ‘flayed alive and beheaded with axes.’</w:t>
      </w:r>
      <w:r w:rsidRPr="00505CF0">
        <w:rPr>
          <w:rStyle w:val="FootnoteReference"/>
          <w:rFonts w:asciiTheme="majorBidi" w:hAnsiTheme="majorBidi" w:cstheme="majorBidi"/>
          <w:color w:val="000000" w:themeColor="text1"/>
          <w:sz w:val="24"/>
          <w:szCs w:val="24"/>
        </w:rPr>
        <w:footnoteReference w:id="354"/>
      </w:r>
      <w:r w:rsidRPr="00505CF0">
        <w:rPr>
          <w:rFonts w:asciiTheme="majorBidi" w:hAnsiTheme="majorBidi" w:cstheme="majorBidi"/>
          <w:color w:val="000000" w:themeColor="text1"/>
          <w:sz w:val="24"/>
          <w:szCs w:val="24"/>
        </w:rPr>
        <w:t xml:space="preserve"> In leaving out this ending to the tale in her retellings, and the tale repeatedly shrinking to focus entirely on the rape section, Krysta’s desire for retaliation, for those who abuse her to receive a fitting justice or judgment, is slowly seen to diminish, and disappear entirely, until there is seemingly no possibility of justice for Krysta nor punishment for the perpetrators of the act.</w:t>
      </w:r>
      <w:r w:rsidR="00ED4026">
        <w:rPr>
          <w:rStyle w:val="FootnoteReference"/>
          <w:rFonts w:asciiTheme="majorBidi" w:hAnsiTheme="majorBidi" w:cstheme="majorBidi"/>
          <w:color w:val="000000" w:themeColor="text1"/>
          <w:sz w:val="24"/>
          <w:szCs w:val="24"/>
        </w:rPr>
        <w:footnoteReference w:id="355"/>
      </w:r>
      <w:r w:rsidRPr="00505CF0">
        <w:rPr>
          <w:rFonts w:asciiTheme="majorBidi" w:hAnsiTheme="majorBidi" w:cstheme="majorBidi"/>
          <w:color w:val="000000" w:themeColor="text1"/>
          <w:sz w:val="24"/>
          <w:szCs w:val="24"/>
        </w:rPr>
        <w:t xml:space="preserve"> </w:t>
      </w:r>
    </w:p>
    <w:p w14:paraId="55DC17B7" w14:textId="77D30205"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 xml:space="preserve">Folk stories and oral tales do not, in Granville’s text, completely hide the seemingly terrible nature of existence, but rather mask it in the form of a lesson, suggesting some potential meaning to be gained or </w:t>
      </w:r>
      <w:r w:rsidR="00DD20CE" w:rsidRPr="00505CF0">
        <w:rPr>
          <w:rFonts w:asciiTheme="majorBidi" w:hAnsiTheme="majorBidi" w:cstheme="majorBidi"/>
          <w:color w:val="000000" w:themeColor="text1"/>
          <w:sz w:val="24"/>
          <w:szCs w:val="24"/>
        </w:rPr>
        <w:t>moral</w:t>
      </w:r>
      <w:r w:rsidRPr="00505CF0">
        <w:rPr>
          <w:rFonts w:asciiTheme="majorBidi" w:hAnsiTheme="majorBidi" w:cstheme="majorBidi"/>
          <w:color w:val="000000" w:themeColor="text1"/>
          <w:sz w:val="24"/>
          <w:szCs w:val="24"/>
        </w:rPr>
        <w:t xml:space="preserve"> learned, even when there seems to be none. In doing so, much like Black in </w:t>
      </w:r>
      <w:r w:rsidRPr="00505CF0">
        <w:rPr>
          <w:rFonts w:asciiTheme="majorBidi" w:hAnsiTheme="majorBidi" w:cstheme="majorBidi"/>
          <w:i/>
          <w:iCs/>
          <w:color w:val="000000" w:themeColor="text1"/>
          <w:sz w:val="24"/>
          <w:szCs w:val="24"/>
        </w:rPr>
        <w:t>The Resurrectionist</w:t>
      </w:r>
      <w:r w:rsidRPr="00505CF0">
        <w:rPr>
          <w:rFonts w:asciiTheme="majorBidi" w:hAnsiTheme="majorBidi" w:cstheme="majorBidi"/>
          <w:color w:val="000000" w:themeColor="text1"/>
          <w:sz w:val="24"/>
          <w:szCs w:val="24"/>
        </w:rPr>
        <w:t xml:space="preserve">, </w:t>
      </w:r>
      <w:r w:rsidR="00DD20CE">
        <w:rPr>
          <w:rFonts w:asciiTheme="majorBidi" w:hAnsiTheme="majorBidi" w:cstheme="majorBidi"/>
          <w:color w:val="000000" w:themeColor="text1"/>
          <w:sz w:val="24"/>
          <w:szCs w:val="24"/>
        </w:rPr>
        <w:t xml:space="preserve">the </w:t>
      </w:r>
      <w:r w:rsidRPr="00505CF0">
        <w:rPr>
          <w:rFonts w:asciiTheme="majorBidi" w:hAnsiTheme="majorBidi" w:cstheme="majorBidi"/>
          <w:color w:val="000000" w:themeColor="text1"/>
          <w:sz w:val="24"/>
          <w:szCs w:val="24"/>
        </w:rPr>
        <w:t xml:space="preserve">narrative becomes a force highlighting the dark nature of existence while suggesting a desire for something </w:t>
      </w:r>
      <w:r w:rsidRPr="00505CF0">
        <w:rPr>
          <w:rFonts w:asciiTheme="majorBidi" w:hAnsiTheme="majorBidi" w:cstheme="majorBidi"/>
          <w:i/>
          <w:iCs/>
          <w:color w:val="000000" w:themeColor="text1"/>
          <w:sz w:val="24"/>
          <w:szCs w:val="24"/>
        </w:rPr>
        <w:t>beyond</w:t>
      </w:r>
      <w:r w:rsidRPr="00505CF0">
        <w:rPr>
          <w:rFonts w:asciiTheme="majorBidi" w:hAnsiTheme="majorBidi" w:cstheme="majorBidi"/>
          <w:color w:val="000000" w:themeColor="text1"/>
          <w:sz w:val="24"/>
          <w:szCs w:val="24"/>
        </w:rPr>
        <w:t xml:space="preserve">: for an unquantifiable meaning or layer behind the terrible events which may help to justify the pain inflicted upon the characters, and by association the writer, or indeed reader. This is reflected in the final moments of </w:t>
      </w:r>
      <w:r w:rsidRPr="00505CF0">
        <w:rPr>
          <w:rFonts w:asciiTheme="majorBidi" w:hAnsiTheme="majorBidi" w:cstheme="majorBidi"/>
          <w:i/>
          <w:iCs/>
          <w:color w:val="000000" w:themeColor="text1"/>
          <w:sz w:val="24"/>
          <w:szCs w:val="24"/>
        </w:rPr>
        <w:t>Gretel and the Dark</w:t>
      </w:r>
      <w:r w:rsidRPr="00505CF0">
        <w:rPr>
          <w:rFonts w:asciiTheme="majorBidi" w:hAnsiTheme="majorBidi" w:cstheme="majorBidi"/>
          <w:color w:val="000000" w:themeColor="text1"/>
          <w:sz w:val="24"/>
          <w:szCs w:val="24"/>
        </w:rPr>
        <w:t xml:space="preserve">, in which an elderly Krysta outlines the seeming philosophy of the text: </w:t>
      </w:r>
    </w:p>
    <w:p w14:paraId="77869E9E" w14:textId="77777777" w:rsidR="00C111D3" w:rsidRPr="00505CF0" w:rsidRDefault="00C111D3" w:rsidP="004C3EE0">
      <w:pPr>
        <w:spacing w:line="240" w:lineRule="auto"/>
        <w:ind w:firstLine="720"/>
        <w:jc w:val="both"/>
        <w:rPr>
          <w:rFonts w:asciiTheme="majorBidi" w:hAnsiTheme="majorBidi" w:cstheme="majorBidi"/>
          <w:color w:val="000000" w:themeColor="text1"/>
          <w:sz w:val="24"/>
          <w:szCs w:val="24"/>
        </w:rPr>
      </w:pPr>
    </w:p>
    <w:p w14:paraId="02801D1F" w14:textId="77777777" w:rsidR="00C111D3" w:rsidRPr="00505CF0" w:rsidRDefault="00C111D3" w:rsidP="004C3EE0">
      <w:pPr>
        <w:spacing w:line="240" w:lineRule="auto"/>
        <w:ind w:left="737" w:right="737"/>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‘Books,’ I repeat, for they’ve not only been a solace during the long years but also provided the keys to understanding other people’s ideas and achievements, their hopes and fears, quirks and foibles, their dreams… their demons.</w:t>
      </w:r>
      <w:r w:rsidRPr="00505CF0">
        <w:rPr>
          <w:rStyle w:val="FootnoteReference"/>
          <w:rFonts w:asciiTheme="majorBidi" w:hAnsiTheme="majorBidi" w:cstheme="majorBidi"/>
          <w:color w:val="000000" w:themeColor="text1"/>
          <w:sz w:val="24"/>
          <w:szCs w:val="24"/>
        </w:rPr>
        <w:footnoteReference w:id="356"/>
      </w:r>
      <w:r w:rsidRPr="00505CF0">
        <w:rPr>
          <w:rFonts w:asciiTheme="majorBidi" w:hAnsiTheme="majorBidi" w:cstheme="majorBidi"/>
          <w:color w:val="000000" w:themeColor="text1"/>
          <w:sz w:val="24"/>
          <w:szCs w:val="24"/>
        </w:rPr>
        <w:t xml:space="preserve"> </w:t>
      </w:r>
    </w:p>
    <w:p w14:paraId="07E9DC59" w14:textId="77777777" w:rsidR="00C111D3" w:rsidRPr="00505CF0" w:rsidRDefault="00C111D3" w:rsidP="004C3EE0">
      <w:pPr>
        <w:spacing w:line="240" w:lineRule="auto"/>
        <w:ind w:firstLine="720"/>
        <w:jc w:val="both"/>
        <w:rPr>
          <w:rFonts w:asciiTheme="majorBidi" w:hAnsiTheme="majorBidi" w:cstheme="majorBidi"/>
          <w:color w:val="000000" w:themeColor="text1"/>
          <w:sz w:val="24"/>
          <w:szCs w:val="24"/>
        </w:rPr>
      </w:pPr>
    </w:p>
    <w:p w14:paraId="31B6EAA6" w14:textId="77777777" w:rsidR="00C111D3" w:rsidRPr="00505CF0" w:rsidRDefault="00C111D3" w:rsidP="004C3EE0">
      <w:pPr>
        <w:spacing w:line="240" w:lineRule="auto"/>
        <w:ind w:firstLine="720"/>
        <w:jc w:val="both"/>
        <w:rPr>
          <w:rFonts w:asciiTheme="majorBidi" w:hAnsiTheme="majorBidi" w:cstheme="majorBidi"/>
          <w:color w:val="000000" w:themeColor="text1"/>
          <w:sz w:val="24"/>
          <w:szCs w:val="24"/>
        </w:rPr>
      </w:pPr>
    </w:p>
    <w:p w14:paraId="5154A222" w14:textId="516B8953" w:rsidR="00C111D3" w:rsidRPr="00505CF0" w:rsidRDefault="00C111D3" w:rsidP="004C3EE0">
      <w:pPr>
        <w:spacing w:line="480" w:lineRule="auto"/>
        <w:ind w:firstLine="720"/>
        <w:jc w:val="both"/>
        <w:rPr>
          <w:rFonts w:asciiTheme="majorBidi" w:hAnsiTheme="majorBidi" w:cstheme="majorBidi"/>
          <w:color w:val="000000" w:themeColor="text1"/>
          <w:sz w:val="24"/>
          <w:szCs w:val="24"/>
        </w:rPr>
      </w:pPr>
      <w:r w:rsidRPr="00505CF0">
        <w:rPr>
          <w:rFonts w:asciiTheme="majorBidi" w:hAnsiTheme="majorBidi" w:cstheme="majorBidi"/>
          <w:color w:val="000000" w:themeColor="text1"/>
          <w:sz w:val="24"/>
          <w:szCs w:val="24"/>
        </w:rPr>
        <w:t>Through myth, folklore, and narrative, we are able to explore and experience ideas that would otherwise remain closed to us</w:t>
      </w:r>
      <w:r w:rsidR="00DD20CE">
        <w:rPr>
          <w:rFonts w:asciiTheme="majorBidi" w:hAnsiTheme="majorBidi" w:cstheme="majorBidi"/>
          <w:color w:val="000000" w:themeColor="text1"/>
          <w:sz w:val="24"/>
          <w:szCs w:val="24"/>
        </w:rPr>
        <w:t>,</w:t>
      </w:r>
      <w:r w:rsidRPr="00505CF0">
        <w:rPr>
          <w:rFonts w:asciiTheme="majorBidi" w:hAnsiTheme="majorBidi" w:cstheme="majorBidi"/>
          <w:color w:val="000000" w:themeColor="text1"/>
          <w:sz w:val="24"/>
          <w:szCs w:val="24"/>
        </w:rPr>
        <w:t xml:space="preserve"> even if those ideas only serve to highlight the dark nature of existence, whether within the contemporary or suggesting that this state of affairs has been constant across history. Mythic and folkloric narratives, in these metamodern texts, outline a clear desire to investigate a meaning beyond the postmodern, or at the very least serve as evidence of a new re-analysis of the role of myth in instigating conversations about </w:t>
      </w:r>
      <w:r w:rsidR="00DD20CE">
        <w:rPr>
          <w:rFonts w:asciiTheme="majorBidi" w:hAnsiTheme="majorBidi" w:cstheme="majorBidi"/>
          <w:color w:val="000000" w:themeColor="text1"/>
          <w:sz w:val="24"/>
          <w:szCs w:val="24"/>
        </w:rPr>
        <w:t>such a desire</w:t>
      </w:r>
      <w:proofErr w:type="gramStart"/>
      <w:r w:rsidR="00DD20CE">
        <w:rPr>
          <w:rFonts w:asciiTheme="majorBidi" w:hAnsiTheme="majorBidi" w:cstheme="majorBidi"/>
          <w:color w:val="000000" w:themeColor="text1"/>
          <w:sz w:val="24"/>
          <w:szCs w:val="24"/>
        </w:rPr>
        <w:t>.</w:t>
      </w:r>
      <w:r w:rsidRPr="00505CF0">
        <w:rPr>
          <w:rFonts w:asciiTheme="majorBidi" w:hAnsiTheme="majorBidi" w:cstheme="majorBidi"/>
          <w:color w:val="000000" w:themeColor="text1"/>
          <w:sz w:val="24"/>
          <w:szCs w:val="24"/>
        </w:rPr>
        <w:t>.</w:t>
      </w:r>
      <w:proofErr w:type="gramEnd"/>
      <w:r w:rsidRPr="00505CF0">
        <w:rPr>
          <w:rFonts w:asciiTheme="majorBidi" w:hAnsiTheme="majorBidi" w:cstheme="majorBidi"/>
          <w:color w:val="000000" w:themeColor="text1"/>
          <w:sz w:val="24"/>
          <w:szCs w:val="24"/>
        </w:rPr>
        <w:t xml:space="preserve"> While firmly situated within the metamodern double bind of doubt, such texts oscillate between desire for a relief from ontological dissatisfaction, and a postmodernism programmed existential nihilism, and utilise myth in order to foreground such issues. Of course, the texts presented here are merely three among a plethora of other such novels evidencing this trend: John Connolly’s </w:t>
      </w:r>
      <w:r w:rsidRPr="00505CF0">
        <w:rPr>
          <w:rFonts w:asciiTheme="majorBidi" w:hAnsiTheme="majorBidi" w:cstheme="majorBidi"/>
          <w:i/>
          <w:iCs/>
          <w:color w:val="000000" w:themeColor="text1"/>
          <w:sz w:val="24"/>
          <w:szCs w:val="24"/>
        </w:rPr>
        <w:t>The Book of Lost Things</w:t>
      </w:r>
      <w:r w:rsidRPr="00505CF0">
        <w:rPr>
          <w:rFonts w:asciiTheme="majorBidi" w:hAnsiTheme="majorBidi" w:cstheme="majorBidi"/>
          <w:color w:val="000000" w:themeColor="text1"/>
          <w:sz w:val="24"/>
          <w:szCs w:val="24"/>
        </w:rPr>
        <w:t>, for example, deals with folklore as a means of cathartic release and personal growth via the blurring of folkloric and personal anxieties in a world filled with ‘great grief as well as great happiness, with suffering and regret as well as triumphs and contentment’;</w:t>
      </w:r>
      <w:r w:rsidRPr="00505CF0">
        <w:rPr>
          <w:rStyle w:val="FootnoteReference"/>
          <w:rFonts w:asciiTheme="majorBidi" w:hAnsiTheme="majorBidi" w:cstheme="majorBidi"/>
          <w:color w:val="000000" w:themeColor="text1"/>
          <w:sz w:val="24"/>
          <w:szCs w:val="24"/>
        </w:rPr>
        <w:footnoteReference w:id="357"/>
      </w:r>
      <w:r w:rsidRPr="00505CF0">
        <w:rPr>
          <w:rFonts w:asciiTheme="majorBidi" w:hAnsiTheme="majorBidi" w:cstheme="majorBidi"/>
          <w:color w:val="000000" w:themeColor="text1"/>
          <w:sz w:val="24"/>
          <w:szCs w:val="24"/>
        </w:rPr>
        <w:t xml:space="preserve"> Kazuo Ishiguro’s </w:t>
      </w:r>
      <w:r w:rsidRPr="00505CF0">
        <w:rPr>
          <w:rFonts w:asciiTheme="majorBidi" w:hAnsiTheme="majorBidi" w:cstheme="majorBidi"/>
          <w:i/>
          <w:iCs/>
          <w:color w:val="000000" w:themeColor="text1"/>
          <w:sz w:val="24"/>
          <w:szCs w:val="24"/>
        </w:rPr>
        <w:t>The Buried Giant</w:t>
      </w:r>
      <w:r w:rsidRPr="00505CF0">
        <w:rPr>
          <w:rFonts w:asciiTheme="majorBidi" w:hAnsiTheme="majorBidi" w:cstheme="majorBidi"/>
          <w:color w:val="000000" w:themeColor="text1"/>
          <w:sz w:val="24"/>
          <w:szCs w:val="24"/>
        </w:rPr>
        <w:t xml:space="preserve"> sets an examination of love and marriage within a mythic mode, emphasising the harshness of existence via the protagonist’s journey through a pseudo-feudal Britain in contrast with the sincerity of the desires of the protagonists Axl and Beatrice to be loved by one another and remain together regardless of all else; and the protagonist of Paul Kingsnorth’s </w:t>
      </w:r>
      <w:r w:rsidRPr="00505CF0">
        <w:rPr>
          <w:rFonts w:asciiTheme="majorBidi" w:hAnsiTheme="majorBidi" w:cstheme="majorBidi"/>
          <w:i/>
          <w:iCs/>
          <w:color w:val="000000" w:themeColor="text1"/>
          <w:sz w:val="24"/>
          <w:szCs w:val="24"/>
        </w:rPr>
        <w:t>Beast</w:t>
      </w:r>
      <w:r w:rsidRPr="00505CF0">
        <w:rPr>
          <w:rFonts w:asciiTheme="majorBidi" w:hAnsiTheme="majorBidi" w:cstheme="majorBidi"/>
          <w:color w:val="000000" w:themeColor="text1"/>
          <w:sz w:val="24"/>
          <w:szCs w:val="24"/>
        </w:rPr>
        <w:t>, in which a confrontation with a mythic-seeming cat creature that stalks him through a hazy landscape of amnesia and self-annihilation, forces the character to ultimately grasp the importance of familial relationships in the face of the realisation that ‘nothing is really clear, but this no longer seems to matter. I once thought that my challenge was to understand everything, to build a structure in my mind that would support all that I experienced in the world. But there is no structure that will not fall in the end and crush you under it’.</w:t>
      </w:r>
      <w:r w:rsidRPr="00505CF0">
        <w:rPr>
          <w:rStyle w:val="FootnoteReference"/>
          <w:rFonts w:asciiTheme="majorBidi" w:hAnsiTheme="majorBidi" w:cstheme="majorBidi"/>
          <w:color w:val="000000" w:themeColor="text1"/>
          <w:sz w:val="24"/>
          <w:szCs w:val="24"/>
        </w:rPr>
        <w:footnoteReference w:id="358"/>
      </w:r>
      <w:r w:rsidRPr="00505CF0">
        <w:rPr>
          <w:rFonts w:asciiTheme="majorBidi" w:hAnsiTheme="majorBidi" w:cstheme="majorBidi"/>
          <w:color w:val="000000" w:themeColor="text1"/>
          <w:sz w:val="24"/>
          <w:szCs w:val="24"/>
        </w:rPr>
        <w:t xml:space="preserve"> </w:t>
      </w:r>
    </w:p>
    <w:p w14:paraId="36DCDA04"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p>
    <w:p w14:paraId="51A49D93"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p>
    <w:p w14:paraId="333DED3D"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3.2</w:t>
      </w:r>
      <w:r w:rsidRPr="00505CF0">
        <w:rPr>
          <w:rFonts w:asciiTheme="majorBidi" w:eastAsia="Times New Roman" w:hAnsiTheme="majorBidi" w:cstheme="majorBidi"/>
          <w:b/>
          <w:sz w:val="28"/>
          <w:szCs w:val="28"/>
          <w:lang w:eastAsia="en-US"/>
        </w:rPr>
        <w:tab/>
        <w:t>Tripping the Metamodern Fantastic</w:t>
      </w:r>
    </w:p>
    <w:p w14:paraId="69C31905"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7CA3C92D" w14:textId="3FE55440"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The use of mythical and folkloric modes participate</w:t>
      </w:r>
      <w:r w:rsidR="006D1333">
        <w:rPr>
          <w:rFonts w:asciiTheme="majorBidi" w:eastAsia="Times New Roman" w:hAnsiTheme="majorBidi" w:cstheme="majorBidi"/>
          <w:bCs/>
          <w:sz w:val="24"/>
          <w:szCs w:val="24"/>
          <w:lang w:eastAsia="en-US"/>
        </w:rPr>
        <w:t>s</w:t>
      </w:r>
      <w:r w:rsidRPr="00505CF0">
        <w:rPr>
          <w:rFonts w:asciiTheme="majorBidi" w:eastAsia="Times New Roman" w:hAnsiTheme="majorBidi" w:cstheme="majorBidi"/>
          <w:bCs/>
          <w:sz w:val="24"/>
          <w:szCs w:val="24"/>
          <w:lang w:eastAsia="en-US"/>
        </w:rPr>
        <w:t xml:space="preserve"> in a particular metamodern oscillationbetween desire for depth despite the knowledge of depthlessness, reacting, as Dempsey states, ‘not only against a discredited notion of transcendence but also against the unfulfilling shallowness and existential disorientation caused by postmodern surface.’</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359"/>
      </w:r>
      <w:r w:rsidRPr="00505CF0">
        <w:rPr>
          <w:rFonts w:asciiTheme="majorBidi" w:eastAsia="Times New Roman" w:hAnsiTheme="majorBidi" w:cstheme="majorBidi"/>
          <w:bCs/>
          <w:sz w:val="24"/>
          <w:szCs w:val="24"/>
          <w:lang w:eastAsia="en-US"/>
        </w:rPr>
        <w:t xml:space="preserve"> While significant in and of </w:t>
      </w:r>
      <w:proofErr w:type="gramStart"/>
      <w:r w:rsidRPr="00505CF0">
        <w:rPr>
          <w:rFonts w:asciiTheme="majorBidi" w:eastAsia="Times New Roman" w:hAnsiTheme="majorBidi" w:cstheme="majorBidi"/>
          <w:bCs/>
          <w:sz w:val="24"/>
          <w:szCs w:val="24"/>
          <w:lang w:eastAsia="en-US"/>
        </w:rPr>
        <w:t>itself</w:t>
      </w:r>
      <w:proofErr w:type="gramEnd"/>
      <w:r w:rsidRPr="00505CF0">
        <w:rPr>
          <w:rFonts w:asciiTheme="majorBidi" w:eastAsia="Times New Roman" w:hAnsiTheme="majorBidi" w:cstheme="majorBidi"/>
          <w:bCs/>
          <w:sz w:val="24"/>
          <w:szCs w:val="24"/>
          <w:lang w:eastAsia="en-US"/>
        </w:rPr>
        <w:t>, the oscillation between these two ideological and topographical poles, surface and depth, also finds particular emphasis within metamodern narratives through the manipulation of the fantastic, which hesitates ‘between a natural or supernatural explanation of the events described.’</w:t>
      </w:r>
      <w:r w:rsidRPr="00505CF0">
        <w:rPr>
          <w:rStyle w:val="FootnoteReference"/>
          <w:rFonts w:asciiTheme="majorBidi" w:eastAsia="Times New Roman" w:hAnsiTheme="majorBidi" w:cstheme="majorBidi"/>
          <w:bCs/>
          <w:sz w:val="24"/>
          <w:szCs w:val="24"/>
          <w:lang w:eastAsia="en-US"/>
        </w:rPr>
        <w:footnoteReference w:id="360"/>
      </w:r>
      <w:r w:rsidRPr="00505CF0">
        <w:rPr>
          <w:rFonts w:asciiTheme="majorBidi" w:eastAsia="Times New Roman" w:hAnsiTheme="majorBidi" w:cstheme="majorBidi"/>
          <w:bCs/>
          <w:sz w:val="24"/>
          <w:szCs w:val="24"/>
          <w:lang w:eastAsia="en-US"/>
        </w:rPr>
        <w:t xml:space="preserve"> Binney cites recent novels </w:t>
      </w:r>
      <w:r w:rsidRPr="00505CF0">
        <w:rPr>
          <w:rFonts w:asciiTheme="majorBidi" w:eastAsia="Times New Roman" w:hAnsiTheme="majorBidi" w:cstheme="majorBidi"/>
          <w:bCs/>
          <w:i/>
          <w:iCs/>
          <w:sz w:val="24"/>
          <w:szCs w:val="24"/>
          <w:lang w:eastAsia="en-US"/>
        </w:rPr>
        <w:t xml:space="preserve">The Snow Child </w:t>
      </w:r>
      <w:r w:rsidRPr="00505CF0">
        <w:rPr>
          <w:rFonts w:asciiTheme="majorBidi" w:eastAsia="Times New Roman" w:hAnsiTheme="majorBidi" w:cstheme="majorBidi"/>
          <w:bCs/>
          <w:sz w:val="24"/>
          <w:szCs w:val="24"/>
          <w:lang w:eastAsia="en-US"/>
        </w:rPr>
        <w:t>by Eowyn Ivey (2012) and</w:t>
      </w:r>
      <w:r w:rsidRPr="00505CF0">
        <w:rPr>
          <w:rFonts w:asciiTheme="majorBidi" w:eastAsia="Times New Roman" w:hAnsiTheme="majorBidi" w:cstheme="majorBidi"/>
          <w:bCs/>
          <w:i/>
          <w:iCs/>
          <w:sz w:val="24"/>
          <w:szCs w:val="24"/>
          <w:lang w:eastAsia="en-US"/>
        </w:rPr>
        <w:t xml:space="preserve"> Orkney </w:t>
      </w:r>
      <w:r w:rsidRPr="00505CF0">
        <w:rPr>
          <w:rFonts w:asciiTheme="majorBidi" w:eastAsia="Times New Roman" w:hAnsiTheme="majorBidi" w:cstheme="majorBidi"/>
          <w:bCs/>
          <w:sz w:val="24"/>
          <w:szCs w:val="24"/>
          <w:lang w:eastAsia="en-US"/>
        </w:rPr>
        <w:t>by Amy Sackville (2013) as ‘[problematizing] the supernatural elements of the folklore they engage with to the extent that the characters and often the reader are unsure whether the magic described in the novel is real, or if it is all in the mind of the first-person narrator or focalising character.’</w:t>
      </w:r>
      <w:r w:rsidRPr="00505CF0">
        <w:rPr>
          <w:rStyle w:val="FootnoteReference"/>
          <w:rFonts w:asciiTheme="majorBidi" w:eastAsia="Times New Roman" w:hAnsiTheme="majorBidi" w:cstheme="majorBidi"/>
          <w:bCs/>
          <w:sz w:val="24"/>
          <w:szCs w:val="24"/>
          <w:lang w:eastAsia="en-US"/>
        </w:rPr>
        <w:footnoteReference w:id="361"/>
      </w:r>
      <w:r w:rsidRPr="00505CF0">
        <w:rPr>
          <w:rFonts w:asciiTheme="majorBidi" w:eastAsia="Times New Roman" w:hAnsiTheme="majorBidi" w:cstheme="majorBidi"/>
          <w:bCs/>
          <w:sz w:val="24"/>
          <w:szCs w:val="24"/>
          <w:lang w:eastAsia="en-US"/>
        </w:rPr>
        <w:t xml:space="preserve"> Dempsey, too, recognises the existence of this dichotomy within recent mythic texts, framing it terms of the immanent and transcendent: </w:t>
      </w:r>
    </w:p>
    <w:p w14:paraId="3269C6EC" w14:textId="77777777" w:rsidR="00C111D3" w:rsidRPr="00505CF0" w:rsidRDefault="00C111D3" w:rsidP="004C3EE0">
      <w:pPr>
        <w:spacing w:line="240" w:lineRule="auto"/>
        <w:ind w:left="737" w:right="737"/>
        <w:jc w:val="both"/>
        <w:rPr>
          <w:rFonts w:asciiTheme="majorBidi" w:hAnsiTheme="majorBidi" w:cstheme="majorBidi"/>
          <w:sz w:val="24"/>
          <w:szCs w:val="24"/>
        </w:rPr>
      </w:pPr>
    </w:p>
    <w:p w14:paraId="1F012414"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hAnsiTheme="majorBidi" w:cstheme="majorBidi"/>
          <w:sz w:val="24"/>
          <w:szCs w:val="24"/>
        </w:rPr>
        <w:t xml:space="preserve">In this dichotomy [between immanent/transcendent] the immanent denotes essentially the physical world as such, the domain of empirical phenomenon and of our sense perceptions. The </w:t>
      </w:r>
      <w:r w:rsidRPr="00505CF0">
        <w:rPr>
          <w:rFonts w:asciiTheme="majorBidi" w:hAnsiTheme="majorBidi" w:cstheme="majorBidi"/>
          <w:i/>
          <w:iCs/>
          <w:sz w:val="24"/>
          <w:szCs w:val="24"/>
        </w:rPr>
        <w:t>Transcendent</w:t>
      </w:r>
      <w:r w:rsidRPr="00505CF0">
        <w:rPr>
          <w:rFonts w:asciiTheme="majorBidi" w:hAnsiTheme="majorBidi" w:cstheme="majorBidi"/>
          <w:sz w:val="24"/>
          <w:szCs w:val="24"/>
        </w:rPr>
        <w:t xml:space="preserve">, by contrast, posits a meta-physical reality, which exists </w:t>
      </w:r>
      <w:r w:rsidRPr="00505CF0">
        <w:rPr>
          <w:rFonts w:asciiTheme="majorBidi" w:hAnsiTheme="majorBidi" w:cstheme="majorBidi"/>
          <w:i/>
          <w:iCs/>
          <w:sz w:val="24"/>
          <w:szCs w:val="24"/>
        </w:rPr>
        <w:t>beyond</w:t>
      </w:r>
      <w:r w:rsidRPr="00505CF0">
        <w:rPr>
          <w:rFonts w:asciiTheme="majorBidi" w:hAnsiTheme="majorBidi" w:cstheme="majorBidi"/>
          <w:sz w:val="24"/>
          <w:szCs w:val="24"/>
        </w:rPr>
        <w:t xml:space="preserve"> or </w:t>
      </w:r>
      <w:r w:rsidRPr="00505CF0">
        <w:rPr>
          <w:rFonts w:asciiTheme="majorBidi" w:hAnsiTheme="majorBidi" w:cstheme="majorBidi"/>
          <w:i/>
          <w:iCs/>
          <w:sz w:val="24"/>
          <w:szCs w:val="24"/>
        </w:rPr>
        <w:t>outside</w:t>
      </w:r>
      <w:r w:rsidRPr="00505CF0">
        <w:rPr>
          <w:rFonts w:asciiTheme="majorBidi" w:hAnsiTheme="majorBidi" w:cstheme="majorBidi"/>
          <w:sz w:val="24"/>
          <w:szCs w:val="24"/>
        </w:rPr>
        <w:t xml:space="preserve"> of the material world, more fundamental in vantage and essence.</w:t>
      </w:r>
      <w:r w:rsidRPr="00505CF0">
        <w:rPr>
          <w:rStyle w:val="FootnoteReference"/>
          <w:rFonts w:asciiTheme="majorBidi" w:hAnsiTheme="majorBidi" w:cstheme="majorBidi"/>
          <w:sz w:val="24"/>
          <w:szCs w:val="24"/>
        </w:rPr>
        <w:footnoteReference w:id="362"/>
      </w:r>
    </w:p>
    <w:p w14:paraId="09D1CCAA"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50A54E7A"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Taken together, these theorists suggest a contemporary landscape of recreated folkloric and mythical texts ‘furnished in the fantastic’,</w:t>
      </w:r>
      <w:r w:rsidRPr="00505CF0">
        <w:rPr>
          <w:rStyle w:val="FootnoteReference"/>
          <w:rFonts w:asciiTheme="majorBidi" w:eastAsia="Times New Roman" w:hAnsiTheme="majorBidi" w:cstheme="majorBidi"/>
          <w:bCs/>
          <w:sz w:val="24"/>
          <w:szCs w:val="24"/>
          <w:lang w:eastAsia="en-US"/>
        </w:rPr>
        <w:footnoteReference w:id="363"/>
      </w:r>
      <w:r w:rsidRPr="00505CF0">
        <w:rPr>
          <w:rFonts w:asciiTheme="majorBidi" w:eastAsia="Times New Roman" w:hAnsiTheme="majorBidi" w:cstheme="majorBidi"/>
          <w:bCs/>
          <w:sz w:val="24"/>
          <w:szCs w:val="24"/>
          <w:lang w:eastAsia="en-US"/>
        </w:rPr>
        <w:t xml:space="preserve"> in which the reader is compelled to hesitate between belief and scepticism, the transcendent and the immanent, or rather to oscillate between Todorov’s ‘the uncanny’ and ‘the marvellous.’ </w:t>
      </w:r>
    </w:p>
    <w:p w14:paraId="70C08B6A" w14:textId="25BB63C9"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eastAsia="Times New Roman" w:hAnsiTheme="majorBidi" w:cstheme="majorBidi"/>
          <w:bCs/>
          <w:sz w:val="24"/>
          <w:szCs w:val="24"/>
          <w:lang w:eastAsia="en-US"/>
        </w:rPr>
        <w:t xml:space="preserve">In </w:t>
      </w:r>
      <w:r w:rsidRPr="00505CF0">
        <w:rPr>
          <w:rFonts w:asciiTheme="majorBidi" w:eastAsia="Times New Roman" w:hAnsiTheme="majorBidi" w:cstheme="majorBidi"/>
          <w:bCs/>
          <w:i/>
          <w:iCs/>
          <w:sz w:val="24"/>
          <w:szCs w:val="24"/>
          <w:lang w:eastAsia="en-US"/>
        </w:rPr>
        <w:t xml:space="preserve">The Resurrectionist, </w:t>
      </w:r>
      <w:r w:rsidRPr="00505CF0">
        <w:rPr>
          <w:rFonts w:asciiTheme="majorBidi" w:eastAsia="Times New Roman" w:hAnsiTheme="majorBidi" w:cstheme="majorBidi"/>
          <w:bCs/>
          <w:sz w:val="24"/>
          <w:szCs w:val="24"/>
          <w:lang w:eastAsia="en-US"/>
        </w:rPr>
        <w:t>the fantastic is first encountered during Black’s discovery of the ‘fawn-child.’ Here, the narrator of the text delivers a clinical prognosis for the malformations apparent on the body, describing the cadaver as ‘displaying an orthopedic condition that had caused his knees to bend the wrong way. The bones were misshapen, and excessive hair was present over the entire surface of the skin.’</w:t>
      </w:r>
      <w:r w:rsidRPr="00505CF0">
        <w:rPr>
          <w:rStyle w:val="FootnoteReference"/>
          <w:rFonts w:asciiTheme="majorBidi" w:eastAsia="Times New Roman" w:hAnsiTheme="majorBidi" w:cstheme="majorBidi"/>
          <w:bCs/>
          <w:sz w:val="24"/>
          <w:szCs w:val="24"/>
          <w:lang w:eastAsia="en-US"/>
        </w:rPr>
        <w:footnoteReference w:id="364"/>
      </w:r>
      <w:r w:rsidRPr="00505CF0">
        <w:rPr>
          <w:rFonts w:asciiTheme="majorBidi" w:eastAsia="Times New Roman" w:hAnsiTheme="majorBidi" w:cstheme="majorBidi"/>
          <w:bCs/>
          <w:sz w:val="24"/>
          <w:szCs w:val="24"/>
          <w:lang w:eastAsia="en-US"/>
        </w:rPr>
        <w:t xml:space="preserve"> This is followed closely by Black’s </w:t>
      </w:r>
      <w:r w:rsidR="009251C8">
        <w:rPr>
          <w:rFonts w:asciiTheme="majorBidi" w:eastAsia="Times New Roman" w:hAnsiTheme="majorBidi" w:cstheme="majorBidi"/>
          <w:bCs/>
          <w:sz w:val="24"/>
          <w:szCs w:val="24"/>
          <w:lang w:eastAsia="en-US"/>
        </w:rPr>
        <w:t xml:space="preserve">more fantastical </w:t>
      </w:r>
      <w:r w:rsidRPr="00505CF0">
        <w:rPr>
          <w:rFonts w:asciiTheme="majorBidi" w:eastAsia="Times New Roman" w:hAnsiTheme="majorBidi" w:cstheme="majorBidi"/>
          <w:bCs/>
          <w:sz w:val="24"/>
          <w:szCs w:val="24"/>
          <w:lang w:eastAsia="en-US"/>
        </w:rPr>
        <w:t>assertion</w:t>
      </w:r>
      <w:r w:rsidR="009251C8">
        <w:rPr>
          <w:rFonts w:asciiTheme="majorBidi" w:eastAsia="Times New Roman" w:hAnsiTheme="majorBidi" w:cstheme="majorBidi"/>
          <w:bCs/>
          <w:sz w:val="24"/>
          <w:szCs w:val="24"/>
          <w:lang w:eastAsia="en-US"/>
        </w:rPr>
        <w:t>s, wherein</w:t>
      </w:r>
      <w:r w:rsidRPr="00505CF0">
        <w:rPr>
          <w:rFonts w:asciiTheme="majorBidi" w:eastAsia="Times New Roman" w:hAnsiTheme="majorBidi" w:cstheme="majorBidi"/>
          <w:bCs/>
          <w:sz w:val="24"/>
          <w:szCs w:val="24"/>
          <w:lang w:eastAsia="en-US"/>
        </w:rPr>
        <w:t xml:space="preserve"> the body is </w:t>
      </w:r>
      <w:r w:rsidR="009251C8">
        <w:rPr>
          <w:rFonts w:asciiTheme="majorBidi" w:eastAsia="Times New Roman" w:hAnsiTheme="majorBidi" w:cstheme="majorBidi"/>
          <w:bCs/>
          <w:sz w:val="24"/>
          <w:szCs w:val="24"/>
          <w:lang w:eastAsia="en-US"/>
        </w:rPr>
        <w:t xml:space="preserve">described as </w:t>
      </w:r>
      <w:r w:rsidRPr="00505CF0">
        <w:rPr>
          <w:rFonts w:asciiTheme="majorBidi" w:eastAsia="Times New Roman" w:hAnsiTheme="majorBidi" w:cstheme="majorBidi"/>
          <w:bCs/>
          <w:sz w:val="24"/>
          <w:szCs w:val="24"/>
          <w:lang w:eastAsia="en-US"/>
        </w:rPr>
        <w:t>‘a relative to a satyr.’</w:t>
      </w:r>
      <w:r w:rsidRPr="00505CF0">
        <w:rPr>
          <w:rStyle w:val="FootnoteReference"/>
          <w:rFonts w:asciiTheme="majorBidi" w:eastAsia="Times New Roman" w:hAnsiTheme="majorBidi" w:cstheme="majorBidi"/>
          <w:bCs/>
          <w:sz w:val="24"/>
          <w:szCs w:val="24"/>
          <w:lang w:eastAsia="en-US"/>
        </w:rPr>
        <w:footnoteReference w:id="365"/>
      </w:r>
      <w:r w:rsidRPr="00505CF0">
        <w:rPr>
          <w:rFonts w:asciiTheme="majorBidi" w:eastAsia="Times New Roman" w:hAnsiTheme="majorBidi" w:cstheme="majorBidi"/>
          <w:bCs/>
          <w:sz w:val="24"/>
          <w:szCs w:val="24"/>
          <w:lang w:eastAsia="en-US"/>
        </w:rPr>
        <w:t xml:space="preserve"> While Black’s own analysis is equally clinical, the reader is forced into a position between the two explanations, with </w:t>
      </w:r>
      <w:proofErr w:type="gramStart"/>
      <w:r w:rsidRPr="00505CF0">
        <w:rPr>
          <w:rFonts w:asciiTheme="majorBidi" w:eastAsia="Times New Roman" w:hAnsiTheme="majorBidi" w:cstheme="majorBidi"/>
          <w:bCs/>
          <w:sz w:val="24"/>
          <w:szCs w:val="24"/>
          <w:lang w:eastAsia="en-US"/>
        </w:rPr>
        <w:t>neither receiving more or less attention or</w:t>
      </w:r>
      <w:proofErr w:type="gramEnd"/>
      <w:r w:rsidRPr="00505CF0">
        <w:rPr>
          <w:rFonts w:asciiTheme="majorBidi" w:eastAsia="Times New Roman" w:hAnsiTheme="majorBidi" w:cstheme="majorBidi"/>
          <w:bCs/>
          <w:sz w:val="24"/>
          <w:szCs w:val="24"/>
          <w:lang w:eastAsia="en-US"/>
        </w:rPr>
        <w:t xml:space="preserve"> credence than the other, although Black’s own illustrations of the body do augment his argument somewhat. The reader is once more forced into a fantastic position by the latter half of the text, which consists of </w:t>
      </w:r>
      <w:r w:rsidRPr="00505CF0">
        <w:rPr>
          <w:rFonts w:asciiTheme="majorBidi" w:hAnsiTheme="majorBidi" w:cstheme="majorBidi"/>
          <w:i/>
          <w:iCs/>
          <w:sz w:val="24"/>
          <w:szCs w:val="24"/>
        </w:rPr>
        <w:t>The Codex Extinct Animalia</w:t>
      </w:r>
      <w:r w:rsidRPr="00505CF0">
        <w:rPr>
          <w:rFonts w:asciiTheme="majorBidi" w:hAnsiTheme="majorBidi" w:cstheme="majorBidi"/>
          <w:sz w:val="24"/>
          <w:szCs w:val="24"/>
        </w:rPr>
        <w:t xml:space="preserve">, in which mythological creatures – mermaid, chimera, dragon, ganeshi – are </w:t>
      </w:r>
      <w:r w:rsidR="009251C8">
        <w:rPr>
          <w:rFonts w:asciiTheme="majorBidi" w:hAnsiTheme="majorBidi" w:cstheme="majorBidi"/>
          <w:sz w:val="24"/>
          <w:szCs w:val="24"/>
        </w:rPr>
        <w:t xml:space="preserve"> introduced alongside</w:t>
      </w:r>
      <w:r w:rsidRPr="00505CF0">
        <w:rPr>
          <w:rFonts w:asciiTheme="majorBidi" w:hAnsiTheme="majorBidi" w:cstheme="majorBidi"/>
          <w:sz w:val="24"/>
          <w:szCs w:val="24"/>
        </w:rPr>
        <w:t xml:space="preserve"> detailed (and, in terms of the labelling of musculature and bones, accurate) anatomical descriptions and drawings. The juxtaposition arises between a postmodern deconstructive stance, in which Black’s insanity is evident, the faces on many of the drawings bearing a distinct resemblance to that of his </w:t>
      </w:r>
      <w:r w:rsidR="009251C8">
        <w:rPr>
          <w:rFonts w:asciiTheme="majorBidi" w:hAnsiTheme="majorBidi" w:cstheme="majorBidi"/>
          <w:sz w:val="24"/>
          <w:szCs w:val="24"/>
        </w:rPr>
        <w:t xml:space="preserve">wife </w:t>
      </w:r>
      <w:r w:rsidRPr="00505CF0">
        <w:rPr>
          <w:rFonts w:asciiTheme="majorBidi" w:hAnsiTheme="majorBidi" w:cstheme="majorBidi"/>
          <w:sz w:val="24"/>
          <w:szCs w:val="24"/>
        </w:rPr>
        <w:t>(which has multiple and disturbing connotations, as previously discussed), and a modern enthusiasm for the attention to detail and sincerity of Black’s own introduction to each section suggesting a certain plausibility of his claims – turning the finite to the infinite as the natural becomes the supernatural.</w:t>
      </w:r>
      <w:r w:rsidR="00811F20">
        <w:rPr>
          <w:rStyle w:val="FootnoteReference"/>
          <w:rFonts w:asciiTheme="majorBidi" w:hAnsiTheme="majorBidi" w:cstheme="majorBidi"/>
          <w:sz w:val="24"/>
          <w:szCs w:val="24"/>
        </w:rPr>
        <w:footnoteReference w:id="366"/>
      </w:r>
      <w:r w:rsidRPr="00505CF0">
        <w:rPr>
          <w:rFonts w:asciiTheme="majorBidi" w:hAnsiTheme="majorBidi" w:cstheme="majorBidi"/>
          <w:sz w:val="24"/>
          <w:szCs w:val="24"/>
        </w:rPr>
        <w:t xml:space="preserve"> Similarly in </w:t>
      </w:r>
      <w:r w:rsidRPr="00505CF0">
        <w:rPr>
          <w:rFonts w:asciiTheme="majorBidi" w:hAnsiTheme="majorBidi" w:cstheme="majorBidi"/>
          <w:i/>
          <w:iCs/>
          <w:sz w:val="24"/>
          <w:szCs w:val="24"/>
        </w:rPr>
        <w:t>The Crane Wife</w:t>
      </w:r>
      <w:r w:rsidRPr="00505CF0">
        <w:rPr>
          <w:rFonts w:asciiTheme="majorBidi" w:hAnsiTheme="majorBidi" w:cstheme="majorBidi"/>
          <w:sz w:val="24"/>
          <w:szCs w:val="24"/>
        </w:rPr>
        <w:t>, the reader is forced into a situation of indecision between belief and scepticism, through a metafictional ambiguity about the origins of the fire that begins in George’s home. Towards the end of the novel,</w:t>
      </w:r>
      <w:r w:rsidRPr="00505CF0">
        <w:rPr>
          <w:rStyle w:val="FootnoteReference"/>
          <w:rFonts w:asciiTheme="majorBidi" w:hAnsiTheme="majorBidi" w:cstheme="majorBidi"/>
          <w:sz w:val="24"/>
          <w:szCs w:val="24"/>
        </w:rPr>
        <w:footnoteReference w:id="367"/>
      </w:r>
      <w:r w:rsidRPr="00505CF0">
        <w:rPr>
          <w:rFonts w:asciiTheme="majorBidi" w:hAnsiTheme="majorBidi" w:cstheme="majorBidi"/>
          <w:sz w:val="24"/>
          <w:szCs w:val="24"/>
        </w:rPr>
        <w:t xml:space="preserve"> a passage details five specific ways in which the fire could have begun, with the culprits presented as, first, merely a production fault in a lit candle, then George himself, Kumiko, her jilted mythological partner the Volcano, and finally Rachel, sometime friend of Amanda and ex-lover of George. The ambiguity here provides explanations ranging from the accidental to the </w:t>
      </w:r>
      <w:r w:rsidR="00D1314B">
        <w:rPr>
          <w:rFonts w:asciiTheme="majorBidi" w:hAnsiTheme="majorBidi" w:cstheme="majorBidi"/>
          <w:sz w:val="24"/>
          <w:szCs w:val="24"/>
        </w:rPr>
        <w:t>intentional</w:t>
      </w:r>
      <w:r w:rsidRPr="00505CF0">
        <w:rPr>
          <w:rFonts w:asciiTheme="majorBidi" w:hAnsiTheme="majorBidi" w:cstheme="majorBidi"/>
          <w:sz w:val="24"/>
          <w:szCs w:val="24"/>
        </w:rPr>
        <w:t xml:space="preserve">, explanations both mundane and mythical although the end result is the same. In </w:t>
      </w:r>
      <w:r w:rsidRPr="00505CF0">
        <w:rPr>
          <w:rFonts w:asciiTheme="majorBidi" w:hAnsiTheme="majorBidi" w:cstheme="majorBidi"/>
          <w:i/>
          <w:iCs/>
          <w:sz w:val="24"/>
          <w:szCs w:val="24"/>
        </w:rPr>
        <w:t>Gretel and the Dark</w:t>
      </w:r>
      <w:r w:rsidRPr="00505CF0">
        <w:rPr>
          <w:rFonts w:asciiTheme="majorBidi" w:hAnsiTheme="majorBidi" w:cstheme="majorBidi"/>
          <w:sz w:val="24"/>
          <w:szCs w:val="24"/>
        </w:rPr>
        <w:t>, the fantastic emerges from the desire to believe in Lilie’s mission, that there is a way in which the character, who, as the text progresses increasingly seems like a version of Krysta possessed of a means of time travel, could possibly destroy ‘the monster’ and thus mitigate the pain experienced by the rest of the cast of characters. The fantastic here, though, dissolves as the end of the novel approaches and Lilie’s narrative is revealed to be a story told between Krysta and Daniel</w:t>
      </w:r>
      <w:r w:rsidR="00D1314B">
        <w:rPr>
          <w:rFonts w:asciiTheme="majorBidi" w:hAnsiTheme="majorBidi" w:cstheme="majorBidi"/>
          <w:sz w:val="24"/>
          <w:szCs w:val="24"/>
        </w:rPr>
        <w:t>, a means by which they main gain catharsis, or vengeance, in the form of this pretend narrative tale.</w:t>
      </w:r>
      <w:r w:rsidRPr="00505CF0">
        <w:rPr>
          <w:rFonts w:asciiTheme="majorBidi" w:hAnsiTheme="majorBidi" w:cstheme="majorBidi"/>
          <w:sz w:val="24"/>
          <w:szCs w:val="24"/>
        </w:rPr>
        <w:t xml:space="preserve"> . In each of the texts, the supernatural is represented with a distinct ambiguity that lends itself to the fantastic and forms a metamodern oscillation between belief and disbelief, alongside desire for the supernatural (which may resolve many of the protagonist’s pains) and the supernatural explained (which would resolve the questions of the text). </w:t>
      </w:r>
    </w:p>
    <w:p w14:paraId="25B14D55" w14:textId="70CBE9CB" w:rsidR="00C111D3" w:rsidRPr="00505CF0" w:rsidRDefault="00C111D3" w:rsidP="004C3EE0">
      <w:pPr>
        <w:spacing w:line="480" w:lineRule="auto"/>
        <w:ind w:firstLine="720"/>
        <w:jc w:val="both"/>
        <w:rPr>
          <w:rFonts w:asciiTheme="majorBidi" w:hAnsiTheme="majorBidi" w:cstheme="majorBidi"/>
          <w:bCs/>
          <w:iCs/>
          <w:noProof/>
          <w:sz w:val="24"/>
          <w:szCs w:val="24"/>
        </w:rPr>
      </w:pPr>
      <w:r w:rsidRPr="00505CF0">
        <w:rPr>
          <w:rFonts w:asciiTheme="majorBidi" w:hAnsiTheme="majorBidi" w:cstheme="majorBidi"/>
          <w:sz w:val="24"/>
          <w:szCs w:val="24"/>
        </w:rPr>
        <w:t xml:space="preserve">Far from a pure postmodern fantastic, in which the hesitation between belief and disbelief tends towards suggestions of the failures of language and expressions of irony, as in Vonnegut’s </w:t>
      </w:r>
      <w:r w:rsidRPr="00505CF0">
        <w:rPr>
          <w:rFonts w:asciiTheme="majorBidi" w:hAnsiTheme="majorBidi" w:cstheme="majorBidi"/>
          <w:i/>
          <w:iCs/>
          <w:sz w:val="24"/>
          <w:szCs w:val="24"/>
        </w:rPr>
        <w:t>Slaughterhouse Five</w:t>
      </w:r>
      <w:r w:rsidRPr="00505CF0">
        <w:rPr>
          <w:rFonts w:asciiTheme="majorBidi" w:hAnsiTheme="majorBidi" w:cstheme="majorBidi"/>
          <w:sz w:val="24"/>
          <w:szCs w:val="24"/>
        </w:rPr>
        <w:t>, the</w:t>
      </w:r>
      <w:r w:rsidR="00D1314B">
        <w:rPr>
          <w:rFonts w:asciiTheme="majorBidi" w:hAnsiTheme="majorBidi" w:cstheme="majorBidi"/>
          <w:sz w:val="24"/>
          <w:szCs w:val="24"/>
        </w:rPr>
        <w:t>se</w:t>
      </w:r>
      <w:r w:rsidRPr="00505CF0">
        <w:rPr>
          <w:rFonts w:asciiTheme="majorBidi" w:hAnsiTheme="majorBidi" w:cstheme="majorBidi"/>
          <w:sz w:val="24"/>
          <w:szCs w:val="24"/>
        </w:rPr>
        <w:t xml:space="preserve"> metamodern texts use the fantastic to express the palpable </w:t>
      </w:r>
      <w:proofErr w:type="gramStart"/>
      <w:r w:rsidRPr="00505CF0">
        <w:rPr>
          <w:rFonts w:asciiTheme="majorBidi" w:hAnsiTheme="majorBidi" w:cstheme="majorBidi"/>
          <w:sz w:val="24"/>
          <w:szCs w:val="24"/>
        </w:rPr>
        <w:t xml:space="preserve">desire </w:t>
      </w:r>
      <w:r w:rsidR="00D1314B">
        <w:rPr>
          <w:rFonts w:asciiTheme="majorBidi" w:hAnsiTheme="majorBidi" w:cstheme="majorBidi"/>
          <w:sz w:val="24"/>
          <w:szCs w:val="24"/>
        </w:rPr>
        <w:t xml:space="preserve"> to</w:t>
      </w:r>
      <w:proofErr w:type="gramEnd"/>
      <w:r w:rsidRPr="00505CF0">
        <w:rPr>
          <w:rFonts w:asciiTheme="majorBidi" w:hAnsiTheme="majorBidi" w:cstheme="majorBidi"/>
          <w:sz w:val="24"/>
          <w:szCs w:val="24"/>
        </w:rPr>
        <w:t xml:space="preserve"> transcend postmodern meaninglessness. </w:t>
      </w:r>
      <w:r w:rsidRPr="00505CF0">
        <w:rPr>
          <w:rFonts w:asciiTheme="majorBidi" w:hAnsiTheme="majorBidi" w:cstheme="majorBidi"/>
          <w:bCs/>
          <w:iCs/>
          <w:noProof/>
          <w:sz w:val="24"/>
          <w:szCs w:val="24"/>
        </w:rPr>
        <w:t xml:space="preserve">Fessler highlights </w:t>
      </w:r>
      <w:r w:rsidR="00D1314B">
        <w:rPr>
          <w:rFonts w:asciiTheme="majorBidi" w:hAnsiTheme="majorBidi" w:cstheme="majorBidi"/>
          <w:bCs/>
          <w:iCs/>
          <w:noProof/>
          <w:sz w:val="24"/>
          <w:szCs w:val="24"/>
        </w:rPr>
        <w:t xml:space="preserve"> similar emergent themes</w:t>
      </w:r>
      <w:r w:rsidRPr="00505CF0">
        <w:rPr>
          <w:rFonts w:asciiTheme="majorBidi" w:hAnsiTheme="majorBidi" w:cstheme="majorBidi"/>
          <w:bCs/>
          <w:iCs/>
          <w:noProof/>
          <w:sz w:val="24"/>
          <w:szCs w:val="24"/>
        </w:rPr>
        <w:t xml:space="preserve"> in her discussion of the use of the fantastic in A.L Kennedy’s fiction: </w:t>
      </w:r>
    </w:p>
    <w:p w14:paraId="1DF0780B" w14:textId="77777777" w:rsidR="00C111D3" w:rsidRPr="00505CF0" w:rsidRDefault="00C111D3" w:rsidP="004C3EE0">
      <w:pPr>
        <w:spacing w:line="240" w:lineRule="auto"/>
        <w:ind w:left="737" w:right="737"/>
        <w:jc w:val="both"/>
        <w:rPr>
          <w:rFonts w:asciiTheme="majorBidi" w:hAnsiTheme="majorBidi" w:cstheme="majorBidi"/>
          <w:bCs/>
          <w:sz w:val="24"/>
          <w:szCs w:val="24"/>
        </w:rPr>
      </w:pPr>
    </w:p>
    <w:p w14:paraId="2D3A0062" w14:textId="77777777" w:rsidR="00C111D3" w:rsidRPr="00505CF0" w:rsidRDefault="00C111D3" w:rsidP="004C3EE0">
      <w:pPr>
        <w:spacing w:line="240" w:lineRule="auto"/>
        <w:ind w:left="737" w:right="737"/>
        <w:jc w:val="both"/>
        <w:rPr>
          <w:rFonts w:asciiTheme="majorBidi" w:hAnsiTheme="majorBidi" w:cstheme="majorBidi"/>
          <w:bCs/>
          <w:i/>
          <w:iCs/>
          <w:sz w:val="24"/>
          <w:szCs w:val="24"/>
        </w:rPr>
      </w:pPr>
      <w:r w:rsidRPr="00505CF0">
        <w:rPr>
          <w:rFonts w:asciiTheme="majorBidi" w:hAnsiTheme="majorBidi" w:cstheme="majorBidi"/>
          <w:bCs/>
          <w:sz w:val="24"/>
          <w:szCs w:val="24"/>
        </w:rPr>
        <w:t>As McEwan does in </w:t>
      </w:r>
      <w:r w:rsidRPr="00505CF0">
        <w:rPr>
          <w:rFonts w:asciiTheme="majorBidi" w:hAnsiTheme="majorBidi" w:cstheme="majorBidi"/>
          <w:bCs/>
          <w:i/>
          <w:iCs/>
          <w:sz w:val="24"/>
          <w:szCs w:val="24"/>
        </w:rPr>
        <w:t>Atonement</w:t>
      </w:r>
      <w:r w:rsidRPr="00505CF0">
        <w:rPr>
          <w:rFonts w:asciiTheme="majorBidi" w:hAnsiTheme="majorBidi" w:cstheme="majorBidi"/>
          <w:bCs/>
          <w:sz w:val="24"/>
          <w:szCs w:val="24"/>
        </w:rPr>
        <w:t>, A.S. Byatt in </w:t>
      </w:r>
      <w:r w:rsidRPr="00505CF0">
        <w:rPr>
          <w:rFonts w:asciiTheme="majorBidi" w:hAnsiTheme="majorBidi" w:cstheme="majorBidi"/>
          <w:bCs/>
          <w:i/>
          <w:iCs/>
          <w:sz w:val="24"/>
          <w:szCs w:val="24"/>
        </w:rPr>
        <w:t>Possession</w:t>
      </w:r>
      <w:r w:rsidRPr="00505CF0">
        <w:rPr>
          <w:rFonts w:asciiTheme="majorBidi" w:hAnsiTheme="majorBidi" w:cstheme="majorBidi"/>
          <w:bCs/>
          <w:sz w:val="24"/>
          <w:szCs w:val="24"/>
        </w:rPr>
        <w:t> or Margaret Atwood in </w:t>
      </w:r>
      <w:r w:rsidRPr="00505CF0">
        <w:rPr>
          <w:rFonts w:asciiTheme="majorBidi" w:hAnsiTheme="majorBidi" w:cstheme="majorBidi"/>
          <w:bCs/>
          <w:i/>
          <w:iCs/>
          <w:sz w:val="24"/>
          <w:szCs w:val="24"/>
        </w:rPr>
        <w:t>The Blind Assassin</w:t>
      </w:r>
      <w:r w:rsidRPr="00505CF0">
        <w:rPr>
          <w:rFonts w:asciiTheme="majorBidi" w:hAnsiTheme="majorBidi" w:cstheme="majorBidi"/>
          <w:bCs/>
          <w:sz w:val="24"/>
          <w:szCs w:val="24"/>
        </w:rPr>
        <w:t>, [Kennedy] installs fiction as a powerful instrument that is used strategically by the protagonists rather than the protagonists being subjected to the overpowering nature of language and contextualization. The undecidability between fiction and reality that has been the clue of so many postmodern novels is not an issue anymore. Instead the value of aesthetics is highlighted by creating an emotional need in the reader for those kinds of aesthetic experiences (think for example of Yann Martel’s </w:t>
      </w:r>
      <w:r w:rsidRPr="00505CF0">
        <w:rPr>
          <w:rFonts w:asciiTheme="majorBidi" w:hAnsiTheme="majorBidi" w:cstheme="majorBidi"/>
          <w:bCs/>
          <w:i/>
          <w:iCs/>
          <w:sz w:val="24"/>
          <w:szCs w:val="24"/>
        </w:rPr>
        <w:t>Life of Pi).</w:t>
      </w:r>
      <w:r w:rsidRPr="00505CF0">
        <w:rPr>
          <w:rStyle w:val="FootnoteReference"/>
          <w:rFonts w:asciiTheme="majorBidi" w:hAnsiTheme="majorBidi" w:cstheme="majorBidi"/>
          <w:bCs/>
          <w:sz w:val="24"/>
          <w:szCs w:val="24"/>
        </w:rPr>
        <w:footnoteReference w:id="368"/>
      </w:r>
    </w:p>
    <w:p w14:paraId="252D86E5" w14:textId="77777777" w:rsidR="00C111D3" w:rsidRPr="00505CF0" w:rsidRDefault="00C111D3" w:rsidP="004C3EE0">
      <w:pPr>
        <w:spacing w:line="480" w:lineRule="auto"/>
        <w:ind w:left="737" w:right="737"/>
        <w:jc w:val="both"/>
        <w:rPr>
          <w:rFonts w:asciiTheme="majorBidi" w:hAnsiTheme="majorBidi" w:cstheme="majorBidi"/>
          <w:bCs/>
          <w:i/>
          <w:iCs/>
          <w:sz w:val="24"/>
          <w:szCs w:val="24"/>
        </w:rPr>
      </w:pPr>
    </w:p>
    <w:p w14:paraId="5E9CCA1E" w14:textId="3D643781" w:rsidR="00C111D3" w:rsidRPr="00505CF0" w:rsidRDefault="00C111D3" w:rsidP="004C3EE0">
      <w:pPr>
        <w:spacing w:line="480" w:lineRule="auto"/>
        <w:jc w:val="both"/>
        <w:rPr>
          <w:rFonts w:asciiTheme="majorBidi" w:hAnsiTheme="majorBidi" w:cstheme="majorBidi"/>
          <w:bCs/>
          <w:sz w:val="24"/>
          <w:szCs w:val="24"/>
        </w:rPr>
      </w:pPr>
      <w:r w:rsidRPr="00505CF0">
        <w:rPr>
          <w:rFonts w:asciiTheme="majorBidi" w:hAnsiTheme="majorBidi" w:cstheme="majorBidi"/>
          <w:bCs/>
          <w:sz w:val="24"/>
          <w:szCs w:val="24"/>
        </w:rPr>
        <w:t xml:space="preserve">Myth and folklore in the metamodern era are used to engender a fantastic mode, providing the transcendent, uncanny, supernatural quantity against which a postmodern deconstruction may form the immanent or mundane and create space for the fantastic. In doing so, these metamodern texts evidence a desire for something </w:t>
      </w:r>
      <w:r w:rsidRPr="00505CF0">
        <w:rPr>
          <w:rFonts w:asciiTheme="majorBidi" w:hAnsiTheme="majorBidi" w:cstheme="majorBidi"/>
          <w:bCs/>
          <w:i/>
          <w:iCs/>
          <w:sz w:val="24"/>
          <w:szCs w:val="24"/>
        </w:rPr>
        <w:t xml:space="preserve">beyond </w:t>
      </w:r>
      <w:r w:rsidRPr="00505CF0">
        <w:rPr>
          <w:rFonts w:asciiTheme="majorBidi" w:hAnsiTheme="majorBidi" w:cstheme="majorBidi"/>
          <w:bCs/>
          <w:sz w:val="24"/>
          <w:szCs w:val="24"/>
        </w:rPr>
        <w:t xml:space="preserve">the postmodern meaninglessness, though they definitively do not suggest what this could be. They present as an effort to explore the inexplicable and augment the mundane, not </w:t>
      </w:r>
      <w:r w:rsidRPr="00505CF0">
        <w:rPr>
          <w:rFonts w:asciiTheme="majorBidi" w:hAnsiTheme="majorBidi" w:cstheme="majorBidi"/>
          <w:bCs/>
          <w:i/>
          <w:iCs/>
          <w:sz w:val="24"/>
          <w:szCs w:val="24"/>
        </w:rPr>
        <w:t>with</w:t>
      </w:r>
      <w:r w:rsidRPr="00505CF0">
        <w:rPr>
          <w:rFonts w:asciiTheme="majorBidi" w:hAnsiTheme="majorBidi" w:cstheme="majorBidi"/>
          <w:bCs/>
          <w:sz w:val="24"/>
          <w:szCs w:val="24"/>
        </w:rPr>
        <w:t xml:space="preserve"> the supernatural, or with any particular depth of purpose or meaning, but rather with the possibility of this. The fantastic ambiguity created by each text opens up a space in which a desire for depthiness makes itself apparent; the texts do not suggest the return of any depth, of any special mythological reality, nor do they propose a surface-only world (in fact actively moving against this at points), but rather suggest a societal desire to begin searching for ways in which the depthlessness of the postmodern may be transcended. </w:t>
      </w:r>
      <w:r w:rsidR="006207E8">
        <w:rPr>
          <w:rFonts w:asciiTheme="majorBidi" w:hAnsiTheme="majorBidi" w:cstheme="majorBidi"/>
          <w:bCs/>
          <w:sz w:val="24"/>
          <w:szCs w:val="24"/>
        </w:rPr>
        <w:t>As</w:t>
      </w:r>
      <w:r w:rsidRPr="00505CF0">
        <w:rPr>
          <w:rFonts w:asciiTheme="majorBidi" w:hAnsiTheme="majorBidi" w:cstheme="majorBidi"/>
          <w:bCs/>
          <w:sz w:val="24"/>
          <w:szCs w:val="24"/>
        </w:rPr>
        <w:t xml:space="preserve"> Timotheus Vermeullen, writes</w:t>
      </w:r>
      <w:r w:rsidR="006207E8">
        <w:rPr>
          <w:rFonts w:asciiTheme="majorBidi" w:hAnsiTheme="majorBidi" w:cstheme="majorBidi"/>
          <w:bCs/>
          <w:sz w:val="24"/>
          <w:szCs w:val="24"/>
        </w:rPr>
        <w:t>:</w:t>
      </w:r>
      <w:r w:rsidRPr="00505CF0">
        <w:rPr>
          <w:rFonts w:asciiTheme="majorBidi" w:hAnsiTheme="majorBidi" w:cstheme="majorBidi"/>
          <w:bCs/>
          <w:sz w:val="24"/>
          <w:szCs w:val="24"/>
        </w:rPr>
        <w:t xml:space="preserve"> </w:t>
      </w:r>
    </w:p>
    <w:p w14:paraId="4002D350" w14:textId="77777777" w:rsidR="00C111D3" w:rsidRPr="00505CF0" w:rsidRDefault="00C111D3" w:rsidP="004C3EE0">
      <w:pPr>
        <w:jc w:val="both"/>
        <w:rPr>
          <w:rFonts w:asciiTheme="majorBidi" w:hAnsiTheme="majorBidi" w:cstheme="majorBidi"/>
          <w:bCs/>
          <w:sz w:val="24"/>
          <w:szCs w:val="24"/>
        </w:rPr>
      </w:pPr>
    </w:p>
    <w:p w14:paraId="47718BEA" w14:textId="77777777" w:rsidR="00C111D3" w:rsidRDefault="00C111D3" w:rsidP="004C3EE0">
      <w:pPr>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Just maybe, we are seeing the first stage in another history of another kind of deepening, one whose empirical reality lies above the surface even if its performative register floats just below it: depthiness.</w:t>
      </w:r>
      <w:r w:rsidRPr="00505CF0">
        <w:rPr>
          <w:rStyle w:val="FootnoteReference"/>
          <w:rFonts w:asciiTheme="majorBidi" w:hAnsiTheme="majorBidi" w:cstheme="majorBidi"/>
          <w:sz w:val="24"/>
          <w:szCs w:val="24"/>
        </w:rPr>
        <w:footnoteReference w:id="369"/>
      </w:r>
    </w:p>
    <w:p w14:paraId="6B1E14B2" w14:textId="77777777" w:rsidR="006405B7" w:rsidRDefault="006405B7" w:rsidP="004C3EE0">
      <w:pPr>
        <w:spacing w:line="240" w:lineRule="auto"/>
        <w:ind w:left="737" w:right="737"/>
        <w:jc w:val="both"/>
        <w:rPr>
          <w:rFonts w:asciiTheme="majorBidi" w:hAnsiTheme="majorBidi" w:cstheme="majorBidi"/>
          <w:sz w:val="24"/>
          <w:szCs w:val="24"/>
        </w:rPr>
      </w:pPr>
    </w:p>
    <w:p w14:paraId="7C0CF00A" w14:textId="77777777" w:rsidR="006405B7" w:rsidRDefault="006405B7" w:rsidP="004C3EE0">
      <w:pPr>
        <w:spacing w:line="240" w:lineRule="auto"/>
        <w:ind w:left="737" w:right="737"/>
        <w:jc w:val="both"/>
        <w:rPr>
          <w:rFonts w:asciiTheme="majorBidi" w:hAnsiTheme="majorBidi" w:cstheme="majorBidi"/>
          <w:sz w:val="24"/>
          <w:szCs w:val="24"/>
        </w:rPr>
      </w:pPr>
    </w:p>
    <w:p w14:paraId="1761A7BF" w14:textId="77777777" w:rsidR="006405B7" w:rsidRDefault="006405B7" w:rsidP="004C3EE0">
      <w:pPr>
        <w:spacing w:line="240" w:lineRule="auto"/>
        <w:ind w:left="737" w:right="737"/>
        <w:jc w:val="both"/>
        <w:rPr>
          <w:rFonts w:asciiTheme="majorBidi" w:hAnsiTheme="majorBidi" w:cstheme="majorBidi"/>
          <w:sz w:val="24"/>
          <w:szCs w:val="24"/>
        </w:rPr>
      </w:pPr>
    </w:p>
    <w:p w14:paraId="186D0475" w14:textId="77777777" w:rsidR="006405B7" w:rsidRDefault="006405B7" w:rsidP="004C3EE0">
      <w:pPr>
        <w:spacing w:line="240" w:lineRule="auto"/>
        <w:ind w:left="737" w:right="737"/>
        <w:jc w:val="both"/>
        <w:rPr>
          <w:rFonts w:asciiTheme="majorBidi" w:hAnsiTheme="majorBidi" w:cstheme="majorBidi"/>
          <w:sz w:val="24"/>
          <w:szCs w:val="24"/>
        </w:rPr>
      </w:pPr>
    </w:p>
    <w:p w14:paraId="2950CD94" w14:textId="77777777" w:rsidR="006405B7" w:rsidRDefault="006405B7" w:rsidP="004C3EE0">
      <w:pPr>
        <w:spacing w:line="240" w:lineRule="auto"/>
        <w:ind w:left="737" w:right="737"/>
        <w:jc w:val="both"/>
        <w:rPr>
          <w:rFonts w:asciiTheme="majorBidi" w:hAnsiTheme="majorBidi" w:cstheme="majorBidi"/>
          <w:sz w:val="24"/>
          <w:szCs w:val="24"/>
        </w:rPr>
      </w:pPr>
    </w:p>
    <w:p w14:paraId="1BEB6EC6" w14:textId="77777777" w:rsidR="006405B7" w:rsidRPr="00505CF0" w:rsidRDefault="006405B7" w:rsidP="004C3EE0">
      <w:pPr>
        <w:spacing w:line="240" w:lineRule="auto"/>
        <w:ind w:left="737" w:right="737"/>
        <w:jc w:val="both"/>
        <w:rPr>
          <w:rFonts w:asciiTheme="majorBidi" w:hAnsiTheme="majorBidi" w:cstheme="majorBidi"/>
          <w:b/>
          <w:bCs/>
          <w:sz w:val="24"/>
          <w:szCs w:val="24"/>
          <w:u w:val="single"/>
        </w:rPr>
      </w:pPr>
    </w:p>
    <w:p w14:paraId="67E4BF07"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3.3</w:t>
      </w:r>
      <w:r w:rsidRPr="00505CF0">
        <w:rPr>
          <w:rFonts w:asciiTheme="majorBidi" w:eastAsia="Times New Roman" w:hAnsiTheme="majorBidi" w:cstheme="majorBidi"/>
          <w:b/>
          <w:sz w:val="28"/>
          <w:szCs w:val="28"/>
          <w:lang w:eastAsia="en-US"/>
        </w:rPr>
        <w:tab/>
        <w:t>Sisyphus Transcends Narcissus</w:t>
      </w:r>
    </w:p>
    <w:p w14:paraId="4D815B4A"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7698075D" w14:textId="48B2219C"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The desire for, and attempts to attain, Vermeullen’s depthiness </w:t>
      </w:r>
      <w:r w:rsidR="00530CC1">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a shade of meaning, a hint of purpose, from the surface – is evident in metamodern literature beyond such texts as engage in mythopoeia. This, in turn, evidences an emergent societal paradigm, which I tentatively name, Sisyphism, in reference to Albert Camus’ analysis of the namesake </w:t>
      </w:r>
      <w:r w:rsidRPr="00505CF0">
        <w:rPr>
          <w:rFonts w:asciiTheme="majorBidi" w:eastAsia="Times New Roman" w:hAnsiTheme="majorBidi" w:cstheme="majorBidi"/>
          <w:bCs/>
          <w:i/>
          <w:iCs/>
          <w:sz w:val="24"/>
          <w:szCs w:val="24"/>
          <w:lang w:eastAsia="en-US"/>
        </w:rPr>
        <w:t xml:space="preserve">Myth of Sisyphus, </w:t>
      </w:r>
      <w:r w:rsidRPr="00505CF0">
        <w:rPr>
          <w:rFonts w:asciiTheme="majorBidi" w:eastAsia="Times New Roman" w:hAnsiTheme="majorBidi" w:cstheme="majorBidi"/>
          <w:bCs/>
          <w:sz w:val="24"/>
          <w:szCs w:val="24"/>
          <w:lang w:eastAsia="en-US"/>
        </w:rPr>
        <w:t>and which I wish to explore here.</w:t>
      </w:r>
    </w:p>
    <w:p w14:paraId="415F60B0"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In Camus’s </w:t>
      </w:r>
      <w:r w:rsidRPr="00505CF0">
        <w:rPr>
          <w:rFonts w:asciiTheme="majorBidi" w:eastAsia="Times New Roman" w:hAnsiTheme="majorBidi" w:cstheme="majorBidi"/>
          <w:bCs/>
          <w:i/>
          <w:iCs/>
          <w:sz w:val="24"/>
          <w:szCs w:val="24"/>
          <w:lang w:eastAsia="en-US"/>
        </w:rPr>
        <w:t>Myth of Sisyphus</w:t>
      </w:r>
      <w:r w:rsidRPr="00505CF0">
        <w:rPr>
          <w:rFonts w:asciiTheme="majorBidi" w:eastAsia="Times New Roman" w:hAnsiTheme="majorBidi" w:cstheme="majorBidi"/>
          <w:bCs/>
          <w:sz w:val="24"/>
          <w:szCs w:val="24"/>
          <w:lang w:eastAsia="en-US"/>
        </w:rPr>
        <w:t>, he outlines a conception of the Absurd, and in particular the Absurd Wo/man</w:t>
      </w:r>
      <w:r w:rsidRPr="00505CF0">
        <w:rPr>
          <w:rStyle w:val="FootnoteReference"/>
          <w:rFonts w:asciiTheme="majorBidi" w:eastAsia="Times New Roman" w:hAnsiTheme="majorBidi" w:cstheme="majorBidi"/>
          <w:bCs/>
          <w:sz w:val="24"/>
          <w:szCs w:val="24"/>
          <w:lang w:eastAsia="en-US"/>
        </w:rPr>
        <w:footnoteReference w:id="370"/>
      </w:r>
      <w:r w:rsidRPr="00505CF0">
        <w:rPr>
          <w:rFonts w:asciiTheme="majorBidi" w:eastAsia="Times New Roman" w:hAnsiTheme="majorBidi" w:cstheme="majorBidi"/>
          <w:bCs/>
          <w:sz w:val="24"/>
          <w:szCs w:val="24"/>
          <w:lang w:eastAsia="en-US"/>
        </w:rPr>
        <w:t xml:space="preserve"> as one who recognises both ‘the absence of any profound reason for living, the insane character of the daily agitation [and] the uselessness of suffering,’</w:t>
      </w:r>
      <w:r w:rsidRPr="00505CF0">
        <w:rPr>
          <w:rStyle w:val="FootnoteReference"/>
          <w:rFonts w:asciiTheme="majorBidi" w:eastAsia="Times New Roman" w:hAnsiTheme="majorBidi" w:cstheme="majorBidi"/>
          <w:bCs/>
          <w:sz w:val="24"/>
          <w:szCs w:val="24"/>
          <w:lang w:eastAsia="en-US"/>
        </w:rPr>
        <w:footnoteReference w:id="371"/>
      </w:r>
      <w:r w:rsidRPr="00505CF0">
        <w:rPr>
          <w:rFonts w:asciiTheme="majorBidi" w:eastAsia="Times New Roman" w:hAnsiTheme="majorBidi" w:cstheme="majorBidi"/>
          <w:bCs/>
          <w:sz w:val="24"/>
          <w:szCs w:val="24"/>
          <w:lang w:eastAsia="en-US"/>
        </w:rPr>
        <w:t xml:space="preserve"> in response to the ‘primitive hostility of the world,’</w:t>
      </w:r>
      <w:r w:rsidRPr="00505CF0">
        <w:rPr>
          <w:rStyle w:val="FootnoteReference"/>
          <w:rFonts w:asciiTheme="majorBidi" w:eastAsia="Times New Roman" w:hAnsiTheme="majorBidi" w:cstheme="majorBidi"/>
          <w:bCs/>
          <w:sz w:val="24"/>
          <w:szCs w:val="24"/>
          <w:lang w:eastAsia="en-US"/>
        </w:rPr>
        <w:footnoteReference w:id="372"/>
      </w:r>
      <w:r w:rsidRPr="00505CF0">
        <w:rPr>
          <w:rFonts w:asciiTheme="majorBidi" w:eastAsia="Times New Roman" w:hAnsiTheme="majorBidi" w:cstheme="majorBidi"/>
          <w:bCs/>
          <w:sz w:val="24"/>
          <w:szCs w:val="24"/>
          <w:lang w:eastAsia="en-US"/>
        </w:rPr>
        <w:t xml:space="preserve"> alongside ‘the wild longing for clarity whose call echoes in the human heart.’</w:t>
      </w:r>
      <w:r w:rsidRPr="00505CF0">
        <w:rPr>
          <w:rStyle w:val="FootnoteReference"/>
          <w:rFonts w:asciiTheme="majorBidi" w:eastAsia="Times New Roman" w:hAnsiTheme="majorBidi" w:cstheme="majorBidi"/>
          <w:bCs/>
          <w:sz w:val="24"/>
          <w:szCs w:val="24"/>
          <w:lang w:eastAsia="en-US"/>
        </w:rPr>
        <w:footnoteReference w:id="373"/>
      </w:r>
      <w:r w:rsidRPr="00505CF0">
        <w:rPr>
          <w:rFonts w:asciiTheme="majorBidi" w:eastAsia="Times New Roman" w:hAnsiTheme="majorBidi" w:cstheme="majorBidi"/>
          <w:bCs/>
          <w:sz w:val="24"/>
          <w:szCs w:val="24"/>
          <w:lang w:eastAsia="en-US"/>
        </w:rPr>
        <w:t xml:space="preserve"> The Absurd, as recognized by Camus, is the conflict between these two desires, between the human tendency to seek inherent value or meaning in life, and the human inability to discover this.</w:t>
      </w:r>
      <w:r w:rsidRPr="00505CF0">
        <w:rPr>
          <w:rStyle w:val="FootnoteReference"/>
          <w:rFonts w:asciiTheme="majorBidi" w:eastAsia="Times New Roman" w:hAnsiTheme="majorBidi" w:cstheme="majorBidi"/>
          <w:bCs/>
          <w:sz w:val="24"/>
          <w:szCs w:val="24"/>
          <w:lang w:eastAsia="en-US"/>
        </w:rPr>
        <w:footnoteReference w:id="374"/>
      </w:r>
      <w:r w:rsidRPr="00505CF0">
        <w:rPr>
          <w:rFonts w:asciiTheme="majorBidi" w:eastAsia="Times New Roman" w:hAnsiTheme="majorBidi" w:cstheme="majorBidi"/>
          <w:bCs/>
          <w:sz w:val="24"/>
          <w:szCs w:val="24"/>
          <w:lang w:eastAsia="en-US"/>
        </w:rPr>
        <w:t xml:space="preserve"> ‘The Absurd,’ argues </w:t>
      </w:r>
      <w:proofErr w:type="gramStart"/>
      <w:r w:rsidRPr="00505CF0">
        <w:rPr>
          <w:rFonts w:asciiTheme="majorBidi" w:eastAsia="Times New Roman" w:hAnsiTheme="majorBidi" w:cstheme="majorBidi"/>
          <w:bCs/>
          <w:sz w:val="24"/>
          <w:szCs w:val="24"/>
          <w:lang w:eastAsia="en-US"/>
        </w:rPr>
        <w:t>Camus,</w:t>
      </w:r>
      <w:proofErr w:type="gramEnd"/>
      <w:r w:rsidRPr="00505CF0">
        <w:rPr>
          <w:rFonts w:asciiTheme="majorBidi" w:eastAsia="Times New Roman" w:hAnsiTheme="majorBidi" w:cstheme="majorBidi"/>
          <w:bCs/>
          <w:sz w:val="24"/>
          <w:szCs w:val="24"/>
          <w:lang w:eastAsia="en-US"/>
        </w:rPr>
        <w:t xml:space="preserve"> ‘is essentially a divorce. It lies in neither of the elements compared; it is born of their confrontation.’</w:t>
      </w:r>
      <w:r w:rsidRPr="00505CF0">
        <w:rPr>
          <w:rStyle w:val="FootnoteReference"/>
          <w:rFonts w:asciiTheme="majorBidi" w:eastAsia="Times New Roman" w:hAnsiTheme="majorBidi" w:cstheme="majorBidi"/>
          <w:bCs/>
          <w:sz w:val="24"/>
          <w:szCs w:val="24"/>
          <w:lang w:eastAsia="en-US"/>
        </w:rPr>
        <w:footnoteReference w:id="375"/>
      </w:r>
      <w:r w:rsidRPr="00505CF0">
        <w:rPr>
          <w:rFonts w:asciiTheme="majorBidi" w:eastAsia="Times New Roman" w:hAnsiTheme="majorBidi" w:cstheme="majorBidi"/>
          <w:bCs/>
          <w:sz w:val="24"/>
          <w:szCs w:val="24"/>
          <w:lang w:eastAsia="en-US"/>
        </w:rPr>
        <w:t xml:space="preserve"> In recognizing this condition, the Absurd wo/man gains a degree of personal freedom from oppressive ontological and ideological dogma, and relief from the crushing repetition of the everyday, the ‘weariness that comes at the end of the acts of a mechanical life.’</w:t>
      </w:r>
      <w:r w:rsidRPr="00505CF0">
        <w:rPr>
          <w:rStyle w:val="FootnoteReference"/>
          <w:rFonts w:asciiTheme="majorBidi" w:eastAsia="Times New Roman" w:hAnsiTheme="majorBidi" w:cstheme="majorBidi"/>
          <w:bCs/>
          <w:sz w:val="24"/>
          <w:szCs w:val="24"/>
          <w:lang w:eastAsia="en-US"/>
        </w:rPr>
        <w:footnoteReference w:id="376"/>
      </w:r>
      <w:r w:rsidRPr="00505CF0">
        <w:rPr>
          <w:rFonts w:asciiTheme="majorBidi" w:eastAsia="Times New Roman" w:hAnsiTheme="majorBidi" w:cstheme="majorBidi"/>
          <w:bCs/>
          <w:sz w:val="24"/>
          <w:szCs w:val="24"/>
          <w:lang w:eastAsia="en-US"/>
        </w:rPr>
        <w:t xml:space="preserve"> This is achieved via the post-weariness inauguration of moments of ‘consciousness,’ that is to say, of a particular clarity of determinism and will:</w:t>
      </w:r>
    </w:p>
    <w:p w14:paraId="030D1AFB" w14:textId="77777777" w:rsidR="00C111D3" w:rsidRPr="00505CF0" w:rsidRDefault="00C111D3" w:rsidP="004C3EE0">
      <w:pPr>
        <w:spacing w:line="240" w:lineRule="auto"/>
        <w:jc w:val="both"/>
        <w:rPr>
          <w:rFonts w:asciiTheme="majorBidi" w:eastAsia="Times New Roman" w:hAnsiTheme="majorBidi" w:cstheme="majorBidi"/>
          <w:bCs/>
          <w:sz w:val="24"/>
          <w:szCs w:val="24"/>
          <w:lang w:eastAsia="en-US"/>
        </w:rPr>
      </w:pPr>
    </w:p>
    <w:p w14:paraId="28D0B6E6"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It was previously a question of finding out whether or not life had to have a meaning to be lived. It now becomes clear on the contrary that it will be lived all the better if it has no meaning.</w:t>
      </w:r>
      <w:r w:rsidRPr="00505CF0">
        <w:rPr>
          <w:rStyle w:val="FootnoteReference"/>
          <w:rFonts w:asciiTheme="majorBidi" w:eastAsia="Times New Roman" w:hAnsiTheme="majorBidi" w:cstheme="majorBidi"/>
          <w:bCs/>
          <w:sz w:val="24"/>
          <w:szCs w:val="24"/>
          <w:lang w:eastAsia="en-US"/>
        </w:rPr>
        <w:footnoteReference w:id="377"/>
      </w:r>
    </w:p>
    <w:p w14:paraId="6A05535F"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 </w:t>
      </w:r>
    </w:p>
    <w:p w14:paraId="695C4EBB"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Camus observes that the revelation of the Absurd, can provide some form of personal freedom from the oppressive nihilism brought about by a recognition of the ‘unintelligible and limited universe’</w:t>
      </w:r>
      <w:r w:rsidRPr="00505CF0">
        <w:rPr>
          <w:rStyle w:val="FootnoteReference"/>
          <w:rFonts w:asciiTheme="majorBidi" w:eastAsia="Times New Roman" w:hAnsiTheme="majorBidi" w:cstheme="majorBidi"/>
          <w:bCs/>
          <w:sz w:val="24"/>
          <w:szCs w:val="24"/>
          <w:lang w:eastAsia="en-US"/>
        </w:rPr>
        <w:footnoteReference w:id="378"/>
      </w:r>
      <w:r w:rsidRPr="00505CF0">
        <w:rPr>
          <w:rFonts w:asciiTheme="majorBidi" w:eastAsia="Times New Roman" w:hAnsiTheme="majorBidi" w:cstheme="majorBidi"/>
          <w:bCs/>
          <w:sz w:val="24"/>
          <w:szCs w:val="24"/>
          <w:lang w:eastAsia="en-US"/>
        </w:rPr>
        <w:t xml:space="preserve"> in the face of a desire for meaning: </w:t>
      </w:r>
    </w:p>
    <w:p w14:paraId="1545595E"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2082212D"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It is clear that death and the absurd are here the principles of the only reasonable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w:t>
      </w:r>
      <w:r w:rsidRPr="00505CF0">
        <w:rPr>
          <w:rStyle w:val="FootnoteReference"/>
          <w:rFonts w:asciiTheme="majorBidi" w:eastAsia="Times New Roman" w:hAnsiTheme="majorBidi" w:cstheme="majorBidi"/>
          <w:bCs/>
          <w:sz w:val="24"/>
          <w:szCs w:val="24"/>
          <w:lang w:eastAsia="en-US"/>
        </w:rPr>
        <w:footnoteReference w:id="379"/>
      </w:r>
    </w:p>
    <w:p w14:paraId="3B3F6D66" w14:textId="77777777" w:rsidR="00C111D3" w:rsidRPr="00505CF0" w:rsidRDefault="00C111D3" w:rsidP="004C3EE0">
      <w:pPr>
        <w:spacing w:line="240" w:lineRule="auto"/>
        <w:jc w:val="both"/>
        <w:rPr>
          <w:rFonts w:asciiTheme="majorBidi" w:eastAsia="Times New Roman" w:hAnsiTheme="majorBidi" w:cstheme="majorBidi"/>
          <w:bCs/>
          <w:sz w:val="24"/>
          <w:szCs w:val="24"/>
          <w:lang w:eastAsia="en-US"/>
        </w:rPr>
      </w:pPr>
    </w:p>
    <w:p w14:paraId="0B54C8C9" w14:textId="77777777" w:rsidR="00C111D3" w:rsidRPr="00505CF0" w:rsidRDefault="00C111D3" w:rsidP="004C3EE0">
      <w:pPr>
        <w:spacing w:line="240" w:lineRule="auto"/>
        <w:jc w:val="both"/>
        <w:rPr>
          <w:rFonts w:asciiTheme="majorBidi" w:eastAsia="Times New Roman" w:hAnsiTheme="majorBidi" w:cstheme="majorBidi"/>
          <w:bCs/>
          <w:sz w:val="24"/>
          <w:szCs w:val="24"/>
          <w:lang w:eastAsia="en-US"/>
        </w:rPr>
      </w:pPr>
    </w:p>
    <w:p w14:paraId="4EA77B9E" w14:textId="5D66D64A"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The recognition of the Absurd leads to </w:t>
      </w:r>
      <w:r w:rsidR="001225B4">
        <w:rPr>
          <w:rFonts w:asciiTheme="majorBidi" w:eastAsia="Times New Roman" w:hAnsiTheme="majorBidi" w:cstheme="majorBidi"/>
          <w:bCs/>
          <w:sz w:val="24"/>
          <w:szCs w:val="24"/>
          <w:lang w:eastAsia="en-US"/>
        </w:rPr>
        <w:t>one of three outcomes:</w:t>
      </w:r>
      <w:r w:rsidRPr="00505CF0">
        <w:rPr>
          <w:rFonts w:asciiTheme="majorBidi" w:eastAsia="Times New Roman" w:hAnsiTheme="majorBidi" w:cstheme="majorBidi"/>
          <w:bCs/>
          <w:sz w:val="24"/>
          <w:szCs w:val="24"/>
          <w:lang w:eastAsia="en-US"/>
        </w:rPr>
        <w:t xml:space="preserve"> a momentarily lapse before a return to the everyday ‘chain</w:t>
      </w:r>
      <w:r w:rsidR="001225B4">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a recognition and suicide</w:t>
      </w:r>
      <w:r w:rsidR="001225B4">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or to recognition and recovery.</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380"/>
      </w:r>
      <w:r w:rsidRPr="00505CF0">
        <w:rPr>
          <w:rFonts w:asciiTheme="majorBidi" w:eastAsia="Times New Roman" w:hAnsiTheme="majorBidi" w:cstheme="majorBidi"/>
          <w:bCs/>
          <w:sz w:val="24"/>
          <w:szCs w:val="24"/>
          <w:lang w:eastAsia="en-US"/>
        </w:rPr>
        <w:t xml:space="preserve"> Against the ideals of hope and consolation of his</w:t>
      </w:r>
      <w:r w:rsidR="00613018">
        <w:rPr>
          <w:rFonts w:asciiTheme="majorBidi" w:eastAsia="Times New Roman" w:hAnsiTheme="majorBidi" w:cstheme="majorBidi"/>
          <w:bCs/>
          <w:sz w:val="24"/>
          <w:szCs w:val="24"/>
          <w:lang w:eastAsia="en-US"/>
        </w:rPr>
        <w:t>/her</w:t>
      </w:r>
      <w:r w:rsidRPr="00505CF0">
        <w:rPr>
          <w:rFonts w:asciiTheme="majorBidi" w:eastAsia="Times New Roman" w:hAnsiTheme="majorBidi" w:cstheme="majorBidi"/>
          <w:bCs/>
          <w:sz w:val="24"/>
          <w:szCs w:val="24"/>
          <w:lang w:eastAsia="en-US"/>
        </w:rPr>
        <w:t xml:space="preserve"> desire for Truth, Camus’ Absurd wo/man finds clarity from their acceptance of the Absurd condition of existence, realising that ‘the point is to live,’ to experience and to describe those experiences.</w:t>
      </w:r>
      <w:r w:rsidRPr="00505CF0">
        <w:rPr>
          <w:rStyle w:val="FootnoteReference"/>
          <w:rFonts w:asciiTheme="majorBidi" w:eastAsia="Times New Roman" w:hAnsiTheme="majorBidi" w:cstheme="majorBidi"/>
          <w:bCs/>
          <w:sz w:val="24"/>
          <w:szCs w:val="24"/>
          <w:lang w:eastAsia="en-US"/>
        </w:rPr>
        <w:footnoteReference w:id="381"/>
      </w:r>
      <w:r w:rsidRPr="00505CF0">
        <w:rPr>
          <w:rFonts w:asciiTheme="majorBidi" w:eastAsia="Times New Roman" w:hAnsiTheme="majorBidi" w:cstheme="majorBidi"/>
          <w:bCs/>
          <w:sz w:val="24"/>
          <w:szCs w:val="24"/>
          <w:lang w:eastAsia="en-US"/>
        </w:rPr>
        <w:t xml:space="preserve"> The Absurd wo/man realizes their limited mortality and the lack of any particular grand meaning of special purpose to their birth, and instead seeks to take hold of their own fate, to ‘live out [their] adventure within the span of [their] lifetime.’</w:t>
      </w:r>
      <w:r w:rsidRPr="00505CF0">
        <w:rPr>
          <w:rStyle w:val="FootnoteReference"/>
          <w:rFonts w:asciiTheme="majorBidi" w:eastAsia="Times New Roman" w:hAnsiTheme="majorBidi" w:cstheme="majorBidi"/>
          <w:bCs/>
          <w:sz w:val="24"/>
          <w:szCs w:val="24"/>
          <w:lang w:eastAsia="en-US"/>
        </w:rPr>
        <w:footnoteReference w:id="382"/>
      </w:r>
      <w:r w:rsidRPr="00505CF0">
        <w:rPr>
          <w:rFonts w:asciiTheme="majorBidi" w:eastAsia="Times New Roman" w:hAnsiTheme="majorBidi" w:cstheme="majorBidi"/>
          <w:bCs/>
          <w:sz w:val="24"/>
          <w:szCs w:val="24"/>
          <w:lang w:eastAsia="en-US"/>
        </w:rPr>
        <w:t xml:space="preserve"> Camus posits death as the final and only outcome to life, outside of which everything becomes a liberty in which wo/man ‘is the sole master.’</w:t>
      </w:r>
      <w:r w:rsidRPr="00505CF0">
        <w:rPr>
          <w:rStyle w:val="FootnoteReference"/>
          <w:rFonts w:asciiTheme="majorBidi" w:eastAsia="Times New Roman" w:hAnsiTheme="majorBidi" w:cstheme="majorBidi"/>
          <w:bCs/>
          <w:sz w:val="24"/>
          <w:szCs w:val="24"/>
          <w:lang w:eastAsia="en-US"/>
        </w:rPr>
        <w:footnoteReference w:id="383"/>
      </w:r>
      <w:r w:rsidRPr="00505CF0">
        <w:rPr>
          <w:rFonts w:asciiTheme="majorBidi" w:eastAsia="Times New Roman" w:hAnsiTheme="majorBidi" w:cstheme="majorBidi"/>
          <w:bCs/>
          <w:sz w:val="24"/>
          <w:szCs w:val="24"/>
          <w:lang w:eastAsia="en-US"/>
        </w:rPr>
        <w:t xml:space="preserve"> </w:t>
      </w:r>
    </w:p>
    <w:p w14:paraId="0A3E49DF" w14:textId="77777777" w:rsidR="00C111D3" w:rsidRPr="00505CF0" w:rsidRDefault="00C111D3" w:rsidP="004C3EE0">
      <w:pPr>
        <w:spacing w:line="480" w:lineRule="auto"/>
        <w:ind w:firstLine="720"/>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By way of example, Camus turns to the Greek mythological figure of Sisyphus, doomed to forever heave a boulder up the side of a mountain only for it to roll back down and his task begin anew.  ‘One must imagine Sisyphus happy,’</w:t>
      </w:r>
      <w:r w:rsidRPr="00505CF0">
        <w:rPr>
          <w:rStyle w:val="FootnoteReference"/>
          <w:rFonts w:asciiTheme="majorBidi" w:eastAsia="Times New Roman" w:hAnsiTheme="majorBidi" w:cstheme="majorBidi"/>
          <w:bCs/>
          <w:sz w:val="24"/>
          <w:szCs w:val="24"/>
          <w:lang w:eastAsia="en-US"/>
        </w:rPr>
        <w:footnoteReference w:id="384"/>
      </w:r>
      <w:r w:rsidRPr="00505CF0">
        <w:rPr>
          <w:rFonts w:asciiTheme="majorBidi" w:eastAsia="Times New Roman" w:hAnsiTheme="majorBidi" w:cstheme="majorBidi"/>
          <w:bCs/>
          <w:sz w:val="24"/>
          <w:szCs w:val="24"/>
          <w:lang w:eastAsia="en-US"/>
        </w:rPr>
        <w:t xml:space="preserve"> Camus famously writes, claiming that it is happiness that may come after the recognition of the Absurd. He pictures Sisyphus watching his rock roll down the mountain once more, and beginning to take heavy, measured steps back down towards his endless torment, yet in that space – the post-weariness in which the mechanical aspects of life are mitigated momentarily – Sisyphus finds a ‘breathing space,’ in which his consciousness rises to a more self-analytical level.</w:t>
      </w:r>
      <w:r w:rsidRPr="00505CF0">
        <w:rPr>
          <w:rStyle w:val="FootnoteReference"/>
          <w:rFonts w:asciiTheme="majorBidi" w:eastAsia="Times New Roman" w:hAnsiTheme="majorBidi" w:cstheme="majorBidi"/>
          <w:bCs/>
          <w:sz w:val="24"/>
          <w:szCs w:val="24"/>
          <w:lang w:eastAsia="en-US"/>
        </w:rPr>
        <w:footnoteReference w:id="385"/>
      </w:r>
      <w:r w:rsidRPr="00505CF0">
        <w:rPr>
          <w:rFonts w:asciiTheme="majorBidi" w:eastAsia="Times New Roman" w:hAnsiTheme="majorBidi" w:cstheme="majorBidi"/>
          <w:bCs/>
          <w:sz w:val="24"/>
          <w:szCs w:val="24"/>
          <w:lang w:eastAsia="en-US"/>
        </w:rPr>
        <w:t xml:space="preserve"> During these moments, Sisyphus is aware of his personal determinism and fate, as well as the choices he has made to take him to this particular position: ‘At that subtle moment when man glances backward over his life, Sisyphus returning towards his rock, in that slight pivoting, he contemplates that series of unrelated actions which becomes his fate, created by him.’</w:t>
      </w:r>
      <w:r w:rsidRPr="00505CF0">
        <w:rPr>
          <w:rStyle w:val="FootnoteReference"/>
          <w:rFonts w:asciiTheme="majorBidi" w:eastAsia="Times New Roman" w:hAnsiTheme="majorBidi" w:cstheme="majorBidi"/>
          <w:bCs/>
          <w:sz w:val="24"/>
          <w:szCs w:val="24"/>
          <w:lang w:eastAsia="en-US"/>
        </w:rPr>
        <w:footnoteReference w:id="386"/>
      </w:r>
      <w:r w:rsidRPr="00505CF0">
        <w:rPr>
          <w:rFonts w:asciiTheme="majorBidi" w:eastAsia="Times New Roman" w:hAnsiTheme="majorBidi" w:cstheme="majorBidi"/>
          <w:bCs/>
          <w:sz w:val="24"/>
          <w:szCs w:val="24"/>
          <w:lang w:eastAsia="en-US"/>
        </w:rPr>
        <w:t xml:space="preserve"> His fate belongs to him alone and the universe, ‘henceforth without a master,’ seems filled with possibility.</w:t>
      </w:r>
      <w:r w:rsidRPr="00505CF0">
        <w:rPr>
          <w:rStyle w:val="FootnoteReference"/>
          <w:rFonts w:asciiTheme="majorBidi" w:eastAsia="Times New Roman" w:hAnsiTheme="majorBidi" w:cstheme="majorBidi"/>
          <w:bCs/>
          <w:sz w:val="24"/>
          <w:szCs w:val="24"/>
          <w:lang w:eastAsia="en-US"/>
        </w:rPr>
        <w:footnoteReference w:id="387"/>
      </w:r>
    </w:p>
    <w:p w14:paraId="12A4B1F4" w14:textId="75F60E60"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 Camus’ proposition of the Absurd, originally written in 1942, seems a pertinent position in the metamodern moment</w:t>
      </w:r>
      <w:r w:rsidRPr="00505CF0">
        <w:rPr>
          <w:rStyle w:val="FootnoteReference"/>
          <w:rFonts w:asciiTheme="majorBidi" w:eastAsia="Times New Roman" w:hAnsiTheme="majorBidi" w:cstheme="majorBidi"/>
          <w:bCs/>
          <w:sz w:val="24"/>
          <w:szCs w:val="24"/>
          <w:lang w:eastAsia="en-US"/>
        </w:rPr>
        <w:footnoteReference w:id="388"/>
      </w:r>
      <w:r w:rsidRPr="00505CF0">
        <w:rPr>
          <w:rFonts w:asciiTheme="majorBidi" w:eastAsia="Times New Roman" w:hAnsiTheme="majorBidi" w:cstheme="majorBidi"/>
          <w:bCs/>
          <w:sz w:val="24"/>
          <w:szCs w:val="24"/>
          <w:lang w:eastAsia="en-US"/>
        </w:rPr>
        <w:t xml:space="preserve"> with its exploration of the desire for meaning in opposition to an understanding of the infinite meaninglessness of mundane existence</w:t>
      </w:r>
      <w:r w:rsidR="001225B4">
        <w:rPr>
          <w:rFonts w:asciiTheme="majorBidi" w:eastAsia="Times New Roman" w:hAnsiTheme="majorBidi" w:cstheme="majorBidi"/>
          <w:bCs/>
          <w:sz w:val="24"/>
          <w:szCs w:val="24"/>
          <w:lang w:eastAsia="en-US"/>
        </w:rPr>
        <w:t xml:space="preserve">. Indeed, the connection seems so strongly to connect </w:t>
      </w:r>
      <w:proofErr w:type="gramStart"/>
      <w:r w:rsidR="001225B4">
        <w:rPr>
          <w:rFonts w:asciiTheme="majorBidi" w:eastAsia="Times New Roman" w:hAnsiTheme="majorBidi" w:cstheme="majorBidi"/>
          <w:bCs/>
          <w:sz w:val="24"/>
          <w:szCs w:val="24"/>
          <w:lang w:eastAsia="en-US"/>
        </w:rPr>
        <w:t xml:space="preserve">to </w:t>
      </w:r>
      <w:r w:rsidRPr="00505CF0">
        <w:rPr>
          <w:rFonts w:asciiTheme="majorBidi" w:eastAsia="Times New Roman" w:hAnsiTheme="majorBidi" w:cstheme="majorBidi"/>
          <w:bCs/>
          <w:sz w:val="24"/>
          <w:szCs w:val="24"/>
          <w:lang w:eastAsia="en-US"/>
        </w:rPr>
        <w:t xml:space="preserve"> Vermeullen</w:t>
      </w:r>
      <w:proofErr w:type="gramEnd"/>
      <w:r w:rsidRPr="00505CF0">
        <w:rPr>
          <w:rFonts w:asciiTheme="majorBidi" w:eastAsia="Times New Roman" w:hAnsiTheme="majorBidi" w:cstheme="majorBidi"/>
          <w:bCs/>
          <w:sz w:val="24"/>
          <w:szCs w:val="24"/>
          <w:lang w:eastAsia="en-US"/>
        </w:rPr>
        <w:t xml:space="preserve"> and van den Akker’s assertion about the metamodern oscillation between ‘a modern desire for </w:t>
      </w:r>
      <w:r w:rsidRPr="00505CF0">
        <w:rPr>
          <w:rFonts w:asciiTheme="majorBidi" w:eastAsia="Times New Roman" w:hAnsiTheme="majorBidi" w:cstheme="majorBidi"/>
          <w:bCs/>
          <w:i/>
          <w:iCs/>
          <w:sz w:val="24"/>
          <w:szCs w:val="24"/>
          <w:lang w:eastAsia="en-US"/>
        </w:rPr>
        <w:t>sens</w:t>
      </w:r>
      <w:r w:rsidRPr="00505CF0">
        <w:rPr>
          <w:rFonts w:asciiTheme="majorBidi" w:eastAsia="Times New Roman" w:hAnsiTheme="majorBidi" w:cstheme="majorBidi"/>
          <w:bCs/>
          <w:sz w:val="24"/>
          <w:szCs w:val="24"/>
          <w:lang w:eastAsia="en-US"/>
        </w:rPr>
        <w:t xml:space="preserve"> and the postmodern doubt about the sense of it all</w:t>
      </w:r>
      <w:r w:rsidR="001225B4">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w:t>
      </w:r>
      <w:r w:rsidRPr="00505CF0">
        <w:rPr>
          <w:rStyle w:val="FootnoteReference"/>
          <w:rFonts w:asciiTheme="majorBidi" w:eastAsia="Times New Roman" w:hAnsiTheme="majorBidi" w:cstheme="majorBidi"/>
          <w:bCs/>
          <w:sz w:val="24"/>
          <w:szCs w:val="24"/>
          <w:lang w:eastAsia="en-US"/>
        </w:rPr>
        <w:footnoteReference w:id="389"/>
      </w:r>
      <w:r w:rsidRPr="00505CF0">
        <w:rPr>
          <w:rFonts w:asciiTheme="majorBidi" w:eastAsia="Times New Roman" w:hAnsiTheme="majorBidi" w:cstheme="majorBidi"/>
          <w:bCs/>
          <w:sz w:val="24"/>
          <w:szCs w:val="24"/>
          <w:lang w:eastAsia="en-US"/>
        </w:rPr>
        <w:t xml:space="preserve"> Metamodern literature bears witness to a new engagement with this Sisyphean model, though now tempered with an additional desire to transcend the postmodern. ‘Living, naturally, is never easy,’</w:t>
      </w:r>
      <w:r w:rsidRPr="00505CF0">
        <w:rPr>
          <w:rStyle w:val="FootnoteReference"/>
          <w:rFonts w:asciiTheme="majorBidi" w:eastAsia="Times New Roman" w:hAnsiTheme="majorBidi" w:cstheme="majorBidi"/>
          <w:bCs/>
          <w:sz w:val="24"/>
          <w:szCs w:val="24"/>
          <w:lang w:eastAsia="en-US"/>
        </w:rPr>
        <w:footnoteReference w:id="390"/>
      </w:r>
      <w:r w:rsidRPr="00505CF0">
        <w:rPr>
          <w:rFonts w:asciiTheme="majorBidi" w:eastAsia="Times New Roman" w:hAnsiTheme="majorBidi" w:cstheme="majorBidi"/>
          <w:bCs/>
          <w:sz w:val="24"/>
          <w:szCs w:val="24"/>
          <w:lang w:eastAsia="en-US"/>
        </w:rPr>
        <w:t xml:space="preserve"> writes Camus, and indeed the new metamodern Sisyphism posits an acceptance of the pain of the contemporary (</w:t>
      </w:r>
      <w:r w:rsidRPr="00505CF0">
        <w:rPr>
          <w:rFonts w:asciiTheme="majorBidi" w:eastAsia="Times New Roman" w:hAnsiTheme="majorBidi" w:cstheme="majorBidi"/>
          <w:bCs/>
          <w:i/>
          <w:iCs/>
          <w:sz w:val="24"/>
          <w:szCs w:val="24"/>
          <w:lang w:eastAsia="en-US"/>
        </w:rPr>
        <w:t>‘yes, life is hard’</w:t>
      </w:r>
      <w:r w:rsidRPr="00505CF0">
        <w:rPr>
          <w:rFonts w:asciiTheme="majorBidi" w:eastAsia="Times New Roman" w:hAnsiTheme="majorBidi" w:cstheme="majorBidi"/>
          <w:bCs/>
          <w:sz w:val="24"/>
          <w:szCs w:val="24"/>
          <w:lang w:eastAsia="en-US"/>
        </w:rPr>
        <w:t>),</w:t>
      </w:r>
      <w:r w:rsidRPr="00505CF0">
        <w:rPr>
          <w:rStyle w:val="FootnoteReference"/>
          <w:rFonts w:asciiTheme="majorBidi" w:eastAsia="Times New Roman" w:hAnsiTheme="majorBidi" w:cstheme="majorBidi"/>
          <w:bCs/>
          <w:sz w:val="24"/>
          <w:szCs w:val="24"/>
          <w:lang w:eastAsia="en-US"/>
        </w:rPr>
        <w:footnoteReference w:id="391"/>
      </w:r>
      <w:r w:rsidRPr="00505CF0">
        <w:rPr>
          <w:rFonts w:asciiTheme="majorBidi" w:eastAsia="Times New Roman" w:hAnsiTheme="majorBidi" w:cstheme="majorBidi"/>
          <w:bCs/>
          <w:sz w:val="24"/>
          <w:szCs w:val="24"/>
          <w:lang w:eastAsia="en-US"/>
        </w:rPr>
        <w:t xml:space="preserve"> the seeming relentless trials and surface-only nature of life, counter-balanced with a contemporary search not for capital-T Truth, but for personal happiness (or acceptance) gleaned from beyond the self. Metamodernism accepts the postmodern surrender of clarity and meaning, the deconstruction of all structures of such meaning, and instead a Sisyphean attitude emerges in such contemporary novels as explore the Absurd in contrast with a desire for depth of connection, of social or personal obligation, rather than depth of purpose. What seems to be emerging within metamodern literature is a desire to mitigate the Absurd, to transcend the postmodern via external, rather than internal, perceptions of meaning, that is to say, a</w:t>
      </w:r>
      <w:r w:rsidR="002750B3">
        <w:rPr>
          <w:rFonts w:asciiTheme="majorBidi" w:eastAsia="Times New Roman" w:hAnsiTheme="majorBidi" w:cstheme="majorBidi"/>
          <w:bCs/>
          <w:sz w:val="24"/>
          <w:szCs w:val="24"/>
          <w:lang w:eastAsia="en-US"/>
        </w:rPr>
        <w:t>n individual</w:t>
      </w:r>
      <w:r w:rsidRPr="00505CF0">
        <w:rPr>
          <w:rFonts w:asciiTheme="majorBidi" w:eastAsia="Times New Roman" w:hAnsiTheme="majorBidi" w:cstheme="majorBidi"/>
          <w:bCs/>
          <w:sz w:val="24"/>
          <w:szCs w:val="24"/>
          <w:lang w:eastAsia="en-US"/>
        </w:rPr>
        <w:t xml:space="preserve"> purpose created through personal interactions, rather than introspection of the role of the self. A societal step away from Narcissus, and towards Sisyphus </w:t>
      </w:r>
      <w:r w:rsidR="00613018">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not doomed forever to gaze into the empty surface of the mirror, but instead doomed to relive the ignominy of life’s mechanical needs, albeit with brief respites in which consciousness may rise and happiness be gleaned, as Sisyphus after the rock has rolled. Yes, the metamodern text argues, life is absurd (in terms of the absence of profound reason, insane character of daily repetition, the uselessness of suffering, the hostility of the world) but perhaps happiness may be garnered nonetheless from personal interactions within the everyday, obtained via a Sisyphean freedom to find our own meaning.</w:t>
      </w:r>
      <w:r w:rsidRPr="00505CF0">
        <w:rPr>
          <w:rStyle w:val="FootnoteReference"/>
          <w:rFonts w:asciiTheme="majorBidi" w:eastAsia="Times New Roman" w:hAnsiTheme="majorBidi" w:cstheme="majorBidi"/>
          <w:bCs/>
          <w:sz w:val="24"/>
          <w:szCs w:val="24"/>
          <w:lang w:eastAsia="en-US"/>
        </w:rPr>
        <w:footnoteReference w:id="392"/>
      </w:r>
      <w:r w:rsidRPr="00505CF0">
        <w:rPr>
          <w:rFonts w:asciiTheme="majorBidi" w:eastAsia="Times New Roman" w:hAnsiTheme="majorBidi" w:cstheme="majorBidi"/>
          <w:bCs/>
          <w:sz w:val="24"/>
          <w:szCs w:val="24"/>
          <w:lang w:eastAsia="en-US"/>
        </w:rPr>
        <w:t xml:space="preserve"> Camus gives us a ‘lucid invitation to live and to create in the very midst of the desert,’ and the metamodern responds with enthusiasm.</w:t>
      </w:r>
      <w:r w:rsidR="00613018" w:rsidRPr="00613018">
        <w:rPr>
          <w:rStyle w:val="FootnoteReference"/>
          <w:rFonts w:asciiTheme="majorBidi" w:eastAsia="Times New Roman" w:hAnsiTheme="majorBidi" w:cstheme="majorBidi"/>
          <w:bCs/>
          <w:sz w:val="24"/>
          <w:szCs w:val="24"/>
          <w:lang w:eastAsia="en-US"/>
        </w:rPr>
        <w:t xml:space="preserve"> </w:t>
      </w:r>
      <w:r w:rsidR="00613018" w:rsidRPr="00505CF0">
        <w:rPr>
          <w:rStyle w:val="FootnoteReference"/>
          <w:rFonts w:asciiTheme="majorBidi" w:eastAsia="Times New Roman" w:hAnsiTheme="majorBidi" w:cstheme="majorBidi"/>
          <w:bCs/>
          <w:sz w:val="24"/>
          <w:szCs w:val="24"/>
          <w:lang w:eastAsia="en-US"/>
        </w:rPr>
        <w:footnoteReference w:id="393"/>
      </w:r>
      <w:r w:rsidRPr="00505CF0">
        <w:rPr>
          <w:rFonts w:asciiTheme="majorBidi" w:eastAsia="Times New Roman" w:hAnsiTheme="majorBidi" w:cstheme="majorBidi"/>
          <w:bCs/>
          <w:sz w:val="24"/>
          <w:szCs w:val="24"/>
          <w:lang w:eastAsia="en-US"/>
        </w:rPr>
        <w:t xml:space="preserve"> </w:t>
      </w:r>
    </w:p>
    <w:p w14:paraId="534B8B1F" w14:textId="39C38DE6" w:rsidR="00C111D3" w:rsidRPr="00505CF0" w:rsidRDefault="00C111D3" w:rsidP="004C3EE0">
      <w:pPr>
        <w:spacing w:line="480" w:lineRule="auto"/>
        <w:ind w:firstLine="720"/>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We can witness this new paradigm in the themes of the previously explored </w:t>
      </w:r>
      <w:r w:rsidRPr="00505CF0">
        <w:rPr>
          <w:rFonts w:asciiTheme="majorBidi" w:eastAsia="Times New Roman" w:hAnsiTheme="majorBidi" w:cstheme="majorBidi"/>
          <w:bCs/>
          <w:i/>
          <w:iCs/>
          <w:sz w:val="24"/>
          <w:szCs w:val="24"/>
          <w:lang w:eastAsia="en-US"/>
        </w:rPr>
        <w:t xml:space="preserve">Gretel and the Dark </w:t>
      </w:r>
      <w:r w:rsidRPr="00505CF0">
        <w:rPr>
          <w:rFonts w:asciiTheme="majorBidi" w:eastAsia="Times New Roman" w:hAnsiTheme="majorBidi" w:cstheme="majorBidi"/>
          <w:bCs/>
          <w:sz w:val="24"/>
          <w:szCs w:val="24"/>
          <w:lang w:eastAsia="en-US"/>
        </w:rPr>
        <w:t xml:space="preserve">and </w:t>
      </w:r>
      <w:r w:rsidRPr="00505CF0">
        <w:rPr>
          <w:rFonts w:asciiTheme="majorBidi" w:eastAsia="Times New Roman" w:hAnsiTheme="majorBidi" w:cstheme="majorBidi"/>
          <w:bCs/>
          <w:i/>
          <w:iCs/>
          <w:sz w:val="24"/>
          <w:szCs w:val="24"/>
          <w:lang w:eastAsia="en-US"/>
        </w:rPr>
        <w:t>Beast</w:t>
      </w:r>
      <w:r w:rsidRPr="00505CF0">
        <w:rPr>
          <w:rFonts w:asciiTheme="majorBidi" w:eastAsia="Times New Roman" w:hAnsiTheme="majorBidi" w:cstheme="majorBidi"/>
          <w:bCs/>
          <w:sz w:val="24"/>
          <w:szCs w:val="24"/>
          <w:lang w:eastAsia="en-US"/>
        </w:rPr>
        <w:t xml:space="preserve">. Within Granville’s text, life is repeatedly shown to be hard and challenging for Krysta, yet she has gained some modicum of happiness in her life following the incidents within the concentration camp in her life-long relationship with Daniel. She has accepted the Absurd, the search for meaning and purpose shown to be as fruitless as her impassioned fictional efforts at destroying ‘The Monster,’ while her life has led to contentment through her family. Similarly in Kingsnorth’s </w:t>
      </w:r>
      <w:r w:rsidRPr="00505CF0">
        <w:rPr>
          <w:rFonts w:asciiTheme="majorBidi" w:eastAsia="Times New Roman" w:hAnsiTheme="majorBidi" w:cstheme="majorBidi"/>
          <w:bCs/>
          <w:i/>
          <w:iCs/>
          <w:sz w:val="24"/>
          <w:szCs w:val="24"/>
          <w:lang w:eastAsia="en-US"/>
        </w:rPr>
        <w:t>Beast</w:t>
      </w:r>
      <w:r w:rsidRPr="00505CF0">
        <w:rPr>
          <w:rFonts w:asciiTheme="majorBidi" w:eastAsia="Times New Roman" w:hAnsiTheme="majorBidi" w:cstheme="majorBidi"/>
          <w:bCs/>
          <w:sz w:val="24"/>
          <w:szCs w:val="24"/>
          <w:lang w:eastAsia="en-US"/>
        </w:rPr>
        <w:t xml:space="preserve">, the central character comes to the conclusion of the Absurd at the end of the novel in, as examined earlier, his realisation that there was no structure in his mind which would support his understanding of the world. </w:t>
      </w:r>
      <w:r w:rsidRPr="00505CF0">
        <w:rPr>
          <w:rFonts w:asciiTheme="majorBidi" w:eastAsia="Times New Roman" w:hAnsiTheme="majorBidi" w:cstheme="majorBidi"/>
          <w:bCs/>
          <w:i/>
          <w:iCs/>
          <w:sz w:val="24"/>
          <w:szCs w:val="24"/>
          <w:lang w:eastAsia="en-US"/>
        </w:rPr>
        <w:t>Beast’s</w:t>
      </w:r>
      <w:r w:rsidRPr="00505CF0">
        <w:rPr>
          <w:rFonts w:asciiTheme="majorBidi" w:eastAsia="Times New Roman" w:hAnsiTheme="majorBidi" w:cstheme="majorBidi"/>
          <w:bCs/>
          <w:sz w:val="24"/>
          <w:szCs w:val="24"/>
          <w:lang w:eastAsia="en-US"/>
        </w:rPr>
        <w:t xml:space="preserve"> protagonist then returns to his familial life, and gains some form of significance, or at the very least closure, from the attempt to re-establish these relationships.  The Sisyphean impulse goes beyond analysis of the mythic, though, and features in a variety of other contemporary metamodern novels, including Junot Díaz’s </w:t>
      </w:r>
      <w:r w:rsidRPr="00505CF0">
        <w:rPr>
          <w:rFonts w:asciiTheme="majorBidi" w:eastAsia="Times New Roman" w:hAnsiTheme="majorBidi" w:cstheme="majorBidi"/>
          <w:bCs/>
          <w:i/>
          <w:iCs/>
          <w:sz w:val="24"/>
          <w:szCs w:val="24"/>
          <w:lang w:eastAsia="en-US"/>
        </w:rPr>
        <w:t xml:space="preserve">The Brief Wondrous Life of Oscar Wao </w:t>
      </w:r>
      <w:r w:rsidRPr="00505CF0">
        <w:rPr>
          <w:rFonts w:asciiTheme="majorBidi" w:eastAsia="Times New Roman" w:hAnsiTheme="majorBidi" w:cstheme="majorBidi"/>
          <w:bCs/>
          <w:sz w:val="24"/>
          <w:szCs w:val="24"/>
          <w:lang w:eastAsia="en-US"/>
        </w:rPr>
        <w:t>(2008)</w:t>
      </w:r>
      <w:r w:rsidRPr="00505CF0">
        <w:rPr>
          <w:rFonts w:asciiTheme="majorBidi" w:eastAsia="Times New Roman" w:hAnsiTheme="majorBidi" w:cstheme="majorBidi"/>
          <w:bCs/>
          <w:i/>
          <w:iCs/>
          <w:sz w:val="24"/>
          <w:szCs w:val="24"/>
          <w:lang w:eastAsia="en-US"/>
        </w:rPr>
        <w:t xml:space="preserve">, </w:t>
      </w:r>
      <w:r w:rsidRPr="00505CF0">
        <w:rPr>
          <w:rFonts w:asciiTheme="majorBidi" w:eastAsia="Times New Roman" w:hAnsiTheme="majorBidi" w:cstheme="majorBidi"/>
          <w:bCs/>
          <w:sz w:val="24"/>
          <w:szCs w:val="24"/>
          <w:lang w:eastAsia="en-US"/>
        </w:rPr>
        <w:t xml:space="preserve">Patrick Ness’s </w:t>
      </w:r>
      <w:r w:rsidRPr="00505CF0">
        <w:rPr>
          <w:rFonts w:asciiTheme="majorBidi" w:eastAsia="Times New Roman" w:hAnsiTheme="majorBidi" w:cstheme="majorBidi"/>
          <w:bCs/>
          <w:i/>
          <w:iCs/>
          <w:sz w:val="24"/>
          <w:szCs w:val="24"/>
          <w:lang w:eastAsia="en-US"/>
        </w:rPr>
        <w:t xml:space="preserve">More Than This </w:t>
      </w:r>
      <w:r w:rsidRPr="00505CF0">
        <w:rPr>
          <w:rFonts w:asciiTheme="majorBidi" w:eastAsia="Times New Roman" w:hAnsiTheme="majorBidi" w:cstheme="majorBidi"/>
          <w:bCs/>
          <w:sz w:val="24"/>
          <w:szCs w:val="24"/>
          <w:lang w:eastAsia="en-US"/>
        </w:rPr>
        <w:t xml:space="preserve">(2013), and Charles Elton’s </w:t>
      </w:r>
      <w:r w:rsidRPr="00505CF0">
        <w:rPr>
          <w:rFonts w:asciiTheme="majorBidi" w:eastAsia="Times New Roman" w:hAnsiTheme="majorBidi" w:cstheme="majorBidi"/>
          <w:bCs/>
          <w:i/>
          <w:iCs/>
          <w:sz w:val="24"/>
          <w:szCs w:val="24"/>
          <w:lang w:eastAsia="en-US"/>
        </w:rPr>
        <w:t xml:space="preserve">Mr. Toppit  </w:t>
      </w:r>
      <w:r w:rsidRPr="00505CF0">
        <w:rPr>
          <w:rFonts w:asciiTheme="majorBidi" w:eastAsia="Times New Roman" w:hAnsiTheme="majorBidi" w:cstheme="majorBidi"/>
          <w:bCs/>
          <w:sz w:val="24"/>
          <w:szCs w:val="24"/>
          <w:lang w:eastAsia="en-US"/>
        </w:rPr>
        <w:t xml:space="preserve">(2009). </w:t>
      </w:r>
    </w:p>
    <w:p w14:paraId="142507EB" w14:textId="0012590A"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Díaz’s </w:t>
      </w:r>
      <w:r w:rsidRPr="00505CF0">
        <w:rPr>
          <w:rFonts w:asciiTheme="majorBidi" w:eastAsia="Times New Roman" w:hAnsiTheme="majorBidi" w:cstheme="majorBidi"/>
          <w:bCs/>
          <w:i/>
          <w:iCs/>
          <w:sz w:val="24"/>
          <w:szCs w:val="24"/>
          <w:lang w:eastAsia="en-US"/>
        </w:rPr>
        <w:t>The Brief Wondrous Life of Oscar Wao</w:t>
      </w:r>
      <w:r w:rsidR="00613018">
        <w:rPr>
          <w:rFonts w:asciiTheme="majorBidi" w:eastAsia="Times New Roman" w:hAnsiTheme="majorBidi" w:cstheme="majorBidi"/>
          <w:bCs/>
          <w:i/>
          <w:iCs/>
          <w:sz w:val="24"/>
          <w:szCs w:val="24"/>
          <w:lang w:eastAsia="en-US"/>
        </w:rPr>
        <w:t>,</w:t>
      </w:r>
      <w:r w:rsidR="00613018">
        <w:rPr>
          <w:rStyle w:val="FootnoteReference"/>
          <w:rFonts w:asciiTheme="majorBidi" w:eastAsia="Times New Roman" w:hAnsiTheme="majorBidi" w:cstheme="majorBidi"/>
          <w:bCs/>
          <w:i/>
          <w:iCs/>
          <w:sz w:val="24"/>
          <w:szCs w:val="24"/>
          <w:lang w:eastAsia="en-US"/>
        </w:rPr>
        <w:footnoteReference w:id="394"/>
      </w:r>
      <w:r w:rsidRPr="00505CF0">
        <w:rPr>
          <w:rFonts w:asciiTheme="majorBidi" w:eastAsia="Times New Roman" w:hAnsiTheme="majorBidi" w:cstheme="majorBidi"/>
          <w:bCs/>
          <w:sz w:val="24"/>
          <w:szCs w:val="24"/>
          <w:lang w:eastAsia="en-US"/>
        </w:rPr>
        <w:t xml:space="preserve"> taken first, appears distinctly metamodern through the treatment of pop cultural references which frequently feature in the text, and through which the eponymous Oscar is characterized as somewhat ‘nerdish’</w:t>
      </w:r>
      <w:r w:rsidR="00613018">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Oscar is depicted as </w:t>
      </w:r>
      <w:r w:rsidR="00613018">
        <w:rPr>
          <w:rFonts w:asciiTheme="majorBidi" w:eastAsia="Times New Roman" w:hAnsiTheme="majorBidi" w:cstheme="majorBidi"/>
          <w:bCs/>
          <w:sz w:val="24"/>
          <w:szCs w:val="24"/>
          <w:lang w:eastAsia="en-US"/>
        </w:rPr>
        <w:t>a fan of</w:t>
      </w:r>
      <w:r w:rsidRPr="00505CF0">
        <w:rPr>
          <w:rFonts w:asciiTheme="majorBidi" w:eastAsia="Times New Roman" w:hAnsiTheme="majorBidi" w:cstheme="majorBidi"/>
          <w:bCs/>
          <w:sz w:val="24"/>
          <w:szCs w:val="24"/>
          <w:lang w:eastAsia="en-US"/>
        </w:rPr>
        <w:t xml:space="preserve"> of Star Wars, Star Trek, various cult science fiction films, Japanese anime, and other ephemera of western ‘geek culture.’ As one example among many, Yunior, the narrator of the text, reveals with some mild disgust that ‘the fool’ put up a sign on the door to their shared room: ‘</w:t>
      </w:r>
      <w:r w:rsidRPr="00505CF0">
        <w:rPr>
          <w:rFonts w:asciiTheme="majorBidi" w:eastAsia="Times New Roman" w:hAnsiTheme="majorBidi" w:cstheme="majorBidi"/>
          <w:bCs/>
          <w:i/>
          <w:iCs/>
          <w:sz w:val="24"/>
          <w:szCs w:val="24"/>
          <w:lang w:eastAsia="en-US"/>
        </w:rPr>
        <w:t xml:space="preserve">Speak, friend, and enter. </w:t>
      </w:r>
      <w:proofErr w:type="gramStart"/>
      <w:r w:rsidRPr="00505CF0">
        <w:rPr>
          <w:rFonts w:asciiTheme="majorBidi" w:eastAsia="Times New Roman" w:hAnsiTheme="majorBidi" w:cstheme="majorBidi"/>
          <w:bCs/>
          <w:sz w:val="24"/>
          <w:szCs w:val="24"/>
          <w:lang w:eastAsia="en-US"/>
        </w:rPr>
        <w:t>In fucking Elvish!’</w:t>
      </w:r>
      <w:proofErr w:type="gramEnd"/>
      <w:r w:rsidRPr="00505CF0">
        <w:rPr>
          <w:rFonts w:asciiTheme="majorBidi" w:eastAsia="Times New Roman" w:hAnsiTheme="majorBidi" w:cstheme="majorBidi"/>
          <w:bCs/>
          <w:sz w:val="24"/>
          <w:szCs w:val="24"/>
          <w:lang w:eastAsia="en-US"/>
        </w:rPr>
        <w:t xml:space="preserve"> (However, Oscar quickly corrects this to as </w:t>
      </w:r>
      <w:r w:rsidRPr="00505CF0">
        <w:rPr>
          <w:rFonts w:asciiTheme="majorBidi" w:eastAsia="Times New Roman" w:hAnsiTheme="majorBidi" w:cstheme="majorBidi"/>
          <w:bCs/>
          <w:i/>
          <w:iCs/>
          <w:sz w:val="24"/>
          <w:szCs w:val="24"/>
          <w:lang w:eastAsia="en-US"/>
        </w:rPr>
        <w:t>Sindarin</w:t>
      </w:r>
      <w:r w:rsidRPr="00505CF0">
        <w:rPr>
          <w:rFonts w:asciiTheme="majorBidi" w:eastAsia="Times New Roman" w:hAnsiTheme="majorBidi" w:cstheme="majorBidi"/>
          <w:bCs/>
          <w:sz w:val="24"/>
          <w:szCs w:val="24"/>
          <w:lang w:eastAsia="en-US"/>
        </w:rPr>
        <w:t xml:space="preserve"> rather than Elvish.)</w:t>
      </w:r>
      <w:r w:rsidRPr="00505CF0">
        <w:rPr>
          <w:rStyle w:val="FootnoteReference"/>
          <w:rFonts w:asciiTheme="majorBidi" w:eastAsia="Times New Roman" w:hAnsiTheme="majorBidi" w:cstheme="majorBidi"/>
          <w:bCs/>
          <w:sz w:val="24"/>
          <w:szCs w:val="24"/>
          <w:lang w:eastAsia="en-US"/>
        </w:rPr>
        <w:footnoteReference w:id="395"/>
      </w:r>
      <w:r w:rsidRPr="00505CF0">
        <w:rPr>
          <w:rFonts w:asciiTheme="majorBidi" w:eastAsia="Times New Roman" w:hAnsiTheme="majorBidi" w:cstheme="majorBidi"/>
          <w:bCs/>
          <w:sz w:val="24"/>
          <w:szCs w:val="24"/>
          <w:lang w:eastAsia="en-US"/>
        </w:rPr>
        <w:t xml:space="preserve"> While this may seem pertinent to a more postmodern agenda, the frequent references do not serve to reinforce intertextual play and irony, but rather, as Gibbons attests of the metamodern in general, instead foreground cultural issues in a manner akin to a more modernist use of this technique:</w:t>
      </w:r>
    </w:p>
    <w:p w14:paraId="6BAD8C2C"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7BE770F6"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hAnsiTheme="majorBidi" w:cstheme="majorBidi"/>
          <w:sz w:val="24"/>
          <w:szCs w:val="24"/>
        </w:rPr>
        <w:t>Another means in which metamodernism achieves its oscillation is through the assimilation of high and low cultural references. As a technique this might appear rather postmodern, yet it is employed in metamodernist writing not merely to create eclectic textuality but to present juxtapositions that evoke a reflection on contemporary culture.</w:t>
      </w:r>
      <w:r w:rsidRPr="00505CF0">
        <w:rPr>
          <w:rStyle w:val="FootnoteReference"/>
          <w:rFonts w:asciiTheme="majorBidi" w:hAnsiTheme="majorBidi" w:cstheme="majorBidi"/>
          <w:sz w:val="24"/>
          <w:szCs w:val="24"/>
        </w:rPr>
        <w:footnoteReference w:id="396"/>
      </w:r>
    </w:p>
    <w:p w14:paraId="78E58CAB"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p>
    <w:p w14:paraId="19526D57"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Within </w:t>
      </w:r>
      <w:r w:rsidRPr="00505CF0">
        <w:rPr>
          <w:rFonts w:asciiTheme="majorBidi" w:eastAsia="Times New Roman" w:hAnsiTheme="majorBidi" w:cstheme="majorBidi"/>
          <w:bCs/>
          <w:i/>
          <w:iCs/>
          <w:sz w:val="24"/>
          <w:szCs w:val="24"/>
          <w:lang w:eastAsia="en-US"/>
        </w:rPr>
        <w:t>Oscar Wao</w:t>
      </w:r>
      <w:r w:rsidRPr="00505CF0">
        <w:rPr>
          <w:rFonts w:asciiTheme="majorBidi" w:eastAsia="Times New Roman" w:hAnsiTheme="majorBidi" w:cstheme="majorBidi"/>
          <w:bCs/>
          <w:sz w:val="24"/>
          <w:szCs w:val="24"/>
          <w:lang w:eastAsia="en-US"/>
        </w:rPr>
        <w:t xml:space="preserve">, geek and pop-culture references come to represent a means </w:t>
      </w:r>
      <w:r w:rsidRPr="00505CF0">
        <w:rPr>
          <w:rFonts w:asciiTheme="majorBidi" w:eastAsia="Times New Roman" w:hAnsiTheme="majorBidi" w:cstheme="majorBidi"/>
          <w:bCs/>
          <w:i/>
          <w:iCs/>
          <w:sz w:val="24"/>
          <w:szCs w:val="24"/>
          <w:lang w:eastAsia="en-US"/>
        </w:rPr>
        <w:t>through</w:t>
      </w:r>
      <w:r w:rsidRPr="00505CF0">
        <w:rPr>
          <w:rFonts w:asciiTheme="majorBidi" w:eastAsia="Times New Roman" w:hAnsiTheme="majorBidi" w:cstheme="majorBidi"/>
          <w:bCs/>
          <w:sz w:val="24"/>
          <w:szCs w:val="24"/>
          <w:lang w:eastAsia="en-US"/>
        </w:rPr>
        <w:t xml:space="preserve"> which the events of the novel may be viewed and expanded upon. A prime example of this comes towards the end of a text when, after an affair with a prostitute, Ybón, Oscar finds himself kidnapped and taken to a cane field to be executed by men in the employ of the prostitute’s lover, The Capitán. Oscar sends ‘telepathic messages’ to those he will miss, ending with a message to Ybón herself:</w:t>
      </w:r>
    </w:p>
    <w:p w14:paraId="0A3967C5"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574E96C7"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‘No matter how far you travel … to whatever reaches of this limitless universe … you will never be … ALONE!’ </w:t>
      </w:r>
      <w:proofErr w:type="gramStart"/>
      <w:r w:rsidRPr="00505CF0">
        <w:rPr>
          <w:rFonts w:asciiTheme="majorBidi" w:eastAsia="Times New Roman" w:hAnsiTheme="majorBidi" w:cstheme="majorBidi"/>
          <w:bCs/>
          <w:sz w:val="24"/>
          <w:szCs w:val="24"/>
          <w:lang w:eastAsia="en-US"/>
        </w:rPr>
        <w:t xml:space="preserve">(The Watcher, </w:t>
      </w:r>
      <w:r w:rsidRPr="00505CF0">
        <w:rPr>
          <w:rFonts w:asciiTheme="majorBidi" w:eastAsia="Times New Roman" w:hAnsiTheme="majorBidi" w:cstheme="majorBidi"/>
          <w:bCs/>
          <w:i/>
          <w:iCs/>
          <w:sz w:val="24"/>
          <w:szCs w:val="24"/>
          <w:lang w:eastAsia="en-US"/>
        </w:rPr>
        <w:t xml:space="preserve">Fantastic Four </w:t>
      </w:r>
      <w:r w:rsidRPr="00505CF0">
        <w:rPr>
          <w:rFonts w:asciiTheme="majorBidi" w:eastAsia="Times New Roman" w:hAnsiTheme="majorBidi" w:cstheme="majorBidi"/>
          <w:bCs/>
          <w:sz w:val="24"/>
          <w:szCs w:val="24"/>
          <w:lang w:eastAsia="en-US"/>
        </w:rPr>
        <w:t>#13 May 1963.)</w:t>
      </w:r>
      <w:proofErr w:type="gramEnd"/>
      <w:r w:rsidRPr="00505CF0">
        <w:rPr>
          <w:rStyle w:val="FootnoteReference"/>
          <w:rFonts w:asciiTheme="majorBidi" w:eastAsia="Times New Roman" w:hAnsiTheme="majorBidi" w:cstheme="majorBidi"/>
          <w:bCs/>
          <w:sz w:val="24"/>
          <w:szCs w:val="24"/>
          <w:lang w:eastAsia="en-US"/>
        </w:rPr>
        <w:footnoteReference w:id="397"/>
      </w:r>
    </w:p>
    <w:p w14:paraId="7CFB428E"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p>
    <w:p w14:paraId="4E3541DD"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Far from being a parodic moment, here Oscar’s use of a pop-cultural reference serves to foreground the emotional sincerity of his actions and feelings towards Ybón, a thematic use threaded throughout the novel. </w:t>
      </w:r>
      <w:r w:rsidRPr="00505CF0">
        <w:rPr>
          <w:rFonts w:asciiTheme="majorBidi" w:eastAsia="Times New Roman" w:hAnsiTheme="majorBidi" w:cstheme="majorBidi"/>
          <w:bCs/>
          <w:i/>
          <w:iCs/>
          <w:sz w:val="24"/>
          <w:szCs w:val="24"/>
          <w:lang w:eastAsia="en-US"/>
        </w:rPr>
        <w:t>Oscar Wao</w:t>
      </w:r>
      <w:r w:rsidRPr="00505CF0">
        <w:rPr>
          <w:rFonts w:asciiTheme="majorBidi" w:eastAsia="Times New Roman" w:hAnsiTheme="majorBidi" w:cstheme="majorBidi"/>
          <w:bCs/>
          <w:sz w:val="24"/>
          <w:szCs w:val="24"/>
          <w:lang w:eastAsia="en-US"/>
        </w:rPr>
        <w:t xml:space="preserve"> presents the reader with an Absurd world, in which the trials of everyday life appear at times so relentlessly oppressive that individuals have turned to belief in the concept of “</w:t>
      </w:r>
      <w:r w:rsidRPr="00505CF0">
        <w:rPr>
          <w:rFonts w:asciiTheme="majorBidi" w:eastAsia="Times New Roman" w:hAnsiTheme="majorBidi" w:cstheme="majorBidi"/>
          <w:bCs/>
          <w:i/>
          <w:iCs/>
          <w:sz w:val="24"/>
          <w:szCs w:val="24"/>
          <w:lang w:eastAsia="en-US"/>
        </w:rPr>
        <w:t>Fukú,</w:t>
      </w:r>
      <w:r w:rsidRPr="00505CF0">
        <w:rPr>
          <w:rFonts w:asciiTheme="majorBidi" w:eastAsia="Times New Roman" w:hAnsiTheme="majorBidi" w:cstheme="majorBidi"/>
          <w:bCs/>
          <w:sz w:val="24"/>
          <w:szCs w:val="24"/>
          <w:lang w:eastAsia="en-US"/>
        </w:rPr>
        <w:t>” that is to say an unavoidable curse, in response, as we see here:</w:t>
      </w:r>
    </w:p>
    <w:p w14:paraId="6C2C93EC"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0533C05F"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But fukú ain’t just ancient history, a ghost story from the past with no power to scare. In my parents’ day the fukú was real as shit, something your everyday person could believe in. Everybody knew someone who’d been eaten by a fukú […]</w:t>
      </w:r>
      <w:r w:rsidRPr="00505CF0">
        <w:rPr>
          <w:rStyle w:val="FootnoteReference"/>
          <w:rFonts w:asciiTheme="majorBidi" w:eastAsia="Times New Roman" w:hAnsiTheme="majorBidi" w:cstheme="majorBidi"/>
          <w:bCs/>
          <w:sz w:val="24"/>
          <w:szCs w:val="24"/>
          <w:lang w:eastAsia="en-US"/>
        </w:rPr>
        <w:footnoteReference w:id="398"/>
      </w:r>
      <w:r w:rsidRPr="00505CF0">
        <w:rPr>
          <w:rFonts w:asciiTheme="majorBidi" w:eastAsia="Times New Roman" w:hAnsiTheme="majorBidi" w:cstheme="majorBidi"/>
          <w:bCs/>
          <w:sz w:val="24"/>
          <w:szCs w:val="24"/>
          <w:lang w:eastAsia="en-US"/>
        </w:rPr>
        <w:t xml:space="preserve"> </w:t>
      </w:r>
    </w:p>
    <w:p w14:paraId="2D67A4E6"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7C2DE1B8"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It's doom-ish in that </w:t>
      </w:r>
      <w:proofErr w:type="gramStart"/>
      <w:r w:rsidRPr="00505CF0">
        <w:rPr>
          <w:rFonts w:asciiTheme="majorBidi" w:eastAsia="Times New Roman" w:hAnsiTheme="majorBidi" w:cstheme="majorBidi"/>
          <w:bCs/>
          <w:sz w:val="24"/>
          <w:szCs w:val="24"/>
          <w:lang w:eastAsia="en-US"/>
        </w:rPr>
        <w:t>way,</w:t>
      </w:r>
      <w:proofErr w:type="gramEnd"/>
      <w:r w:rsidRPr="00505CF0">
        <w:rPr>
          <w:rFonts w:asciiTheme="majorBidi" w:eastAsia="Times New Roman" w:hAnsiTheme="majorBidi" w:cstheme="majorBidi"/>
          <w:bCs/>
          <w:sz w:val="24"/>
          <w:szCs w:val="24"/>
          <w:lang w:eastAsia="en-US"/>
        </w:rPr>
        <w:t xml:space="preserve"> makes it hard to put a finger on, to brace yourself against. But be assured: like Darkseid's Omega Effect, like Morgoth's bane, no matter how many turns and digressions this shit might take, it always - and I mean always - gets its man.</w:t>
      </w:r>
      <w:r w:rsidRPr="00505CF0">
        <w:rPr>
          <w:rStyle w:val="FootnoteReference"/>
          <w:rFonts w:asciiTheme="majorBidi" w:eastAsia="Times New Roman" w:hAnsiTheme="majorBidi" w:cstheme="majorBidi"/>
          <w:bCs/>
          <w:sz w:val="24"/>
          <w:szCs w:val="24"/>
          <w:lang w:eastAsia="en-US"/>
        </w:rPr>
        <w:footnoteReference w:id="399"/>
      </w:r>
    </w:p>
    <w:p w14:paraId="07394BB4"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p>
    <w:p w14:paraId="3C19F59C" w14:textId="4D30168E" w:rsidR="00C111D3" w:rsidRPr="00505CF0" w:rsidRDefault="00C111D3" w:rsidP="004C3EE0">
      <w:pPr>
        <w:spacing w:line="480" w:lineRule="auto"/>
        <w:contextualSpacing/>
        <w:jc w:val="both"/>
        <w:rPr>
          <w:rFonts w:asciiTheme="majorBidi" w:eastAsia="Times New Roman" w:hAnsiTheme="majorBidi" w:cstheme="majorBidi"/>
          <w:sz w:val="24"/>
          <w:szCs w:val="24"/>
        </w:rPr>
      </w:pPr>
      <w:r w:rsidRPr="00505CF0">
        <w:rPr>
          <w:rFonts w:asciiTheme="majorBidi" w:eastAsia="Times New Roman" w:hAnsiTheme="majorBidi" w:cstheme="majorBidi"/>
          <w:bCs/>
          <w:sz w:val="24"/>
          <w:szCs w:val="24"/>
          <w:lang w:eastAsia="en-US"/>
        </w:rPr>
        <w:t>Yunior’s description of the fukú</w:t>
      </w:r>
      <w:r w:rsidR="001B23B7">
        <w:rPr>
          <w:rFonts w:asciiTheme="majorBidi" w:eastAsia="Times New Roman" w:hAnsiTheme="majorBidi" w:cstheme="majorBidi"/>
          <w:bCs/>
          <w:sz w:val="24"/>
          <w:szCs w:val="24"/>
          <w:lang w:eastAsia="en-US"/>
        </w:rPr>
        <w:t xml:space="preserve"> by </w:t>
      </w:r>
      <w:proofErr w:type="gramStart"/>
      <w:r w:rsidR="001B23B7">
        <w:rPr>
          <w:rFonts w:asciiTheme="majorBidi" w:eastAsia="Times New Roman" w:hAnsiTheme="majorBidi" w:cstheme="majorBidi"/>
          <w:bCs/>
          <w:sz w:val="24"/>
          <w:szCs w:val="24"/>
          <w:lang w:eastAsia="en-US"/>
        </w:rPr>
        <w:t>extension</w:t>
      </w:r>
      <w:r w:rsidRPr="00505CF0">
        <w:rPr>
          <w:rFonts w:asciiTheme="majorBidi" w:eastAsia="Times New Roman" w:hAnsiTheme="majorBidi" w:cstheme="majorBidi"/>
          <w:bCs/>
          <w:sz w:val="24"/>
          <w:szCs w:val="24"/>
          <w:lang w:eastAsia="en-US"/>
        </w:rPr>
        <w:t xml:space="preserve">  implies</w:t>
      </w:r>
      <w:proofErr w:type="gramEnd"/>
      <w:r w:rsidRPr="00505CF0">
        <w:rPr>
          <w:rFonts w:asciiTheme="majorBidi" w:eastAsia="Times New Roman" w:hAnsiTheme="majorBidi" w:cstheme="majorBidi"/>
          <w:bCs/>
          <w:sz w:val="24"/>
          <w:szCs w:val="24"/>
          <w:lang w:eastAsia="en-US"/>
        </w:rPr>
        <w:t xml:space="preserve"> a world in which the seemingly inexplicable, and truly unfortunate, strikes with such regularity that it has engendered belief in a ruling curse. Such a creation refers to an absurd world view, in which ‘punishment,’ or at least negative and distressing events, strikes individuals at random. Indeed, </w:t>
      </w:r>
      <w:r w:rsidRPr="00505CF0">
        <w:rPr>
          <w:rFonts w:asciiTheme="majorBidi" w:eastAsia="Times New Roman" w:hAnsiTheme="majorBidi" w:cstheme="majorBidi"/>
          <w:bCs/>
          <w:i/>
          <w:iCs/>
          <w:sz w:val="24"/>
          <w:szCs w:val="24"/>
          <w:lang w:eastAsia="en-US"/>
        </w:rPr>
        <w:t>Oscar Wao</w:t>
      </w:r>
      <w:r w:rsidRPr="00505CF0">
        <w:rPr>
          <w:rFonts w:asciiTheme="majorBidi" w:eastAsia="Times New Roman" w:hAnsiTheme="majorBidi" w:cstheme="majorBidi"/>
          <w:bCs/>
          <w:sz w:val="24"/>
          <w:szCs w:val="24"/>
          <w:lang w:eastAsia="en-US"/>
        </w:rPr>
        <w:t xml:space="preserve"> paints a picture of an absurd world throughout, with characters experiencing tragic and ruinous events as their character-defining moments. Oscar’s mother, Beli, falls in love with and becomes pregnant by a man married to a member of the tyrannical Trujillo ruling family, and is made to miscarry after being abducted, taken to a canefield, beaten (and possibly raped) by men under Trujillo’s control, in an event described as ‘the end of language, the end of hope. It was the sort of beating that breaks people, breaks them utterly.’</w:t>
      </w:r>
      <w:r w:rsidRPr="00505CF0">
        <w:rPr>
          <w:rStyle w:val="FootnoteReference"/>
          <w:rFonts w:asciiTheme="majorBidi" w:eastAsia="Times New Roman" w:hAnsiTheme="majorBidi" w:cstheme="majorBidi"/>
          <w:bCs/>
          <w:sz w:val="24"/>
          <w:szCs w:val="24"/>
          <w:lang w:eastAsia="en-US"/>
        </w:rPr>
        <w:footnoteReference w:id="400"/>
      </w:r>
      <w:r w:rsidRPr="00505CF0">
        <w:rPr>
          <w:rFonts w:asciiTheme="majorBidi" w:eastAsia="Times New Roman" w:hAnsiTheme="majorBidi" w:cstheme="majorBidi"/>
          <w:bCs/>
          <w:sz w:val="24"/>
          <w:szCs w:val="24"/>
          <w:lang w:eastAsia="en-US"/>
        </w:rPr>
        <w:t xml:space="preserve"> Abelard, Beli’s father, also suffered a terrible fate: he refuses to allow Trujillo to take his daughter’s virginity at a party, and, ‘n</w:t>
      </w:r>
      <w:r w:rsidRPr="00505CF0">
        <w:rPr>
          <w:rFonts w:asciiTheme="majorBidi" w:eastAsia="Times New Roman" w:hAnsiTheme="majorBidi" w:cstheme="majorBidi"/>
          <w:sz w:val="24"/>
          <w:szCs w:val="24"/>
        </w:rPr>
        <w:t xml:space="preserve">ot four weeks after the party, Dr. Abelard </w:t>
      </w:r>
      <w:r w:rsidR="00AB3624">
        <w:rPr>
          <w:rFonts w:asciiTheme="majorBidi" w:eastAsia="Times New Roman" w:hAnsiTheme="majorBidi" w:cstheme="majorBidi"/>
          <w:sz w:val="24"/>
          <w:szCs w:val="24"/>
        </w:rPr>
        <w:t>L</w:t>
      </w:r>
      <w:r w:rsidRPr="00505CF0">
        <w:rPr>
          <w:rFonts w:asciiTheme="majorBidi" w:eastAsia="Times New Roman" w:hAnsiTheme="majorBidi" w:cstheme="majorBidi"/>
          <w:sz w:val="24"/>
          <w:szCs w:val="24"/>
        </w:rPr>
        <w:t xml:space="preserve">uis Cabral was arrested by the Secret Police. </w:t>
      </w:r>
      <w:proofErr w:type="gramStart"/>
      <w:r w:rsidRPr="00505CF0">
        <w:rPr>
          <w:rFonts w:asciiTheme="majorBidi" w:eastAsia="Times New Roman" w:hAnsiTheme="majorBidi" w:cstheme="majorBidi"/>
          <w:sz w:val="24"/>
          <w:szCs w:val="24"/>
        </w:rPr>
        <w:t>The charge?</w:t>
      </w:r>
      <w:proofErr w:type="gramEnd"/>
      <w:r w:rsidRPr="00505CF0">
        <w:rPr>
          <w:rFonts w:asciiTheme="majorBidi" w:eastAsia="Times New Roman" w:hAnsiTheme="majorBidi" w:cstheme="majorBidi"/>
          <w:sz w:val="24"/>
          <w:szCs w:val="24"/>
        </w:rPr>
        <w:t xml:space="preserve"> </w:t>
      </w:r>
      <w:proofErr w:type="gramStart"/>
      <w:r w:rsidRPr="00505CF0">
        <w:rPr>
          <w:rFonts w:asciiTheme="majorBidi" w:eastAsia="Times New Roman" w:hAnsiTheme="majorBidi" w:cstheme="majorBidi"/>
          <w:sz w:val="24"/>
          <w:szCs w:val="24"/>
        </w:rPr>
        <w:t>"Slander and gross calumny against the Person of the president."’</w:t>
      </w:r>
      <w:proofErr w:type="gramEnd"/>
      <w:r w:rsidRPr="00505CF0">
        <w:rPr>
          <w:rStyle w:val="FootnoteReference"/>
          <w:rFonts w:asciiTheme="majorBidi" w:eastAsia="Times New Roman" w:hAnsiTheme="majorBidi" w:cstheme="majorBidi"/>
          <w:sz w:val="24"/>
          <w:szCs w:val="24"/>
        </w:rPr>
        <w:footnoteReference w:id="401"/>
      </w:r>
      <w:r w:rsidRPr="00505CF0">
        <w:rPr>
          <w:rFonts w:asciiTheme="majorBidi" w:eastAsia="Times New Roman" w:hAnsiTheme="majorBidi" w:cstheme="majorBidi"/>
          <w:sz w:val="24"/>
          <w:szCs w:val="24"/>
        </w:rPr>
        <w:t xml:space="preserve"> Abelard is arrested, abused in the cells, repeatedly tortured by the guards, sentenced to eighteen years in prison during which he is again tortured to the extent that he lives the last of his days in ‘an imbecilic stupor,’</w:t>
      </w:r>
      <w:r w:rsidRPr="00505CF0">
        <w:rPr>
          <w:rStyle w:val="FootnoteReference"/>
          <w:rFonts w:asciiTheme="majorBidi" w:eastAsia="Times New Roman" w:hAnsiTheme="majorBidi" w:cstheme="majorBidi"/>
          <w:sz w:val="24"/>
          <w:szCs w:val="24"/>
        </w:rPr>
        <w:footnoteReference w:id="402"/>
      </w:r>
      <w:r w:rsidRPr="00505CF0">
        <w:rPr>
          <w:rFonts w:asciiTheme="majorBidi" w:eastAsia="Times New Roman" w:hAnsiTheme="majorBidi" w:cstheme="majorBidi"/>
          <w:sz w:val="24"/>
          <w:szCs w:val="24"/>
        </w:rPr>
        <w:t xml:space="preserve"> though Abelard does regain some form of occasional lucidity, as we learn from the outside:</w:t>
      </w:r>
    </w:p>
    <w:p w14:paraId="4AF02482"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p>
    <w:p w14:paraId="79B569F6"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r w:rsidRPr="00505CF0">
        <w:rPr>
          <w:rFonts w:asciiTheme="majorBidi" w:eastAsia="Times New Roman" w:hAnsiTheme="majorBidi" w:cstheme="majorBidi"/>
          <w:sz w:val="24"/>
          <w:szCs w:val="24"/>
        </w:rPr>
        <w:t>There were prisoners who remembered moments when he seemed almost lucid, when he would stand in the [fields of the prison-grounds] and stare at his hands and weep, as if recalling that there was once a time when he had been more than this.</w:t>
      </w:r>
      <w:r w:rsidRPr="00505CF0">
        <w:rPr>
          <w:rStyle w:val="FootnoteReference"/>
          <w:rFonts w:asciiTheme="majorBidi" w:eastAsia="Times New Roman" w:hAnsiTheme="majorBidi" w:cstheme="majorBidi"/>
          <w:sz w:val="24"/>
          <w:szCs w:val="24"/>
        </w:rPr>
        <w:footnoteReference w:id="403"/>
      </w:r>
      <w:r w:rsidRPr="00505CF0">
        <w:rPr>
          <w:rFonts w:asciiTheme="majorBidi" w:eastAsia="Times New Roman" w:hAnsiTheme="majorBidi" w:cstheme="majorBidi"/>
          <w:sz w:val="24"/>
          <w:szCs w:val="24"/>
        </w:rPr>
        <w:t xml:space="preserve"> </w:t>
      </w:r>
    </w:p>
    <w:p w14:paraId="3FAF014C"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p>
    <w:p w14:paraId="37D18F0F"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p>
    <w:p w14:paraId="7D6A131A"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sz w:val="24"/>
          <w:szCs w:val="24"/>
        </w:rPr>
        <w:t xml:space="preserve">Similarly, Oscar sees the world as an inherently unfair, punishing place, to such an extent that he attempts suicide by throwing himself in front of a train, though he survives the incident (and blames everything on the </w:t>
      </w:r>
      <w:r w:rsidRPr="00505CF0">
        <w:rPr>
          <w:rFonts w:asciiTheme="majorBidi" w:eastAsia="Times New Roman" w:hAnsiTheme="majorBidi" w:cstheme="majorBidi"/>
          <w:bCs/>
          <w:sz w:val="24"/>
          <w:szCs w:val="24"/>
          <w:lang w:eastAsia="en-US"/>
        </w:rPr>
        <w:t>fukú).</w:t>
      </w:r>
      <w:r w:rsidRPr="00505CF0">
        <w:rPr>
          <w:rStyle w:val="FootnoteReference"/>
          <w:rFonts w:asciiTheme="majorBidi" w:eastAsia="Times New Roman" w:hAnsiTheme="majorBidi" w:cstheme="majorBidi"/>
          <w:bCs/>
          <w:sz w:val="24"/>
          <w:szCs w:val="24"/>
          <w:lang w:eastAsia="en-US"/>
        </w:rPr>
        <w:footnoteReference w:id="404"/>
      </w:r>
      <w:r w:rsidRPr="00505CF0">
        <w:rPr>
          <w:rFonts w:asciiTheme="majorBidi" w:eastAsia="Times New Roman" w:hAnsiTheme="majorBidi" w:cstheme="majorBidi"/>
          <w:bCs/>
          <w:sz w:val="24"/>
          <w:szCs w:val="24"/>
          <w:lang w:eastAsia="en-US"/>
        </w:rPr>
        <w:t xml:space="preserve"> Oscar’s life is marked by attempts to gain happiness through romantic relationships, though these ultimately seem to fail. At his last, however, Oscar finds the company of </w:t>
      </w:r>
      <w:proofErr w:type="gramStart"/>
      <w:r w:rsidRPr="00505CF0">
        <w:rPr>
          <w:rFonts w:asciiTheme="majorBidi" w:eastAsia="Times New Roman" w:hAnsiTheme="majorBidi" w:cstheme="majorBidi"/>
          <w:bCs/>
          <w:sz w:val="24"/>
          <w:szCs w:val="24"/>
          <w:lang w:eastAsia="en-US"/>
        </w:rPr>
        <w:t>Ybón,</w:t>
      </w:r>
      <w:proofErr w:type="gramEnd"/>
      <w:r w:rsidRPr="00505CF0">
        <w:rPr>
          <w:rFonts w:asciiTheme="majorBidi" w:eastAsia="Times New Roman" w:hAnsiTheme="majorBidi" w:cstheme="majorBidi"/>
          <w:bCs/>
          <w:sz w:val="24"/>
          <w:szCs w:val="24"/>
          <w:lang w:eastAsia="en-US"/>
        </w:rPr>
        <w:t xml:space="preserve"> and in doing so finds some measure of happiness despite the relationship leading to his death in the canefields, as evidenced by his final letter delivered to Yunior posthumously:</w:t>
      </w:r>
    </w:p>
    <w:p w14:paraId="696BD8C9"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69687919"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r w:rsidRPr="00505CF0">
        <w:rPr>
          <w:rFonts w:asciiTheme="majorBidi" w:eastAsia="Times New Roman" w:hAnsiTheme="majorBidi" w:cstheme="majorBidi"/>
          <w:sz w:val="24"/>
          <w:szCs w:val="24"/>
        </w:rPr>
        <w:t>[…] but what really got him was not the bam-bam-bam of sex - it was the little intimacies that he'd never in his whole life have anticipated, like combing [</w:t>
      </w:r>
      <w:r w:rsidRPr="00505CF0">
        <w:rPr>
          <w:rFonts w:asciiTheme="majorBidi" w:eastAsia="Times New Roman" w:hAnsiTheme="majorBidi" w:cstheme="majorBidi"/>
          <w:bCs/>
          <w:sz w:val="24"/>
          <w:szCs w:val="24"/>
          <w:lang w:eastAsia="en-US"/>
        </w:rPr>
        <w:t>Ybón’s]</w:t>
      </w:r>
      <w:r w:rsidRPr="00505CF0">
        <w:rPr>
          <w:rFonts w:asciiTheme="majorBidi" w:eastAsia="Times New Roman" w:hAnsiTheme="majorBidi" w:cstheme="majorBidi"/>
          <w:sz w:val="24"/>
          <w:szCs w:val="24"/>
        </w:rPr>
        <w:t xml:space="preserve">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believe he'd had to wait for this so goddamn long. (Ybon was the one who suggested calling the wait something else. Yeah, like what? Maybe, she said, you could call it life.) He wrote: So this is what everybody's always talking about! Diablo! If only I'd known. The beauty! The beauty!</w:t>
      </w:r>
      <w:r w:rsidRPr="00505CF0">
        <w:rPr>
          <w:rStyle w:val="FootnoteReference"/>
          <w:rFonts w:asciiTheme="majorBidi" w:eastAsia="Times New Roman" w:hAnsiTheme="majorBidi" w:cstheme="majorBidi"/>
          <w:sz w:val="24"/>
          <w:szCs w:val="24"/>
        </w:rPr>
        <w:footnoteReference w:id="405"/>
      </w:r>
    </w:p>
    <w:p w14:paraId="67FAAB5E" w14:textId="77777777" w:rsidR="00C111D3" w:rsidRPr="00505CF0" w:rsidRDefault="00C111D3" w:rsidP="004C3EE0">
      <w:pPr>
        <w:spacing w:line="480" w:lineRule="auto"/>
        <w:contextualSpacing/>
        <w:jc w:val="both"/>
        <w:rPr>
          <w:rFonts w:asciiTheme="majorBidi" w:eastAsia="Times New Roman" w:hAnsiTheme="majorBidi" w:cstheme="majorBidi"/>
          <w:sz w:val="24"/>
          <w:szCs w:val="24"/>
        </w:rPr>
      </w:pPr>
    </w:p>
    <w:p w14:paraId="168D1596" w14:textId="7434809B"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sz w:val="24"/>
          <w:szCs w:val="24"/>
        </w:rPr>
        <w:t>Oscar finds relief from the absurdity of existence,</w:t>
      </w:r>
      <w:r w:rsidR="00F74ECC">
        <w:rPr>
          <w:rStyle w:val="FootnoteReference"/>
          <w:rFonts w:asciiTheme="majorBidi" w:eastAsia="Times New Roman" w:hAnsiTheme="majorBidi" w:cstheme="majorBidi"/>
          <w:sz w:val="24"/>
          <w:szCs w:val="24"/>
        </w:rPr>
        <w:footnoteReference w:id="406"/>
      </w:r>
      <w:r w:rsidRPr="00505CF0">
        <w:rPr>
          <w:rFonts w:asciiTheme="majorBidi" w:eastAsia="Times New Roman" w:hAnsiTheme="majorBidi" w:cstheme="majorBidi"/>
          <w:sz w:val="24"/>
          <w:szCs w:val="24"/>
        </w:rPr>
        <w:t xml:space="preserve"> the wait called life, via his relationship with </w:t>
      </w:r>
      <w:r w:rsidRPr="00505CF0">
        <w:rPr>
          <w:rFonts w:asciiTheme="majorBidi" w:eastAsia="Times New Roman" w:hAnsiTheme="majorBidi" w:cstheme="majorBidi"/>
          <w:bCs/>
          <w:sz w:val="24"/>
          <w:szCs w:val="24"/>
          <w:lang w:eastAsia="en-US"/>
        </w:rPr>
        <w:t>Ybón, though the fukú ultimately comes to claim him. While life may seem hard, and fukú unavoidable, absurdity inescapable, Díaz’s characters aim for a transcendence beyond the Absurd through their continued attempts to establish, maintain and enjoy their familial relationships, a turn that relates to the metamodern moment as described by Fessler:</w:t>
      </w:r>
    </w:p>
    <w:p w14:paraId="3D81C634"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p>
    <w:p w14:paraId="369D80E6"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sz w:val="24"/>
          <w:szCs w:val="24"/>
        </w:rPr>
      </w:pPr>
      <w:r w:rsidRPr="00505CF0">
        <w:rPr>
          <w:rFonts w:asciiTheme="majorBidi" w:eastAsia="Times New Roman" w:hAnsiTheme="majorBidi" w:cstheme="majorBidi"/>
          <w:sz w:val="24"/>
          <w:szCs w:val="24"/>
        </w:rPr>
        <w:t>Finishing with this last return, the return of transcendence, one could formulate a hypothesis: contemporary literature is trying to reintegrate precisely those themes and styles that postmodernism either was never interested in or was trying to get rid of. As a consequence, today’s novelists are finding inventive ways to create refreshing narratives that allow those themes a comeback under very specific circumstances, and by doing so are enabling a going ‘beyond’ postmodernism.</w:t>
      </w:r>
      <w:r w:rsidRPr="00505CF0">
        <w:rPr>
          <w:rStyle w:val="FootnoteReference"/>
          <w:rFonts w:asciiTheme="majorBidi" w:eastAsia="Times New Roman" w:hAnsiTheme="majorBidi" w:cstheme="majorBidi"/>
          <w:sz w:val="24"/>
          <w:szCs w:val="24"/>
        </w:rPr>
        <w:footnoteReference w:id="407"/>
      </w:r>
    </w:p>
    <w:p w14:paraId="5366C062"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 </w:t>
      </w:r>
    </w:p>
    <w:p w14:paraId="27EF5EB9" w14:textId="77777777" w:rsidR="00C111D3" w:rsidRPr="00505CF0" w:rsidRDefault="00C111D3" w:rsidP="004C3EE0">
      <w:pPr>
        <w:spacing w:line="240" w:lineRule="auto"/>
        <w:contextualSpacing/>
        <w:jc w:val="both"/>
        <w:rPr>
          <w:rFonts w:asciiTheme="majorBidi" w:eastAsia="Times New Roman" w:hAnsiTheme="majorBidi" w:cstheme="majorBidi"/>
          <w:bCs/>
          <w:sz w:val="24"/>
          <w:szCs w:val="24"/>
          <w:lang w:eastAsia="en-US"/>
        </w:rPr>
      </w:pPr>
    </w:p>
    <w:p w14:paraId="2511A0FF" w14:textId="48DE19F4"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i/>
          <w:iCs/>
          <w:sz w:val="24"/>
          <w:szCs w:val="24"/>
          <w:lang w:eastAsia="en-US"/>
        </w:rPr>
        <w:t xml:space="preserve">Oscar Wao </w:t>
      </w:r>
      <w:r w:rsidRPr="00505CF0">
        <w:rPr>
          <w:rFonts w:asciiTheme="majorBidi" w:eastAsia="Times New Roman" w:hAnsiTheme="majorBidi" w:cstheme="majorBidi"/>
          <w:bCs/>
          <w:sz w:val="24"/>
          <w:szCs w:val="24"/>
          <w:lang w:eastAsia="en-US"/>
        </w:rPr>
        <w:t>transcends the postmodern by re-introducing a theme of transcendence in a move that expresses a desire not just for something ‘beyond postmodernism,’ but for a personal movement beyond the Absurd and the accepted depthlessness left in the wake of postmodern deconstruction. Oscar, after all, returns to Yunior in a dream,</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408"/>
      </w:r>
      <w:r w:rsidRPr="00505CF0">
        <w:rPr>
          <w:rFonts w:asciiTheme="majorBidi" w:eastAsia="Times New Roman" w:hAnsiTheme="majorBidi" w:cstheme="majorBidi"/>
          <w:bCs/>
          <w:sz w:val="24"/>
          <w:szCs w:val="24"/>
          <w:lang w:eastAsia="en-US"/>
        </w:rPr>
        <w:t xml:space="preserve"> tasking him with writing the novel of his life in order to serve as a ‘zafa’ (counter-spell) to the fukú that may attempt to target his niece, Isis.</w:t>
      </w:r>
      <w:r w:rsidRPr="00505CF0">
        <w:rPr>
          <w:rStyle w:val="FootnoteReference"/>
          <w:rFonts w:asciiTheme="majorBidi" w:eastAsia="Times New Roman" w:hAnsiTheme="majorBidi" w:cstheme="majorBidi"/>
          <w:bCs/>
          <w:sz w:val="24"/>
          <w:szCs w:val="24"/>
          <w:lang w:eastAsia="en-US"/>
        </w:rPr>
        <w:footnoteReference w:id="409"/>
      </w:r>
      <w:r w:rsidRPr="00505CF0">
        <w:rPr>
          <w:rFonts w:asciiTheme="majorBidi" w:eastAsia="Times New Roman" w:hAnsiTheme="majorBidi" w:cstheme="majorBidi"/>
          <w:bCs/>
          <w:sz w:val="24"/>
          <w:szCs w:val="24"/>
          <w:lang w:eastAsia="en-US"/>
        </w:rPr>
        <w:t xml:space="preserve"> Yunior hopes that Isis will ‘take all we’ve done and all we’ve learned and add her own insights and she’ll put an end to [the fukú].’</w:t>
      </w:r>
      <w:r w:rsidRPr="00505CF0">
        <w:rPr>
          <w:rStyle w:val="FootnoteReference"/>
          <w:rFonts w:asciiTheme="majorBidi" w:eastAsia="Times New Roman" w:hAnsiTheme="majorBidi" w:cstheme="majorBidi"/>
          <w:bCs/>
          <w:sz w:val="24"/>
          <w:szCs w:val="24"/>
          <w:lang w:eastAsia="en-US"/>
        </w:rPr>
        <w:footnoteReference w:id="410"/>
      </w:r>
      <w:r w:rsidRPr="00505CF0">
        <w:rPr>
          <w:rFonts w:asciiTheme="majorBidi" w:eastAsia="Times New Roman" w:hAnsiTheme="majorBidi" w:cstheme="majorBidi"/>
          <w:bCs/>
          <w:sz w:val="24"/>
          <w:szCs w:val="24"/>
          <w:lang w:eastAsia="en-US"/>
        </w:rPr>
        <w:t xml:space="preserve"> While existence is challenging, affected by a fukú or just the plain </w:t>
      </w:r>
      <w:r w:rsidR="0006436C">
        <w:rPr>
          <w:rFonts w:asciiTheme="majorBidi" w:eastAsia="Times New Roman" w:hAnsiTheme="majorBidi" w:cstheme="majorBidi"/>
          <w:bCs/>
          <w:sz w:val="24"/>
          <w:szCs w:val="24"/>
          <w:lang w:eastAsia="en-US"/>
        </w:rPr>
        <w:t>a</w:t>
      </w:r>
      <w:r w:rsidRPr="00505CF0">
        <w:rPr>
          <w:rFonts w:asciiTheme="majorBidi" w:eastAsia="Times New Roman" w:hAnsiTheme="majorBidi" w:cstheme="majorBidi"/>
          <w:bCs/>
          <w:sz w:val="24"/>
          <w:szCs w:val="24"/>
          <w:lang w:eastAsia="en-US"/>
        </w:rPr>
        <w:t xml:space="preserve">bsurd, Díaz suggests the means by which this can be transcended, though ultimately it is seen as just a hope for the future, not a definitive solution. Still, the text promotes an attitude in which there is the possibility of something beyond the Absurd, a lesson taken up, too, by Patrick Ness’ </w:t>
      </w:r>
      <w:r w:rsidRPr="00505CF0">
        <w:rPr>
          <w:rFonts w:asciiTheme="majorBidi" w:eastAsia="Times New Roman" w:hAnsiTheme="majorBidi" w:cstheme="majorBidi"/>
          <w:bCs/>
          <w:i/>
          <w:iCs/>
          <w:sz w:val="24"/>
          <w:szCs w:val="24"/>
          <w:lang w:eastAsia="en-US"/>
        </w:rPr>
        <w:t xml:space="preserve">More </w:t>
      </w:r>
      <w:proofErr w:type="gramStart"/>
      <w:r w:rsidRPr="00505CF0">
        <w:rPr>
          <w:rFonts w:asciiTheme="majorBidi" w:eastAsia="Times New Roman" w:hAnsiTheme="majorBidi" w:cstheme="majorBidi"/>
          <w:bCs/>
          <w:i/>
          <w:iCs/>
          <w:sz w:val="24"/>
          <w:szCs w:val="24"/>
          <w:lang w:eastAsia="en-US"/>
        </w:rPr>
        <w:t>Than</w:t>
      </w:r>
      <w:proofErr w:type="gramEnd"/>
      <w:r w:rsidRPr="00505CF0">
        <w:rPr>
          <w:rFonts w:asciiTheme="majorBidi" w:eastAsia="Times New Roman" w:hAnsiTheme="majorBidi" w:cstheme="majorBidi"/>
          <w:bCs/>
          <w:i/>
          <w:iCs/>
          <w:sz w:val="24"/>
          <w:szCs w:val="24"/>
          <w:lang w:eastAsia="en-US"/>
        </w:rPr>
        <w:t xml:space="preserve"> This. </w:t>
      </w:r>
    </w:p>
    <w:p w14:paraId="305A1C8C" w14:textId="749367BF"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The plot of </w:t>
      </w:r>
      <w:r w:rsidRPr="00505CF0">
        <w:rPr>
          <w:rFonts w:asciiTheme="majorBidi" w:eastAsia="Times New Roman" w:hAnsiTheme="majorBidi" w:cstheme="majorBidi"/>
          <w:bCs/>
          <w:i/>
          <w:iCs/>
          <w:sz w:val="24"/>
          <w:szCs w:val="24"/>
          <w:lang w:eastAsia="en-US"/>
        </w:rPr>
        <w:t xml:space="preserve">More Than </w:t>
      </w:r>
      <w:proofErr w:type="gramStart"/>
      <w:r w:rsidRPr="00505CF0">
        <w:rPr>
          <w:rFonts w:asciiTheme="majorBidi" w:eastAsia="Times New Roman" w:hAnsiTheme="majorBidi" w:cstheme="majorBidi"/>
          <w:bCs/>
          <w:i/>
          <w:iCs/>
          <w:sz w:val="24"/>
          <w:szCs w:val="24"/>
          <w:lang w:eastAsia="en-US"/>
        </w:rPr>
        <w:t>This</w:t>
      </w:r>
      <w:proofErr w:type="gramEnd"/>
      <w:r w:rsidRPr="00505CF0">
        <w:rPr>
          <w:rFonts w:asciiTheme="majorBidi" w:eastAsia="Times New Roman" w:hAnsiTheme="majorBidi" w:cstheme="majorBidi"/>
          <w:bCs/>
          <w:sz w:val="24"/>
          <w:szCs w:val="24"/>
          <w:lang w:eastAsia="en-US"/>
        </w:rPr>
        <w:t xml:space="preserve"> begins with the death of the main character</w:t>
      </w:r>
      <w:r w:rsidR="0006436C">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w:t>
      </w:r>
      <w:proofErr w:type="gramStart"/>
      <w:r w:rsidRPr="00505CF0">
        <w:rPr>
          <w:rFonts w:asciiTheme="majorBidi" w:eastAsia="Times New Roman" w:hAnsiTheme="majorBidi" w:cstheme="majorBidi"/>
          <w:bCs/>
          <w:sz w:val="24"/>
          <w:szCs w:val="24"/>
          <w:lang w:eastAsia="en-US"/>
        </w:rPr>
        <w:t xml:space="preserve">Seth, a teenage </w:t>
      </w:r>
      <w:r w:rsidR="0006436C">
        <w:rPr>
          <w:rFonts w:asciiTheme="majorBidi" w:eastAsia="Times New Roman" w:hAnsiTheme="majorBidi" w:cstheme="majorBidi"/>
          <w:bCs/>
          <w:sz w:val="24"/>
          <w:szCs w:val="24"/>
          <w:lang w:eastAsia="en-US"/>
        </w:rPr>
        <w:t>B</w:t>
      </w:r>
      <w:r w:rsidRPr="00505CF0">
        <w:rPr>
          <w:rFonts w:asciiTheme="majorBidi" w:eastAsia="Times New Roman" w:hAnsiTheme="majorBidi" w:cstheme="majorBidi"/>
          <w:bCs/>
          <w:sz w:val="24"/>
          <w:szCs w:val="24"/>
          <w:lang w:eastAsia="en-US"/>
        </w:rPr>
        <w:t xml:space="preserve">ritish ex-pat living in America with his parents and </w:t>
      </w:r>
      <w:r w:rsidR="0006436C">
        <w:rPr>
          <w:rFonts w:asciiTheme="majorBidi" w:eastAsia="Times New Roman" w:hAnsiTheme="majorBidi" w:cstheme="majorBidi"/>
          <w:bCs/>
          <w:sz w:val="24"/>
          <w:szCs w:val="24"/>
          <w:lang w:eastAsia="en-US"/>
        </w:rPr>
        <w:t xml:space="preserve">psychologically </w:t>
      </w:r>
      <w:r w:rsidRPr="00505CF0">
        <w:rPr>
          <w:rFonts w:asciiTheme="majorBidi" w:eastAsia="Times New Roman" w:hAnsiTheme="majorBidi" w:cstheme="majorBidi"/>
          <w:bCs/>
          <w:sz w:val="24"/>
          <w:szCs w:val="24"/>
          <w:lang w:eastAsia="en-US"/>
        </w:rPr>
        <w:t>damaged brother Owen.</w:t>
      </w:r>
      <w:proofErr w:type="gramEnd"/>
      <w:r w:rsidRPr="00505CF0">
        <w:rPr>
          <w:rFonts w:asciiTheme="majorBidi" w:eastAsia="Times New Roman" w:hAnsiTheme="majorBidi" w:cstheme="majorBidi"/>
          <w:bCs/>
          <w:sz w:val="24"/>
          <w:szCs w:val="24"/>
          <w:lang w:eastAsia="en-US"/>
        </w:rPr>
        <w:t xml:space="preserve"> Seth, following his decision to wade out into turbulent waters, begins to drown before being thrown against an underwater bluff, fracturing his skull and dying, only to wake up confused and semi-naked in a post-apocalyptic version of his birth town in England. Believing he has awoken in hell, Seth begins to explore, only to meet up with Regine and Tomazs, two other children who similarly seemed to die and awake in this reality. The three attempt to avoid the attention of the mysterious Driver, an automaton, who is revealed to be a type of janitorial robot, designed to maintain a series of VR pods, which the children have glitched their way free from following their deaths. The novel follows their attempts to discover the truth of the world, before their ultimate confrontation with the Driver, and the final decision by Seth to attempt to return to the VR world in order to right the wrongs of his life following his new found realization that there is ‘no point,’ or deeper meaning, to living beyond the relationships forged while alive.</w:t>
      </w:r>
      <w:r w:rsidRPr="00505CF0">
        <w:rPr>
          <w:rStyle w:val="FootnoteReference"/>
          <w:rFonts w:asciiTheme="majorBidi" w:eastAsia="Times New Roman" w:hAnsiTheme="majorBidi" w:cstheme="majorBidi"/>
          <w:bCs/>
          <w:sz w:val="24"/>
          <w:szCs w:val="24"/>
          <w:lang w:eastAsia="en-US"/>
        </w:rPr>
        <w:footnoteReference w:id="411"/>
      </w:r>
      <w:r w:rsidRPr="00505CF0">
        <w:rPr>
          <w:rFonts w:asciiTheme="majorBidi" w:eastAsia="Times New Roman" w:hAnsiTheme="majorBidi" w:cstheme="majorBidi"/>
          <w:bCs/>
          <w:sz w:val="24"/>
          <w:szCs w:val="24"/>
          <w:lang w:eastAsia="en-US"/>
        </w:rPr>
        <w:t xml:space="preserve"> </w:t>
      </w:r>
    </w:p>
    <w:p w14:paraId="0C05EC65" w14:textId="59C2DEB0" w:rsidR="00C111D3" w:rsidRPr="00505CF0" w:rsidRDefault="00C111D3" w:rsidP="004C3EE0">
      <w:pPr>
        <w:spacing w:line="480" w:lineRule="auto"/>
        <w:ind w:firstLine="720"/>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Ness’s novel, then, foregrounds a questioning of the Absurd, though not, as in </w:t>
      </w:r>
      <w:r w:rsidRPr="00505CF0">
        <w:rPr>
          <w:rFonts w:asciiTheme="majorBidi" w:eastAsia="Times New Roman" w:hAnsiTheme="majorBidi" w:cstheme="majorBidi"/>
          <w:bCs/>
          <w:i/>
          <w:iCs/>
          <w:sz w:val="24"/>
          <w:szCs w:val="24"/>
          <w:lang w:eastAsia="en-US"/>
        </w:rPr>
        <w:t>Oscar Wao</w:t>
      </w:r>
      <w:r w:rsidRPr="00505CF0">
        <w:rPr>
          <w:rFonts w:asciiTheme="majorBidi" w:eastAsia="Times New Roman" w:hAnsiTheme="majorBidi" w:cstheme="majorBidi"/>
          <w:bCs/>
          <w:sz w:val="24"/>
          <w:szCs w:val="24"/>
          <w:lang w:eastAsia="en-US"/>
        </w:rPr>
        <w:t xml:space="preserve"> through any kind of displacement belief in a curse. Life for the characters of </w:t>
      </w:r>
      <w:r w:rsidRPr="00505CF0">
        <w:rPr>
          <w:rFonts w:asciiTheme="majorBidi" w:eastAsia="Times New Roman" w:hAnsiTheme="majorBidi" w:cstheme="majorBidi"/>
          <w:bCs/>
          <w:i/>
          <w:iCs/>
          <w:sz w:val="24"/>
          <w:szCs w:val="24"/>
          <w:lang w:eastAsia="en-US"/>
        </w:rPr>
        <w:t>More Than This</w:t>
      </w:r>
      <w:r w:rsidRPr="00505CF0">
        <w:rPr>
          <w:rFonts w:asciiTheme="majorBidi" w:eastAsia="Times New Roman" w:hAnsiTheme="majorBidi" w:cstheme="majorBidi"/>
          <w:bCs/>
          <w:sz w:val="24"/>
          <w:szCs w:val="24"/>
          <w:lang w:eastAsia="en-US"/>
        </w:rPr>
        <w:t xml:space="preserve"> is depicted as far from an entirely positive experience, with the three main characters defined, as Tomasz points out, by “child abuse, murder and suicide:”</w:t>
      </w:r>
      <w:r w:rsidRPr="00505CF0">
        <w:rPr>
          <w:rStyle w:val="FootnoteReference"/>
          <w:rFonts w:asciiTheme="majorBidi" w:eastAsia="Times New Roman" w:hAnsiTheme="majorBidi" w:cstheme="majorBidi"/>
          <w:bCs/>
          <w:sz w:val="24"/>
          <w:szCs w:val="24"/>
          <w:lang w:eastAsia="en-US"/>
        </w:rPr>
        <w:footnoteReference w:id="412"/>
      </w:r>
      <w:r w:rsidRPr="00505CF0">
        <w:rPr>
          <w:rFonts w:asciiTheme="majorBidi" w:eastAsia="Times New Roman" w:hAnsiTheme="majorBidi" w:cstheme="majorBidi"/>
          <w:bCs/>
          <w:sz w:val="24"/>
          <w:szCs w:val="24"/>
          <w:lang w:eastAsia="en-US"/>
        </w:rPr>
        <w:t xml:space="preserve"> Regine dies at the hands of an abusive step-father, Tomasz is murdered by human traffickers, and Seth throws himself into the waves, ‘none of which,’ Regine describes, ‘happened for any good reason at all.’</w:t>
      </w:r>
      <w:r w:rsidRPr="00505CF0">
        <w:rPr>
          <w:rStyle w:val="FootnoteReference"/>
          <w:rFonts w:asciiTheme="majorBidi" w:eastAsia="Times New Roman" w:hAnsiTheme="majorBidi" w:cstheme="majorBidi"/>
          <w:bCs/>
          <w:sz w:val="24"/>
          <w:szCs w:val="24"/>
          <w:lang w:eastAsia="en-US"/>
        </w:rPr>
        <w:footnoteReference w:id="413"/>
      </w:r>
      <w:r w:rsidRPr="00505CF0">
        <w:rPr>
          <w:rFonts w:asciiTheme="majorBidi" w:eastAsia="Times New Roman" w:hAnsiTheme="majorBidi" w:cstheme="majorBidi"/>
          <w:bCs/>
          <w:sz w:val="24"/>
          <w:szCs w:val="24"/>
          <w:lang w:eastAsia="en-US"/>
        </w:rPr>
        <w:t xml:space="preserve"> Seth, more than the other characters, epitomises Camus</w:t>
      </w:r>
      <w:r w:rsidR="004605D9">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Absurd in both his recognition of the absurdity of the world and his own repeated instance on some higher meaning: as a child, he was forced to help an escapee convict who abducted and</w:t>
      </w:r>
      <w:r w:rsidR="004605D9">
        <w:rPr>
          <w:rFonts w:asciiTheme="majorBidi" w:eastAsia="Times New Roman" w:hAnsiTheme="majorBidi" w:cstheme="majorBidi"/>
          <w:bCs/>
          <w:sz w:val="24"/>
          <w:szCs w:val="24"/>
          <w:lang w:eastAsia="en-US"/>
        </w:rPr>
        <w:t xml:space="preserve"> (in reality)</w:t>
      </w:r>
      <w:r w:rsidRPr="00505CF0">
        <w:rPr>
          <w:rFonts w:asciiTheme="majorBidi" w:eastAsia="Times New Roman" w:hAnsiTheme="majorBidi" w:cstheme="majorBidi"/>
          <w:bCs/>
          <w:sz w:val="24"/>
          <w:szCs w:val="24"/>
          <w:lang w:eastAsia="en-US"/>
        </w:rPr>
        <w:t xml:space="preserve"> murdered his infant brother</w:t>
      </w:r>
      <w:r w:rsidR="004605D9">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w:t>
      </w:r>
      <w:r w:rsidR="004605D9">
        <w:rPr>
          <w:rFonts w:asciiTheme="majorBidi" w:eastAsia="Times New Roman" w:hAnsiTheme="majorBidi" w:cstheme="majorBidi"/>
          <w:bCs/>
          <w:sz w:val="24"/>
          <w:szCs w:val="24"/>
          <w:lang w:eastAsia="en-US"/>
        </w:rPr>
        <w:t>L</w:t>
      </w:r>
      <w:r w:rsidRPr="00505CF0">
        <w:rPr>
          <w:rFonts w:asciiTheme="majorBidi" w:eastAsia="Times New Roman" w:hAnsiTheme="majorBidi" w:cstheme="majorBidi"/>
          <w:bCs/>
          <w:sz w:val="24"/>
          <w:szCs w:val="24"/>
          <w:lang w:eastAsia="en-US"/>
        </w:rPr>
        <w:t>ater, as a teenager, he began a romantic relationship with his friend Gudmund, only to have the secret relationship leaked to the world at large and to realise that Gudmund was having an affair with another of their friendship group. Yet, Seth asks himself at one stage if ‘there was more to Gudmund,’</w:t>
      </w:r>
      <w:r w:rsidRPr="00505CF0">
        <w:rPr>
          <w:rStyle w:val="FootnoteReference"/>
          <w:rFonts w:asciiTheme="majorBidi" w:eastAsia="Times New Roman" w:hAnsiTheme="majorBidi" w:cstheme="majorBidi"/>
          <w:bCs/>
          <w:sz w:val="24"/>
          <w:szCs w:val="24"/>
          <w:lang w:eastAsia="en-US"/>
        </w:rPr>
        <w:footnoteReference w:id="414"/>
      </w:r>
      <w:r w:rsidRPr="00505CF0">
        <w:rPr>
          <w:rFonts w:asciiTheme="majorBidi" w:eastAsia="Times New Roman" w:hAnsiTheme="majorBidi" w:cstheme="majorBidi"/>
          <w:bCs/>
          <w:sz w:val="24"/>
          <w:szCs w:val="24"/>
          <w:lang w:eastAsia="en-US"/>
        </w:rPr>
        <w:t xml:space="preserve"> and consistently offers up the idea that his situation is that of a story,</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415"/>
      </w:r>
      <w:r w:rsidRPr="00505CF0">
        <w:rPr>
          <w:rFonts w:asciiTheme="majorBidi" w:eastAsia="Times New Roman" w:hAnsiTheme="majorBidi" w:cstheme="majorBidi"/>
          <w:bCs/>
          <w:sz w:val="24"/>
          <w:szCs w:val="24"/>
          <w:lang w:eastAsia="en-US"/>
        </w:rPr>
        <w:t xml:space="preserve"> his ‘brain trying to make sense of stuff,’</w:t>
      </w:r>
      <w:r w:rsidRPr="00505CF0">
        <w:rPr>
          <w:rStyle w:val="FootnoteReference"/>
          <w:rFonts w:asciiTheme="majorBidi" w:eastAsia="Times New Roman" w:hAnsiTheme="majorBidi" w:cstheme="majorBidi"/>
          <w:bCs/>
          <w:sz w:val="24"/>
          <w:szCs w:val="24"/>
          <w:lang w:eastAsia="en-US"/>
        </w:rPr>
        <w:footnoteReference w:id="416"/>
      </w:r>
      <w:r w:rsidRPr="00505CF0">
        <w:rPr>
          <w:rFonts w:asciiTheme="majorBidi" w:eastAsia="Times New Roman" w:hAnsiTheme="majorBidi" w:cstheme="majorBidi"/>
          <w:bCs/>
          <w:sz w:val="24"/>
          <w:szCs w:val="24"/>
          <w:lang w:eastAsia="en-US"/>
        </w:rPr>
        <w:t xml:space="preserve"> and so creating a narrative. In confronting the fictional potential of the universe, Seth realises his own desire for some form of meaning or purpose:</w:t>
      </w:r>
    </w:p>
    <w:p w14:paraId="5A4AA7BF"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p>
    <w:p w14:paraId="7D12280B" w14:textId="77777777" w:rsidR="00C111D3" w:rsidRPr="00505CF0" w:rsidRDefault="00C111D3" w:rsidP="004C3EE0">
      <w:pPr>
        <w:spacing w:line="240" w:lineRule="auto"/>
        <w:ind w:left="737" w:right="737"/>
        <w:contextualSpacing/>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He wanted something, he realizes now. Wanted an answer other than the ones he’d been given. </w:t>
      </w:r>
      <w:proofErr w:type="gramStart"/>
      <w:r w:rsidRPr="00505CF0">
        <w:rPr>
          <w:rFonts w:asciiTheme="majorBidi" w:eastAsia="Times New Roman" w:hAnsiTheme="majorBidi" w:cstheme="majorBidi"/>
          <w:bCs/>
          <w:sz w:val="24"/>
          <w:szCs w:val="24"/>
          <w:lang w:eastAsia="en-US"/>
        </w:rPr>
        <w:t xml:space="preserve">Wanted to find out this whole world had some purpose, some </w:t>
      </w:r>
      <w:r w:rsidRPr="00505CF0">
        <w:rPr>
          <w:rFonts w:asciiTheme="majorBidi" w:eastAsia="Times New Roman" w:hAnsiTheme="majorBidi" w:cstheme="majorBidi"/>
          <w:bCs/>
          <w:i/>
          <w:iCs/>
          <w:sz w:val="24"/>
          <w:szCs w:val="24"/>
          <w:lang w:eastAsia="en-US"/>
        </w:rPr>
        <w:t>particular</w:t>
      </w:r>
      <w:r w:rsidRPr="00505CF0">
        <w:rPr>
          <w:rFonts w:asciiTheme="majorBidi" w:eastAsia="Times New Roman" w:hAnsiTheme="majorBidi" w:cstheme="majorBidi"/>
          <w:bCs/>
          <w:sz w:val="24"/>
          <w:szCs w:val="24"/>
          <w:lang w:eastAsia="en-US"/>
        </w:rPr>
        <w:t xml:space="preserve"> purpose.</w:t>
      </w:r>
      <w:proofErr w:type="gramEnd"/>
      <w:r w:rsidRPr="00505CF0">
        <w:rPr>
          <w:rFonts w:asciiTheme="majorBidi" w:eastAsia="Times New Roman" w:hAnsiTheme="majorBidi" w:cstheme="majorBidi"/>
          <w:bCs/>
          <w:sz w:val="24"/>
          <w:szCs w:val="24"/>
          <w:lang w:eastAsia="en-US"/>
        </w:rPr>
        <w:t xml:space="preserve"> </w:t>
      </w:r>
      <w:proofErr w:type="gramStart"/>
      <w:r w:rsidRPr="00505CF0">
        <w:rPr>
          <w:rFonts w:asciiTheme="majorBidi" w:eastAsia="Times New Roman" w:hAnsiTheme="majorBidi" w:cstheme="majorBidi"/>
          <w:bCs/>
          <w:sz w:val="24"/>
          <w:szCs w:val="24"/>
          <w:lang w:eastAsia="en-US"/>
        </w:rPr>
        <w:t>For him.</w:t>
      </w:r>
      <w:proofErr w:type="gramEnd"/>
      <w:r w:rsidRPr="00505CF0">
        <w:rPr>
          <w:rStyle w:val="FootnoteReference"/>
          <w:rFonts w:asciiTheme="majorBidi" w:eastAsia="Times New Roman" w:hAnsiTheme="majorBidi" w:cstheme="majorBidi"/>
          <w:bCs/>
          <w:sz w:val="24"/>
          <w:szCs w:val="24"/>
          <w:lang w:eastAsia="en-US"/>
        </w:rPr>
        <w:footnoteReference w:id="417"/>
      </w:r>
      <w:r w:rsidRPr="00505CF0">
        <w:rPr>
          <w:rFonts w:asciiTheme="majorBidi" w:eastAsia="Times New Roman" w:hAnsiTheme="majorBidi" w:cstheme="majorBidi"/>
          <w:bCs/>
          <w:sz w:val="24"/>
          <w:szCs w:val="24"/>
          <w:lang w:eastAsia="en-US"/>
        </w:rPr>
        <w:t xml:space="preserve"> </w:t>
      </w:r>
    </w:p>
    <w:p w14:paraId="3C973026" w14:textId="77777777" w:rsidR="00C111D3" w:rsidRPr="00505CF0" w:rsidRDefault="00C111D3" w:rsidP="004C3EE0">
      <w:pPr>
        <w:spacing w:line="480" w:lineRule="auto"/>
        <w:contextualSpacing/>
        <w:jc w:val="both"/>
        <w:rPr>
          <w:rFonts w:asciiTheme="majorBidi" w:eastAsia="Times New Roman" w:hAnsiTheme="majorBidi" w:cstheme="majorBidi"/>
          <w:bCs/>
          <w:sz w:val="24"/>
          <w:szCs w:val="24"/>
          <w:lang w:eastAsia="en-US"/>
        </w:rPr>
      </w:pPr>
    </w:p>
    <w:p w14:paraId="0F1EE8EA" w14:textId="1F4A6666"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Yet Seth’s most distinct confrontation with the Absurd comes during the initial stages of the text. Originally, upon waking, Seth believes that he has woken up ‘in his own, personal hell’ in the form of his childhood neighbourhood, now decayed and seemingly abandoned.</w:t>
      </w:r>
      <w:r w:rsidR="004605D9" w:rsidRPr="004605D9">
        <w:rPr>
          <w:rStyle w:val="FootnoteReference"/>
          <w:rFonts w:asciiTheme="majorBidi" w:eastAsia="Times New Roman" w:hAnsiTheme="majorBidi" w:cstheme="majorBidi"/>
          <w:bCs/>
          <w:sz w:val="24"/>
          <w:szCs w:val="24"/>
          <w:lang w:eastAsia="en-US"/>
        </w:rPr>
        <w:t xml:space="preserve"> </w:t>
      </w:r>
      <w:r w:rsidR="004605D9" w:rsidRPr="00505CF0">
        <w:rPr>
          <w:rStyle w:val="FootnoteReference"/>
          <w:rFonts w:asciiTheme="majorBidi" w:eastAsia="Times New Roman" w:hAnsiTheme="majorBidi" w:cstheme="majorBidi"/>
          <w:bCs/>
          <w:sz w:val="24"/>
          <w:szCs w:val="24"/>
          <w:lang w:eastAsia="en-US"/>
        </w:rPr>
        <w:footnoteReference w:id="418"/>
      </w:r>
      <w:r w:rsidRPr="00505CF0">
        <w:rPr>
          <w:rFonts w:asciiTheme="majorBidi" w:eastAsia="Times New Roman" w:hAnsiTheme="majorBidi" w:cstheme="majorBidi"/>
          <w:bCs/>
          <w:sz w:val="24"/>
          <w:szCs w:val="24"/>
          <w:lang w:eastAsia="en-US"/>
        </w:rPr>
        <w:t xml:space="preserve"> In confrontation with this seemingly dead world, this unchanging environment of decay and long-passed human civilization, alongside his constant relapse into painful memories, Seth begins to follow through on one of Camus’ reactions to recognition of the Absurd, in that he resigns himself to attempting suicide again, this time by throwing himself from a cliff. Luckily, Seth’s attempt is aborted by his chance meeting with the other protagonists, Regine and Tomasz, after which the narrative proper begins, an act that becomes heavily symbolically charged in retrospect; in confrontation with the absurd nature of life – the primitive hostility of his environment, the seeming uselessness of his suffering and insane character of repeated agitations – it is through renewed human interactions that the decision of suicide is thwarted. Thematically the text follows through on this notion, offering a potential means to transcend the depthlessness and absurdity of existence through engagement with other individuals who have too come to recognize this. As Regine reveals to Seth in a pseudo-dream sequence, ‘real life is only ever just real life. </w:t>
      </w:r>
      <w:proofErr w:type="gramStart"/>
      <w:r w:rsidRPr="00505CF0">
        <w:rPr>
          <w:rFonts w:asciiTheme="majorBidi" w:eastAsia="Times New Roman" w:hAnsiTheme="majorBidi" w:cstheme="majorBidi"/>
          <w:bCs/>
          <w:sz w:val="24"/>
          <w:szCs w:val="24"/>
          <w:lang w:eastAsia="en-US"/>
        </w:rPr>
        <w:t>Messy.</w:t>
      </w:r>
      <w:proofErr w:type="gramEnd"/>
      <w:r w:rsidRPr="00505CF0">
        <w:rPr>
          <w:rFonts w:asciiTheme="majorBidi" w:eastAsia="Times New Roman" w:hAnsiTheme="majorBidi" w:cstheme="majorBidi"/>
          <w:bCs/>
          <w:sz w:val="24"/>
          <w:szCs w:val="24"/>
          <w:lang w:eastAsia="en-US"/>
        </w:rPr>
        <w:t xml:space="preserve"> What it means depends on how you look at it. The only thing you’ve got to do is find a way to live there,’</w:t>
      </w:r>
      <w:r w:rsidRPr="00505CF0">
        <w:rPr>
          <w:rStyle w:val="FootnoteReference"/>
          <w:rFonts w:asciiTheme="majorBidi" w:eastAsia="Times New Roman" w:hAnsiTheme="majorBidi" w:cstheme="majorBidi"/>
          <w:bCs/>
          <w:sz w:val="24"/>
          <w:szCs w:val="24"/>
          <w:lang w:eastAsia="en-US"/>
        </w:rPr>
        <w:footnoteReference w:id="419"/>
      </w:r>
      <w:r w:rsidRPr="00505CF0">
        <w:rPr>
          <w:rFonts w:asciiTheme="majorBidi" w:eastAsia="Times New Roman" w:hAnsiTheme="majorBidi" w:cstheme="majorBidi"/>
          <w:bCs/>
          <w:sz w:val="24"/>
          <w:szCs w:val="24"/>
          <w:lang w:eastAsia="en-US"/>
        </w:rPr>
        <w:t xml:space="preserve"> a sentiment that returns to mind Camus’ own assertion that the point is to live. In the final revelations and conclusion to the text, Seth, in becoming the Absurd hero, recognises the absurd nature of the world in conflict with his own desire for meaning, coming to the conclusion that there is always more to life</w:t>
      </w:r>
      <w:r w:rsidR="0099013F">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w:t>
      </w:r>
      <w:proofErr w:type="gramStart"/>
      <w:r w:rsidR="0099013F">
        <w:rPr>
          <w:rFonts w:asciiTheme="majorBidi" w:eastAsia="Times New Roman" w:hAnsiTheme="majorBidi" w:cstheme="majorBidi"/>
          <w:bCs/>
          <w:sz w:val="24"/>
          <w:szCs w:val="24"/>
          <w:lang w:eastAsia="en-US"/>
        </w:rPr>
        <w:t>A</w:t>
      </w:r>
      <w:r w:rsidRPr="00505CF0">
        <w:rPr>
          <w:rFonts w:asciiTheme="majorBidi" w:eastAsia="Times New Roman" w:hAnsiTheme="majorBidi" w:cstheme="majorBidi"/>
          <w:bCs/>
          <w:sz w:val="24"/>
          <w:szCs w:val="24"/>
          <w:lang w:eastAsia="en-US"/>
        </w:rPr>
        <w:t>n ambiguous statement, yes, but one that alludes to a desire for something beyond the seeming pain of unanswered ontological issues.</w:t>
      </w:r>
      <w:proofErr w:type="gramEnd"/>
      <w:r w:rsidRPr="00505CF0">
        <w:rPr>
          <w:rFonts w:asciiTheme="majorBidi" w:eastAsia="Times New Roman" w:hAnsiTheme="majorBidi" w:cstheme="majorBidi"/>
          <w:bCs/>
          <w:sz w:val="24"/>
          <w:szCs w:val="24"/>
          <w:lang w:eastAsia="en-US"/>
        </w:rPr>
        <w:t xml:space="preserve"> A desire that Ness suggests may be assuaged by a loving, caring relationship with those whose lives intersect with our own, based on forgiveness and understanding,</w:t>
      </w:r>
      <w:r w:rsidRPr="00505CF0">
        <w:rPr>
          <w:rStyle w:val="FootnoteReference"/>
          <w:rFonts w:asciiTheme="majorBidi" w:eastAsia="Times New Roman" w:hAnsiTheme="majorBidi" w:cstheme="majorBidi"/>
          <w:bCs/>
          <w:sz w:val="24"/>
          <w:szCs w:val="24"/>
          <w:lang w:eastAsia="en-US"/>
        </w:rPr>
        <w:footnoteReference w:id="420"/>
      </w:r>
      <w:r w:rsidRPr="00505CF0">
        <w:rPr>
          <w:rFonts w:asciiTheme="majorBidi" w:eastAsia="Times New Roman" w:hAnsiTheme="majorBidi" w:cstheme="majorBidi"/>
          <w:bCs/>
          <w:sz w:val="24"/>
          <w:szCs w:val="24"/>
          <w:lang w:eastAsia="en-US"/>
        </w:rPr>
        <w:t xml:space="preserve"> a poignant point which, through sincerity, reinforces the metamodern nature of the text.</w:t>
      </w:r>
    </w:p>
    <w:p w14:paraId="2FDA1AF2"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Finally, Charles Elton’s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xml:space="preserve"> provides the most overt acknowledgement of the metamodern Sisyphean experimentation, mentioning, as it does, the myth on several occasions,</w:t>
      </w:r>
      <w:r w:rsidRPr="00505CF0">
        <w:rPr>
          <w:rStyle w:val="FootnoteReference"/>
          <w:rFonts w:asciiTheme="majorBidi" w:eastAsia="Times New Roman" w:hAnsiTheme="majorBidi" w:cstheme="majorBidi"/>
          <w:bCs/>
          <w:sz w:val="24"/>
          <w:szCs w:val="24"/>
          <w:lang w:eastAsia="en-US"/>
        </w:rPr>
        <w:footnoteReference w:id="421"/>
      </w:r>
      <w:r w:rsidRPr="00505CF0">
        <w:rPr>
          <w:rFonts w:asciiTheme="majorBidi" w:eastAsia="Times New Roman" w:hAnsiTheme="majorBidi" w:cstheme="majorBidi"/>
          <w:bCs/>
          <w:sz w:val="24"/>
          <w:szCs w:val="24"/>
          <w:lang w:eastAsia="en-US"/>
        </w:rPr>
        <w:t xml:space="preserve"> though without the sincere optimism of Ness’ text, but perhaps with a touch of Díaz’s fukú in the form of the eponymous Mr Toppit. </w:t>
      </w:r>
    </w:p>
    <w:p w14:paraId="5D4889C2"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The novel follows Luke Hayman, a pseudo-Christopher-Robin figure who finds himself in public life following the sudden Potter-like success of his late father’s children’s novels, staring Luke Hayseed.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xml:space="preserve"> is a family drama about how the reception to the novels affects the remaining Hayman </w:t>
      </w:r>
      <w:proofErr w:type="gramStart"/>
      <w:r w:rsidRPr="00505CF0">
        <w:rPr>
          <w:rFonts w:asciiTheme="majorBidi" w:eastAsia="Times New Roman" w:hAnsiTheme="majorBidi" w:cstheme="majorBidi"/>
          <w:bCs/>
          <w:sz w:val="24"/>
          <w:szCs w:val="24"/>
          <w:lang w:eastAsia="en-US"/>
        </w:rPr>
        <w:t>family,</w:t>
      </w:r>
      <w:proofErr w:type="gramEnd"/>
      <w:r w:rsidRPr="00505CF0">
        <w:rPr>
          <w:rFonts w:asciiTheme="majorBidi" w:eastAsia="Times New Roman" w:hAnsiTheme="majorBidi" w:cstheme="majorBidi"/>
          <w:bCs/>
          <w:sz w:val="24"/>
          <w:szCs w:val="24"/>
          <w:lang w:eastAsia="en-US"/>
        </w:rPr>
        <w:t xml:space="preserve"> mother Martha and sister Rachel, alongside the woman who made the books famous, Laurie Clow. The name of the text derives from the mysterious figure </w:t>
      </w:r>
      <w:proofErr w:type="gramStart"/>
      <w:r w:rsidRPr="00505CF0">
        <w:rPr>
          <w:rFonts w:asciiTheme="majorBidi" w:eastAsia="Times New Roman" w:hAnsiTheme="majorBidi" w:cstheme="majorBidi"/>
          <w:bCs/>
          <w:sz w:val="24"/>
          <w:szCs w:val="24"/>
          <w:lang w:eastAsia="en-US"/>
        </w:rPr>
        <w:t>who</w:t>
      </w:r>
      <w:proofErr w:type="gramEnd"/>
      <w:r w:rsidRPr="00505CF0">
        <w:rPr>
          <w:rFonts w:asciiTheme="majorBidi" w:eastAsia="Times New Roman" w:hAnsiTheme="majorBidi" w:cstheme="majorBidi"/>
          <w:bCs/>
          <w:sz w:val="24"/>
          <w:szCs w:val="24"/>
          <w:lang w:eastAsia="en-US"/>
        </w:rPr>
        <w:t>, in Arthur’s novels, compels the young Luke Hayseed to seemingly arbitrary and dangerous acts (moving bees from a lavender bush to under a tree, for example</w:t>
      </w:r>
      <w:r w:rsidRPr="00505CF0">
        <w:rPr>
          <w:rStyle w:val="FootnoteReference"/>
          <w:rFonts w:asciiTheme="majorBidi" w:eastAsia="Times New Roman" w:hAnsiTheme="majorBidi" w:cstheme="majorBidi"/>
          <w:bCs/>
          <w:sz w:val="24"/>
          <w:szCs w:val="24"/>
          <w:lang w:eastAsia="en-US"/>
        </w:rPr>
        <w:footnoteReference w:id="422"/>
      </w:r>
      <w:r w:rsidRPr="00505CF0">
        <w:rPr>
          <w:rFonts w:asciiTheme="majorBidi" w:eastAsia="Times New Roman" w:hAnsiTheme="majorBidi" w:cstheme="majorBidi"/>
          <w:bCs/>
          <w:sz w:val="24"/>
          <w:szCs w:val="24"/>
          <w:lang w:eastAsia="en-US"/>
        </w:rPr>
        <w:t xml:space="preserve">), yet who only appears at the very final line of the last book of the Hayseed Chronicles. </w:t>
      </w:r>
    </w:p>
    <w:p w14:paraId="42D9BB22" w14:textId="36F577DA"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the novel, depicts characters caught in an absurd and problematic life, as emphasised by Martha having taught her children that life is both serious and difficult:  Among a series of life lessons that Rachel recalls from her mother Martha (‘only the intellectually inferior have ‘amusing’ books next to the loo,’ ‘‘Silent Night’ is not a proper carol and must not be sung at Christmas’) is a misquote from Rilke: ‘Everything serious is difficult […] and nearly everything is serious.’</w:t>
      </w:r>
      <w:r w:rsidRPr="00505CF0">
        <w:rPr>
          <w:rStyle w:val="FootnoteReference"/>
          <w:rFonts w:asciiTheme="majorBidi" w:eastAsia="Times New Roman" w:hAnsiTheme="majorBidi" w:cstheme="majorBidi"/>
          <w:bCs/>
          <w:sz w:val="24"/>
          <w:szCs w:val="24"/>
          <w:lang w:eastAsia="en-US"/>
        </w:rPr>
        <w:t xml:space="preserve"> </w:t>
      </w:r>
      <w:r w:rsidRPr="00505CF0">
        <w:rPr>
          <w:rStyle w:val="FootnoteReference"/>
          <w:rFonts w:asciiTheme="majorBidi" w:eastAsia="Times New Roman" w:hAnsiTheme="majorBidi" w:cstheme="majorBidi"/>
          <w:bCs/>
          <w:sz w:val="24"/>
          <w:szCs w:val="24"/>
          <w:lang w:eastAsia="en-US"/>
        </w:rPr>
        <w:footnoteReference w:id="423"/>
      </w:r>
      <w:r w:rsidRPr="00505CF0">
        <w:rPr>
          <w:rFonts w:asciiTheme="majorBidi" w:eastAsia="Times New Roman" w:hAnsiTheme="majorBidi" w:cstheme="majorBidi"/>
          <w:bCs/>
          <w:sz w:val="24"/>
          <w:szCs w:val="24"/>
          <w:lang w:eastAsia="en-US"/>
        </w:rPr>
        <w:t xml:space="preserve"> Laurie, for example, has an increasingly troubled life, with a growing history of sexual abuse revealed to the reader as perpetuated implicitly by her father,</w:t>
      </w:r>
      <w:r w:rsidRPr="00505CF0">
        <w:rPr>
          <w:rStyle w:val="FootnoteReference"/>
          <w:rFonts w:asciiTheme="majorBidi" w:eastAsia="Times New Roman" w:hAnsiTheme="majorBidi" w:cstheme="majorBidi"/>
          <w:bCs/>
          <w:sz w:val="24"/>
          <w:szCs w:val="24"/>
          <w:lang w:eastAsia="en-US"/>
        </w:rPr>
        <w:footnoteReference w:id="424"/>
      </w:r>
      <w:r w:rsidRPr="00505CF0">
        <w:rPr>
          <w:rFonts w:asciiTheme="majorBidi" w:eastAsia="Times New Roman" w:hAnsiTheme="majorBidi" w:cstheme="majorBidi"/>
          <w:bCs/>
          <w:sz w:val="24"/>
          <w:szCs w:val="24"/>
          <w:lang w:eastAsia="en-US"/>
        </w:rPr>
        <w:t xml:space="preserve"> and later in her life by her friend Marge, who forces herself upon Laurie on the last night of their vacation on St Bart’s.</w:t>
      </w:r>
      <w:r w:rsidRPr="00505CF0">
        <w:rPr>
          <w:rStyle w:val="FootnoteReference"/>
          <w:rFonts w:asciiTheme="majorBidi" w:eastAsia="Times New Roman" w:hAnsiTheme="majorBidi" w:cstheme="majorBidi"/>
          <w:bCs/>
          <w:sz w:val="24"/>
          <w:szCs w:val="24"/>
          <w:lang w:eastAsia="en-US"/>
        </w:rPr>
        <w:footnoteReference w:id="425"/>
      </w:r>
      <w:r w:rsidRPr="00505CF0">
        <w:rPr>
          <w:rFonts w:asciiTheme="majorBidi" w:eastAsia="Times New Roman" w:hAnsiTheme="majorBidi" w:cstheme="majorBidi"/>
          <w:bCs/>
          <w:sz w:val="24"/>
          <w:szCs w:val="24"/>
          <w:lang w:eastAsia="en-US"/>
        </w:rPr>
        <w:t xml:space="preserve"> Nothing, Laurie states, stays untouched, with the people around her ‘emitting some kind of toxic gas that seeped into everything and rearranged the DNA.’</w:t>
      </w:r>
      <w:r w:rsidRPr="00505CF0">
        <w:rPr>
          <w:rStyle w:val="FootnoteReference"/>
          <w:rFonts w:asciiTheme="majorBidi" w:eastAsia="Times New Roman" w:hAnsiTheme="majorBidi" w:cstheme="majorBidi"/>
          <w:bCs/>
          <w:sz w:val="24"/>
          <w:szCs w:val="24"/>
          <w:lang w:eastAsia="en-US"/>
        </w:rPr>
        <w:footnoteReference w:id="426"/>
      </w:r>
      <w:r w:rsidR="00A50A26">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 xml:space="preserve">The absurdity of the world, in Elton’s novel, is that of the absurd humanity </w:t>
      </w:r>
      <w:r w:rsidR="00A50A26">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hostile, agitative, causing suffering without profound reason or just punishment:</w:t>
      </w:r>
      <w:r w:rsidR="00A50A26">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 xml:space="preserve">babies accidentally </w:t>
      </w:r>
      <w:proofErr w:type="gramStart"/>
      <w:r w:rsidRPr="00505CF0">
        <w:rPr>
          <w:rFonts w:asciiTheme="majorBidi" w:eastAsia="Times New Roman" w:hAnsiTheme="majorBidi" w:cstheme="majorBidi"/>
          <w:bCs/>
          <w:sz w:val="24"/>
          <w:szCs w:val="24"/>
          <w:lang w:eastAsia="en-US"/>
        </w:rPr>
        <w:t>drown,</w:t>
      </w:r>
      <w:proofErr w:type="gramEnd"/>
      <w:r w:rsidRPr="00505CF0">
        <w:rPr>
          <w:rFonts w:asciiTheme="majorBidi" w:eastAsia="Times New Roman" w:hAnsiTheme="majorBidi" w:cstheme="majorBidi"/>
          <w:bCs/>
          <w:sz w:val="24"/>
          <w:szCs w:val="24"/>
          <w:lang w:eastAsia="en-US"/>
        </w:rPr>
        <w:t xml:space="preserve"> old people are ran over in the streets or slip and damage themselves at parties, all without significant provocation or reason. </w:t>
      </w:r>
    </w:p>
    <w:p w14:paraId="35ECD128" w14:textId="2FE9CFC5"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Simultaneous to the depictions of the absurd, indifferent, world,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xml:space="preserve"> is populated by characters who express a desire for meaning and purpose, here transposed onto the enigmatic Mr Toppit of Arthur’s stories in a move similar to that of Díaz’s fukú, in terms of an attempt to rationalise the absurd nature of existence. Mr Toppit is described as ‘cruel and capricious,’</w:t>
      </w:r>
      <w:r w:rsidRPr="00505CF0">
        <w:rPr>
          <w:rStyle w:val="FootnoteReference"/>
          <w:rFonts w:asciiTheme="majorBidi" w:eastAsia="Times New Roman" w:hAnsiTheme="majorBidi" w:cstheme="majorBidi"/>
          <w:bCs/>
          <w:sz w:val="24"/>
          <w:szCs w:val="24"/>
          <w:lang w:eastAsia="en-US"/>
        </w:rPr>
        <w:footnoteReference w:id="427"/>
      </w:r>
      <w:r w:rsidRPr="00505CF0">
        <w:rPr>
          <w:rFonts w:asciiTheme="majorBidi" w:eastAsia="Times New Roman" w:hAnsiTheme="majorBidi" w:cstheme="majorBidi"/>
          <w:bCs/>
          <w:sz w:val="24"/>
          <w:szCs w:val="24"/>
          <w:lang w:eastAsia="en-US"/>
        </w:rPr>
        <w:t xml:space="preserve"> never really revealing himself, with whom ‘nothing is ever simple,’</w:t>
      </w:r>
      <w:r w:rsidRPr="00505CF0">
        <w:rPr>
          <w:rStyle w:val="FootnoteReference"/>
          <w:rFonts w:asciiTheme="majorBidi" w:eastAsia="Times New Roman" w:hAnsiTheme="majorBidi" w:cstheme="majorBidi"/>
          <w:bCs/>
          <w:sz w:val="24"/>
          <w:szCs w:val="24"/>
          <w:lang w:eastAsia="en-US"/>
        </w:rPr>
        <w:footnoteReference w:id="428"/>
      </w:r>
      <w:r w:rsidR="00A50A26">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 xml:space="preserve">a figure who is able to make dark dreams come true, as when the Luke of the books dreams of a dead crow, only to awaken ‘to a silent and deserted house, </w:t>
      </w:r>
      <w:r w:rsidR="00A50A26">
        <w:rPr>
          <w:rFonts w:asciiTheme="majorBidi" w:eastAsia="Times New Roman" w:hAnsiTheme="majorBidi" w:cstheme="majorBidi"/>
          <w:bCs/>
          <w:sz w:val="24"/>
          <w:szCs w:val="24"/>
          <w:lang w:eastAsia="en-US"/>
        </w:rPr>
        <w:t xml:space="preserve">[after which] </w:t>
      </w:r>
      <w:r w:rsidRPr="00505CF0">
        <w:rPr>
          <w:rFonts w:asciiTheme="majorBidi" w:eastAsia="Times New Roman" w:hAnsiTheme="majorBidi" w:cstheme="majorBidi"/>
          <w:bCs/>
          <w:sz w:val="24"/>
          <w:szCs w:val="24"/>
          <w:lang w:eastAsia="en-US"/>
        </w:rPr>
        <w:t>he looks out of his windows and sees the field that leads to the Darkwood black with the bodies of dead crows. Mr Toppit has made his dream come true.’</w:t>
      </w:r>
      <w:r w:rsidRPr="00505CF0">
        <w:rPr>
          <w:rStyle w:val="FootnoteReference"/>
          <w:rFonts w:asciiTheme="majorBidi" w:eastAsia="Times New Roman" w:hAnsiTheme="majorBidi" w:cstheme="majorBidi"/>
          <w:bCs/>
          <w:sz w:val="24"/>
          <w:szCs w:val="24"/>
          <w:lang w:eastAsia="en-US"/>
        </w:rPr>
        <w:footnoteReference w:id="429"/>
      </w:r>
      <w:r w:rsidRPr="00505CF0">
        <w:rPr>
          <w:rFonts w:asciiTheme="majorBidi" w:eastAsia="Times New Roman" w:hAnsiTheme="majorBidi" w:cstheme="majorBidi"/>
          <w:bCs/>
          <w:sz w:val="24"/>
          <w:szCs w:val="24"/>
          <w:lang w:eastAsia="en-US"/>
        </w:rPr>
        <w:t xml:space="preserve"> Mr Toppit is an unseen influence, a seemingly wrathful, cruel and sadistic individual, who must be appeased by seemingly ‘terrifying and thankless task[s]’</w:t>
      </w:r>
      <w:r w:rsidRPr="00505CF0">
        <w:rPr>
          <w:rStyle w:val="FootnoteReference"/>
          <w:rFonts w:asciiTheme="majorBidi" w:eastAsia="Times New Roman" w:hAnsiTheme="majorBidi" w:cstheme="majorBidi"/>
          <w:bCs/>
          <w:sz w:val="24"/>
          <w:szCs w:val="24"/>
          <w:lang w:eastAsia="en-US"/>
        </w:rPr>
        <w:footnoteReference w:id="430"/>
      </w:r>
      <w:r w:rsidRPr="00505CF0">
        <w:rPr>
          <w:rFonts w:asciiTheme="majorBidi" w:eastAsia="Times New Roman" w:hAnsiTheme="majorBidi" w:cstheme="majorBidi"/>
          <w:bCs/>
          <w:sz w:val="24"/>
          <w:szCs w:val="24"/>
          <w:lang w:eastAsia="en-US"/>
        </w:rPr>
        <w:t xml:space="preserve"> tasks that, as one</w:t>
      </w:r>
      <w:r w:rsidR="00A50A26">
        <w:rPr>
          <w:rFonts w:asciiTheme="majorBidi" w:eastAsia="Times New Roman" w:hAnsiTheme="majorBidi" w:cstheme="majorBidi"/>
          <w:bCs/>
          <w:sz w:val="24"/>
          <w:szCs w:val="24"/>
          <w:lang w:eastAsia="en-US"/>
        </w:rPr>
        <w:t xml:space="preserve"> fictional</w:t>
      </w:r>
      <w:r w:rsidRPr="00505CF0">
        <w:rPr>
          <w:rFonts w:asciiTheme="majorBidi" w:eastAsia="Times New Roman" w:hAnsiTheme="majorBidi" w:cstheme="majorBidi"/>
          <w:bCs/>
          <w:sz w:val="24"/>
          <w:szCs w:val="24"/>
          <w:lang w:eastAsia="en-US"/>
        </w:rPr>
        <w:t xml:space="preserve"> critic </w:t>
      </w:r>
      <w:proofErr w:type="gramStart"/>
      <w:r w:rsidRPr="00505CF0">
        <w:rPr>
          <w:rFonts w:asciiTheme="majorBidi" w:eastAsia="Times New Roman" w:hAnsiTheme="majorBidi" w:cstheme="majorBidi"/>
          <w:bCs/>
          <w:sz w:val="24"/>
          <w:szCs w:val="24"/>
          <w:lang w:eastAsia="en-US"/>
        </w:rPr>
        <w:t>describes,</w:t>
      </w:r>
      <w:proofErr w:type="gramEnd"/>
      <w:r w:rsidRPr="00505CF0">
        <w:rPr>
          <w:rFonts w:asciiTheme="majorBidi" w:eastAsia="Times New Roman" w:hAnsiTheme="majorBidi" w:cstheme="majorBidi"/>
          <w:bCs/>
          <w:sz w:val="24"/>
          <w:szCs w:val="24"/>
          <w:lang w:eastAsia="en-US"/>
        </w:rPr>
        <w:t xml:space="preserve"> are ‘variations on the myth of Sisyphus.’</w:t>
      </w:r>
      <w:r w:rsidRPr="00505CF0">
        <w:rPr>
          <w:rStyle w:val="FootnoteReference"/>
          <w:rFonts w:asciiTheme="majorBidi" w:eastAsia="Times New Roman" w:hAnsiTheme="majorBidi" w:cstheme="majorBidi"/>
          <w:bCs/>
          <w:sz w:val="24"/>
          <w:szCs w:val="24"/>
          <w:lang w:eastAsia="en-US"/>
        </w:rPr>
        <w:footnoteReference w:id="431"/>
      </w:r>
      <w:r w:rsidRPr="00505CF0">
        <w:rPr>
          <w:rFonts w:asciiTheme="majorBidi" w:eastAsia="Times New Roman" w:hAnsiTheme="majorBidi" w:cstheme="majorBidi"/>
          <w:bCs/>
          <w:sz w:val="24"/>
          <w:szCs w:val="24"/>
          <w:lang w:eastAsia="en-US"/>
        </w:rPr>
        <w:t xml:space="preserve"> As such, Mr Toppit functions much as the fukú or as certain mythical fictions as a form of explanation of the absurd, or an answer to the question of ‘why me?’ As the world of the Hayseed Chronicles bleeds into that of Luke Hayman’s life, Mr Toppit becomes an explanation for the horrors and misfortunes of life, as seen in the revelation of Merry, Laurie’s Agent’s daughter</w:t>
      </w:r>
      <w:r w:rsidR="001C5237">
        <w:rPr>
          <w:rFonts w:asciiTheme="majorBidi" w:eastAsia="Times New Roman" w:hAnsiTheme="majorBidi" w:cstheme="majorBidi"/>
          <w:bCs/>
          <w:sz w:val="24"/>
          <w:szCs w:val="24"/>
          <w:lang w:eastAsia="en-US"/>
        </w:rPr>
        <w:t xml:space="preserve"> regarding her father, Rick</w:t>
      </w:r>
      <w:r w:rsidRPr="00505CF0">
        <w:rPr>
          <w:rFonts w:asciiTheme="majorBidi" w:eastAsia="Times New Roman" w:hAnsiTheme="majorBidi" w:cstheme="majorBidi"/>
          <w:bCs/>
          <w:sz w:val="24"/>
          <w:szCs w:val="24"/>
          <w:lang w:eastAsia="en-US"/>
        </w:rPr>
        <w:t>:</w:t>
      </w:r>
    </w:p>
    <w:p w14:paraId="5920C226"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58C504BE" w14:textId="2EC7740B"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Merry might have been crying when she came out of the water or it might have been when we got inside [...] but she kept saying it was only because she was so happy. [...] what she was so happy about, she kept saying while she was crying, was that she had read the books and had realized that while they were about me they were also about her. [...] She knew who Mr Toppit was, she was saying, not who he was, like being a person you could recognize if you saw him on the street, but who he was if he was in your family. [...] What she was crying about was that she knew Mr Toppit was Rick, and reading the books reminded her of when she was a child and of what he had been like with her then. She forgave him, she kept saying. She loved him, she would always love him, but he shouldn’t have been like that. He shouldn’t have lost his temper. He shouldn’t have shouted all the time.</w:t>
      </w:r>
      <w:r w:rsidRPr="00505CF0">
        <w:rPr>
          <w:rStyle w:val="FootnoteReference"/>
          <w:rFonts w:asciiTheme="majorBidi" w:eastAsia="Times New Roman" w:hAnsiTheme="majorBidi" w:cstheme="majorBidi"/>
          <w:bCs/>
          <w:sz w:val="24"/>
          <w:szCs w:val="24"/>
          <w:lang w:eastAsia="en-US"/>
        </w:rPr>
        <w:footnoteReference w:id="432"/>
      </w:r>
    </w:p>
    <w:p w14:paraId="1953DE2B"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 </w:t>
      </w:r>
    </w:p>
    <w:p w14:paraId="417ED5BD" w14:textId="77777777" w:rsidR="00C111D3" w:rsidRPr="00505CF0" w:rsidRDefault="00C111D3" w:rsidP="004C3EE0">
      <w:pPr>
        <w:spacing w:line="240" w:lineRule="auto"/>
        <w:ind w:right="737"/>
        <w:jc w:val="both"/>
        <w:rPr>
          <w:rFonts w:asciiTheme="majorBidi" w:eastAsia="Times New Roman" w:hAnsiTheme="majorBidi" w:cstheme="majorBidi"/>
          <w:bCs/>
          <w:sz w:val="24"/>
          <w:szCs w:val="24"/>
          <w:lang w:eastAsia="en-US"/>
        </w:rPr>
      </w:pPr>
    </w:p>
    <w:p w14:paraId="39DA7D64" w14:textId="0203B4F3"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Mr Toppit does not exist within the same fictional level as Luke Hayman, of course, but his influence is nonetheless felt by those who engage with the text, and seems to be the major reason behind the popularity of the Hayseed texts.</w:t>
      </w:r>
      <w:r w:rsidR="00ED4026">
        <w:rPr>
          <w:rStyle w:val="FootnoteReference"/>
          <w:rFonts w:asciiTheme="majorBidi" w:eastAsia="Times New Roman" w:hAnsiTheme="majorBidi" w:cstheme="majorBidi"/>
          <w:bCs/>
          <w:sz w:val="24"/>
          <w:szCs w:val="24"/>
          <w:lang w:eastAsia="en-US"/>
        </w:rPr>
        <w:footnoteReference w:id="433"/>
      </w:r>
      <w:r w:rsidRPr="00505CF0">
        <w:rPr>
          <w:rFonts w:asciiTheme="majorBidi" w:eastAsia="Times New Roman" w:hAnsiTheme="majorBidi" w:cstheme="majorBidi"/>
          <w:bCs/>
          <w:sz w:val="24"/>
          <w:szCs w:val="24"/>
          <w:lang w:eastAsia="en-US"/>
        </w:rPr>
        <w:t xml:space="preserve"> Mr Toppit’s absurd and dangerous task of moving bees from a lavender bush to shade is, by way of example, shown to provide comfort to a series of victims of a plane hijacking, who take comfort from Luke’s scene.</w:t>
      </w:r>
      <w:r w:rsidRPr="00505CF0">
        <w:rPr>
          <w:rStyle w:val="FootnoteReference"/>
          <w:rFonts w:asciiTheme="majorBidi" w:eastAsia="Times New Roman" w:hAnsiTheme="majorBidi" w:cstheme="majorBidi"/>
          <w:bCs/>
          <w:sz w:val="24"/>
          <w:szCs w:val="24"/>
          <w:lang w:eastAsia="en-US"/>
        </w:rPr>
        <w:footnoteReference w:id="434"/>
      </w:r>
      <w:r w:rsidRPr="00505CF0">
        <w:rPr>
          <w:rFonts w:asciiTheme="majorBidi" w:eastAsia="Times New Roman" w:hAnsiTheme="majorBidi" w:cstheme="majorBidi"/>
          <w:bCs/>
          <w:sz w:val="24"/>
          <w:szCs w:val="24"/>
          <w:lang w:eastAsia="en-US"/>
        </w:rPr>
        <w:t xml:space="preserve"> As one of the victims reportedly states, whenever he is ‘tested,’ he thinks of ‘that moment when [</w:t>
      </w:r>
      <w:r w:rsidR="001C5237">
        <w:rPr>
          <w:rFonts w:asciiTheme="majorBidi" w:eastAsia="Times New Roman" w:hAnsiTheme="majorBidi" w:cstheme="majorBidi"/>
          <w:bCs/>
          <w:sz w:val="24"/>
          <w:szCs w:val="24"/>
          <w:lang w:eastAsia="en-US"/>
        </w:rPr>
        <w:t>L</w:t>
      </w:r>
      <w:r w:rsidRPr="00505CF0">
        <w:rPr>
          <w:rFonts w:asciiTheme="majorBidi" w:eastAsia="Times New Roman" w:hAnsiTheme="majorBidi" w:cstheme="majorBidi"/>
          <w:bCs/>
          <w:sz w:val="24"/>
          <w:szCs w:val="24"/>
          <w:lang w:eastAsia="en-US"/>
        </w:rPr>
        <w:t>uke is] crossing the lawn with the bees in his hand […] and somehow things don’t seem so…’</w:t>
      </w:r>
      <w:r w:rsidRPr="00505CF0">
        <w:rPr>
          <w:rStyle w:val="FootnoteReference"/>
          <w:rFonts w:asciiTheme="majorBidi" w:eastAsia="Times New Roman" w:hAnsiTheme="majorBidi" w:cstheme="majorBidi"/>
          <w:bCs/>
          <w:sz w:val="24"/>
          <w:szCs w:val="24"/>
          <w:lang w:eastAsia="en-US"/>
        </w:rPr>
        <w:footnoteReference w:id="435"/>
      </w:r>
      <w:r w:rsidRPr="00505CF0">
        <w:rPr>
          <w:rFonts w:asciiTheme="majorBidi" w:eastAsia="Times New Roman" w:hAnsiTheme="majorBidi" w:cstheme="majorBidi"/>
          <w:bCs/>
          <w:sz w:val="24"/>
          <w:szCs w:val="24"/>
          <w:lang w:eastAsia="en-US"/>
        </w:rPr>
        <w:t xml:space="preserve"> the report is interrupted, to Luke Hayman’s annoyance, yet the clear implication is that of taking comfort from the absurd in the assumption of an over-arching reason behind the horror, in this case Mr Toppit’s unwritten command to move the bees. </w:t>
      </w:r>
    </w:p>
    <w:p w14:paraId="0E0934FB" w14:textId="1993BCC6"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Living in </w:t>
      </w:r>
      <w:r w:rsidR="001C5237">
        <w:rPr>
          <w:rFonts w:asciiTheme="majorBidi" w:eastAsia="Times New Roman" w:hAnsiTheme="majorBidi" w:cstheme="majorBidi"/>
          <w:bCs/>
          <w:sz w:val="24"/>
          <w:szCs w:val="24"/>
          <w:lang w:eastAsia="en-US"/>
        </w:rPr>
        <w:t>an</w:t>
      </w:r>
      <w:r w:rsidR="001C5237" w:rsidRPr="00505CF0">
        <w:rPr>
          <w:rFonts w:asciiTheme="majorBidi" w:eastAsia="Times New Roman" w:hAnsiTheme="majorBidi" w:cstheme="majorBidi"/>
          <w:bCs/>
          <w:sz w:val="24"/>
          <w:szCs w:val="24"/>
          <w:lang w:eastAsia="en-US"/>
        </w:rPr>
        <w:t xml:space="preserve"> </w:t>
      </w:r>
      <w:r w:rsidRPr="00505CF0">
        <w:rPr>
          <w:rFonts w:asciiTheme="majorBidi" w:eastAsia="Times New Roman" w:hAnsiTheme="majorBidi" w:cstheme="majorBidi"/>
          <w:bCs/>
          <w:sz w:val="24"/>
          <w:szCs w:val="24"/>
          <w:lang w:eastAsia="en-US"/>
        </w:rPr>
        <w:t xml:space="preserve">absurd world and desiring meaning,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xml:space="preserve"> signals an experimentation with the Sisyphean in which characters such as Laurie, who at one point states that </w:t>
      </w:r>
      <w:r w:rsidR="00807E84">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Keeping everybody happy was like one of those tasks from the Greek myths that never ended however hard you tried, rolling a stone up a hill only to have it roll down before it reached the top,’</w:t>
      </w:r>
      <w:r w:rsidRPr="00505CF0">
        <w:rPr>
          <w:rStyle w:val="FootnoteReference"/>
          <w:rFonts w:asciiTheme="majorBidi" w:eastAsia="Times New Roman" w:hAnsiTheme="majorBidi" w:cstheme="majorBidi"/>
          <w:bCs/>
          <w:sz w:val="24"/>
          <w:szCs w:val="24"/>
          <w:lang w:eastAsia="en-US"/>
        </w:rPr>
        <w:footnoteReference w:id="436"/>
      </w:r>
      <w:r w:rsidRPr="00505CF0">
        <w:rPr>
          <w:rFonts w:asciiTheme="majorBidi" w:eastAsia="Times New Roman" w:hAnsiTheme="majorBidi" w:cstheme="majorBidi"/>
          <w:bCs/>
          <w:sz w:val="24"/>
          <w:szCs w:val="24"/>
          <w:lang w:eastAsia="en-US"/>
        </w:rPr>
        <w:t xml:space="preserve"> become the Absurd individuals: aware of their desire for some deeper meaning or purpose to life, but knowing that there is none to be found. As a result they turn to the supernatural Mr Toppit as explanation, a belief in which affirms some form of </w:t>
      </w:r>
      <w:r w:rsidR="001C5237">
        <w:rPr>
          <w:rFonts w:asciiTheme="majorBidi" w:eastAsia="Times New Roman" w:hAnsiTheme="majorBidi" w:cstheme="majorBidi"/>
          <w:bCs/>
          <w:sz w:val="24"/>
          <w:szCs w:val="24"/>
          <w:lang w:eastAsia="en-US"/>
        </w:rPr>
        <w:t xml:space="preserve">‘grand </w:t>
      </w:r>
      <w:r w:rsidRPr="00505CF0">
        <w:rPr>
          <w:rFonts w:asciiTheme="majorBidi" w:eastAsia="Times New Roman" w:hAnsiTheme="majorBidi" w:cstheme="majorBidi"/>
          <w:bCs/>
          <w:sz w:val="24"/>
          <w:szCs w:val="24"/>
          <w:lang w:eastAsia="en-US"/>
        </w:rPr>
        <w:t>power,</w:t>
      </w:r>
      <w:r w:rsidR="001C5237">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justifying the terrors and pains of existence as tests of a whimsical, unseen figure though, in a typically metamodern move, such a belief offers no resolution to the characters involved. The text offers no </w:t>
      </w:r>
      <w:r w:rsidR="001C5237">
        <w:rPr>
          <w:rFonts w:asciiTheme="majorBidi" w:eastAsia="Times New Roman" w:hAnsiTheme="majorBidi" w:cstheme="majorBidi"/>
          <w:bCs/>
          <w:sz w:val="24"/>
          <w:szCs w:val="24"/>
          <w:lang w:eastAsia="en-US"/>
        </w:rPr>
        <w:t>solution</w:t>
      </w:r>
      <w:r w:rsidRPr="00505CF0">
        <w:rPr>
          <w:rFonts w:asciiTheme="majorBidi" w:eastAsia="Times New Roman" w:hAnsiTheme="majorBidi" w:cstheme="majorBidi"/>
          <w:bCs/>
          <w:sz w:val="24"/>
          <w:szCs w:val="24"/>
          <w:lang w:eastAsia="en-US"/>
        </w:rPr>
        <w:t xml:space="preserve"> to the problem of the absurd, only an exploration of the desire, highlighting the Sisyphean paradigm of the contemporary and the potential problems of attempts to transcend the Absurd condition.</w:t>
      </w:r>
    </w:p>
    <w:p w14:paraId="124237E2" w14:textId="2E4BA79E"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Metamodern literature engages with the Sisyphean in a manner attempting transcendence. That is to say, metamodern literature acknowledges the Absurd condition of life, yet does not accept it. Instead, contemporary literature attempts to look beyond, a neo-Sisyphean model in which individuals seek to mitigate the problem of the Absurd, the oscillation between desire for meaning and knowledge of meaninglessness, by suggesting that such ontological questioning, ultimately, cannot provide comfort or happiness and that we, as a society, should perhaps strive to search for other means by which the ubiquitous existential dread and ontological crises may be appeased (though we are, the texts seem to suggest, always doomed to return, once more, to those lessons of depthlessness learned through the years of the postmodern). Narcissus</w:t>
      </w:r>
      <w:r w:rsidR="001C5237">
        <w:rPr>
          <w:rFonts w:asciiTheme="majorBidi" w:eastAsia="Times New Roman" w:hAnsiTheme="majorBidi" w:cstheme="majorBidi"/>
          <w:bCs/>
          <w:sz w:val="24"/>
          <w:szCs w:val="24"/>
          <w:lang w:eastAsia="en-US"/>
        </w:rPr>
        <w:t>’</w:t>
      </w:r>
      <w:r w:rsidRPr="00505CF0">
        <w:rPr>
          <w:rFonts w:asciiTheme="majorBidi" w:eastAsia="Times New Roman" w:hAnsiTheme="majorBidi" w:cstheme="majorBidi"/>
          <w:bCs/>
          <w:sz w:val="24"/>
          <w:szCs w:val="24"/>
          <w:lang w:eastAsia="en-US"/>
        </w:rPr>
        <w:t xml:space="preserve"> pool, it seems, was merely the reflective face of a boulder worn to </w:t>
      </w:r>
      <w:proofErr w:type="gramStart"/>
      <w:r w:rsidRPr="00505CF0">
        <w:rPr>
          <w:rFonts w:asciiTheme="majorBidi" w:eastAsia="Times New Roman" w:hAnsiTheme="majorBidi" w:cstheme="majorBidi"/>
          <w:bCs/>
          <w:sz w:val="24"/>
          <w:szCs w:val="24"/>
          <w:lang w:eastAsia="en-US"/>
        </w:rPr>
        <w:t>a mirror</w:t>
      </w:r>
      <w:proofErr w:type="gramEnd"/>
      <w:r w:rsidRPr="00505CF0">
        <w:rPr>
          <w:rFonts w:asciiTheme="majorBidi" w:eastAsia="Times New Roman" w:hAnsiTheme="majorBidi" w:cstheme="majorBidi"/>
          <w:bCs/>
          <w:sz w:val="24"/>
          <w:szCs w:val="24"/>
          <w:lang w:eastAsia="en-US"/>
        </w:rPr>
        <w:t xml:space="preserve"> </w:t>
      </w:r>
      <w:r w:rsidR="001C5237">
        <w:rPr>
          <w:rFonts w:asciiTheme="majorBidi" w:eastAsia="Times New Roman" w:hAnsiTheme="majorBidi" w:cstheme="majorBidi"/>
          <w:bCs/>
          <w:sz w:val="24"/>
          <w:szCs w:val="24"/>
          <w:lang w:eastAsia="en-US"/>
        </w:rPr>
        <w:t>sheen</w:t>
      </w:r>
      <w:r w:rsidRPr="00505CF0">
        <w:rPr>
          <w:rFonts w:asciiTheme="majorBidi" w:eastAsia="Times New Roman" w:hAnsiTheme="majorBidi" w:cstheme="majorBidi"/>
          <w:bCs/>
          <w:sz w:val="24"/>
          <w:szCs w:val="24"/>
          <w:lang w:eastAsia="en-US"/>
        </w:rPr>
        <w:t xml:space="preserve"> from eons of rolling, and the metamodern Sisyphus turns from his endless, meaningless task, from his reverie and scrutiny of the self. Waking, as Abelard, from their stupor, the metamodern Sisyphus begins </w:t>
      </w:r>
      <w:r w:rsidR="001C5237">
        <w:rPr>
          <w:rFonts w:asciiTheme="majorBidi" w:eastAsia="Times New Roman" w:hAnsiTheme="majorBidi" w:cstheme="majorBidi"/>
          <w:bCs/>
          <w:sz w:val="24"/>
          <w:szCs w:val="24"/>
          <w:lang w:eastAsia="en-US"/>
        </w:rPr>
        <w:t>their</w:t>
      </w:r>
      <w:r w:rsidRPr="00505CF0">
        <w:rPr>
          <w:rFonts w:asciiTheme="majorBidi" w:eastAsia="Times New Roman" w:hAnsiTheme="majorBidi" w:cstheme="majorBidi"/>
          <w:bCs/>
          <w:sz w:val="24"/>
          <w:szCs w:val="24"/>
          <w:lang w:eastAsia="en-US"/>
        </w:rPr>
        <w:t xml:space="preserve"> descent, either happy as Camus would have us imagine, or staring at their hands and weeping, as if recalling that there was once a time when they had been more than this. Myth, in metamodern literature, serves the same purpose as those texts which question the Absurd, namely, to express the desire for something beyond the accepted depthlessness of reality; whether through the moment of the fantastic, or the examination of the Absurd, the desire for </w:t>
      </w:r>
      <w:r w:rsidRPr="00505CF0">
        <w:rPr>
          <w:rFonts w:asciiTheme="majorBidi" w:eastAsia="Times New Roman" w:hAnsiTheme="majorBidi" w:cstheme="majorBidi"/>
          <w:bCs/>
          <w:i/>
          <w:iCs/>
          <w:sz w:val="24"/>
          <w:szCs w:val="24"/>
          <w:lang w:eastAsia="en-US"/>
        </w:rPr>
        <w:t>more</w:t>
      </w:r>
      <w:r w:rsidRPr="00505CF0">
        <w:rPr>
          <w:rFonts w:asciiTheme="majorBidi" w:eastAsia="Times New Roman" w:hAnsiTheme="majorBidi" w:cstheme="majorBidi"/>
          <w:bCs/>
          <w:sz w:val="24"/>
          <w:szCs w:val="24"/>
          <w:lang w:eastAsia="en-US"/>
        </w:rPr>
        <w:t xml:space="preserve"> is palpable within contemporary literature. Not, it must be stated, in terms of a capitalist desire for excess of commodity, but perhaps rather for more in terms of the </w:t>
      </w:r>
      <w:r w:rsidRPr="00505CF0">
        <w:rPr>
          <w:rFonts w:asciiTheme="majorBidi" w:eastAsia="Times New Roman" w:hAnsiTheme="majorBidi" w:cstheme="majorBidi"/>
          <w:bCs/>
          <w:i/>
          <w:iCs/>
          <w:sz w:val="24"/>
          <w:szCs w:val="24"/>
          <w:lang w:eastAsia="en-US"/>
        </w:rPr>
        <w:t>beyond</w:t>
      </w:r>
      <w:r w:rsidRPr="00505CF0">
        <w:rPr>
          <w:rFonts w:asciiTheme="majorBidi" w:eastAsia="Times New Roman" w:hAnsiTheme="majorBidi" w:cstheme="majorBidi"/>
          <w:bCs/>
          <w:sz w:val="24"/>
          <w:szCs w:val="24"/>
          <w:lang w:eastAsia="en-US"/>
        </w:rPr>
        <w:t xml:space="preserve">, the beneath, the glimmer of potential depthiness that may augment the everyday despite the insane character of daily agitations and the absence of any profound reason for living. </w:t>
      </w:r>
    </w:p>
    <w:p w14:paraId="1166A382"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299B73DE" w14:textId="77777777" w:rsidR="00C111D3"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r>
    </w:p>
    <w:p w14:paraId="32056AC3" w14:textId="77777777" w:rsidR="006405B7" w:rsidRPr="00505CF0" w:rsidRDefault="006405B7" w:rsidP="004C3EE0">
      <w:pPr>
        <w:spacing w:line="480" w:lineRule="auto"/>
        <w:jc w:val="both"/>
        <w:rPr>
          <w:rFonts w:asciiTheme="majorBidi" w:eastAsia="Times New Roman" w:hAnsiTheme="majorBidi" w:cstheme="majorBidi"/>
          <w:bCs/>
          <w:sz w:val="24"/>
          <w:szCs w:val="24"/>
          <w:lang w:eastAsia="en-US"/>
        </w:rPr>
      </w:pPr>
    </w:p>
    <w:p w14:paraId="4BB8C39F"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r w:rsidRPr="00505CF0">
        <w:rPr>
          <w:rFonts w:asciiTheme="majorBidi" w:eastAsia="Times New Roman" w:hAnsiTheme="majorBidi" w:cstheme="majorBidi"/>
          <w:b/>
          <w:sz w:val="28"/>
          <w:szCs w:val="28"/>
          <w:lang w:eastAsia="en-US"/>
        </w:rPr>
        <w:t>3.4</w:t>
      </w:r>
      <w:r w:rsidRPr="00505CF0">
        <w:rPr>
          <w:rFonts w:asciiTheme="majorBidi" w:eastAsia="Times New Roman" w:hAnsiTheme="majorBidi" w:cstheme="majorBidi"/>
          <w:b/>
          <w:sz w:val="28"/>
          <w:szCs w:val="28"/>
          <w:lang w:eastAsia="en-US"/>
        </w:rPr>
        <w:tab/>
        <w:t>Addendum</w:t>
      </w:r>
    </w:p>
    <w:p w14:paraId="0A35788A" w14:textId="77777777" w:rsidR="00C111D3" w:rsidRPr="00505CF0" w:rsidRDefault="00C111D3" w:rsidP="004C3EE0">
      <w:pPr>
        <w:spacing w:line="480" w:lineRule="auto"/>
        <w:jc w:val="both"/>
        <w:rPr>
          <w:rFonts w:asciiTheme="majorBidi" w:eastAsia="Times New Roman" w:hAnsiTheme="majorBidi" w:cstheme="majorBidi"/>
          <w:b/>
          <w:sz w:val="28"/>
          <w:szCs w:val="28"/>
          <w:lang w:eastAsia="en-US"/>
        </w:rPr>
      </w:pPr>
    </w:p>
    <w:p w14:paraId="405E0E70" w14:textId="0BBCF332"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I tentatively offer this conception of the metamodern Sisyphean attitude as a somewhat inchoate theory in the hope of further development by other scholars or academics, much as Vermeulen and van den Akker first offered the theory of the metamodern itself.</w:t>
      </w:r>
      <w:r w:rsidRPr="00505CF0">
        <w:rPr>
          <w:rStyle w:val="FootnoteReference"/>
          <w:rFonts w:asciiTheme="majorBidi" w:eastAsia="Times New Roman" w:hAnsiTheme="majorBidi" w:cstheme="majorBidi"/>
          <w:bCs/>
          <w:sz w:val="24"/>
          <w:szCs w:val="24"/>
          <w:lang w:eastAsia="en-US"/>
        </w:rPr>
        <w:footnoteReference w:id="437"/>
      </w:r>
      <w:r w:rsidRPr="00505CF0">
        <w:rPr>
          <w:rFonts w:asciiTheme="majorBidi" w:eastAsia="Times New Roman" w:hAnsiTheme="majorBidi" w:cstheme="majorBidi"/>
          <w:bCs/>
          <w:sz w:val="24"/>
          <w:szCs w:val="24"/>
          <w:lang w:eastAsia="en-US"/>
        </w:rPr>
        <w:t xml:space="preserve"> It is, of course, merely one potentially unifying theme of metamodern literature, among so many identified themes within the budding environment. Literature is perhaps not the most supreme means by which the metamodern finds </w:t>
      </w:r>
      <w:proofErr w:type="gramStart"/>
      <w:r w:rsidRPr="00505CF0">
        <w:rPr>
          <w:rFonts w:asciiTheme="majorBidi" w:eastAsia="Times New Roman" w:hAnsiTheme="majorBidi" w:cstheme="majorBidi"/>
          <w:bCs/>
          <w:sz w:val="24"/>
          <w:szCs w:val="24"/>
          <w:lang w:eastAsia="en-US"/>
        </w:rPr>
        <w:t>itself</w:t>
      </w:r>
      <w:proofErr w:type="gramEnd"/>
      <w:r w:rsidRPr="00505CF0">
        <w:rPr>
          <w:rFonts w:asciiTheme="majorBidi" w:eastAsia="Times New Roman" w:hAnsiTheme="majorBidi" w:cstheme="majorBidi"/>
          <w:bCs/>
          <w:sz w:val="24"/>
          <w:szCs w:val="24"/>
          <w:lang w:eastAsia="en-US"/>
        </w:rPr>
        <w:t xml:space="preserve"> expressed, hence the relatively slow development of critique within the field. After all, what novel is not, in some manner, sincere of theme or intent? Still, critiques of the metamodern influence on contemporary literature are forthcoming. Alison Gibbons</w:t>
      </w:r>
      <w:r w:rsidR="001C5237">
        <w:rPr>
          <w:rFonts w:asciiTheme="majorBidi" w:eastAsia="Times New Roman" w:hAnsiTheme="majorBidi" w:cstheme="majorBidi"/>
          <w:bCs/>
          <w:sz w:val="24"/>
          <w:szCs w:val="24"/>
          <w:lang w:eastAsia="en-US"/>
        </w:rPr>
        <w:t>, for one,</w:t>
      </w:r>
      <w:r w:rsidRPr="00505CF0">
        <w:rPr>
          <w:rFonts w:asciiTheme="majorBidi" w:eastAsia="Times New Roman" w:hAnsiTheme="majorBidi" w:cstheme="majorBidi"/>
          <w:bCs/>
          <w:sz w:val="24"/>
          <w:szCs w:val="24"/>
          <w:lang w:eastAsia="en-US"/>
        </w:rPr>
        <w:t xml:space="preserve"> identifies several paradigms of metamodern literature, including tendencies towards ‘acknowledging our complicity in the state of global affairs (from intersubjective memories to awareness of our participation in various political, economic, and environmental networks),’</w:t>
      </w:r>
      <w:r w:rsidRPr="00505CF0">
        <w:rPr>
          <w:rStyle w:val="FootnoteReference"/>
          <w:rFonts w:asciiTheme="majorBidi" w:eastAsia="Times New Roman" w:hAnsiTheme="majorBidi" w:cstheme="majorBidi"/>
          <w:bCs/>
          <w:sz w:val="24"/>
          <w:szCs w:val="24"/>
          <w:lang w:eastAsia="en-US"/>
        </w:rPr>
        <w:footnoteReference w:id="438"/>
      </w:r>
      <w:r w:rsidRPr="00505CF0">
        <w:rPr>
          <w:rFonts w:asciiTheme="majorBidi" w:eastAsia="Times New Roman" w:hAnsiTheme="majorBidi" w:cstheme="majorBidi"/>
          <w:bCs/>
          <w:sz w:val="24"/>
          <w:szCs w:val="24"/>
          <w:lang w:eastAsia="en-US"/>
        </w:rPr>
        <w:t xml:space="preserve"> alongside ‘the simultaneous and paradoxical sense of hope and future failure,’</w:t>
      </w:r>
      <w:r w:rsidRPr="00505CF0">
        <w:rPr>
          <w:rStyle w:val="FootnoteReference"/>
          <w:rFonts w:asciiTheme="majorBidi" w:eastAsia="Times New Roman" w:hAnsiTheme="majorBidi" w:cstheme="majorBidi"/>
          <w:bCs/>
          <w:sz w:val="24"/>
          <w:szCs w:val="24"/>
          <w:lang w:eastAsia="en-US"/>
        </w:rPr>
        <w:footnoteReference w:id="439"/>
      </w:r>
      <w:r w:rsidRPr="00505CF0">
        <w:rPr>
          <w:rFonts w:asciiTheme="majorBidi" w:eastAsia="Times New Roman" w:hAnsiTheme="majorBidi" w:cstheme="majorBidi"/>
          <w:bCs/>
          <w:sz w:val="24"/>
          <w:szCs w:val="24"/>
          <w:lang w:eastAsia="en-US"/>
        </w:rPr>
        <w:t xml:space="preserve"> themes easily recognisable within Laurie’s description of human toxicity in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xml:space="preserve"> and Yunior’s desire to create the zafa to protect Isis in </w:t>
      </w:r>
      <w:r w:rsidRPr="00505CF0">
        <w:rPr>
          <w:rFonts w:asciiTheme="majorBidi" w:eastAsia="Times New Roman" w:hAnsiTheme="majorBidi" w:cstheme="majorBidi"/>
          <w:bCs/>
          <w:i/>
          <w:iCs/>
          <w:sz w:val="24"/>
          <w:szCs w:val="24"/>
          <w:lang w:eastAsia="en-US"/>
        </w:rPr>
        <w:t xml:space="preserve">Oscar Wao, </w:t>
      </w:r>
      <w:r w:rsidRPr="00505CF0">
        <w:rPr>
          <w:rFonts w:asciiTheme="majorBidi" w:eastAsia="Times New Roman" w:hAnsiTheme="majorBidi" w:cstheme="majorBidi"/>
          <w:bCs/>
          <w:sz w:val="24"/>
          <w:szCs w:val="24"/>
          <w:lang w:eastAsia="en-US"/>
        </w:rPr>
        <w:t>respectively. Fessler evidences the way in which metamodern novels ‘reintroduce a form of transcendence,’ as was lacking in the postmodern, though here citing the declining roles of fragmentation and destabilization as affecting this reintroduction,</w:t>
      </w:r>
      <w:r w:rsidRPr="00505CF0">
        <w:rPr>
          <w:rStyle w:val="FootnoteReference"/>
          <w:rFonts w:asciiTheme="majorBidi" w:eastAsia="Times New Roman" w:hAnsiTheme="majorBidi" w:cstheme="majorBidi"/>
          <w:bCs/>
          <w:sz w:val="24"/>
          <w:szCs w:val="24"/>
          <w:lang w:eastAsia="en-US"/>
        </w:rPr>
        <w:footnoteReference w:id="440"/>
      </w:r>
      <w:r w:rsidRPr="00505CF0">
        <w:rPr>
          <w:rFonts w:asciiTheme="majorBidi" w:eastAsia="Times New Roman" w:hAnsiTheme="majorBidi" w:cstheme="majorBidi"/>
          <w:bCs/>
          <w:sz w:val="24"/>
          <w:szCs w:val="24"/>
          <w:lang w:eastAsia="en-US"/>
        </w:rPr>
        <w:t xml:space="preserve"> a concept visible again in </w:t>
      </w:r>
      <w:r w:rsidRPr="00505CF0">
        <w:rPr>
          <w:rFonts w:asciiTheme="majorBidi" w:eastAsia="Times New Roman" w:hAnsiTheme="majorBidi" w:cstheme="majorBidi"/>
          <w:bCs/>
          <w:i/>
          <w:iCs/>
          <w:sz w:val="24"/>
          <w:szCs w:val="24"/>
          <w:lang w:eastAsia="en-US"/>
        </w:rPr>
        <w:t>Mr Toppit</w:t>
      </w:r>
      <w:r w:rsidRPr="00505CF0">
        <w:rPr>
          <w:rFonts w:asciiTheme="majorBidi" w:eastAsia="Times New Roman" w:hAnsiTheme="majorBidi" w:cstheme="majorBidi"/>
          <w:bCs/>
          <w:sz w:val="24"/>
          <w:szCs w:val="24"/>
          <w:lang w:eastAsia="en-US"/>
        </w:rPr>
        <w:t>, in which the fragmentation of narrative voice through the narratorial switch affects a collage of understanding, as opposed to destabilization of truth. Alexander Wolff too identifies specific hallmarks of metamodern literature:</w:t>
      </w:r>
    </w:p>
    <w:p w14:paraId="735CC363"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48C0B1F6"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roofErr w:type="gramStart"/>
      <w:r w:rsidRPr="00505CF0">
        <w:rPr>
          <w:rFonts w:asciiTheme="majorBidi" w:eastAsia="Times New Roman" w:hAnsiTheme="majorBidi" w:cstheme="majorBidi"/>
          <w:bCs/>
          <w:sz w:val="24"/>
          <w:szCs w:val="24"/>
          <w:lang w:eastAsia="en-US"/>
        </w:rPr>
        <w:t>historic</w:t>
      </w:r>
      <w:proofErr w:type="gramEnd"/>
      <w:r w:rsidRPr="00505CF0">
        <w:rPr>
          <w:rFonts w:asciiTheme="majorBidi" w:eastAsia="Times New Roman" w:hAnsiTheme="majorBidi" w:cstheme="majorBidi"/>
          <w:bCs/>
          <w:sz w:val="24"/>
          <w:szCs w:val="24"/>
          <w:lang w:eastAsia="en-US"/>
        </w:rPr>
        <w:t xml:space="preserve"> development does not necessarily mean that contemporary literature is able to deal with pre-postmodernist concepts only by way of irony and the constant reference to its symbolic constitution and discursive strategies. But, on the contrary, to move beyond postmodernism we need to take a look at the basic goals and structures of literary endeavour and to relocate it in a broader context of a communicative act from which meaning can be gathered only in front of a painful but inevitable social horizon.</w:t>
      </w:r>
      <w:r w:rsidRPr="00505CF0">
        <w:rPr>
          <w:rStyle w:val="FootnoteReference"/>
          <w:rFonts w:asciiTheme="majorBidi" w:eastAsia="Times New Roman" w:hAnsiTheme="majorBidi" w:cstheme="majorBidi"/>
          <w:bCs/>
          <w:sz w:val="24"/>
          <w:szCs w:val="24"/>
          <w:lang w:eastAsia="en-US"/>
        </w:rPr>
        <w:footnoteReference w:id="441"/>
      </w:r>
    </w:p>
    <w:p w14:paraId="23781418"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50A79B82"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4905AC4F"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Wolff highlights here the metamodern novel’s play with both irony and sincerity, dealing with pre-postmodernist concepts not purely by the ironic but in attempting to find other ways to mediate the Modern. This theme is also taken up as a central thematic concern of the metamodern by David James and Urmila Seshagiri, who claim that metamodernism’s ‘dominant strain’ that characterizes ‘an otherwise disjunctive collection of writers and novels’ is the desire ‘to move the novel forward by looking back to the aspirational energies of modernism.’</w:t>
      </w:r>
      <w:r w:rsidRPr="00505CF0">
        <w:rPr>
          <w:rStyle w:val="FootnoteReference"/>
          <w:rFonts w:asciiTheme="majorBidi" w:eastAsia="Times New Roman" w:hAnsiTheme="majorBidi" w:cstheme="majorBidi"/>
          <w:bCs/>
          <w:sz w:val="24"/>
          <w:szCs w:val="24"/>
          <w:lang w:eastAsia="en-US"/>
        </w:rPr>
        <w:footnoteReference w:id="442"/>
      </w:r>
      <w:r w:rsidRPr="00505CF0">
        <w:rPr>
          <w:rFonts w:asciiTheme="majorBidi" w:eastAsia="Times New Roman" w:hAnsiTheme="majorBidi" w:cstheme="majorBidi"/>
          <w:bCs/>
          <w:sz w:val="24"/>
          <w:szCs w:val="24"/>
          <w:lang w:eastAsia="en-US"/>
        </w:rPr>
        <w:t xml:space="preserve"> Philip Damico identifies metamodern literature as defined by an engagement with sincere expression ‘while being aware of its appearance from a postmodern perspective,’</w:t>
      </w:r>
      <w:r w:rsidRPr="00505CF0">
        <w:rPr>
          <w:rStyle w:val="FootnoteReference"/>
          <w:rFonts w:asciiTheme="majorBidi" w:eastAsia="Times New Roman" w:hAnsiTheme="majorBidi" w:cstheme="majorBidi"/>
          <w:bCs/>
          <w:sz w:val="24"/>
          <w:szCs w:val="24"/>
          <w:lang w:eastAsia="en-US"/>
        </w:rPr>
        <w:footnoteReference w:id="443"/>
      </w:r>
      <w:r w:rsidRPr="00505CF0">
        <w:rPr>
          <w:rFonts w:asciiTheme="majorBidi" w:eastAsia="Times New Roman" w:hAnsiTheme="majorBidi" w:cstheme="majorBidi"/>
          <w:bCs/>
          <w:sz w:val="24"/>
          <w:szCs w:val="24"/>
          <w:lang w:eastAsia="en-US"/>
        </w:rPr>
        <w:t xml:space="preserve"> an argument supported by Jeroen Popelier, in whose analysis of Joost Zwagman’s </w:t>
      </w:r>
      <w:r w:rsidRPr="00505CF0">
        <w:rPr>
          <w:rFonts w:asciiTheme="majorBidi" w:eastAsia="Times New Roman" w:hAnsiTheme="majorBidi" w:cstheme="majorBidi"/>
          <w:bCs/>
          <w:i/>
          <w:iCs/>
          <w:sz w:val="24"/>
          <w:szCs w:val="24"/>
          <w:lang w:eastAsia="en-US"/>
        </w:rPr>
        <w:t>Duel</w:t>
      </w:r>
      <w:r w:rsidRPr="00505CF0">
        <w:rPr>
          <w:rFonts w:asciiTheme="majorBidi" w:eastAsia="Times New Roman" w:hAnsiTheme="majorBidi" w:cstheme="majorBidi"/>
          <w:bCs/>
          <w:sz w:val="24"/>
          <w:szCs w:val="24"/>
          <w:lang w:eastAsia="en-US"/>
        </w:rPr>
        <w:t>, argues that ‘the metamodern generation wants to voice its concerns truthfully and authentically and sincerely, while knowing that there is no such thing as truth, authenticity is a construction and sincerity could only be smirked at – yet it does so nonetheless.’</w:t>
      </w:r>
      <w:r w:rsidRPr="00505CF0">
        <w:rPr>
          <w:rStyle w:val="FootnoteReference"/>
          <w:rFonts w:asciiTheme="majorBidi" w:eastAsia="Times New Roman" w:hAnsiTheme="majorBidi" w:cstheme="majorBidi"/>
          <w:bCs/>
          <w:sz w:val="24"/>
          <w:szCs w:val="24"/>
          <w:lang w:eastAsia="en-US"/>
        </w:rPr>
        <w:footnoteReference w:id="444"/>
      </w:r>
      <w:r w:rsidRPr="00505CF0">
        <w:rPr>
          <w:rFonts w:asciiTheme="majorBidi" w:eastAsia="Times New Roman" w:hAnsiTheme="majorBidi" w:cstheme="majorBidi"/>
          <w:bCs/>
          <w:sz w:val="24"/>
          <w:szCs w:val="24"/>
          <w:lang w:eastAsia="en-US"/>
        </w:rPr>
        <w:t xml:space="preserve"> Sincerity, responsibility, transcendence, and a mediation of the modern from a perspective of the postmodern are thus equally valid signifiers of the metamodern as the Sisyphean. </w:t>
      </w:r>
    </w:p>
    <w:p w14:paraId="79B0239E"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ab/>
        <w:t xml:space="preserve">As a final addendum, the concepts expressed of the new metamodern Sisyphean attitude are reflective of the philosophy of optimistic nihilism, as proposed by </w:t>
      </w:r>
      <w:r w:rsidRPr="00505CF0">
        <w:rPr>
          <w:rFonts w:asciiTheme="majorBidi" w:eastAsia="Times New Roman" w:hAnsiTheme="majorBidi" w:cstheme="majorBidi"/>
          <w:bCs/>
          <w:i/>
          <w:iCs/>
          <w:sz w:val="24"/>
          <w:szCs w:val="24"/>
          <w:lang w:eastAsia="en-US"/>
        </w:rPr>
        <w:t>Kurzgesagt</w:t>
      </w:r>
      <w:r w:rsidRPr="00505CF0">
        <w:rPr>
          <w:rFonts w:asciiTheme="majorBidi" w:eastAsia="Times New Roman" w:hAnsiTheme="majorBidi" w:cstheme="majorBidi"/>
          <w:bCs/>
          <w:sz w:val="24"/>
          <w:szCs w:val="24"/>
          <w:lang w:eastAsia="en-US"/>
        </w:rPr>
        <w:t>, in which existential dread is mitigated by the individual’s decision to enjoy what limited time is available to them:</w:t>
      </w:r>
    </w:p>
    <w:p w14:paraId="75536B31"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p>
    <w:p w14:paraId="1C442E50" w14:textId="77777777" w:rsidR="00C111D3" w:rsidRPr="00505CF0" w:rsidRDefault="00C111D3" w:rsidP="004C3EE0">
      <w:pPr>
        <w:spacing w:line="240" w:lineRule="auto"/>
        <w:ind w:left="737" w:right="737"/>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 xml:space="preserve">It seems very unlikely that 200 trillion trillion stars have been made for us. In a way it feels like the cruellest joke in existence has been played on us. We became self-aware only to realize this story is not about us. […] Okay, but so what? […] You only get one shot at life, which is scary, but it also sets you free. If the universe ends in heat death, every humiliation you suffer in life will be forgotten. Every mistake you made will not matter in the end. Every bad thing you did will be voided. If our life is all we get to experience, then it's the only thing that matters. If the universe has no principles, the only principles relevant are the ones we decide on. If the universe has no purpose, then we get to dictate what its purpose is. [...] Do the things that make you feel </w:t>
      </w:r>
      <w:proofErr w:type="gramStart"/>
      <w:r w:rsidRPr="00505CF0">
        <w:rPr>
          <w:rFonts w:asciiTheme="majorBidi" w:eastAsia="Times New Roman" w:hAnsiTheme="majorBidi" w:cstheme="majorBidi"/>
          <w:bCs/>
          <w:sz w:val="24"/>
          <w:szCs w:val="24"/>
          <w:lang w:eastAsia="en-US"/>
        </w:rPr>
        <w:t>good.</w:t>
      </w:r>
      <w:proofErr w:type="gramEnd"/>
      <w:r w:rsidRPr="00505CF0">
        <w:rPr>
          <w:rFonts w:asciiTheme="majorBidi" w:eastAsia="Times New Roman" w:hAnsiTheme="majorBidi" w:cstheme="majorBidi"/>
          <w:bCs/>
          <w:sz w:val="24"/>
          <w:szCs w:val="24"/>
          <w:lang w:eastAsia="en-US"/>
        </w:rPr>
        <w:t xml:space="preserve"> You get to decide whatever this means for you.</w:t>
      </w:r>
      <w:r w:rsidRPr="00505CF0">
        <w:rPr>
          <w:rStyle w:val="FootnoteReference"/>
          <w:rFonts w:asciiTheme="majorBidi" w:eastAsia="Times New Roman" w:hAnsiTheme="majorBidi" w:cstheme="majorBidi"/>
          <w:bCs/>
          <w:sz w:val="24"/>
          <w:szCs w:val="24"/>
          <w:lang w:eastAsia="en-US"/>
        </w:rPr>
        <w:footnoteReference w:id="445"/>
      </w:r>
    </w:p>
    <w:p w14:paraId="7EB1821C" w14:textId="77777777" w:rsidR="00C111D3" w:rsidRPr="00505CF0" w:rsidRDefault="00C111D3" w:rsidP="004C3EE0">
      <w:pPr>
        <w:spacing w:line="480" w:lineRule="auto"/>
        <w:jc w:val="both"/>
        <w:rPr>
          <w:rFonts w:asciiTheme="majorBidi" w:eastAsia="Times New Roman" w:hAnsiTheme="majorBidi" w:cstheme="majorBidi"/>
          <w:bCs/>
          <w:sz w:val="24"/>
          <w:szCs w:val="24"/>
          <w:lang w:eastAsia="en-US"/>
        </w:rPr>
      </w:pPr>
    </w:p>
    <w:p w14:paraId="7AD95E36" w14:textId="6A0B8458" w:rsidR="00C111D3" w:rsidRPr="00505CF0" w:rsidRDefault="00C111D3" w:rsidP="004C3EE0">
      <w:pPr>
        <w:spacing w:line="480" w:lineRule="auto"/>
        <w:jc w:val="both"/>
        <w:rPr>
          <w:rFonts w:asciiTheme="majorBidi" w:eastAsia="Times New Roman" w:hAnsiTheme="majorBidi" w:cstheme="majorBidi"/>
          <w:bCs/>
          <w:sz w:val="24"/>
          <w:szCs w:val="24"/>
          <w:lang w:eastAsia="en-US"/>
        </w:rPr>
      </w:pPr>
      <w:r w:rsidRPr="00505CF0">
        <w:rPr>
          <w:rFonts w:asciiTheme="majorBidi" w:eastAsia="Times New Roman" w:hAnsiTheme="majorBidi" w:cstheme="majorBidi"/>
          <w:bCs/>
          <w:sz w:val="24"/>
          <w:szCs w:val="24"/>
          <w:lang w:eastAsia="en-US"/>
        </w:rPr>
        <w:t>Such a philosophical outlook matches closely Camus’ own original argument of the Absurd Wo/man accepting the absurd condition of life in contrast to their own desire for meaning, although here Kurzgesagt promotes a decision to create, or to chase, purpose and principles. While metamodern literature engages in a questioning Sisyphean mode, an optimistic nihilism suggests a disregard for the greater ontological questions in a quest for self-defined purpose.</w:t>
      </w:r>
      <w:r w:rsidR="00811F20">
        <w:rPr>
          <w:rStyle w:val="FootnoteReference"/>
          <w:rFonts w:asciiTheme="majorBidi" w:eastAsia="Times New Roman" w:hAnsiTheme="majorBidi" w:cstheme="majorBidi"/>
          <w:bCs/>
          <w:sz w:val="24"/>
          <w:szCs w:val="24"/>
          <w:lang w:eastAsia="en-US"/>
        </w:rPr>
        <w:footnoteReference w:id="446"/>
      </w:r>
      <w:r w:rsidRPr="00505CF0">
        <w:rPr>
          <w:rFonts w:asciiTheme="majorBidi" w:eastAsia="Times New Roman" w:hAnsiTheme="majorBidi" w:cstheme="majorBidi"/>
          <w:bCs/>
          <w:sz w:val="24"/>
          <w:szCs w:val="24"/>
          <w:lang w:eastAsia="en-US"/>
        </w:rPr>
        <w:t xml:space="preserve"> </w:t>
      </w:r>
    </w:p>
    <w:p w14:paraId="00002925" w14:textId="4AF65336" w:rsidR="00C111D3" w:rsidRDefault="00C111D3" w:rsidP="004C3EE0">
      <w:pPr>
        <w:jc w:val="both"/>
        <w:rPr>
          <w:rFonts w:asciiTheme="majorBidi" w:hAnsiTheme="majorBidi" w:cstheme="majorBidi"/>
        </w:rPr>
      </w:pPr>
    </w:p>
    <w:p w14:paraId="66E31336" w14:textId="77777777" w:rsidR="00973D1A" w:rsidRDefault="00973D1A" w:rsidP="004C3EE0">
      <w:pPr>
        <w:jc w:val="both"/>
        <w:rPr>
          <w:rFonts w:asciiTheme="majorBidi" w:hAnsiTheme="majorBidi" w:cstheme="majorBidi"/>
        </w:rPr>
      </w:pPr>
    </w:p>
    <w:p w14:paraId="3064DB3B" w14:textId="77777777" w:rsidR="00973D1A" w:rsidRPr="00505CF0" w:rsidRDefault="00973D1A" w:rsidP="004C3EE0">
      <w:pPr>
        <w:jc w:val="both"/>
        <w:rPr>
          <w:rFonts w:asciiTheme="majorBidi" w:hAnsiTheme="majorBidi" w:cstheme="majorBidi"/>
        </w:rPr>
      </w:pPr>
    </w:p>
    <w:p w14:paraId="213716BB" w14:textId="77777777" w:rsidR="00C111D3" w:rsidRPr="00505CF0" w:rsidRDefault="00C111D3" w:rsidP="004C3EE0">
      <w:pPr>
        <w:keepNext/>
        <w:tabs>
          <w:tab w:val="left" w:pos="720"/>
        </w:tabs>
        <w:spacing w:line="240" w:lineRule="auto"/>
        <w:jc w:val="both"/>
        <w:outlineLvl w:val="0"/>
        <w:rPr>
          <w:rFonts w:asciiTheme="majorBidi" w:eastAsia="Times New Roman" w:hAnsiTheme="majorBidi" w:cstheme="majorBidi"/>
          <w:b/>
          <w:sz w:val="32"/>
          <w:szCs w:val="20"/>
          <w:lang w:eastAsia="en-US"/>
        </w:rPr>
      </w:pPr>
      <w:r w:rsidRPr="00505CF0">
        <w:rPr>
          <w:rFonts w:asciiTheme="majorBidi" w:eastAsia="Times New Roman" w:hAnsiTheme="majorBidi" w:cstheme="majorBidi"/>
          <w:b/>
          <w:sz w:val="32"/>
          <w:szCs w:val="20"/>
          <w:lang w:eastAsia="en-US"/>
        </w:rPr>
        <w:t>4.</w:t>
      </w:r>
      <w:r w:rsidRPr="00505CF0">
        <w:rPr>
          <w:rFonts w:asciiTheme="majorBidi" w:eastAsia="Times New Roman" w:hAnsiTheme="majorBidi" w:cstheme="majorBidi"/>
          <w:b/>
          <w:sz w:val="32"/>
          <w:szCs w:val="20"/>
          <w:lang w:eastAsia="en-US"/>
        </w:rPr>
        <w:tab/>
        <w:t xml:space="preserve">Answering the Charges </w:t>
      </w:r>
    </w:p>
    <w:p w14:paraId="596FD6CE" w14:textId="77777777" w:rsidR="00C111D3" w:rsidRPr="00505CF0" w:rsidRDefault="00C111D3" w:rsidP="004C3EE0">
      <w:pPr>
        <w:jc w:val="both"/>
        <w:rPr>
          <w:rFonts w:asciiTheme="majorBidi" w:hAnsiTheme="majorBidi" w:cstheme="majorBidi"/>
        </w:rPr>
      </w:pPr>
    </w:p>
    <w:p w14:paraId="3290806B" w14:textId="77777777" w:rsidR="00C111D3" w:rsidRPr="00505CF0" w:rsidRDefault="00C111D3" w:rsidP="004C3EE0">
      <w:pPr>
        <w:jc w:val="both"/>
        <w:rPr>
          <w:rFonts w:asciiTheme="majorBidi" w:hAnsiTheme="majorBidi" w:cstheme="majorBidi"/>
        </w:rPr>
      </w:pPr>
    </w:p>
    <w:p w14:paraId="6C9B4BB4" w14:textId="276A3084"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i/>
          <w:iCs/>
          <w:sz w:val="24"/>
          <w:szCs w:val="24"/>
        </w:rPr>
        <w:t>The Post-postmodern Problem</w:t>
      </w:r>
      <w:r w:rsidRPr="00505CF0">
        <w:rPr>
          <w:rFonts w:asciiTheme="majorBidi" w:hAnsiTheme="majorBidi" w:cstheme="majorBidi"/>
          <w:sz w:val="24"/>
          <w:szCs w:val="24"/>
        </w:rPr>
        <w:t xml:space="preserve"> posits a change in society stemming from a dystopian </w:t>
      </w:r>
      <w:r w:rsidR="00600FE2">
        <w:rPr>
          <w:rFonts w:asciiTheme="majorBidi" w:hAnsiTheme="majorBidi" w:cstheme="majorBidi"/>
          <w:sz w:val="24"/>
          <w:szCs w:val="24"/>
        </w:rPr>
        <w:t>resignation</w:t>
      </w:r>
      <w:r w:rsidR="00600FE2"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that causes significant societal shifts, namely a desire for progress though without any significant end-goal, the emergence of the new sincerity, the dominance of a nostalgic drive and, finally, the infantilization of society. Metamodernism perhaps best fits the era as the metamodern signifiers respond directly to this depiction of society, specifically in the ways that the arts respond to the challenges proposed. </w:t>
      </w:r>
    </w:p>
    <w:p w14:paraId="1CB4397F"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A sincere desire to transcend the postmodern is observable in metamodern literature through engagements with the Sisyphean and the positioning of the fantastic, a particular theme that brings to mind Vermeulen and Van den Akker’s description of the contemporary generation as embodying a feeling of dissatisfaction with the promises of the past and the desire for a better future: </w:t>
      </w:r>
    </w:p>
    <w:p w14:paraId="490E6F6A" w14:textId="77777777" w:rsidR="00C111D3" w:rsidRPr="00505CF0" w:rsidRDefault="00C111D3" w:rsidP="004C3EE0">
      <w:pPr>
        <w:spacing w:line="240" w:lineRule="auto"/>
        <w:ind w:left="737" w:right="737"/>
        <w:jc w:val="both"/>
        <w:rPr>
          <w:rFonts w:asciiTheme="majorBidi" w:hAnsiTheme="majorBidi" w:cstheme="majorBidi"/>
          <w:sz w:val="24"/>
          <w:szCs w:val="24"/>
        </w:rPr>
      </w:pPr>
    </w:p>
    <w:p w14:paraId="49D50AC7" w14:textId="77777777" w:rsidR="00C111D3" w:rsidRPr="00505CF0" w:rsidRDefault="00C111D3" w:rsidP="004C3EE0">
      <w:pPr>
        <w:spacing w:line="240" w:lineRule="auto"/>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We could say [...] that nowadays there is, and very much so, a pessimism of the intellect and an optimism of the will. [...] The millennials know too much of today's exploits, inequalities and injustices to take any meaningful decision, let alone position themselves on a convenient subject position, yet they appear - from the political left to the political right - to be united around the </w:t>
      </w:r>
      <w:r w:rsidRPr="00505CF0">
        <w:rPr>
          <w:rFonts w:asciiTheme="majorBidi" w:hAnsiTheme="majorBidi" w:cstheme="majorBidi"/>
          <w:i/>
          <w:iCs/>
          <w:sz w:val="24"/>
          <w:szCs w:val="24"/>
        </w:rPr>
        <w:t>feeling</w:t>
      </w:r>
      <w:r w:rsidRPr="00505CF0">
        <w:rPr>
          <w:rFonts w:asciiTheme="majorBidi" w:hAnsiTheme="majorBidi" w:cstheme="majorBidi"/>
          <w:sz w:val="24"/>
          <w:szCs w:val="24"/>
        </w:rPr>
        <w:t xml:space="preserve"> that today's deal is not the deal they signed up for during the postmodern years (with its promise of the end of conjectures, careless consumerism, and eternal youth).</w:t>
      </w:r>
      <w:r w:rsidRPr="00505CF0">
        <w:rPr>
          <w:rStyle w:val="FootnoteReference"/>
          <w:rFonts w:asciiTheme="majorBidi" w:hAnsiTheme="majorBidi" w:cstheme="majorBidi"/>
          <w:sz w:val="24"/>
          <w:szCs w:val="24"/>
        </w:rPr>
        <w:footnoteReference w:id="447"/>
      </w:r>
    </w:p>
    <w:p w14:paraId="0D0B42E5" w14:textId="77777777" w:rsidR="00C111D3" w:rsidRPr="00505CF0" w:rsidRDefault="00C111D3" w:rsidP="004C3EE0">
      <w:pPr>
        <w:spacing w:line="240" w:lineRule="auto"/>
        <w:ind w:left="737" w:right="737"/>
        <w:jc w:val="both"/>
        <w:rPr>
          <w:rFonts w:asciiTheme="majorBidi" w:hAnsiTheme="majorBidi" w:cstheme="majorBidi"/>
          <w:sz w:val="24"/>
          <w:szCs w:val="24"/>
        </w:rPr>
      </w:pPr>
    </w:p>
    <w:p w14:paraId="0412136D" w14:textId="77777777" w:rsidR="00C111D3" w:rsidRPr="00505CF0" w:rsidRDefault="00C111D3" w:rsidP="004C3EE0">
      <w:pPr>
        <w:spacing w:line="240" w:lineRule="auto"/>
        <w:ind w:left="737" w:right="737"/>
        <w:jc w:val="both"/>
        <w:rPr>
          <w:rFonts w:asciiTheme="majorBidi" w:hAnsiTheme="majorBidi" w:cstheme="majorBidi"/>
          <w:sz w:val="24"/>
          <w:szCs w:val="24"/>
        </w:rPr>
      </w:pPr>
    </w:p>
    <w:p w14:paraId="447FF3F8" w14:textId="0AEBAA22"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Indeed, metamodern literature, according to Vermeulen, directly answers the concept of dystopian </w:t>
      </w:r>
      <w:r w:rsidR="00600FE2">
        <w:rPr>
          <w:rFonts w:asciiTheme="majorBidi" w:hAnsiTheme="majorBidi" w:cstheme="majorBidi"/>
          <w:sz w:val="24"/>
          <w:szCs w:val="24"/>
        </w:rPr>
        <w:t>resignation</w:t>
      </w:r>
      <w:r w:rsidR="00600FE2" w:rsidRPr="00505CF0">
        <w:rPr>
          <w:rFonts w:asciiTheme="majorBidi" w:hAnsiTheme="majorBidi" w:cstheme="majorBidi"/>
          <w:sz w:val="24"/>
          <w:szCs w:val="24"/>
        </w:rPr>
        <w:t xml:space="preserve"> </w:t>
      </w:r>
      <w:r w:rsidRPr="00505CF0">
        <w:rPr>
          <w:rFonts w:asciiTheme="majorBidi" w:hAnsiTheme="majorBidi" w:cstheme="majorBidi"/>
          <w:sz w:val="24"/>
          <w:szCs w:val="24"/>
        </w:rPr>
        <w:t>by creating a ‘(post)modern world of failed utopias, missed chances and cynical deconstruction is represented as a horrendous, terrible place; but a place, still, a lived space of relationships and history, where one can begin to try and live again.’</w:t>
      </w:r>
      <w:r w:rsidRPr="00505CF0">
        <w:rPr>
          <w:rStyle w:val="FootnoteReference"/>
          <w:rFonts w:asciiTheme="majorBidi" w:hAnsiTheme="majorBidi" w:cstheme="majorBidi"/>
          <w:sz w:val="24"/>
          <w:szCs w:val="24"/>
        </w:rPr>
        <w:footnoteReference w:id="448"/>
      </w:r>
      <w:r w:rsidRPr="00505CF0">
        <w:rPr>
          <w:rFonts w:asciiTheme="majorBidi" w:hAnsiTheme="majorBidi" w:cstheme="majorBidi"/>
          <w:sz w:val="24"/>
          <w:szCs w:val="24"/>
        </w:rPr>
        <w:t xml:space="preserve"> The metamodern desire to transcend the postmodern aligns with the contemporary desire to, in some manner, avoid the accepted consequences of current human activity and the inevitable, yet undesired, dystopia to come, resulting in the creation of fictional lived spaces of relationships and history in which one may attempt to ‘live again.’</w:t>
      </w:r>
      <w:r w:rsidR="0066419F">
        <w:rPr>
          <w:rFonts w:asciiTheme="majorBidi" w:hAnsiTheme="majorBidi" w:cstheme="majorBidi"/>
          <w:sz w:val="24"/>
          <w:szCs w:val="24"/>
        </w:rPr>
        <w:t xml:space="preserve"> </w:t>
      </w:r>
      <w:r w:rsidRPr="00505CF0">
        <w:rPr>
          <w:rFonts w:asciiTheme="majorBidi" w:hAnsiTheme="majorBidi" w:cstheme="majorBidi"/>
          <w:sz w:val="24"/>
          <w:szCs w:val="24"/>
        </w:rPr>
        <w:t xml:space="preserve">Metamodernism describes the contemporary desire to move beyond the postmodern while infinitely bound to it, the individual constantly oscillating between belief and scepticism in a manner reflective of not only dystopian </w:t>
      </w:r>
      <w:r w:rsidR="0066419F">
        <w:rPr>
          <w:rFonts w:asciiTheme="majorBidi" w:hAnsiTheme="majorBidi" w:cstheme="majorBidi"/>
          <w:sz w:val="24"/>
          <w:szCs w:val="24"/>
        </w:rPr>
        <w:t>resignation</w:t>
      </w:r>
      <w:r w:rsidRPr="00505CF0">
        <w:rPr>
          <w:rFonts w:asciiTheme="majorBidi" w:hAnsiTheme="majorBidi" w:cstheme="majorBidi"/>
          <w:sz w:val="24"/>
          <w:szCs w:val="24"/>
        </w:rPr>
        <w:t xml:space="preserve">, but for the desire for progress regardless of consequence or destination. </w:t>
      </w:r>
      <w:r w:rsidRPr="00505CF0">
        <w:rPr>
          <w:rFonts w:asciiTheme="majorBidi" w:hAnsiTheme="majorBidi" w:cstheme="majorBidi"/>
          <w:color w:val="000000" w:themeColor="text1"/>
          <w:sz w:val="24"/>
          <w:szCs w:val="24"/>
        </w:rPr>
        <w:t>Nothing is really clear, as the narrator of Beast suggests, but this no longer seems to matter.</w:t>
      </w:r>
    </w:p>
    <w:p w14:paraId="7BBF53D9"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Metamodernism, it hopefully should be clear, is the most likely successor to the problem of the post-postmodern empty throne, a detailed and specific cultural descriptor that fits significantly snugly to the observable reactions against postmodern practice within western society. </w:t>
      </w:r>
    </w:p>
    <w:p w14:paraId="032365B0" w14:textId="77777777" w:rsidR="00DD4FA2" w:rsidRDefault="00DD4FA2" w:rsidP="004C3EE0">
      <w:pPr>
        <w:spacing w:line="240" w:lineRule="auto"/>
        <w:jc w:val="both"/>
        <w:rPr>
          <w:rFonts w:asciiTheme="majorBidi" w:hAnsiTheme="majorBidi" w:cstheme="majorBidi"/>
        </w:rPr>
        <w:sectPr w:rsidR="00DD4FA2" w:rsidSect="00FE7EAF">
          <w:footnotePr>
            <w:numRestart w:val="eachSect"/>
          </w:footnotePr>
          <w:pgSz w:w="11906" w:h="16838"/>
          <w:pgMar w:top="1440" w:right="1440" w:bottom="1440" w:left="1440" w:header="708" w:footer="708" w:gutter="0"/>
          <w:pgNumType w:fmt="numberInDash"/>
          <w:cols w:space="708"/>
          <w:titlePg/>
          <w:docGrid w:linePitch="360"/>
        </w:sectPr>
      </w:pPr>
    </w:p>
    <w:p w14:paraId="7600951A" w14:textId="40151069" w:rsidR="00C111D3" w:rsidRPr="00505CF0" w:rsidRDefault="00C111D3" w:rsidP="004C3EE0">
      <w:pPr>
        <w:spacing w:line="240" w:lineRule="auto"/>
        <w:jc w:val="both"/>
        <w:rPr>
          <w:rFonts w:asciiTheme="majorBidi" w:hAnsiTheme="majorBidi" w:cstheme="majorBidi"/>
        </w:rPr>
      </w:pPr>
      <w:r w:rsidRPr="00505CF0">
        <w:rPr>
          <w:rFonts w:asciiTheme="majorBidi" w:hAnsiTheme="majorBidi" w:cstheme="majorBidi"/>
        </w:rPr>
        <w:br w:type="page"/>
      </w:r>
    </w:p>
    <w:p w14:paraId="1D6DEF2F" w14:textId="77777777" w:rsidR="00C30008" w:rsidRDefault="00C30008" w:rsidP="00C30008">
      <w:pPr>
        <w:spacing w:line="240" w:lineRule="auto"/>
        <w:rPr>
          <w:rFonts w:asciiTheme="majorBidi" w:hAnsiTheme="majorBidi" w:cstheme="majorBidi"/>
          <w:sz w:val="36"/>
          <w:szCs w:val="36"/>
        </w:rPr>
      </w:pPr>
    </w:p>
    <w:p w14:paraId="1D7D8D82" w14:textId="77777777" w:rsidR="00C30008" w:rsidRDefault="00C30008" w:rsidP="00C30008">
      <w:pPr>
        <w:spacing w:line="240" w:lineRule="auto"/>
        <w:rPr>
          <w:rFonts w:asciiTheme="majorBidi" w:hAnsiTheme="majorBidi" w:cstheme="majorBidi"/>
          <w:sz w:val="36"/>
          <w:szCs w:val="36"/>
        </w:rPr>
      </w:pPr>
    </w:p>
    <w:p w14:paraId="74AA66E0" w14:textId="77777777" w:rsidR="00C30008" w:rsidRDefault="00C30008" w:rsidP="00C30008">
      <w:pPr>
        <w:spacing w:line="240" w:lineRule="auto"/>
        <w:rPr>
          <w:rFonts w:asciiTheme="majorBidi" w:hAnsiTheme="majorBidi" w:cstheme="majorBidi"/>
          <w:sz w:val="36"/>
          <w:szCs w:val="36"/>
        </w:rPr>
      </w:pPr>
    </w:p>
    <w:p w14:paraId="4839977C" w14:textId="77777777" w:rsidR="00C30008" w:rsidRDefault="00C30008" w:rsidP="00C30008">
      <w:pPr>
        <w:spacing w:line="240" w:lineRule="auto"/>
        <w:rPr>
          <w:rFonts w:asciiTheme="majorBidi" w:hAnsiTheme="majorBidi" w:cstheme="majorBidi"/>
          <w:sz w:val="36"/>
          <w:szCs w:val="36"/>
        </w:rPr>
      </w:pPr>
    </w:p>
    <w:p w14:paraId="6475507A" w14:textId="77777777" w:rsidR="00C30008" w:rsidRDefault="00C30008" w:rsidP="00C30008">
      <w:pPr>
        <w:spacing w:line="240" w:lineRule="auto"/>
        <w:rPr>
          <w:rFonts w:asciiTheme="majorBidi" w:hAnsiTheme="majorBidi" w:cstheme="majorBidi"/>
          <w:sz w:val="36"/>
          <w:szCs w:val="36"/>
        </w:rPr>
      </w:pPr>
    </w:p>
    <w:p w14:paraId="039D4FC3" w14:textId="77777777" w:rsidR="00C30008" w:rsidRDefault="00C30008" w:rsidP="00C30008">
      <w:pPr>
        <w:spacing w:line="240" w:lineRule="auto"/>
        <w:rPr>
          <w:rFonts w:asciiTheme="majorBidi" w:hAnsiTheme="majorBidi" w:cstheme="majorBidi"/>
          <w:sz w:val="36"/>
          <w:szCs w:val="36"/>
        </w:rPr>
      </w:pPr>
    </w:p>
    <w:p w14:paraId="45098D7C" w14:textId="77777777" w:rsidR="00C30008" w:rsidRDefault="00C30008" w:rsidP="00C30008">
      <w:pPr>
        <w:spacing w:line="240" w:lineRule="auto"/>
        <w:rPr>
          <w:rFonts w:asciiTheme="majorBidi" w:hAnsiTheme="majorBidi" w:cstheme="majorBidi"/>
          <w:sz w:val="36"/>
          <w:szCs w:val="36"/>
        </w:rPr>
      </w:pPr>
    </w:p>
    <w:p w14:paraId="1A8596E1" w14:textId="77777777" w:rsidR="00C30008" w:rsidRDefault="00C30008" w:rsidP="00C30008">
      <w:pPr>
        <w:spacing w:line="240" w:lineRule="auto"/>
        <w:rPr>
          <w:rFonts w:asciiTheme="majorBidi" w:hAnsiTheme="majorBidi" w:cstheme="majorBidi"/>
          <w:sz w:val="36"/>
          <w:szCs w:val="36"/>
        </w:rPr>
      </w:pPr>
    </w:p>
    <w:p w14:paraId="11F9FE7F" w14:textId="77777777" w:rsidR="00C30008" w:rsidRDefault="00C30008" w:rsidP="00C30008">
      <w:pPr>
        <w:spacing w:line="240" w:lineRule="auto"/>
        <w:rPr>
          <w:rFonts w:asciiTheme="majorBidi" w:hAnsiTheme="majorBidi" w:cstheme="majorBidi"/>
          <w:sz w:val="36"/>
          <w:szCs w:val="36"/>
        </w:rPr>
      </w:pPr>
    </w:p>
    <w:p w14:paraId="3EA50FED" w14:textId="77777777" w:rsidR="00C30008" w:rsidRDefault="00C30008" w:rsidP="00C30008">
      <w:pPr>
        <w:spacing w:line="240" w:lineRule="auto"/>
        <w:rPr>
          <w:rFonts w:asciiTheme="majorBidi" w:hAnsiTheme="majorBidi" w:cstheme="majorBidi"/>
          <w:sz w:val="36"/>
          <w:szCs w:val="36"/>
        </w:rPr>
      </w:pPr>
    </w:p>
    <w:p w14:paraId="5D60BD01" w14:textId="77777777" w:rsidR="00C30008" w:rsidRDefault="00C30008" w:rsidP="00C30008">
      <w:pPr>
        <w:spacing w:line="240" w:lineRule="auto"/>
        <w:rPr>
          <w:rFonts w:asciiTheme="majorBidi" w:hAnsiTheme="majorBidi" w:cstheme="majorBidi"/>
          <w:sz w:val="36"/>
          <w:szCs w:val="36"/>
        </w:rPr>
      </w:pPr>
    </w:p>
    <w:p w14:paraId="633FBB42" w14:textId="77777777" w:rsidR="00C30008" w:rsidRDefault="00C30008" w:rsidP="00C30008">
      <w:pPr>
        <w:spacing w:line="240" w:lineRule="auto"/>
        <w:rPr>
          <w:rFonts w:asciiTheme="majorBidi" w:hAnsiTheme="majorBidi" w:cstheme="majorBidi"/>
          <w:sz w:val="36"/>
          <w:szCs w:val="36"/>
        </w:rPr>
      </w:pPr>
    </w:p>
    <w:p w14:paraId="1EFFC266" w14:textId="77777777" w:rsidR="00C30008" w:rsidRDefault="00C30008" w:rsidP="00C30008">
      <w:pPr>
        <w:spacing w:line="240" w:lineRule="auto"/>
        <w:rPr>
          <w:rFonts w:asciiTheme="majorBidi" w:hAnsiTheme="majorBidi" w:cstheme="majorBidi"/>
          <w:sz w:val="36"/>
          <w:szCs w:val="36"/>
        </w:rPr>
      </w:pPr>
    </w:p>
    <w:p w14:paraId="54D17A5A" w14:textId="77777777" w:rsidR="00C30008" w:rsidRDefault="00C30008" w:rsidP="00C30008">
      <w:pPr>
        <w:spacing w:line="240" w:lineRule="auto"/>
        <w:rPr>
          <w:rFonts w:asciiTheme="majorBidi" w:hAnsiTheme="majorBidi" w:cstheme="majorBidi"/>
          <w:sz w:val="36"/>
          <w:szCs w:val="36"/>
        </w:rPr>
      </w:pPr>
    </w:p>
    <w:p w14:paraId="034FAA7D" w14:textId="77777777" w:rsidR="00C30008" w:rsidRDefault="00C30008" w:rsidP="00C30008">
      <w:pPr>
        <w:spacing w:line="240" w:lineRule="auto"/>
        <w:rPr>
          <w:rFonts w:asciiTheme="majorBidi" w:hAnsiTheme="majorBidi" w:cstheme="majorBidi"/>
          <w:sz w:val="36"/>
          <w:szCs w:val="36"/>
        </w:rPr>
      </w:pPr>
    </w:p>
    <w:p w14:paraId="224C1E15" w14:textId="77777777" w:rsidR="00C30008" w:rsidRDefault="00C30008" w:rsidP="00C30008">
      <w:pPr>
        <w:spacing w:line="240" w:lineRule="auto"/>
        <w:rPr>
          <w:rFonts w:asciiTheme="majorBidi" w:hAnsiTheme="majorBidi" w:cstheme="majorBidi"/>
          <w:sz w:val="36"/>
          <w:szCs w:val="36"/>
        </w:rPr>
      </w:pPr>
    </w:p>
    <w:p w14:paraId="5D2AC699" w14:textId="77777777" w:rsidR="00C30008" w:rsidRDefault="00C30008" w:rsidP="00C30008">
      <w:pPr>
        <w:spacing w:line="240" w:lineRule="auto"/>
        <w:rPr>
          <w:rFonts w:asciiTheme="majorBidi" w:hAnsiTheme="majorBidi" w:cstheme="majorBidi"/>
          <w:sz w:val="36"/>
          <w:szCs w:val="36"/>
        </w:rPr>
      </w:pPr>
    </w:p>
    <w:p w14:paraId="4D11CA8D" w14:textId="77777777" w:rsidR="00C30008" w:rsidRDefault="00C30008" w:rsidP="00C30008">
      <w:pPr>
        <w:spacing w:line="240" w:lineRule="auto"/>
        <w:rPr>
          <w:rFonts w:asciiTheme="majorBidi" w:hAnsiTheme="majorBidi" w:cstheme="majorBidi"/>
          <w:sz w:val="36"/>
          <w:szCs w:val="36"/>
        </w:rPr>
      </w:pPr>
    </w:p>
    <w:p w14:paraId="3E945D70" w14:textId="77777777" w:rsidR="00C30008" w:rsidRDefault="00C30008" w:rsidP="00C30008">
      <w:pPr>
        <w:spacing w:line="240" w:lineRule="auto"/>
        <w:rPr>
          <w:rFonts w:asciiTheme="majorBidi" w:hAnsiTheme="majorBidi" w:cstheme="majorBidi"/>
          <w:sz w:val="36"/>
          <w:szCs w:val="36"/>
        </w:rPr>
      </w:pPr>
    </w:p>
    <w:p w14:paraId="5CD15FD6" w14:textId="77777777" w:rsidR="00C30008" w:rsidRDefault="00C30008" w:rsidP="00C30008">
      <w:pPr>
        <w:spacing w:line="240" w:lineRule="auto"/>
        <w:rPr>
          <w:rFonts w:asciiTheme="majorBidi" w:hAnsiTheme="majorBidi" w:cstheme="majorBidi"/>
          <w:sz w:val="36"/>
          <w:szCs w:val="36"/>
        </w:rPr>
      </w:pPr>
    </w:p>
    <w:p w14:paraId="67567FE3" w14:textId="77777777" w:rsidR="00C30008" w:rsidRDefault="00C30008" w:rsidP="00C30008">
      <w:pPr>
        <w:spacing w:line="240" w:lineRule="auto"/>
        <w:rPr>
          <w:rFonts w:asciiTheme="majorBidi" w:hAnsiTheme="majorBidi" w:cstheme="majorBidi"/>
          <w:sz w:val="36"/>
          <w:szCs w:val="36"/>
        </w:rPr>
      </w:pPr>
    </w:p>
    <w:p w14:paraId="7C751DEC" w14:textId="77777777" w:rsidR="00C30008" w:rsidRDefault="00C30008" w:rsidP="00C30008">
      <w:pPr>
        <w:spacing w:line="240" w:lineRule="auto"/>
        <w:rPr>
          <w:rFonts w:asciiTheme="majorBidi" w:hAnsiTheme="majorBidi" w:cstheme="majorBidi"/>
          <w:sz w:val="36"/>
          <w:szCs w:val="36"/>
        </w:rPr>
      </w:pPr>
    </w:p>
    <w:p w14:paraId="634ACAC2" w14:textId="77777777" w:rsidR="00C30008" w:rsidRDefault="00C30008" w:rsidP="00C30008">
      <w:pPr>
        <w:spacing w:line="240" w:lineRule="auto"/>
        <w:rPr>
          <w:rFonts w:asciiTheme="majorBidi" w:hAnsiTheme="majorBidi" w:cstheme="majorBidi"/>
          <w:sz w:val="36"/>
          <w:szCs w:val="36"/>
        </w:rPr>
      </w:pPr>
    </w:p>
    <w:p w14:paraId="3409ED9B" w14:textId="77777777" w:rsidR="00C30008" w:rsidRDefault="00C30008" w:rsidP="00C30008">
      <w:pPr>
        <w:spacing w:line="240" w:lineRule="auto"/>
        <w:rPr>
          <w:rFonts w:asciiTheme="majorBidi" w:hAnsiTheme="majorBidi" w:cstheme="majorBidi"/>
          <w:sz w:val="36"/>
          <w:szCs w:val="36"/>
        </w:rPr>
      </w:pPr>
    </w:p>
    <w:p w14:paraId="7BED2B59" w14:textId="77777777" w:rsidR="00C30008" w:rsidRDefault="00C30008" w:rsidP="00C30008">
      <w:pPr>
        <w:spacing w:line="240" w:lineRule="auto"/>
        <w:rPr>
          <w:rFonts w:asciiTheme="majorBidi" w:hAnsiTheme="majorBidi" w:cstheme="majorBidi"/>
          <w:sz w:val="36"/>
          <w:szCs w:val="36"/>
        </w:rPr>
      </w:pPr>
    </w:p>
    <w:p w14:paraId="54A4DF94" w14:textId="77777777" w:rsidR="00C30008" w:rsidRDefault="00C30008" w:rsidP="00C30008">
      <w:pPr>
        <w:spacing w:line="240" w:lineRule="auto"/>
        <w:rPr>
          <w:rFonts w:asciiTheme="majorBidi" w:hAnsiTheme="majorBidi" w:cstheme="majorBidi"/>
          <w:sz w:val="36"/>
          <w:szCs w:val="36"/>
        </w:rPr>
      </w:pPr>
    </w:p>
    <w:p w14:paraId="54222055" w14:textId="77777777" w:rsidR="00C30008" w:rsidRDefault="00C30008" w:rsidP="00C30008">
      <w:pPr>
        <w:spacing w:line="240" w:lineRule="auto"/>
        <w:rPr>
          <w:rFonts w:asciiTheme="majorBidi" w:hAnsiTheme="majorBidi" w:cstheme="majorBidi"/>
          <w:sz w:val="36"/>
          <w:szCs w:val="36"/>
        </w:rPr>
      </w:pPr>
    </w:p>
    <w:p w14:paraId="3C3F487A" w14:textId="77777777" w:rsidR="00C30008" w:rsidRDefault="00C30008" w:rsidP="00C30008">
      <w:pPr>
        <w:spacing w:line="240" w:lineRule="auto"/>
        <w:rPr>
          <w:rFonts w:asciiTheme="majorBidi" w:hAnsiTheme="majorBidi" w:cstheme="majorBidi"/>
          <w:sz w:val="36"/>
          <w:szCs w:val="36"/>
        </w:rPr>
      </w:pPr>
    </w:p>
    <w:p w14:paraId="62CC43DD" w14:textId="77777777" w:rsidR="00C30008" w:rsidRDefault="00C30008" w:rsidP="00C30008">
      <w:pPr>
        <w:spacing w:line="240" w:lineRule="auto"/>
        <w:rPr>
          <w:rFonts w:asciiTheme="majorBidi" w:hAnsiTheme="majorBidi" w:cstheme="majorBidi"/>
          <w:sz w:val="36"/>
          <w:szCs w:val="36"/>
        </w:rPr>
      </w:pPr>
    </w:p>
    <w:p w14:paraId="5154636E" w14:textId="77777777" w:rsidR="00C30008" w:rsidRDefault="00C30008" w:rsidP="00C30008">
      <w:pPr>
        <w:spacing w:line="240" w:lineRule="auto"/>
        <w:rPr>
          <w:rFonts w:asciiTheme="majorBidi" w:hAnsiTheme="majorBidi" w:cstheme="majorBidi"/>
          <w:sz w:val="36"/>
          <w:szCs w:val="36"/>
        </w:rPr>
      </w:pPr>
    </w:p>
    <w:p w14:paraId="2D774D40" w14:textId="77777777" w:rsidR="00C30008" w:rsidRDefault="00C30008" w:rsidP="00C30008">
      <w:pPr>
        <w:spacing w:line="240" w:lineRule="auto"/>
        <w:rPr>
          <w:rFonts w:asciiTheme="majorBidi" w:hAnsiTheme="majorBidi" w:cstheme="majorBidi"/>
          <w:sz w:val="36"/>
          <w:szCs w:val="36"/>
        </w:rPr>
      </w:pPr>
    </w:p>
    <w:p w14:paraId="54DB655E" w14:textId="77777777" w:rsidR="00C30008" w:rsidRDefault="00C30008" w:rsidP="00C30008">
      <w:pPr>
        <w:spacing w:line="240" w:lineRule="auto"/>
        <w:rPr>
          <w:rFonts w:asciiTheme="majorBidi" w:hAnsiTheme="majorBidi" w:cstheme="majorBidi"/>
          <w:sz w:val="36"/>
          <w:szCs w:val="36"/>
        </w:rPr>
      </w:pPr>
    </w:p>
    <w:p w14:paraId="7FCCAE2C" w14:textId="77777777" w:rsidR="00C30008" w:rsidRDefault="00C30008" w:rsidP="00C30008">
      <w:pPr>
        <w:spacing w:line="240" w:lineRule="auto"/>
        <w:rPr>
          <w:rFonts w:asciiTheme="majorBidi" w:hAnsiTheme="majorBidi" w:cstheme="majorBidi"/>
          <w:sz w:val="36"/>
          <w:szCs w:val="36"/>
        </w:rPr>
      </w:pPr>
    </w:p>
    <w:p w14:paraId="6A42C4D2" w14:textId="2FDD9931" w:rsidR="00C30008" w:rsidRPr="00C30008" w:rsidRDefault="00C30008" w:rsidP="00C30008">
      <w:pPr>
        <w:spacing w:line="240" w:lineRule="auto"/>
        <w:jc w:val="center"/>
        <w:rPr>
          <w:rFonts w:asciiTheme="majorBidi" w:hAnsiTheme="majorBidi" w:cstheme="majorBidi"/>
          <w:i/>
          <w:iCs/>
          <w:sz w:val="24"/>
          <w:szCs w:val="24"/>
        </w:rPr>
      </w:pPr>
      <w:r w:rsidRPr="00C30008">
        <w:rPr>
          <w:rFonts w:asciiTheme="majorBidi" w:hAnsiTheme="majorBidi" w:cstheme="majorBidi"/>
          <w:i/>
          <w:iCs/>
          <w:sz w:val="24"/>
          <w:szCs w:val="24"/>
        </w:rPr>
        <w:t>(This page left intentionally blank)</w:t>
      </w:r>
    </w:p>
    <w:p w14:paraId="19AE57A1" w14:textId="77777777" w:rsidR="00C30008" w:rsidRDefault="00C30008">
      <w:pPr>
        <w:spacing w:line="240" w:lineRule="auto"/>
        <w:rPr>
          <w:rFonts w:asciiTheme="majorBidi" w:hAnsiTheme="majorBidi" w:cstheme="majorBidi"/>
          <w:sz w:val="36"/>
          <w:szCs w:val="36"/>
        </w:rPr>
      </w:pPr>
      <w:r>
        <w:rPr>
          <w:rFonts w:asciiTheme="majorBidi" w:hAnsiTheme="majorBidi" w:cstheme="majorBidi"/>
          <w:sz w:val="36"/>
          <w:szCs w:val="36"/>
        </w:rPr>
        <w:br w:type="page"/>
      </w:r>
    </w:p>
    <w:p w14:paraId="230BDD4A" w14:textId="1CE2ACBD" w:rsidR="009F32A6" w:rsidRPr="00505CF0" w:rsidRDefault="009F32A6" w:rsidP="00B9022C">
      <w:pPr>
        <w:spacing w:line="240" w:lineRule="auto"/>
        <w:jc w:val="center"/>
        <w:rPr>
          <w:rFonts w:asciiTheme="majorBidi" w:hAnsiTheme="majorBidi" w:cstheme="majorBidi"/>
          <w:sz w:val="36"/>
          <w:szCs w:val="36"/>
        </w:rPr>
      </w:pPr>
      <w:r w:rsidRPr="009F32A6">
        <w:rPr>
          <w:rFonts w:asciiTheme="majorBidi" w:hAnsiTheme="majorBidi" w:cstheme="majorBidi"/>
          <w:sz w:val="44"/>
          <w:szCs w:val="36"/>
        </w:rPr>
        <w:t>C</w:t>
      </w:r>
      <w:r w:rsidRPr="009F32A6">
        <w:rPr>
          <w:rFonts w:asciiTheme="majorBidi" w:hAnsiTheme="majorBidi" w:cstheme="majorBidi"/>
          <w:sz w:val="32"/>
          <w:szCs w:val="36"/>
        </w:rPr>
        <w:t>HAPTER</w:t>
      </w:r>
      <w:r>
        <w:rPr>
          <w:rFonts w:asciiTheme="majorBidi" w:hAnsiTheme="majorBidi" w:cstheme="majorBidi"/>
          <w:sz w:val="36"/>
          <w:szCs w:val="36"/>
        </w:rPr>
        <w:t xml:space="preserve"> </w:t>
      </w:r>
      <w:r w:rsidRPr="009F32A6">
        <w:rPr>
          <w:rFonts w:asciiTheme="majorBidi" w:hAnsiTheme="majorBidi" w:cstheme="majorBidi"/>
          <w:sz w:val="44"/>
          <w:szCs w:val="36"/>
        </w:rPr>
        <w:t>III</w:t>
      </w:r>
      <w:r>
        <w:rPr>
          <w:rFonts w:asciiTheme="majorBidi" w:hAnsiTheme="majorBidi" w:cstheme="majorBidi"/>
          <w:sz w:val="36"/>
          <w:szCs w:val="36"/>
        </w:rPr>
        <w:t xml:space="preserve"> </w:t>
      </w:r>
      <w:r>
        <w:rPr>
          <w:rFonts w:asciiTheme="majorBidi" w:eastAsia="Times New Roman" w:hAnsiTheme="majorBidi" w:cstheme="majorBidi"/>
          <w:sz w:val="44"/>
          <w:szCs w:val="36"/>
          <w:lang w:eastAsia="en-US"/>
        </w:rPr>
        <w:t>–</w:t>
      </w:r>
      <w:r>
        <w:rPr>
          <w:rFonts w:asciiTheme="majorBidi" w:hAnsiTheme="majorBidi" w:cstheme="majorBidi"/>
          <w:sz w:val="36"/>
          <w:szCs w:val="36"/>
        </w:rPr>
        <w:t xml:space="preserve"> </w:t>
      </w:r>
      <w:r w:rsidRPr="009F32A6">
        <w:rPr>
          <w:rFonts w:asciiTheme="majorBidi" w:hAnsiTheme="majorBidi" w:cstheme="majorBidi"/>
          <w:sz w:val="44"/>
          <w:szCs w:val="36"/>
        </w:rPr>
        <w:t>S</w:t>
      </w:r>
      <w:r w:rsidRPr="009F32A6">
        <w:rPr>
          <w:rFonts w:asciiTheme="majorBidi" w:hAnsiTheme="majorBidi" w:cstheme="majorBidi"/>
          <w:sz w:val="32"/>
          <w:szCs w:val="36"/>
        </w:rPr>
        <w:t>OUTHWARD</w:t>
      </w:r>
      <w:r>
        <w:rPr>
          <w:rFonts w:asciiTheme="majorBidi" w:hAnsiTheme="majorBidi" w:cstheme="majorBidi"/>
          <w:sz w:val="36"/>
          <w:szCs w:val="36"/>
        </w:rPr>
        <w:t xml:space="preserve"> </w:t>
      </w:r>
      <w:r w:rsidRPr="009F32A6">
        <w:rPr>
          <w:rFonts w:asciiTheme="majorBidi" w:hAnsiTheme="majorBidi" w:cstheme="majorBidi"/>
          <w:sz w:val="44"/>
          <w:szCs w:val="36"/>
        </w:rPr>
        <w:t>V</w:t>
      </w:r>
      <w:r w:rsidRPr="009F32A6">
        <w:rPr>
          <w:rFonts w:asciiTheme="majorBidi" w:hAnsiTheme="majorBidi" w:cstheme="majorBidi"/>
          <w:sz w:val="32"/>
          <w:szCs w:val="36"/>
        </w:rPr>
        <w:t>S</w:t>
      </w:r>
      <w:r>
        <w:rPr>
          <w:rFonts w:asciiTheme="majorBidi" w:hAnsiTheme="majorBidi" w:cstheme="majorBidi"/>
          <w:sz w:val="36"/>
          <w:szCs w:val="36"/>
        </w:rPr>
        <w:t xml:space="preserve"> </w:t>
      </w:r>
      <w:r w:rsidRPr="009F32A6">
        <w:rPr>
          <w:rFonts w:asciiTheme="majorBidi" w:hAnsiTheme="majorBidi" w:cstheme="majorBidi"/>
          <w:sz w:val="44"/>
          <w:szCs w:val="36"/>
        </w:rPr>
        <w:t>S</w:t>
      </w:r>
      <w:r w:rsidRPr="009F32A6">
        <w:rPr>
          <w:rFonts w:asciiTheme="majorBidi" w:hAnsiTheme="majorBidi" w:cstheme="majorBidi"/>
          <w:sz w:val="32"/>
          <w:szCs w:val="36"/>
        </w:rPr>
        <w:t>UBLIMITY</w:t>
      </w:r>
    </w:p>
    <w:p w14:paraId="6B0B6968" w14:textId="33980107" w:rsidR="004D2143" w:rsidRDefault="004D2143" w:rsidP="004C3EE0">
      <w:pPr>
        <w:spacing w:line="480" w:lineRule="auto"/>
        <w:jc w:val="both"/>
        <w:rPr>
          <w:rFonts w:asciiTheme="majorBidi" w:hAnsiTheme="majorBidi" w:cstheme="majorBidi"/>
          <w:sz w:val="36"/>
          <w:szCs w:val="36"/>
        </w:rPr>
      </w:pPr>
    </w:p>
    <w:p w14:paraId="28228B21" w14:textId="77777777" w:rsidR="00C15618" w:rsidRDefault="00C15618" w:rsidP="004C3EE0">
      <w:pPr>
        <w:spacing w:line="480" w:lineRule="auto"/>
        <w:jc w:val="both"/>
        <w:rPr>
          <w:rFonts w:asciiTheme="majorBidi" w:hAnsiTheme="majorBidi" w:cstheme="majorBidi"/>
          <w:sz w:val="36"/>
          <w:szCs w:val="36"/>
        </w:rPr>
      </w:pPr>
    </w:p>
    <w:p w14:paraId="50403BD7" w14:textId="77777777" w:rsidR="00C15618" w:rsidRDefault="00C15618" w:rsidP="004C3EE0">
      <w:pPr>
        <w:spacing w:line="480" w:lineRule="auto"/>
        <w:jc w:val="both"/>
        <w:rPr>
          <w:rFonts w:asciiTheme="majorBidi" w:hAnsiTheme="majorBidi" w:cstheme="majorBidi"/>
          <w:sz w:val="36"/>
          <w:szCs w:val="36"/>
        </w:rPr>
      </w:pPr>
    </w:p>
    <w:p w14:paraId="4B44928D" w14:textId="77777777" w:rsidR="00C15618" w:rsidRPr="00505CF0" w:rsidRDefault="00C15618" w:rsidP="004C3EE0">
      <w:pPr>
        <w:spacing w:line="480" w:lineRule="auto"/>
        <w:jc w:val="both"/>
        <w:rPr>
          <w:rFonts w:asciiTheme="majorBidi" w:hAnsiTheme="majorBidi" w:cstheme="majorBidi"/>
          <w:sz w:val="36"/>
          <w:szCs w:val="36"/>
        </w:rPr>
      </w:pPr>
    </w:p>
    <w:p w14:paraId="64A24DB3" w14:textId="77777777" w:rsidR="000231AC" w:rsidRDefault="000231AC" w:rsidP="00C30008">
      <w:pPr>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An interesting essay, this. Here, Southward displays a hitherto unrecognised appreciation for the now defunct Gothic mode, examining several contemporary examples of the genre in an effort to reconcile their efforts with the parameters established of the metamodern in his previous essay.</w:t>
      </w:r>
    </w:p>
    <w:p w14:paraId="7C06A6AA" w14:textId="65F2E8E7" w:rsidR="004D2143" w:rsidRDefault="000231AC" w:rsidP="00C30008">
      <w:pPr>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Southward focus</w:t>
      </w:r>
      <w:r w:rsidR="0066419F">
        <w:rPr>
          <w:rFonts w:asciiTheme="majorBidi" w:hAnsiTheme="majorBidi" w:cstheme="majorBidi"/>
          <w:bCs/>
          <w:sz w:val="24"/>
          <w:szCs w:val="24"/>
        </w:rPr>
        <w:t>es</w:t>
      </w:r>
      <w:r>
        <w:rPr>
          <w:rFonts w:asciiTheme="majorBidi" w:hAnsiTheme="majorBidi" w:cstheme="majorBidi"/>
          <w:bCs/>
          <w:sz w:val="24"/>
          <w:szCs w:val="24"/>
        </w:rPr>
        <w:t xml:space="preserve"> in particular on the ways in which the genre and cultural paradigm align, making a particularly prescient connection between the specific representation of a past long wished dead, but which returns to haunt the present as a central metaphor of both the metamodern and Gothic. Southward, too, focuses here on the idea of transcendence in contemporary Gothic novels and the way in which this is often employed as a metaphorical site for exploring the movement beyond the postmodern. Of course, Southward</w:t>
      </w:r>
      <w:r w:rsidR="00F640B6">
        <w:rPr>
          <w:rFonts w:asciiTheme="majorBidi" w:hAnsiTheme="majorBidi" w:cstheme="majorBidi"/>
          <w:bCs/>
          <w:sz w:val="24"/>
          <w:szCs w:val="24"/>
        </w:rPr>
        <w:t>ian</w:t>
      </w:r>
      <w:r>
        <w:rPr>
          <w:rFonts w:asciiTheme="majorBidi" w:hAnsiTheme="majorBidi" w:cstheme="majorBidi"/>
          <w:bCs/>
          <w:sz w:val="24"/>
          <w:szCs w:val="24"/>
        </w:rPr>
        <w:t xml:space="preserve"> scholars will be greatly interested here in Southward’s discussion of the Sublime, given the recent Southwardian Sublime as proposed by Frack and Tobad, in which a feeling of the sublime has become a constant emotional state of humanity in the face of the untold horrors of the past century. </w:t>
      </w:r>
      <w:r w:rsidR="00C15618">
        <w:rPr>
          <w:rFonts w:asciiTheme="majorBidi" w:hAnsiTheme="majorBidi" w:cstheme="majorBidi"/>
          <w:bCs/>
          <w:sz w:val="24"/>
          <w:szCs w:val="24"/>
        </w:rPr>
        <w:t>Southward once more finds room for a discussion of sincerity, though here with somewhat less confidence given the less-than positive reception to both his literary and creative works at this point in his history; a certain bitterness threads itself through this essay, a warning sign those past scholars failed to recognise, much to our chagrin.</w:t>
      </w:r>
    </w:p>
    <w:p w14:paraId="7BB4F336" w14:textId="0F7A2C9A" w:rsidR="00C30008" w:rsidRPr="000231AC" w:rsidRDefault="00D35560" w:rsidP="00D35560">
      <w:pPr>
        <w:spacing w:line="480" w:lineRule="auto"/>
        <w:jc w:val="right"/>
        <w:rPr>
          <w:rFonts w:asciiTheme="majorBidi" w:hAnsiTheme="majorBidi" w:cstheme="majorBidi"/>
          <w:bCs/>
          <w:sz w:val="24"/>
          <w:szCs w:val="24"/>
        </w:rPr>
      </w:pPr>
      <w:r w:rsidRPr="00505CF0">
        <w:rPr>
          <w:rFonts w:asciiTheme="majorBidi" w:eastAsia="Times New Roman" w:hAnsiTheme="majorBidi" w:cstheme="majorBidi"/>
          <w:sz w:val="32"/>
          <w:szCs w:val="32"/>
          <w:lang w:eastAsia="en-US"/>
        </w:rPr>
        <w:t>A</w:t>
      </w:r>
      <w:r w:rsidRPr="00505CF0">
        <w:rPr>
          <w:rFonts w:asciiTheme="majorBidi" w:eastAsia="Times New Roman" w:hAnsiTheme="majorBidi" w:cstheme="majorBidi"/>
          <w:sz w:val="24"/>
          <w:szCs w:val="24"/>
          <w:lang w:eastAsia="en-US"/>
        </w:rPr>
        <w:t>RCOT</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C.</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O</w:t>
      </w:r>
      <w:r w:rsidRPr="00505CF0">
        <w:rPr>
          <w:rFonts w:asciiTheme="majorBidi" w:eastAsia="Times New Roman" w:hAnsiTheme="majorBidi" w:cstheme="majorBidi"/>
          <w:sz w:val="24"/>
          <w:szCs w:val="24"/>
          <w:lang w:eastAsia="en-US"/>
        </w:rPr>
        <w:t>SBEORN</w:t>
      </w:r>
    </w:p>
    <w:p w14:paraId="74B84FFA" w14:textId="77777777" w:rsidR="00C30008" w:rsidRDefault="00C30008">
      <w:pPr>
        <w:spacing w:line="240" w:lineRule="auto"/>
        <w:rPr>
          <w:rFonts w:asciiTheme="majorBidi" w:hAnsiTheme="majorBidi" w:cstheme="majorBidi"/>
          <w:b/>
          <w:sz w:val="32"/>
          <w:szCs w:val="32"/>
          <w:u w:val="single"/>
        </w:rPr>
      </w:pPr>
      <w:r>
        <w:rPr>
          <w:rFonts w:asciiTheme="majorBidi" w:hAnsiTheme="majorBidi" w:cstheme="majorBidi"/>
          <w:b/>
          <w:sz w:val="32"/>
          <w:szCs w:val="32"/>
          <w:u w:val="single"/>
        </w:rPr>
        <w:br w:type="page"/>
      </w:r>
    </w:p>
    <w:p w14:paraId="2A8BEA79" w14:textId="77777777" w:rsidR="009F32A6" w:rsidRDefault="00E37E3E" w:rsidP="00E37E3E">
      <w:pPr>
        <w:spacing w:line="240" w:lineRule="auto"/>
        <w:jc w:val="center"/>
        <w:rPr>
          <w:rFonts w:asciiTheme="majorBidi" w:hAnsiTheme="majorBidi" w:cstheme="majorBidi"/>
          <w:b/>
          <w:sz w:val="32"/>
          <w:szCs w:val="32"/>
        </w:rPr>
      </w:pPr>
      <w:r w:rsidRPr="00E37E3E">
        <w:rPr>
          <w:rFonts w:asciiTheme="majorBidi" w:hAnsiTheme="majorBidi" w:cstheme="majorBidi"/>
          <w:b/>
          <w:sz w:val="36"/>
          <w:szCs w:val="36"/>
        </w:rPr>
        <w:t>21</w:t>
      </w:r>
      <w:r w:rsidRPr="00E37E3E">
        <w:rPr>
          <w:rFonts w:asciiTheme="majorBidi" w:hAnsiTheme="majorBidi" w:cstheme="majorBidi"/>
          <w:b/>
          <w:sz w:val="32"/>
          <w:szCs w:val="32"/>
          <w:vertAlign w:val="superscript"/>
        </w:rPr>
        <w:t>ST</w:t>
      </w:r>
      <w:r w:rsidRPr="00E37E3E">
        <w:rPr>
          <w:rFonts w:asciiTheme="majorBidi" w:hAnsiTheme="majorBidi" w:cstheme="majorBidi"/>
          <w:b/>
          <w:sz w:val="32"/>
          <w:szCs w:val="32"/>
        </w:rPr>
        <w:t xml:space="preserve"> </w:t>
      </w:r>
      <w:r w:rsidRPr="00E37E3E">
        <w:rPr>
          <w:rFonts w:asciiTheme="majorBidi" w:hAnsiTheme="majorBidi" w:cstheme="majorBidi"/>
          <w:b/>
          <w:sz w:val="36"/>
          <w:szCs w:val="36"/>
        </w:rPr>
        <w:t>C</w:t>
      </w:r>
      <w:r w:rsidRPr="00E37E3E">
        <w:rPr>
          <w:rFonts w:asciiTheme="majorBidi" w:hAnsiTheme="majorBidi" w:cstheme="majorBidi"/>
          <w:b/>
          <w:sz w:val="28"/>
          <w:szCs w:val="28"/>
        </w:rPr>
        <w:t>ENTURY</w:t>
      </w:r>
      <w:r w:rsidRPr="00E37E3E">
        <w:rPr>
          <w:rFonts w:asciiTheme="majorBidi" w:hAnsiTheme="majorBidi" w:cstheme="majorBidi"/>
          <w:b/>
          <w:sz w:val="32"/>
          <w:szCs w:val="32"/>
        </w:rPr>
        <w:t xml:space="preserve"> </w:t>
      </w:r>
      <w:r w:rsidRPr="00E37E3E">
        <w:rPr>
          <w:rFonts w:asciiTheme="majorBidi" w:hAnsiTheme="majorBidi" w:cstheme="majorBidi"/>
          <w:b/>
          <w:sz w:val="36"/>
          <w:szCs w:val="36"/>
        </w:rPr>
        <w:t>G</w:t>
      </w:r>
      <w:r w:rsidRPr="00E37E3E">
        <w:rPr>
          <w:rFonts w:asciiTheme="majorBidi" w:hAnsiTheme="majorBidi" w:cstheme="majorBidi"/>
          <w:b/>
          <w:sz w:val="28"/>
          <w:szCs w:val="28"/>
        </w:rPr>
        <w:t>OTHIC;</w:t>
      </w:r>
      <w:r w:rsidRPr="00E37E3E">
        <w:rPr>
          <w:rFonts w:asciiTheme="majorBidi" w:hAnsiTheme="majorBidi" w:cstheme="majorBidi"/>
          <w:b/>
          <w:sz w:val="32"/>
          <w:szCs w:val="32"/>
        </w:rPr>
        <w:t xml:space="preserve"> </w:t>
      </w:r>
      <w:r w:rsidRPr="00E37E3E">
        <w:rPr>
          <w:rFonts w:asciiTheme="majorBidi" w:hAnsiTheme="majorBidi" w:cstheme="majorBidi"/>
          <w:b/>
          <w:sz w:val="36"/>
          <w:szCs w:val="36"/>
        </w:rPr>
        <w:t>T</w:t>
      </w:r>
      <w:r w:rsidRPr="00E37E3E">
        <w:rPr>
          <w:rFonts w:asciiTheme="majorBidi" w:hAnsiTheme="majorBidi" w:cstheme="majorBidi"/>
          <w:b/>
          <w:sz w:val="28"/>
          <w:szCs w:val="28"/>
        </w:rPr>
        <w:t>RANSCENDENCE</w:t>
      </w:r>
      <w:r w:rsidRPr="00E37E3E">
        <w:rPr>
          <w:rFonts w:asciiTheme="majorBidi" w:hAnsiTheme="majorBidi" w:cstheme="majorBidi"/>
          <w:b/>
          <w:sz w:val="32"/>
          <w:szCs w:val="32"/>
        </w:rPr>
        <w:t xml:space="preserve">, </w:t>
      </w:r>
      <w:r w:rsidRPr="00E37E3E">
        <w:rPr>
          <w:rFonts w:asciiTheme="majorBidi" w:hAnsiTheme="majorBidi" w:cstheme="majorBidi"/>
          <w:b/>
          <w:sz w:val="36"/>
          <w:szCs w:val="36"/>
        </w:rPr>
        <w:t>S</w:t>
      </w:r>
      <w:r w:rsidRPr="00E37E3E">
        <w:rPr>
          <w:rFonts w:asciiTheme="majorBidi" w:hAnsiTheme="majorBidi" w:cstheme="majorBidi"/>
          <w:b/>
          <w:sz w:val="28"/>
          <w:szCs w:val="28"/>
        </w:rPr>
        <w:t>INCERITY</w:t>
      </w:r>
      <w:r w:rsidRPr="00E37E3E">
        <w:rPr>
          <w:rFonts w:asciiTheme="majorBidi" w:hAnsiTheme="majorBidi" w:cstheme="majorBidi"/>
          <w:b/>
          <w:sz w:val="32"/>
          <w:szCs w:val="32"/>
        </w:rPr>
        <w:t xml:space="preserve">, </w:t>
      </w:r>
    </w:p>
    <w:p w14:paraId="15BDE018" w14:textId="5D0F2F06" w:rsidR="00E37E3E" w:rsidRPr="00E37E3E" w:rsidRDefault="00E37E3E" w:rsidP="00E37E3E">
      <w:pPr>
        <w:spacing w:line="240" w:lineRule="auto"/>
        <w:jc w:val="center"/>
        <w:rPr>
          <w:rFonts w:asciiTheme="majorBidi" w:hAnsiTheme="majorBidi" w:cstheme="majorBidi"/>
          <w:b/>
          <w:sz w:val="32"/>
          <w:szCs w:val="32"/>
        </w:rPr>
      </w:pPr>
      <w:r w:rsidRPr="00E37E3E">
        <w:rPr>
          <w:rFonts w:asciiTheme="majorBidi" w:hAnsiTheme="majorBidi" w:cstheme="majorBidi"/>
          <w:b/>
          <w:sz w:val="32"/>
          <w:szCs w:val="32"/>
        </w:rPr>
        <w:t xml:space="preserve">&amp; </w:t>
      </w:r>
      <w:r w:rsidRPr="00E37E3E">
        <w:rPr>
          <w:rFonts w:asciiTheme="majorBidi" w:hAnsiTheme="majorBidi" w:cstheme="majorBidi"/>
          <w:b/>
          <w:sz w:val="36"/>
          <w:szCs w:val="36"/>
        </w:rPr>
        <w:t>T</w:t>
      </w:r>
      <w:r w:rsidRPr="00E37E3E">
        <w:rPr>
          <w:rFonts w:asciiTheme="majorBidi" w:hAnsiTheme="majorBidi" w:cstheme="majorBidi"/>
          <w:b/>
          <w:sz w:val="28"/>
          <w:szCs w:val="28"/>
        </w:rPr>
        <w:t>HE</w:t>
      </w:r>
      <w:r w:rsidRPr="00E37E3E">
        <w:rPr>
          <w:rFonts w:asciiTheme="majorBidi" w:hAnsiTheme="majorBidi" w:cstheme="majorBidi"/>
          <w:b/>
          <w:sz w:val="32"/>
          <w:szCs w:val="32"/>
        </w:rPr>
        <w:t xml:space="preserve"> </w:t>
      </w:r>
      <w:r w:rsidRPr="00E37E3E">
        <w:rPr>
          <w:rFonts w:asciiTheme="majorBidi" w:hAnsiTheme="majorBidi" w:cstheme="majorBidi"/>
          <w:b/>
          <w:sz w:val="36"/>
          <w:szCs w:val="36"/>
        </w:rPr>
        <w:t>S</w:t>
      </w:r>
      <w:r w:rsidRPr="00E37E3E">
        <w:rPr>
          <w:rFonts w:asciiTheme="majorBidi" w:hAnsiTheme="majorBidi" w:cstheme="majorBidi"/>
          <w:b/>
          <w:sz w:val="28"/>
          <w:szCs w:val="28"/>
        </w:rPr>
        <w:t>UBLIME</w:t>
      </w:r>
    </w:p>
    <w:p w14:paraId="7803BAB3" w14:textId="77777777" w:rsidR="00C111D3" w:rsidRPr="00505CF0" w:rsidRDefault="00C111D3" w:rsidP="004C3EE0">
      <w:pPr>
        <w:spacing w:line="480" w:lineRule="auto"/>
        <w:jc w:val="both"/>
        <w:rPr>
          <w:rFonts w:asciiTheme="majorBidi" w:hAnsiTheme="majorBidi" w:cstheme="majorBidi"/>
          <w:b/>
          <w:i/>
          <w:sz w:val="28"/>
          <w:szCs w:val="28"/>
          <w:u w:val="single"/>
        </w:rPr>
      </w:pPr>
    </w:p>
    <w:p w14:paraId="421E4B4E" w14:textId="77777777" w:rsidR="00C111D3" w:rsidRPr="00505CF0" w:rsidRDefault="00C111D3" w:rsidP="00FE7EAF">
      <w:pPr>
        <w:spacing w:line="480" w:lineRule="auto"/>
        <w:jc w:val="right"/>
        <w:rPr>
          <w:rFonts w:asciiTheme="majorBidi" w:hAnsiTheme="majorBidi" w:cstheme="majorBidi"/>
          <w:i/>
          <w:sz w:val="24"/>
          <w:szCs w:val="24"/>
        </w:rPr>
      </w:pPr>
      <w:r w:rsidRPr="00505CF0">
        <w:rPr>
          <w:rFonts w:asciiTheme="majorBidi" w:hAnsiTheme="majorBidi" w:cstheme="majorBidi"/>
          <w:i/>
          <w:sz w:val="24"/>
          <w:szCs w:val="24"/>
        </w:rPr>
        <w:t>I am not centrally concerned with the assessment of Gothic elements in later nineteenth- and twentieth-century fiction. The propriety of employing the term ‘Gothic’ to describe such works is, in any case, open to question.</w:t>
      </w:r>
    </w:p>
    <w:p w14:paraId="1F3BC6EE" w14:textId="77777777" w:rsidR="00C111D3" w:rsidRPr="00505CF0" w:rsidRDefault="00C111D3" w:rsidP="00FE7EAF">
      <w:pPr>
        <w:spacing w:line="480" w:lineRule="auto"/>
        <w:jc w:val="right"/>
        <w:rPr>
          <w:rFonts w:asciiTheme="majorBidi" w:hAnsiTheme="majorBidi" w:cstheme="majorBidi"/>
          <w:i/>
          <w:sz w:val="24"/>
          <w:szCs w:val="24"/>
        </w:rPr>
      </w:pPr>
      <w:r w:rsidRPr="00505CF0">
        <w:rPr>
          <w:rFonts w:asciiTheme="majorBidi" w:hAnsiTheme="majorBidi" w:cstheme="majorBidi"/>
          <w:i/>
          <w:sz w:val="24"/>
          <w:szCs w:val="24"/>
        </w:rPr>
        <w:t>-Elizabeth R. Napier-</w:t>
      </w:r>
      <w:r w:rsidRPr="00505CF0">
        <w:rPr>
          <w:rStyle w:val="FootnoteReference"/>
          <w:rFonts w:asciiTheme="majorBidi" w:hAnsiTheme="majorBidi" w:cstheme="majorBidi"/>
          <w:i/>
          <w:sz w:val="24"/>
          <w:szCs w:val="24"/>
        </w:rPr>
        <w:footnoteReference w:id="449"/>
      </w:r>
    </w:p>
    <w:p w14:paraId="534B58E6" w14:textId="77777777" w:rsidR="00C111D3" w:rsidRPr="00505CF0" w:rsidRDefault="00C111D3" w:rsidP="00FE7EAF">
      <w:pPr>
        <w:spacing w:line="480" w:lineRule="auto"/>
        <w:jc w:val="right"/>
        <w:rPr>
          <w:rFonts w:asciiTheme="majorBidi" w:hAnsiTheme="majorBidi" w:cstheme="majorBidi"/>
          <w:i/>
          <w:sz w:val="24"/>
          <w:szCs w:val="24"/>
        </w:rPr>
      </w:pPr>
    </w:p>
    <w:p w14:paraId="0C9E517D" w14:textId="77777777" w:rsidR="00C111D3" w:rsidRPr="00505CF0" w:rsidRDefault="00C111D3" w:rsidP="00FE7EAF">
      <w:pPr>
        <w:spacing w:line="480" w:lineRule="auto"/>
        <w:jc w:val="right"/>
        <w:rPr>
          <w:rFonts w:asciiTheme="majorBidi" w:hAnsiTheme="majorBidi" w:cstheme="majorBidi"/>
          <w:i/>
          <w:sz w:val="24"/>
          <w:szCs w:val="24"/>
        </w:rPr>
      </w:pPr>
      <w:r w:rsidRPr="00505CF0">
        <w:rPr>
          <w:rFonts w:asciiTheme="majorBidi" w:hAnsiTheme="majorBidi" w:cstheme="majorBidi"/>
          <w:i/>
          <w:sz w:val="24"/>
          <w:szCs w:val="24"/>
        </w:rPr>
        <w:t xml:space="preserve">The development of the study of the mind into the science of psychology has continued to affect concepts of human nature and their reflection in Gothic literature. The course of the Gothic tradition in the twentieth century merits a study of its own for this reason alone. </w:t>
      </w:r>
    </w:p>
    <w:p w14:paraId="30A8EB66" w14:textId="77777777" w:rsidR="00C111D3" w:rsidRPr="00505CF0" w:rsidRDefault="00C111D3" w:rsidP="00FE7EAF">
      <w:pPr>
        <w:spacing w:line="480" w:lineRule="auto"/>
        <w:jc w:val="right"/>
        <w:rPr>
          <w:rFonts w:asciiTheme="majorBidi" w:hAnsiTheme="majorBidi" w:cstheme="majorBidi"/>
          <w:i/>
          <w:sz w:val="24"/>
          <w:szCs w:val="24"/>
        </w:rPr>
      </w:pPr>
      <w:r w:rsidRPr="00505CF0">
        <w:rPr>
          <w:rFonts w:asciiTheme="majorBidi" w:hAnsiTheme="majorBidi" w:cstheme="majorBidi"/>
          <w:i/>
          <w:sz w:val="24"/>
          <w:szCs w:val="24"/>
        </w:rPr>
        <w:t>-Elizabeth MacAndrew-</w:t>
      </w:r>
      <w:r w:rsidRPr="00505CF0">
        <w:rPr>
          <w:rStyle w:val="FootnoteReference"/>
          <w:rFonts w:asciiTheme="majorBidi" w:hAnsiTheme="majorBidi" w:cstheme="majorBidi"/>
          <w:i/>
          <w:sz w:val="24"/>
          <w:szCs w:val="24"/>
        </w:rPr>
        <w:footnoteReference w:id="450"/>
      </w:r>
    </w:p>
    <w:p w14:paraId="5B5B6A5D" w14:textId="77777777" w:rsidR="00C111D3" w:rsidRPr="00505CF0" w:rsidRDefault="00C111D3" w:rsidP="004C3EE0">
      <w:pPr>
        <w:spacing w:line="480" w:lineRule="auto"/>
        <w:jc w:val="both"/>
        <w:rPr>
          <w:rFonts w:asciiTheme="majorBidi" w:hAnsiTheme="majorBidi" w:cstheme="majorBidi"/>
          <w:b/>
          <w:sz w:val="24"/>
          <w:szCs w:val="24"/>
          <w:u w:val="single"/>
        </w:rPr>
      </w:pPr>
    </w:p>
    <w:p w14:paraId="5D0C6878" w14:textId="77777777" w:rsidR="00C111D3" w:rsidRPr="00CC042A" w:rsidRDefault="00C111D3" w:rsidP="004C3EE0">
      <w:pPr>
        <w:spacing w:line="480" w:lineRule="auto"/>
        <w:jc w:val="both"/>
        <w:rPr>
          <w:rFonts w:asciiTheme="majorBidi" w:hAnsiTheme="majorBidi" w:cstheme="majorBidi"/>
          <w:sz w:val="32"/>
          <w:szCs w:val="32"/>
        </w:rPr>
      </w:pPr>
      <w:r w:rsidRPr="00FE7EAF">
        <w:rPr>
          <w:rFonts w:asciiTheme="majorBidi" w:hAnsiTheme="majorBidi" w:cstheme="majorBidi"/>
          <w:b/>
          <w:sz w:val="32"/>
          <w:szCs w:val="32"/>
        </w:rPr>
        <w:t>1.</w:t>
      </w:r>
      <w:r w:rsidRPr="00CC042A">
        <w:rPr>
          <w:rFonts w:asciiTheme="majorBidi" w:hAnsiTheme="majorBidi" w:cstheme="majorBidi"/>
          <w:b/>
          <w:sz w:val="32"/>
          <w:szCs w:val="32"/>
        </w:rPr>
        <w:tab/>
      </w:r>
      <w:r w:rsidRPr="00FE7EAF">
        <w:rPr>
          <w:rFonts w:asciiTheme="majorBidi" w:hAnsiTheme="majorBidi" w:cstheme="majorBidi"/>
          <w:b/>
          <w:sz w:val="32"/>
          <w:szCs w:val="32"/>
        </w:rPr>
        <w:t>Introduction</w:t>
      </w:r>
    </w:p>
    <w:p w14:paraId="4010B902" w14:textId="77777777" w:rsidR="00C111D3" w:rsidRPr="00505CF0" w:rsidRDefault="00C111D3" w:rsidP="004C3EE0">
      <w:pPr>
        <w:spacing w:line="480" w:lineRule="auto"/>
        <w:jc w:val="both"/>
        <w:rPr>
          <w:rFonts w:asciiTheme="majorBidi" w:hAnsiTheme="majorBidi" w:cstheme="majorBidi"/>
          <w:sz w:val="24"/>
          <w:szCs w:val="24"/>
        </w:rPr>
      </w:pPr>
    </w:p>
    <w:p w14:paraId="5C964D67"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w:t>
      </w:r>
      <w:proofErr w:type="gramStart"/>
      <w:r w:rsidRPr="00505CF0">
        <w:rPr>
          <w:rFonts w:asciiTheme="majorBidi" w:hAnsiTheme="majorBidi" w:cstheme="majorBidi"/>
          <w:sz w:val="24"/>
          <w:szCs w:val="24"/>
        </w:rPr>
        <w:t>effect of years of postmodern dogma are</w:t>
      </w:r>
      <w:proofErr w:type="gramEnd"/>
      <w:r w:rsidRPr="00505CF0">
        <w:rPr>
          <w:rFonts w:asciiTheme="majorBidi" w:hAnsiTheme="majorBidi" w:cstheme="majorBidi"/>
          <w:sz w:val="24"/>
          <w:szCs w:val="24"/>
        </w:rPr>
        <w:t xml:space="preserve"> beginning to bleed out of the Gothic.</w:t>
      </w:r>
      <w:r w:rsidRPr="00505CF0">
        <w:rPr>
          <w:rStyle w:val="FootnoteReference"/>
          <w:rFonts w:asciiTheme="majorBidi" w:hAnsiTheme="majorBidi" w:cstheme="majorBidi"/>
          <w:sz w:val="24"/>
          <w:szCs w:val="24"/>
        </w:rPr>
        <w:footnoteReference w:id="451"/>
      </w:r>
      <w:r w:rsidRPr="00505CF0">
        <w:rPr>
          <w:rFonts w:asciiTheme="majorBidi" w:hAnsiTheme="majorBidi" w:cstheme="majorBidi"/>
          <w:sz w:val="24"/>
          <w:szCs w:val="24"/>
        </w:rPr>
        <w:t xml:space="preserve"> Richard Flanagan’s </w:t>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offers a fresh attempt at transcendence, John Burnside’s </w:t>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deconstructs the detective genre without irony, and Mark Z Danielewski’s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utilises metafictional techniques not to foreground issues of artificiality, but rather those of sincerity. Such literary endeavours form a small selection of an increasing number of twenty-first century Gothic texts which abandon or subvert the styles and tropes of their postmodern forebears in favour of techniques of sincerity, renewal, or reconstruction. The wound is far from fatal, however, the blood flow slow.</w:t>
      </w:r>
    </w:p>
    <w:p w14:paraId="0D2453CB" w14:textId="02B7E6AE"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Fred Botting, in 2002, predicted a collapse of sorts of the Gothic genre, claiming that the mode had become inextricably subject to the black hole of consumption into which all cultural production was being drawn. Its trappings ‘emptied of any strong charge,’ its readership ‘inured to Gothic shocks and terrors,’ the genre, Botting argued, had fallen into a state of constant recycle without any significant development in an effort to ‘stave off’ the emptiness of postmodern plurality.</w:t>
      </w:r>
      <w:r w:rsidRPr="00505CF0">
        <w:rPr>
          <w:rStyle w:val="FootnoteReference"/>
          <w:rFonts w:asciiTheme="majorBidi" w:hAnsiTheme="majorBidi" w:cstheme="majorBidi"/>
          <w:sz w:val="24"/>
          <w:szCs w:val="24"/>
        </w:rPr>
        <w:footnoteReference w:id="452"/>
      </w:r>
      <w:r w:rsidRPr="00505CF0">
        <w:rPr>
          <w:rFonts w:asciiTheme="majorBidi" w:hAnsiTheme="majorBidi" w:cstheme="majorBidi"/>
          <w:sz w:val="24"/>
          <w:szCs w:val="24"/>
        </w:rPr>
        <w:t xml:space="preserve"> Far from this bleak prediction, though, the Gothic prevails and pervades within cultural perception</w:t>
      </w:r>
      <w:r w:rsidR="00530CC1">
        <w:rPr>
          <w:rFonts w:asciiTheme="majorBidi" w:hAnsiTheme="majorBidi" w:cstheme="majorBidi"/>
          <w:sz w:val="24"/>
          <w:szCs w:val="24"/>
        </w:rPr>
        <w:t>, for,</w:t>
      </w:r>
      <w:r w:rsidRPr="00505CF0">
        <w:rPr>
          <w:rFonts w:asciiTheme="majorBidi" w:hAnsiTheme="majorBidi" w:cstheme="majorBidi"/>
          <w:sz w:val="24"/>
          <w:szCs w:val="24"/>
        </w:rPr>
        <w:t xml:space="preserve"> as Beville rightly asserts, the paraphernalia of the Gothic is all around us today.</w:t>
      </w:r>
      <w:r w:rsidRPr="00505CF0">
        <w:rPr>
          <w:rStyle w:val="FootnoteReference"/>
          <w:rFonts w:asciiTheme="majorBidi" w:hAnsiTheme="majorBidi" w:cstheme="majorBidi"/>
          <w:sz w:val="24"/>
          <w:szCs w:val="24"/>
        </w:rPr>
        <w:footnoteReference w:id="453"/>
      </w:r>
      <w:r w:rsidRPr="00505CF0">
        <w:rPr>
          <w:rFonts w:asciiTheme="majorBidi" w:hAnsiTheme="majorBidi" w:cstheme="majorBidi"/>
          <w:sz w:val="24"/>
          <w:szCs w:val="24"/>
        </w:rPr>
        <w:t xml:space="preserve"> Terror is a constant buzzword and pervasive cultural prefix (</w:t>
      </w:r>
      <w:r w:rsidRPr="00505CF0">
        <w:rPr>
          <w:rFonts w:asciiTheme="majorBidi" w:hAnsiTheme="majorBidi" w:cstheme="majorBidi"/>
          <w:i/>
          <w:sz w:val="24"/>
          <w:szCs w:val="24"/>
        </w:rPr>
        <w:t>attack, threat, plot, -ist</w:t>
      </w:r>
      <w:r w:rsidRPr="00505CF0">
        <w:rPr>
          <w:rFonts w:asciiTheme="majorBidi" w:hAnsiTheme="majorBidi" w:cstheme="majorBidi"/>
          <w:sz w:val="24"/>
          <w:szCs w:val="24"/>
        </w:rPr>
        <w:t>, -</w:t>
      </w:r>
      <w:r w:rsidRPr="00505CF0">
        <w:rPr>
          <w:rFonts w:asciiTheme="majorBidi" w:hAnsiTheme="majorBidi" w:cstheme="majorBidi"/>
          <w:i/>
          <w:sz w:val="24"/>
          <w:szCs w:val="24"/>
        </w:rPr>
        <w:t>ism</w:t>
      </w:r>
      <w:r w:rsidRPr="00505CF0">
        <w:rPr>
          <w:rFonts w:asciiTheme="majorBidi" w:hAnsiTheme="majorBidi" w:cstheme="majorBidi"/>
          <w:sz w:val="24"/>
          <w:szCs w:val="24"/>
        </w:rPr>
        <w:t>), horror abounds in both cinema</w:t>
      </w:r>
      <w:r w:rsidR="00530CC1">
        <w:rPr>
          <w:rFonts w:asciiTheme="majorBidi" w:hAnsiTheme="majorBidi" w:cstheme="majorBidi"/>
          <w:sz w:val="24"/>
          <w:szCs w:val="24"/>
        </w:rPr>
        <w:t>tic</w:t>
      </w:r>
      <w:r w:rsidRPr="00505CF0">
        <w:rPr>
          <w:rFonts w:asciiTheme="majorBidi" w:hAnsiTheme="majorBidi" w:cstheme="majorBidi"/>
          <w:sz w:val="24"/>
          <w:szCs w:val="24"/>
        </w:rPr>
        <w:t xml:space="preserve"> production and</w:t>
      </w:r>
      <w:r w:rsidR="00530CC1">
        <w:rPr>
          <w:rFonts w:asciiTheme="majorBidi" w:hAnsiTheme="majorBidi" w:cstheme="majorBidi"/>
          <w:sz w:val="24"/>
          <w:szCs w:val="24"/>
        </w:rPr>
        <w:t xml:space="preserve"> reports of</w:t>
      </w:r>
      <w:r w:rsidRPr="00505CF0">
        <w:rPr>
          <w:rFonts w:asciiTheme="majorBidi" w:hAnsiTheme="majorBidi" w:cstheme="majorBidi"/>
          <w:sz w:val="24"/>
          <w:szCs w:val="24"/>
        </w:rPr>
        <w:t xml:space="preserve"> natural disasters, </w:t>
      </w:r>
      <w:r w:rsidR="00530CC1">
        <w:rPr>
          <w:rFonts w:asciiTheme="majorBidi" w:hAnsiTheme="majorBidi" w:cstheme="majorBidi"/>
          <w:sz w:val="24"/>
          <w:szCs w:val="24"/>
        </w:rPr>
        <w:t xml:space="preserve">alongside the consistent </w:t>
      </w:r>
      <w:r w:rsidRPr="00505CF0">
        <w:rPr>
          <w:rFonts w:asciiTheme="majorBidi" w:hAnsiTheme="majorBidi" w:cstheme="majorBidi"/>
          <w:sz w:val="24"/>
          <w:szCs w:val="24"/>
        </w:rPr>
        <w:t xml:space="preserve"> monstrous</w:t>
      </w:r>
      <w:r w:rsidR="00530CC1">
        <w:rPr>
          <w:rFonts w:asciiTheme="majorBidi" w:hAnsiTheme="majorBidi" w:cstheme="majorBidi"/>
          <w:sz w:val="24"/>
          <w:szCs w:val="24"/>
        </w:rPr>
        <w:t xml:space="preserve"> human</w:t>
      </w:r>
      <w:r w:rsidRPr="00505CF0">
        <w:rPr>
          <w:rFonts w:asciiTheme="majorBidi" w:hAnsiTheme="majorBidi" w:cstheme="majorBidi"/>
          <w:sz w:val="24"/>
          <w:szCs w:val="24"/>
        </w:rPr>
        <w:t xml:space="preserve"> actions </w:t>
      </w:r>
      <w:r w:rsidR="00530CC1">
        <w:rPr>
          <w:rFonts w:asciiTheme="majorBidi" w:hAnsiTheme="majorBidi" w:cstheme="majorBidi"/>
          <w:sz w:val="24"/>
          <w:szCs w:val="24"/>
        </w:rPr>
        <w:t xml:space="preserve">which </w:t>
      </w:r>
      <w:r w:rsidRPr="00505CF0">
        <w:rPr>
          <w:rFonts w:asciiTheme="majorBidi" w:hAnsiTheme="majorBidi" w:cstheme="majorBidi"/>
          <w:sz w:val="24"/>
          <w:szCs w:val="24"/>
        </w:rPr>
        <w:t>dominate the</w:t>
      </w:r>
      <w:r w:rsidR="00530CC1">
        <w:rPr>
          <w:rFonts w:asciiTheme="majorBidi" w:hAnsiTheme="majorBidi" w:cstheme="majorBidi"/>
          <w:sz w:val="24"/>
          <w:szCs w:val="24"/>
        </w:rPr>
        <w:t xml:space="preserve"> daily</w:t>
      </w:r>
      <w:r w:rsidRPr="00505CF0">
        <w:rPr>
          <w:rFonts w:asciiTheme="majorBidi" w:hAnsiTheme="majorBidi" w:cstheme="majorBidi"/>
          <w:sz w:val="24"/>
          <w:szCs w:val="24"/>
        </w:rPr>
        <w:t xml:space="preserve"> news </w:t>
      </w:r>
      <w:r w:rsidR="00530CC1">
        <w:rPr>
          <w:rFonts w:asciiTheme="majorBidi" w:hAnsiTheme="majorBidi" w:cstheme="majorBidi"/>
          <w:sz w:val="24"/>
          <w:szCs w:val="24"/>
        </w:rPr>
        <w:t>reports</w:t>
      </w:r>
      <w:r w:rsidR="00185139">
        <w:rPr>
          <w:rFonts w:asciiTheme="majorBidi" w:hAnsiTheme="majorBidi" w:cstheme="majorBidi"/>
          <w:sz w:val="24"/>
          <w:szCs w:val="24"/>
        </w:rPr>
        <w:t xml:space="preserve">, now riddled </w:t>
      </w:r>
      <w:r w:rsidR="00530CC1">
        <w:rPr>
          <w:rFonts w:asciiTheme="majorBidi" w:hAnsiTheme="majorBidi" w:cstheme="majorBidi"/>
          <w:sz w:val="24"/>
          <w:szCs w:val="24"/>
        </w:rPr>
        <w:t xml:space="preserve"> </w:t>
      </w:r>
      <w:r w:rsidRPr="00505CF0">
        <w:rPr>
          <w:rFonts w:asciiTheme="majorBidi" w:hAnsiTheme="majorBidi" w:cstheme="majorBidi"/>
          <w:sz w:val="24"/>
          <w:szCs w:val="24"/>
        </w:rPr>
        <w:t>with seemingly unending reports of power, child, or sexual abuse. Gothic times, indeed.</w:t>
      </w:r>
      <w:r w:rsidR="00A452B5">
        <w:rPr>
          <w:rStyle w:val="FootnoteReference"/>
          <w:rFonts w:asciiTheme="majorBidi" w:hAnsiTheme="majorBidi" w:cstheme="majorBidi"/>
          <w:sz w:val="24"/>
          <w:szCs w:val="24"/>
        </w:rPr>
        <w:footnoteReference w:id="454"/>
      </w:r>
      <w:r w:rsidRPr="00505CF0">
        <w:rPr>
          <w:rFonts w:asciiTheme="majorBidi" w:hAnsiTheme="majorBidi" w:cstheme="majorBidi"/>
          <w:sz w:val="24"/>
          <w:szCs w:val="24"/>
        </w:rPr>
        <w:t xml:space="preserve"> In this age of dystopian </w:t>
      </w:r>
      <w:r w:rsidR="00185139">
        <w:rPr>
          <w:rFonts w:asciiTheme="majorBidi" w:hAnsiTheme="majorBidi" w:cstheme="majorBidi"/>
          <w:sz w:val="24"/>
          <w:szCs w:val="24"/>
        </w:rPr>
        <w:t>resignation</w:t>
      </w:r>
      <w:r w:rsidR="00185139"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and Sisyphean desire, the Gothic, as a genre, flourishes, and it is my intention here to demonstrate this, alongside an examination of some of the means by which contemporary Gothic literature responds to or inhabits the metamodern moment. </w:t>
      </w:r>
    </w:p>
    <w:p w14:paraId="45AF5163" w14:textId="64196252"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Such an endeavour, though, is brought up against an obstacle almost immediately by the very nomenclature of ‘contemporary’ Gothic, a phrase not only inherently flawed in its ambiguity, but which seems too to trigger a certain scholarly anxiety (see epigraph). Analyses of the contemporary Gothic seem to provoke critics to first adamantly defend the need for the </w:t>
      </w:r>
      <w:r w:rsidR="00185139">
        <w:rPr>
          <w:rFonts w:asciiTheme="majorBidi" w:hAnsiTheme="majorBidi" w:cstheme="majorBidi"/>
          <w:sz w:val="24"/>
          <w:szCs w:val="24"/>
        </w:rPr>
        <w:t>distinction</w:t>
      </w:r>
      <w:r w:rsidR="00185139" w:rsidRPr="00505CF0">
        <w:rPr>
          <w:rFonts w:asciiTheme="majorBidi" w:hAnsiTheme="majorBidi" w:cstheme="majorBidi"/>
          <w:sz w:val="24"/>
          <w:szCs w:val="24"/>
        </w:rPr>
        <w:t xml:space="preserve"> </w:t>
      </w:r>
      <w:r w:rsidRPr="00505CF0">
        <w:rPr>
          <w:rFonts w:asciiTheme="majorBidi" w:hAnsiTheme="majorBidi" w:cstheme="majorBidi"/>
          <w:sz w:val="24"/>
          <w:szCs w:val="24"/>
        </w:rPr>
        <w:t>or, strangely, to pose the question via the mouths of students – as if doing so implies a certain innocence of the question (“is there such a thing as contemporary Gothic?”) creating a quaint picture of the stuffy professor standing open-mouthed, shocked into realisation by the inquiring mind of the earnest-seeming youth before them.</w:t>
      </w:r>
      <w:r w:rsidRPr="00505CF0">
        <w:rPr>
          <w:rStyle w:val="FootnoteReference"/>
          <w:rFonts w:asciiTheme="majorBidi" w:hAnsiTheme="majorBidi" w:cstheme="majorBidi"/>
          <w:sz w:val="24"/>
          <w:szCs w:val="24"/>
        </w:rPr>
        <w:footnoteReference w:id="455"/>
      </w:r>
      <w:r w:rsidRPr="00505CF0">
        <w:rPr>
          <w:rFonts w:asciiTheme="majorBidi" w:hAnsiTheme="majorBidi" w:cstheme="majorBidi"/>
          <w:sz w:val="24"/>
          <w:szCs w:val="24"/>
        </w:rPr>
        <w:t xml:space="preserve"> To ask ‘if’ there is a contemporary Gothic is, it must be said, rather moot, and to answer such a question serves only to assuage the paranoia of that professor once more confronted by the hungry mind; Look to</w:t>
      </w:r>
      <w:r w:rsidR="00185139">
        <w:rPr>
          <w:rFonts w:asciiTheme="majorBidi" w:hAnsiTheme="majorBidi" w:cstheme="majorBidi"/>
          <w:sz w:val="24"/>
          <w:szCs w:val="24"/>
        </w:rPr>
        <w:t xml:space="preserve"> our</w:t>
      </w:r>
      <w:r w:rsidRPr="00505CF0">
        <w:rPr>
          <w:rFonts w:asciiTheme="majorBidi" w:hAnsiTheme="majorBidi" w:cstheme="majorBidi"/>
          <w:sz w:val="24"/>
          <w:szCs w:val="24"/>
        </w:rPr>
        <w:t xml:space="preserve"> cinema</w:t>
      </w:r>
      <w:r w:rsidR="00185139">
        <w:rPr>
          <w:rFonts w:asciiTheme="majorBidi" w:hAnsiTheme="majorBidi" w:cstheme="majorBidi"/>
          <w:sz w:val="24"/>
          <w:szCs w:val="24"/>
        </w:rPr>
        <w:t>s</w:t>
      </w:r>
      <w:r w:rsidRPr="00505CF0">
        <w:rPr>
          <w:rFonts w:asciiTheme="majorBidi" w:hAnsiTheme="majorBidi" w:cstheme="majorBidi"/>
          <w:sz w:val="24"/>
          <w:szCs w:val="24"/>
        </w:rPr>
        <w:t xml:space="preserve"> and see a flood of </w:t>
      </w:r>
      <w:r w:rsidR="00185139">
        <w:rPr>
          <w:rFonts w:asciiTheme="majorBidi" w:hAnsiTheme="majorBidi" w:cstheme="majorBidi"/>
          <w:sz w:val="24"/>
          <w:szCs w:val="24"/>
        </w:rPr>
        <w:t xml:space="preserve">contemporary </w:t>
      </w:r>
      <w:r w:rsidRPr="00505CF0">
        <w:rPr>
          <w:rFonts w:asciiTheme="majorBidi" w:hAnsiTheme="majorBidi" w:cstheme="majorBidi"/>
          <w:sz w:val="24"/>
          <w:szCs w:val="24"/>
        </w:rPr>
        <w:t>horror films (</w:t>
      </w:r>
      <w:r w:rsidRPr="00505CF0">
        <w:rPr>
          <w:rFonts w:asciiTheme="majorBidi" w:hAnsiTheme="majorBidi" w:cstheme="majorBidi"/>
          <w:i/>
          <w:sz w:val="24"/>
          <w:szCs w:val="24"/>
        </w:rPr>
        <w:t>Split, IT, Get Out, It Comes at Night</w:t>
      </w:r>
      <w:r w:rsidRPr="00505CF0">
        <w:rPr>
          <w:rFonts w:asciiTheme="majorBidi" w:hAnsiTheme="majorBidi" w:cstheme="majorBidi"/>
          <w:sz w:val="24"/>
          <w:szCs w:val="24"/>
        </w:rPr>
        <w:t>), or to the shelves of booksellers and see the ubiquity of 21</w:t>
      </w:r>
      <w:r w:rsidRPr="00505CF0">
        <w:rPr>
          <w:rFonts w:asciiTheme="majorBidi" w:hAnsiTheme="majorBidi" w:cstheme="majorBidi"/>
          <w:sz w:val="24"/>
          <w:szCs w:val="24"/>
          <w:vertAlign w:val="superscript"/>
        </w:rPr>
        <w:t>st</w:t>
      </w:r>
      <w:r w:rsidRPr="00505CF0">
        <w:rPr>
          <w:rFonts w:asciiTheme="majorBidi" w:hAnsiTheme="majorBidi" w:cstheme="majorBidi"/>
          <w:sz w:val="24"/>
          <w:szCs w:val="24"/>
        </w:rPr>
        <w:t xml:space="preserve"> century novels invoking typical Gothic conventions (</w:t>
      </w:r>
      <w:r w:rsidRPr="00505CF0">
        <w:rPr>
          <w:rFonts w:asciiTheme="majorBidi" w:hAnsiTheme="majorBidi" w:cstheme="majorBidi"/>
          <w:i/>
          <w:sz w:val="24"/>
          <w:szCs w:val="24"/>
        </w:rPr>
        <w:t xml:space="preserve">The Loney, Slade House, The Essex Serpent, The Girl on the Train, Lincoln in the Bardo, The Brief Wondrous Life of Oscar Wao, The Wardrobe Mistress) </w:t>
      </w:r>
      <w:r w:rsidRPr="00505CF0">
        <w:rPr>
          <w:rFonts w:asciiTheme="majorBidi" w:hAnsiTheme="majorBidi" w:cstheme="majorBidi"/>
          <w:sz w:val="24"/>
          <w:szCs w:val="24"/>
        </w:rPr>
        <w:t xml:space="preserve">and there find the Contemporary Gothic – an awkward phrase that will suffice for the moment. </w:t>
      </w:r>
    </w:p>
    <w:p w14:paraId="71D2171B" w14:textId="3CDDDE1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David Punter, towards the end of the twentieth century, suggest</w:t>
      </w:r>
      <w:r w:rsidR="00CE4566">
        <w:rPr>
          <w:rFonts w:asciiTheme="majorBidi" w:hAnsiTheme="majorBidi" w:cstheme="majorBidi"/>
          <w:sz w:val="24"/>
          <w:szCs w:val="24"/>
        </w:rPr>
        <w:t>ed</w:t>
      </w:r>
      <w:r w:rsidRPr="00505CF0">
        <w:rPr>
          <w:rFonts w:asciiTheme="majorBidi" w:hAnsiTheme="majorBidi" w:cstheme="majorBidi"/>
          <w:sz w:val="24"/>
          <w:szCs w:val="24"/>
        </w:rPr>
        <w:t xml:space="preserve"> that the most distinctive element to emerge within contemporary iterations of Gothic texts is that of ‘a sense of being </w:t>
      </w:r>
      <w:r w:rsidRPr="00505CF0">
        <w:rPr>
          <w:rFonts w:asciiTheme="majorBidi" w:hAnsiTheme="majorBidi" w:cstheme="majorBidi"/>
          <w:i/>
          <w:sz w:val="24"/>
          <w:szCs w:val="24"/>
        </w:rPr>
        <w:t>at a loss,</w:t>
      </w:r>
      <w:r w:rsidRPr="00505CF0">
        <w:rPr>
          <w:rFonts w:asciiTheme="majorBidi" w:hAnsiTheme="majorBidi" w:cstheme="majorBidi"/>
          <w:sz w:val="24"/>
          <w:szCs w:val="24"/>
        </w:rPr>
        <w:t xml:space="preserve"> or perhaps a sense of loss itself, of loss of certainty.’</w:t>
      </w:r>
      <w:r w:rsidRPr="00505CF0">
        <w:rPr>
          <w:rStyle w:val="FootnoteReference"/>
          <w:rFonts w:asciiTheme="majorBidi" w:hAnsiTheme="majorBidi" w:cstheme="majorBidi"/>
          <w:sz w:val="24"/>
          <w:szCs w:val="24"/>
        </w:rPr>
        <w:footnoteReference w:id="456"/>
      </w:r>
      <w:r w:rsidRPr="00505CF0">
        <w:rPr>
          <w:rFonts w:asciiTheme="majorBidi" w:hAnsiTheme="majorBidi" w:cstheme="majorBidi"/>
          <w:sz w:val="24"/>
          <w:szCs w:val="24"/>
        </w:rPr>
        <w:t xml:space="preserve"> This feeling of loss permeates the metamodern Gothic, though always in an oscillatory fashion; the feeling of loss swings between the various poles of yearning for more, the acceptance of meaninglessness, and the desire to escape irony.</w:t>
      </w:r>
      <w:r w:rsidR="00F74ECC">
        <w:rPr>
          <w:rStyle w:val="FootnoteReference"/>
          <w:rFonts w:asciiTheme="majorBidi" w:hAnsiTheme="majorBidi" w:cstheme="majorBidi"/>
          <w:sz w:val="24"/>
          <w:szCs w:val="24"/>
        </w:rPr>
        <w:footnoteReference w:id="457"/>
      </w:r>
      <w:r w:rsidRPr="00505CF0">
        <w:rPr>
          <w:rFonts w:asciiTheme="majorBidi" w:hAnsiTheme="majorBidi" w:cstheme="majorBidi"/>
          <w:sz w:val="24"/>
          <w:szCs w:val="24"/>
        </w:rPr>
        <w:t xml:space="preserve"> The analysis to follow charts the movement through contemporary Gothic away from postmodern ideals, initially engaging with an examination of texts which intimate an attempt to transcend postmodern practice from within, before highlighting the links between the metamodern desire for and the emergent trend of Gothic sincerity, and, finally, how the metamodern Gothic posits a new relationship with the sublime. </w:t>
      </w:r>
    </w:p>
    <w:p w14:paraId="23CD6657" w14:textId="77777777" w:rsidR="00C111D3" w:rsidRPr="00505CF0" w:rsidRDefault="00C111D3" w:rsidP="004C3EE0">
      <w:pPr>
        <w:jc w:val="both"/>
        <w:rPr>
          <w:rFonts w:asciiTheme="majorBidi" w:hAnsiTheme="majorBidi" w:cstheme="majorBidi"/>
          <w:sz w:val="24"/>
          <w:szCs w:val="24"/>
        </w:rPr>
      </w:pPr>
      <w:r w:rsidRPr="00505CF0">
        <w:rPr>
          <w:rFonts w:asciiTheme="majorBidi" w:hAnsiTheme="majorBidi" w:cstheme="majorBidi"/>
          <w:sz w:val="24"/>
          <w:szCs w:val="24"/>
        </w:rPr>
        <w:br w:type="page"/>
      </w:r>
    </w:p>
    <w:p w14:paraId="19DBD114" w14:textId="77777777" w:rsidR="00C111D3" w:rsidRPr="00FE7EAF" w:rsidRDefault="00C111D3" w:rsidP="00FE7EAF">
      <w:pPr>
        <w:spacing w:line="240" w:lineRule="auto"/>
        <w:ind w:left="720" w:hanging="720"/>
        <w:jc w:val="both"/>
        <w:rPr>
          <w:rFonts w:asciiTheme="majorBidi" w:hAnsiTheme="majorBidi" w:cstheme="majorBidi"/>
          <w:b/>
          <w:sz w:val="32"/>
          <w:szCs w:val="32"/>
        </w:rPr>
      </w:pPr>
      <w:r w:rsidRPr="00FE7EAF">
        <w:rPr>
          <w:rFonts w:asciiTheme="majorBidi" w:hAnsiTheme="majorBidi" w:cstheme="majorBidi"/>
          <w:b/>
          <w:sz w:val="32"/>
          <w:szCs w:val="32"/>
        </w:rPr>
        <w:t>2.</w:t>
      </w:r>
      <w:r w:rsidRPr="00CC042A">
        <w:rPr>
          <w:rFonts w:asciiTheme="majorBidi" w:hAnsiTheme="majorBidi" w:cstheme="majorBidi"/>
          <w:b/>
          <w:sz w:val="32"/>
          <w:szCs w:val="32"/>
        </w:rPr>
        <w:tab/>
      </w:r>
      <w:r w:rsidRPr="00FE7EAF">
        <w:rPr>
          <w:rFonts w:asciiTheme="majorBidi" w:hAnsiTheme="majorBidi" w:cstheme="majorBidi"/>
          <w:b/>
          <w:sz w:val="32"/>
          <w:szCs w:val="32"/>
        </w:rPr>
        <w:t>Post-Postmodern Gothic; Transgressing the Patriarchal Postmodern</w:t>
      </w:r>
    </w:p>
    <w:p w14:paraId="20F0ABF5" w14:textId="77777777" w:rsidR="00C111D3" w:rsidRPr="00505CF0" w:rsidRDefault="00C111D3" w:rsidP="004C3EE0">
      <w:pPr>
        <w:spacing w:line="480" w:lineRule="auto"/>
        <w:jc w:val="both"/>
        <w:rPr>
          <w:rFonts w:asciiTheme="majorBidi" w:hAnsiTheme="majorBidi" w:cstheme="majorBidi"/>
        </w:rPr>
      </w:pPr>
    </w:p>
    <w:p w14:paraId="4C01989D" w14:textId="3A2E2FE7" w:rsidR="00C111D3" w:rsidRPr="00505CF0" w:rsidRDefault="00C111D3" w:rsidP="003B09AD">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The Gothic seems a singularly suitable site for explorations of the post-postmodern, and specifically the metamodern. As a genre concerned with memories of </w:t>
      </w:r>
      <w:r w:rsidR="009160EA">
        <w:rPr>
          <w:rFonts w:asciiTheme="majorBidi" w:hAnsiTheme="majorBidi" w:cstheme="majorBidi"/>
          <w:sz w:val="24"/>
          <w:szCs w:val="24"/>
        </w:rPr>
        <w:t>a</w:t>
      </w:r>
      <w:r w:rsidR="009160EA" w:rsidRPr="00505CF0">
        <w:rPr>
          <w:rFonts w:asciiTheme="majorBidi" w:hAnsiTheme="majorBidi" w:cstheme="majorBidi"/>
          <w:sz w:val="24"/>
          <w:szCs w:val="24"/>
        </w:rPr>
        <w:t xml:space="preserve"> </w:t>
      </w:r>
      <w:r w:rsidRPr="00505CF0">
        <w:rPr>
          <w:rFonts w:asciiTheme="majorBidi" w:hAnsiTheme="majorBidi" w:cstheme="majorBidi"/>
          <w:sz w:val="24"/>
          <w:szCs w:val="24"/>
        </w:rPr>
        <w:t>past which still exert</w:t>
      </w:r>
      <w:r w:rsidR="009160EA">
        <w:rPr>
          <w:rFonts w:asciiTheme="majorBidi" w:hAnsiTheme="majorBidi" w:cstheme="majorBidi"/>
          <w:sz w:val="24"/>
          <w:szCs w:val="24"/>
        </w:rPr>
        <w:t>s</w:t>
      </w:r>
      <w:r w:rsidRPr="00505CF0">
        <w:rPr>
          <w:rFonts w:asciiTheme="majorBidi" w:hAnsiTheme="majorBidi" w:cstheme="majorBidi"/>
          <w:sz w:val="24"/>
          <w:szCs w:val="24"/>
        </w:rPr>
        <w:t xml:space="preserve"> </w:t>
      </w:r>
      <w:r w:rsidR="009160EA">
        <w:rPr>
          <w:rFonts w:asciiTheme="majorBidi" w:hAnsiTheme="majorBidi" w:cstheme="majorBidi"/>
          <w:sz w:val="24"/>
          <w:szCs w:val="24"/>
        </w:rPr>
        <w:t>a</w:t>
      </w:r>
      <w:r w:rsidRPr="00505CF0">
        <w:rPr>
          <w:rFonts w:asciiTheme="majorBidi" w:hAnsiTheme="majorBidi" w:cstheme="majorBidi"/>
          <w:sz w:val="24"/>
          <w:szCs w:val="24"/>
        </w:rPr>
        <w:t xml:space="preserve"> power over the present, ‘even if we sense in some way </w:t>
      </w:r>
      <w:r w:rsidR="009160EA">
        <w:rPr>
          <w:rFonts w:asciiTheme="majorBidi" w:hAnsiTheme="majorBidi" w:cstheme="majorBidi"/>
          <w:sz w:val="24"/>
          <w:szCs w:val="24"/>
        </w:rPr>
        <w:t>[it]</w:t>
      </w:r>
      <w:r w:rsidRPr="00505CF0">
        <w:rPr>
          <w:rFonts w:asciiTheme="majorBidi" w:hAnsiTheme="majorBidi" w:cstheme="majorBidi"/>
          <w:sz w:val="24"/>
          <w:szCs w:val="24"/>
        </w:rPr>
        <w:t xml:space="preserve"> ought not to,’</w:t>
      </w:r>
      <w:r w:rsidRPr="00505CF0">
        <w:rPr>
          <w:rStyle w:val="FootnoteReference"/>
          <w:rFonts w:asciiTheme="majorBidi" w:hAnsiTheme="majorBidi" w:cstheme="majorBidi"/>
          <w:sz w:val="24"/>
          <w:szCs w:val="24"/>
        </w:rPr>
        <w:footnoteReference w:id="458"/>
      </w:r>
      <w:r w:rsidRPr="00505CF0">
        <w:rPr>
          <w:rFonts w:asciiTheme="majorBidi" w:hAnsiTheme="majorBidi" w:cstheme="majorBidi"/>
          <w:sz w:val="24"/>
          <w:szCs w:val="24"/>
        </w:rPr>
        <w:t xml:space="preserve"> and in which that which is thought dead, or at least wished so, returns to disrupt the present, the Gothic thematically aligns with contemporary desires towards the postmodern; we wish that it were passed, buried and removed, yet find it inextricably now bound to us somehow. The metamodern oscillation between postmodern and modern modes easily aligns with this form of haunting</w:t>
      </w:r>
      <w:r w:rsidRPr="00505CF0">
        <w:rPr>
          <w:rStyle w:val="FootnoteReference"/>
          <w:rFonts w:asciiTheme="majorBidi" w:hAnsiTheme="majorBidi" w:cstheme="majorBidi"/>
          <w:sz w:val="24"/>
          <w:szCs w:val="24"/>
        </w:rPr>
        <w:footnoteReference w:id="459"/>
      </w:r>
      <w:r w:rsidRPr="00505CF0">
        <w:rPr>
          <w:rFonts w:asciiTheme="majorBidi" w:hAnsiTheme="majorBidi" w:cstheme="majorBidi"/>
          <w:sz w:val="24"/>
          <w:szCs w:val="24"/>
        </w:rPr>
        <w:t xml:space="preserve"> as depicted within the Gothic, in which our own </w:t>
      </w:r>
      <w:r w:rsidR="003B09AD">
        <w:rPr>
          <w:rFonts w:asciiTheme="majorBidi" w:hAnsiTheme="majorBidi" w:cstheme="majorBidi"/>
          <w:sz w:val="24"/>
          <w:szCs w:val="24"/>
        </w:rPr>
        <w:t>with to obtain</w:t>
      </w:r>
      <w:r w:rsidRPr="00505CF0">
        <w:rPr>
          <w:rFonts w:asciiTheme="majorBidi" w:hAnsiTheme="majorBidi" w:cstheme="majorBidi"/>
          <w:sz w:val="24"/>
          <w:szCs w:val="24"/>
        </w:rPr>
        <w:t xml:space="preserve"> post-postmodernity is thwarted by the consistent re-appearance of those themes we wish to move forward from, yet we continue to wish regardless, oscillating between hope and hopelessness. Both Botting and Steven Bruhm argue that Gothic </w:t>
      </w:r>
      <w:r w:rsidR="003B09AD">
        <w:rPr>
          <w:rFonts w:asciiTheme="majorBidi" w:hAnsiTheme="majorBidi" w:cstheme="majorBidi"/>
          <w:sz w:val="24"/>
          <w:szCs w:val="24"/>
        </w:rPr>
        <w:t>texts</w:t>
      </w:r>
      <w:r w:rsidR="003B09AD" w:rsidRPr="00505CF0">
        <w:rPr>
          <w:rFonts w:asciiTheme="majorBidi" w:hAnsiTheme="majorBidi" w:cstheme="majorBidi"/>
          <w:sz w:val="24"/>
          <w:szCs w:val="24"/>
        </w:rPr>
        <w:t xml:space="preserve"> </w:t>
      </w:r>
      <w:r w:rsidRPr="00505CF0">
        <w:rPr>
          <w:rFonts w:asciiTheme="majorBidi" w:hAnsiTheme="majorBidi" w:cstheme="majorBidi"/>
          <w:sz w:val="24"/>
          <w:szCs w:val="24"/>
        </w:rPr>
        <w:t>form around expressions of cultural anxiety,</w:t>
      </w:r>
      <w:r w:rsidRPr="00505CF0">
        <w:rPr>
          <w:rStyle w:val="FootnoteReference"/>
          <w:rFonts w:asciiTheme="majorBidi" w:hAnsiTheme="majorBidi" w:cstheme="majorBidi"/>
          <w:sz w:val="24"/>
          <w:szCs w:val="24"/>
        </w:rPr>
        <w:footnoteReference w:id="460"/>
      </w:r>
      <w:r w:rsidRPr="00505CF0">
        <w:rPr>
          <w:rFonts w:asciiTheme="majorBidi" w:hAnsiTheme="majorBidi" w:cstheme="majorBidi"/>
          <w:sz w:val="24"/>
          <w:szCs w:val="24"/>
        </w:rPr>
        <w:t xml:space="preserve"> becoming product and barometer for the apprehensions and disquietudes ‘plaguing a certain culture at a particular moment in history,’ as well as helping to arouse and assuage such anxiety.</w:t>
      </w:r>
      <w:r w:rsidRPr="00505CF0">
        <w:rPr>
          <w:rStyle w:val="FootnoteReference"/>
          <w:rFonts w:asciiTheme="majorBidi" w:hAnsiTheme="majorBidi" w:cstheme="majorBidi"/>
          <w:sz w:val="24"/>
          <w:szCs w:val="24"/>
        </w:rPr>
        <w:footnoteReference w:id="461"/>
      </w:r>
      <w:r w:rsidRPr="00505CF0">
        <w:rPr>
          <w:rFonts w:asciiTheme="majorBidi" w:hAnsiTheme="majorBidi" w:cstheme="majorBidi"/>
          <w:sz w:val="24"/>
          <w:szCs w:val="24"/>
        </w:rPr>
        <w:t xml:space="preserve"> Mark Z Danielewski’s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and Bret Easton Ellis’s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both express this anxiety as one of a problematised postmodern, placing it as the </w:t>
      </w:r>
      <w:r w:rsidR="003B09AD">
        <w:rPr>
          <w:rFonts w:asciiTheme="majorBidi" w:hAnsiTheme="majorBidi" w:cstheme="majorBidi"/>
          <w:sz w:val="24"/>
          <w:szCs w:val="24"/>
        </w:rPr>
        <w:t xml:space="preserve">central </w:t>
      </w:r>
      <w:r w:rsidRPr="00505CF0">
        <w:rPr>
          <w:rFonts w:asciiTheme="majorBidi" w:hAnsiTheme="majorBidi" w:cstheme="majorBidi"/>
          <w:sz w:val="24"/>
          <w:szCs w:val="24"/>
        </w:rPr>
        <w:t>thematic societal anxious concern, as a range of contemporary Gothic texts tend to.  Of course the return of modernist modes of thought, as posited by the metamodern, equally aligns with the recursive nature of the genre as one which ‘periodically repeats itself,’</w:t>
      </w:r>
      <w:r w:rsidRPr="00505CF0">
        <w:rPr>
          <w:rStyle w:val="FootnoteReference"/>
          <w:rFonts w:asciiTheme="majorBidi" w:hAnsiTheme="majorBidi" w:cstheme="majorBidi"/>
          <w:sz w:val="24"/>
          <w:szCs w:val="24"/>
        </w:rPr>
        <w:footnoteReference w:id="462"/>
      </w:r>
      <w:r w:rsidRPr="00505CF0">
        <w:rPr>
          <w:rFonts w:asciiTheme="majorBidi" w:hAnsiTheme="majorBidi" w:cstheme="majorBidi"/>
          <w:sz w:val="24"/>
          <w:szCs w:val="24"/>
        </w:rPr>
        <w:t xml:space="preserve"> as too, Punter highlights, does the insistence of Gothic writers that realism ‘is not the whole story: the world, at least in some aspects, is very much more inexplicable – or mysterious, or terrifying, or violent.’</w:t>
      </w:r>
      <w:r w:rsidRPr="00505CF0">
        <w:rPr>
          <w:rStyle w:val="FootnoteReference"/>
          <w:rFonts w:asciiTheme="majorBidi" w:hAnsiTheme="majorBidi" w:cstheme="majorBidi"/>
          <w:sz w:val="24"/>
          <w:szCs w:val="24"/>
        </w:rPr>
        <w:footnoteReference w:id="463"/>
      </w:r>
      <w:r w:rsidRPr="00505CF0">
        <w:rPr>
          <w:rFonts w:asciiTheme="majorBidi" w:hAnsiTheme="majorBidi" w:cstheme="majorBidi"/>
          <w:sz w:val="24"/>
          <w:szCs w:val="24"/>
        </w:rPr>
        <w:t xml:space="preserve"> Again, this thematically links the Gothic to the metamodern via an expression of events beyond the realist (as in Ness’s </w:t>
      </w:r>
      <w:r w:rsidRPr="00505CF0">
        <w:rPr>
          <w:rFonts w:asciiTheme="majorBidi" w:hAnsiTheme="majorBidi" w:cstheme="majorBidi"/>
          <w:i/>
          <w:sz w:val="24"/>
          <w:szCs w:val="24"/>
        </w:rPr>
        <w:t>The Crane Wife</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 xml:space="preserve">The Haunted Book </w:t>
      </w:r>
      <w:r w:rsidRPr="00505CF0">
        <w:rPr>
          <w:rFonts w:asciiTheme="majorBidi" w:hAnsiTheme="majorBidi" w:cstheme="majorBidi"/>
          <w:sz w:val="24"/>
          <w:szCs w:val="24"/>
        </w:rPr>
        <w:t>(2012) by Jeremy Dyson.) The Gothic also finds similar expression of the metamodern via what Botting identifies as the double bind of our Gothic Times:</w:t>
      </w:r>
    </w:p>
    <w:p w14:paraId="7448AB3B" w14:textId="77777777" w:rsidR="00C111D3" w:rsidRPr="00505CF0" w:rsidRDefault="00C111D3" w:rsidP="004C3EE0">
      <w:pPr>
        <w:jc w:val="both"/>
        <w:rPr>
          <w:rFonts w:asciiTheme="majorBidi" w:hAnsiTheme="majorBidi" w:cstheme="majorBidi"/>
          <w:sz w:val="24"/>
          <w:szCs w:val="24"/>
        </w:rPr>
      </w:pPr>
    </w:p>
    <w:p w14:paraId="22DDDB5D"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Gothic Times present a double bind: invited to choose, the subject is overwhelmed by the choices available; with the subject unable to choose, the matter of choice becomes all the more pressing. The deregulation of subjective desire and the confrontation with an unsurmountably sublime excess of choice signals a shift towards "postmodern capitalism." The collapse of distinctions between useful production and wasteful consumption means there is no regulative figure or ideal other than accelerated circuits of production, consumption and expenditure.</w:t>
      </w:r>
      <w:r w:rsidRPr="00505CF0">
        <w:rPr>
          <w:rStyle w:val="FootnoteReference"/>
          <w:rFonts w:asciiTheme="majorBidi" w:hAnsiTheme="majorBidi" w:cstheme="majorBidi"/>
          <w:sz w:val="24"/>
          <w:szCs w:val="24"/>
        </w:rPr>
        <w:footnoteReference w:id="464"/>
      </w:r>
    </w:p>
    <w:p w14:paraId="34354C0A" w14:textId="77777777" w:rsidR="00C111D3" w:rsidRPr="00505CF0" w:rsidRDefault="00C111D3" w:rsidP="004C3EE0">
      <w:pPr>
        <w:ind w:right="737"/>
        <w:jc w:val="both"/>
        <w:rPr>
          <w:rFonts w:asciiTheme="majorBidi" w:hAnsiTheme="majorBidi" w:cstheme="majorBidi"/>
          <w:sz w:val="24"/>
          <w:szCs w:val="24"/>
        </w:rPr>
      </w:pPr>
    </w:p>
    <w:p w14:paraId="7BB2D985" w14:textId="77777777" w:rsidR="00C111D3" w:rsidRPr="00505CF0" w:rsidRDefault="00C111D3" w:rsidP="004C3EE0">
      <w:pPr>
        <w:ind w:right="737"/>
        <w:jc w:val="both"/>
        <w:rPr>
          <w:rFonts w:asciiTheme="majorBidi" w:hAnsiTheme="majorBidi" w:cstheme="majorBidi"/>
          <w:sz w:val="24"/>
          <w:szCs w:val="24"/>
        </w:rPr>
      </w:pPr>
    </w:p>
    <w:p w14:paraId="174FC4DF" w14:textId="18F07C00"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Parallels abound here: the Gothic as forcing the subject to choose, as the metamodern subject eventually must in their constant oscillations; the pressing nature of making such a choice, invoking an emergent desire to move, to progress, despite knowing such movement is aimless (wasteful); the production of potentially wasteful product, but produced nonetheless with an intention that speaks of sincerity of intention. Botting further describes the contemporary state of the Gothic as dominated by the cultural ‘black hole’ that marks the end of the postmodern age (engendered by the decline of the paternal figure and the loss of belief in metanarratives).</w:t>
      </w:r>
      <w:r w:rsidRPr="00505CF0">
        <w:rPr>
          <w:rStyle w:val="FootnoteReference"/>
          <w:rFonts w:asciiTheme="majorBidi" w:hAnsiTheme="majorBidi" w:cstheme="majorBidi"/>
          <w:sz w:val="24"/>
          <w:szCs w:val="24"/>
        </w:rPr>
        <w:footnoteReference w:id="465"/>
      </w:r>
      <w:r w:rsidRPr="00505CF0">
        <w:rPr>
          <w:rFonts w:asciiTheme="majorBidi" w:hAnsiTheme="majorBidi" w:cstheme="majorBidi"/>
          <w:sz w:val="24"/>
          <w:szCs w:val="24"/>
        </w:rPr>
        <w:t xml:space="preserve"> Botting’s black hole ‘marks out a final limit, then substitutes a plunge into limitlessness, an ultimate meaning as meaninglessness,’ a descriptor that speaks to the analysis of the Sisyphean mode as discussed earlier (finding meaning from within an accepted meaninglessness), but also, once more, reminds us of the oscillation that defines the post-postmodern age as metamodern: ‘The light of enlightened modernity no longer has the speed to overcome the dead weight of its own history or advance in glorious progress. It is pulled back to the black hole of its uncertain, postmodern present.’</w:t>
      </w:r>
      <w:r w:rsidRPr="00505CF0">
        <w:rPr>
          <w:rStyle w:val="FootnoteReference"/>
          <w:rFonts w:asciiTheme="majorBidi" w:hAnsiTheme="majorBidi" w:cstheme="majorBidi"/>
          <w:sz w:val="24"/>
          <w:szCs w:val="24"/>
        </w:rPr>
        <w:footnoteReference w:id="466"/>
      </w:r>
      <w:r w:rsidRPr="00505CF0">
        <w:rPr>
          <w:rFonts w:asciiTheme="majorBidi" w:hAnsiTheme="majorBidi" w:cstheme="majorBidi"/>
          <w:sz w:val="24"/>
          <w:szCs w:val="24"/>
        </w:rPr>
        <w:t xml:space="preserve"> Rather than an unbidden snap back to Botting’s black hole, the metamodern Gothic instead places the postmodern black hole and the speedy enlightened advance of modernity in competition. Vermeulen and Van den Akker’s sinking ship – if you’ll forgive the tortured metaphor here </w:t>
      </w:r>
      <w:proofErr w:type="gramStart"/>
      <w:r w:rsidRPr="00505CF0">
        <w:rPr>
          <w:rFonts w:asciiTheme="majorBidi" w:hAnsiTheme="majorBidi" w:cstheme="majorBidi"/>
          <w:sz w:val="24"/>
          <w:szCs w:val="24"/>
        </w:rPr>
        <w:t>–  becomes</w:t>
      </w:r>
      <w:proofErr w:type="gramEnd"/>
      <w:r w:rsidRPr="00505CF0">
        <w:rPr>
          <w:rFonts w:asciiTheme="majorBidi" w:hAnsiTheme="majorBidi" w:cstheme="majorBidi"/>
          <w:sz w:val="24"/>
          <w:szCs w:val="24"/>
        </w:rPr>
        <w:t xml:space="preserve"> a foundering space-faring vessel, torn between the inevitable pull of the cosmic emptiness and destruction and the desire to speed away and forward into the vast unknown of cosmic discovery.</w:t>
      </w:r>
      <w:r w:rsidR="001E65F5">
        <w:rPr>
          <w:rStyle w:val="FootnoteReference"/>
          <w:rFonts w:asciiTheme="majorBidi" w:hAnsiTheme="majorBidi" w:cstheme="majorBidi"/>
          <w:sz w:val="24"/>
          <w:szCs w:val="24"/>
        </w:rPr>
        <w:footnoteReference w:id="467"/>
      </w:r>
      <w:r w:rsidRPr="00505CF0">
        <w:rPr>
          <w:rFonts w:asciiTheme="majorBidi" w:hAnsiTheme="majorBidi" w:cstheme="majorBidi"/>
          <w:sz w:val="24"/>
          <w:szCs w:val="24"/>
        </w:rPr>
        <w:t xml:space="preserve"> </w:t>
      </w:r>
    </w:p>
    <w:p w14:paraId="6A4054BC"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The Gothic, in its ‘compulsive return to certain fixations, obsessions, and blockages,’</w:t>
      </w:r>
      <w:r w:rsidRPr="00505CF0">
        <w:rPr>
          <w:rStyle w:val="FootnoteReference"/>
          <w:rFonts w:asciiTheme="majorBidi" w:hAnsiTheme="majorBidi" w:cstheme="majorBidi"/>
          <w:sz w:val="24"/>
          <w:szCs w:val="24"/>
        </w:rPr>
        <w:footnoteReference w:id="468"/>
      </w:r>
      <w:r w:rsidRPr="00505CF0">
        <w:rPr>
          <w:rFonts w:asciiTheme="majorBidi" w:hAnsiTheme="majorBidi" w:cstheme="majorBidi"/>
          <w:sz w:val="24"/>
          <w:szCs w:val="24"/>
        </w:rPr>
        <w:t xml:space="preserve"> becomes an apt site for expression of a desire to be free of the years of postmodern pastiche, and twenty-first century Gothic literature can be seen to evidence this societal desire for (and first tentative steps into) post-postmodernity, and specifically metamodernity. The first explorations of the shift into post-postmodernity by the contemporary Gothic are perhaps most observable in the two paradigms which I wish to explore further here: First, the reversal of the ‘postmodern rejection of concepts of wholeness,’</w:t>
      </w:r>
      <w:r w:rsidRPr="00505CF0">
        <w:rPr>
          <w:rStyle w:val="FootnoteReference"/>
          <w:rFonts w:asciiTheme="majorBidi" w:hAnsiTheme="majorBidi" w:cstheme="majorBidi"/>
          <w:sz w:val="24"/>
          <w:szCs w:val="24"/>
        </w:rPr>
        <w:footnoteReference w:id="469"/>
      </w:r>
      <w:r w:rsidRPr="00505CF0">
        <w:rPr>
          <w:rFonts w:asciiTheme="majorBidi" w:hAnsiTheme="majorBidi" w:cstheme="majorBidi"/>
          <w:sz w:val="24"/>
          <w:szCs w:val="24"/>
        </w:rPr>
        <w:t xml:space="preserve"> in which fragmentation and multiple subjectivity becomes a tool for the expression of longing for movement, rather than a purely deconstructive tool. And second, explorations of textual </w:t>
      </w:r>
      <w:r w:rsidRPr="00505CF0">
        <w:rPr>
          <w:rFonts w:asciiTheme="majorBidi" w:hAnsiTheme="majorBidi" w:cstheme="majorBidi"/>
          <w:i/>
          <w:sz w:val="24"/>
          <w:szCs w:val="24"/>
        </w:rPr>
        <w:t>re</w:t>
      </w:r>
      <w:r w:rsidRPr="00505CF0">
        <w:rPr>
          <w:rFonts w:asciiTheme="majorBidi" w:hAnsiTheme="majorBidi" w:cstheme="majorBidi"/>
          <w:sz w:val="24"/>
          <w:szCs w:val="24"/>
        </w:rPr>
        <w:t xml:space="preserve">construction and the re-ignited possibility of personal transcendence, in stark contrast to the </w:t>
      </w:r>
      <w:r w:rsidRPr="00505CF0">
        <w:rPr>
          <w:rFonts w:asciiTheme="majorBidi" w:hAnsiTheme="majorBidi" w:cstheme="majorBidi"/>
          <w:i/>
          <w:sz w:val="24"/>
          <w:szCs w:val="24"/>
        </w:rPr>
        <w:t>de</w:t>
      </w:r>
      <w:r w:rsidRPr="00505CF0">
        <w:rPr>
          <w:rFonts w:asciiTheme="majorBidi" w:hAnsiTheme="majorBidi" w:cstheme="majorBidi"/>
          <w:sz w:val="24"/>
          <w:szCs w:val="24"/>
        </w:rPr>
        <w:t xml:space="preserve">construction and depthlessness of the postmodern.  </w:t>
      </w:r>
    </w:p>
    <w:p w14:paraId="40FF9334" w14:textId="77777777" w:rsidR="00C111D3" w:rsidRPr="00505CF0" w:rsidRDefault="00C111D3" w:rsidP="004C3EE0">
      <w:pPr>
        <w:spacing w:line="480" w:lineRule="auto"/>
        <w:jc w:val="both"/>
        <w:rPr>
          <w:rFonts w:asciiTheme="majorBidi" w:hAnsiTheme="majorBidi" w:cstheme="majorBidi"/>
        </w:rPr>
      </w:pPr>
    </w:p>
    <w:p w14:paraId="27BF02BD" w14:textId="77777777" w:rsidR="00C111D3" w:rsidRDefault="00C111D3" w:rsidP="004C3EE0">
      <w:pPr>
        <w:spacing w:line="480" w:lineRule="auto"/>
        <w:jc w:val="both"/>
        <w:rPr>
          <w:rFonts w:asciiTheme="majorBidi" w:hAnsiTheme="majorBidi" w:cstheme="majorBidi"/>
        </w:rPr>
      </w:pPr>
    </w:p>
    <w:p w14:paraId="6FB77563" w14:textId="77777777" w:rsidR="00973D1A" w:rsidRPr="00505CF0" w:rsidRDefault="00973D1A" w:rsidP="004C3EE0">
      <w:pPr>
        <w:spacing w:line="480" w:lineRule="auto"/>
        <w:jc w:val="both"/>
        <w:rPr>
          <w:rFonts w:asciiTheme="majorBidi" w:hAnsiTheme="majorBidi" w:cstheme="majorBidi"/>
        </w:rPr>
      </w:pPr>
    </w:p>
    <w:p w14:paraId="65D8E61F" w14:textId="77777777" w:rsidR="00C111D3" w:rsidRPr="00FE7EAF" w:rsidRDefault="00C111D3" w:rsidP="004C3EE0">
      <w:pPr>
        <w:spacing w:line="480" w:lineRule="auto"/>
        <w:ind w:left="720" w:hanging="720"/>
        <w:jc w:val="both"/>
        <w:rPr>
          <w:rFonts w:asciiTheme="majorBidi" w:hAnsiTheme="majorBidi" w:cstheme="majorBidi"/>
          <w:b/>
          <w:i/>
          <w:sz w:val="28"/>
          <w:szCs w:val="28"/>
        </w:rPr>
      </w:pPr>
      <w:r w:rsidRPr="00FE7EAF">
        <w:rPr>
          <w:rFonts w:asciiTheme="majorBidi" w:hAnsiTheme="majorBidi" w:cstheme="majorBidi"/>
          <w:b/>
          <w:sz w:val="28"/>
          <w:szCs w:val="28"/>
        </w:rPr>
        <w:t>2.1</w:t>
      </w:r>
      <w:r w:rsidRPr="000100F1">
        <w:rPr>
          <w:rFonts w:asciiTheme="majorBidi" w:hAnsiTheme="majorBidi" w:cstheme="majorBidi"/>
          <w:b/>
          <w:sz w:val="28"/>
          <w:szCs w:val="28"/>
        </w:rPr>
        <w:tab/>
      </w:r>
      <w:r w:rsidRPr="00FE7EAF">
        <w:rPr>
          <w:rFonts w:asciiTheme="majorBidi" w:hAnsiTheme="majorBidi" w:cstheme="majorBidi"/>
          <w:b/>
          <w:sz w:val="28"/>
          <w:szCs w:val="28"/>
        </w:rPr>
        <w:t>Anthologies of Interest;</w:t>
      </w:r>
      <w:r w:rsidRPr="00FE7EAF">
        <w:rPr>
          <w:rFonts w:asciiTheme="majorBidi" w:hAnsiTheme="majorBidi" w:cstheme="majorBidi"/>
          <w:b/>
          <w:i/>
          <w:sz w:val="28"/>
          <w:szCs w:val="28"/>
        </w:rPr>
        <w:t xml:space="preserve"> Ghost Town, </w:t>
      </w:r>
      <w:proofErr w:type="gramStart"/>
      <w:r w:rsidRPr="00FE7EAF">
        <w:rPr>
          <w:rFonts w:asciiTheme="majorBidi" w:hAnsiTheme="majorBidi" w:cstheme="majorBidi"/>
          <w:b/>
          <w:i/>
          <w:sz w:val="28"/>
          <w:szCs w:val="28"/>
        </w:rPr>
        <w:t>The</w:t>
      </w:r>
      <w:proofErr w:type="gramEnd"/>
      <w:r w:rsidRPr="00FE7EAF">
        <w:rPr>
          <w:rFonts w:asciiTheme="majorBidi" w:hAnsiTheme="majorBidi" w:cstheme="majorBidi"/>
          <w:b/>
          <w:i/>
          <w:sz w:val="28"/>
          <w:szCs w:val="28"/>
        </w:rPr>
        <w:t xml:space="preserve"> Haunted Book, &amp; Haunted.</w:t>
      </w:r>
    </w:p>
    <w:p w14:paraId="4D012ED1" w14:textId="77777777" w:rsidR="00C111D3" w:rsidRPr="00505CF0" w:rsidRDefault="00C111D3" w:rsidP="004C3EE0">
      <w:pPr>
        <w:spacing w:line="480" w:lineRule="auto"/>
        <w:jc w:val="both"/>
        <w:rPr>
          <w:rFonts w:asciiTheme="majorBidi" w:hAnsiTheme="majorBidi" w:cstheme="majorBidi"/>
        </w:rPr>
      </w:pPr>
    </w:p>
    <w:p w14:paraId="416DF5EC" w14:textId="5CD1BFA0"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anthology is seeing something of </w:t>
      </w:r>
      <w:proofErr w:type="gramStart"/>
      <w:r w:rsidRPr="00505CF0">
        <w:rPr>
          <w:rFonts w:asciiTheme="majorBidi" w:hAnsiTheme="majorBidi" w:cstheme="majorBidi"/>
          <w:sz w:val="24"/>
          <w:szCs w:val="24"/>
        </w:rPr>
        <w:t>a resurgence</w:t>
      </w:r>
      <w:proofErr w:type="gramEnd"/>
      <w:r w:rsidRPr="00505CF0">
        <w:rPr>
          <w:rFonts w:asciiTheme="majorBidi" w:hAnsiTheme="majorBidi" w:cstheme="majorBidi"/>
          <w:sz w:val="24"/>
          <w:szCs w:val="24"/>
        </w:rPr>
        <w:t xml:space="preserve"> in contemporary artistic production. In terms of film and televisual content, a small spate of new anthology texts has gained notoriety in recent years, prime examples being that of the Charlie Brooker’s </w:t>
      </w:r>
      <w:r w:rsidRPr="00505CF0">
        <w:rPr>
          <w:rFonts w:asciiTheme="majorBidi" w:hAnsiTheme="majorBidi" w:cstheme="majorBidi"/>
          <w:i/>
          <w:sz w:val="24"/>
          <w:szCs w:val="24"/>
        </w:rPr>
        <w:t xml:space="preserve">Black </w:t>
      </w:r>
      <w:r w:rsidRPr="00505CF0">
        <w:rPr>
          <w:rFonts w:asciiTheme="majorBidi" w:hAnsiTheme="majorBidi" w:cstheme="majorBidi"/>
          <w:i/>
          <w:iCs/>
          <w:sz w:val="24"/>
          <w:szCs w:val="24"/>
        </w:rPr>
        <w:t xml:space="preserve">Mirror </w:t>
      </w:r>
      <w:r w:rsidRPr="00505CF0">
        <w:rPr>
          <w:rFonts w:asciiTheme="majorBidi" w:hAnsiTheme="majorBidi" w:cstheme="majorBidi"/>
          <w:sz w:val="24"/>
          <w:szCs w:val="24"/>
        </w:rPr>
        <w:t xml:space="preserve">(2011) the BBC’s </w:t>
      </w:r>
      <w:r w:rsidRPr="00505CF0">
        <w:rPr>
          <w:rFonts w:asciiTheme="majorBidi" w:hAnsiTheme="majorBidi" w:cstheme="majorBidi"/>
          <w:i/>
          <w:sz w:val="24"/>
          <w:szCs w:val="24"/>
        </w:rPr>
        <w:t xml:space="preserve">Inside No.9 </w:t>
      </w:r>
      <w:r w:rsidRPr="00505CF0">
        <w:rPr>
          <w:rFonts w:asciiTheme="majorBidi" w:hAnsiTheme="majorBidi" w:cstheme="majorBidi"/>
          <w:sz w:val="24"/>
          <w:szCs w:val="24"/>
        </w:rPr>
        <w:t>(2014)</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CreepyPasta based TV series </w:t>
      </w:r>
      <w:r w:rsidRPr="00505CF0">
        <w:rPr>
          <w:rFonts w:asciiTheme="majorBidi" w:hAnsiTheme="majorBidi" w:cstheme="majorBidi"/>
          <w:i/>
          <w:sz w:val="24"/>
          <w:szCs w:val="24"/>
        </w:rPr>
        <w:t xml:space="preserve">Channel Zero </w:t>
      </w:r>
      <w:r w:rsidRPr="00505CF0">
        <w:rPr>
          <w:rFonts w:asciiTheme="majorBidi" w:hAnsiTheme="majorBidi" w:cstheme="majorBidi"/>
          <w:sz w:val="24"/>
          <w:szCs w:val="24"/>
        </w:rPr>
        <w:t>(2016)</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and the wildly successful </w:t>
      </w:r>
      <w:r w:rsidRPr="00505CF0">
        <w:rPr>
          <w:rFonts w:asciiTheme="majorBidi" w:hAnsiTheme="majorBidi" w:cstheme="majorBidi"/>
          <w:i/>
          <w:sz w:val="24"/>
          <w:szCs w:val="24"/>
        </w:rPr>
        <w:t xml:space="preserve">American Horror Story </w:t>
      </w:r>
      <w:r w:rsidRPr="00505CF0">
        <w:rPr>
          <w:rFonts w:asciiTheme="majorBidi" w:hAnsiTheme="majorBidi" w:cstheme="majorBidi"/>
          <w:sz w:val="24"/>
          <w:szCs w:val="24"/>
        </w:rPr>
        <w:t>(2011)</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the latter two of which provide a stand-alone story each season as part of the anthological whole, while the first two showcase individual stories per episode. In film, both </w:t>
      </w:r>
      <w:r w:rsidRPr="00505CF0">
        <w:rPr>
          <w:rFonts w:asciiTheme="majorBidi" w:hAnsiTheme="majorBidi" w:cstheme="majorBidi"/>
          <w:i/>
          <w:sz w:val="24"/>
          <w:szCs w:val="24"/>
        </w:rPr>
        <w:t xml:space="preserve">The ABCs of Death </w:t>
      </w:r>
      <w:r w:rsidRPr="00505CF0">
        <w:rPr>
          <w:rFonts w:asciiTheme="majorBidi" w:hAnsiTheme="majorBidi" w:cstheme="majorBidi"/>
          <w:sz w:val="24"/>
          <w:szCs w:val="24"/>
        </w:rPr>
        <w:t>(2012)</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and </w:t>
      </w:r>
      <w:r w:rsidRPr="00505CF0">
        <w:rPr>
          <w:rFonts w:asciiTheme="majorBidi" w:hAnsiTheme="majorBidi" w:cstheme="majorBidi"/>
          <w:i/>
          <w:sz w:val="24"/>
          <w:szCs w:val="24"/>
        </w:rPr>
        <w:t xml:space="preserve">V/H/S </w:t>
      </w:r>
      <w:r w:rsidRPr="00505CF0">
        <w:rPr>
          <w:rFonts w:asciiTheme="majorBidi" w:hAnsiTheme="majorBidi" w:cstheme="majorBidi"/>
          <w:sz w:val="24"/>
          <w:szCs w:val="24"/>
        </w:rPr>
        <w:t xml:space="preserve">(2012), along with their inevitable sequels – </w:t>
      </w:r>
      <w:r w:rsidRPr="00505CF0">
        <w:rPr>
          <w:rFonts w:asciiTheme="majorBidi" w:hAnsiTheme="majorBidi" w:cstheme="majorBidi"/>
          <w:i/>
          <w:sz w:val="24"/>
          <w:szCs w:val="24"/>
        </w:rPr>
        <w:t xml:space="preserve">The ABCs of Death 2 </w:t>
      </w:r>
      <w:r w:rsidRPr="00505CF0">
        <w:rPr>
          <w:rFonts w:asciiTheme="majorBidi" w:hAnsiTheme="majorBidi" w:cstheme="majorBidi"/>
          <w:sz w:val="24"/>
          <w:szCs w:val="24"/>
        </w:rPr>
        <w:t>(2014)</w:t>
      </w:r>
      <w:r w:rsidRPr="00505CF0">
        <w:rPr>
          <w:rFonts w:asciiTheme="majorBidi" w:hAnsiTheme="majorBidi" w:cstheme="majorBidi"/>
          <w:i/>
          <w:sz w:val="24"/>
          <w:szCs w:val="24"/>
        </w:rPr>
        <w:t xml:space="preserve">, The ABCs of Death 2.5 </w:t>
      </w:r>
      <w:r w:rsidRPr="00505CF0">
        <w:rPr>
          <w:rFonts w:asciiTheme="majorBidi" w:hAnsiTheme="majorBidi" w:cstheme="majorBidi"/>
          <w:sz w:val="24"/>
          <w:szCs w:val="24"/>
        </w:rPr>
        <w:t>(2016)</w:t>
      </w:r>
      <w:r w:rsidRPr="00505CF0">
        <w:rPr>
          <w:rFonts w:asciiTheme="majorBidi" w:hAnsiTheme="majorBidi" w:cstheme="majorBidi"/>
          <w:i/>
          <w:sz w:val="24"/>
          <w:szCs w:val="24"/>
        </w:rPr>
        <w:t>,</w:t>
      </w:r>
      <w:r w:rsidRPr="00505CF0">
        <w:rPr>
          <w:rFonts w:asciiTheme="majorBidi" w:hAnsiTheme="majorBidi" w:cstheme="majorBidi"/>
          <w:sz w:val="24"/>
          <w:szCs w:val="24"/>
        </w:rPr>
        <w:t xml:space="preserve"> </w:t>
      </w:r>
      <w:r w:rsidRPr="00505CF0">
        <w:rPr>
          <w:rFonts w:asciiTheme="majorBidi" w:hAnsiTheme="majorBidi" w:cstheme="majorBidi"/>
          <w:i/>
          <w:sz w:val="24"/>
          <w:szCs w:val="24"/>
        </w:rPr>
        <w:t xml:space="preserve">V/H/S 2 </w:t>
      </w:r>
      <w:r w:rsidRPr="00505CF0">
        <w:rPr>
          <w:rFonts w:asciiTheme="majorBidi" w:hAnsiTheme="majorBidi" w:cstheme="majorBidi"/>
          <w:sz w:val="24"/>
          <w:szCs w:val="24"/>
        </w:rPr>
        <w:t>(2013)</w:t>
      </w:r>
      <w:r w:rsidRPr="00505CF0">
        <w:rPr>
          <w:rFonts w:asciiTheme="majorBidi" w:hAnsiTheme="majorBidi" w:cstheme="majorBidi"/>
          <w:i/>
          <w:sz w:val="24"/>
          <w:szCs w:val="24"/>
        </w:rPr>
        <w:t xml:space="preserve">, V/H/S: Viral </w:t>
      </w:r>
      <w:r w:rsidRPr="00505CF0">
        <w:rPr>
          <w:rFonts w:asciiTheme="majorBidi" w:hAnsiTheme="majorBidi" w:cstheme="majorBidi"/>
          <w:sz w:val="24"/>
          <w:szCs w:val="24"/>
        </w:rPr>
        <w:t xml:space="preserve">(2014) </w:t>
      </w:r>
      <w:proofErr w:type="gramStart"/>
      <w:r w:rsidRPr="00505CF0">
        <w:rPr>
          <w:rFonts w:asciiTheme="majorBidi" w:hAnsiTheme="majorBidi" w:cstheme="majorBidi"/>
          <w:sz w:val="24"/>
          <w:szCs w:val="24"/>
        </w:rPr>
        <w:t>–  follow</w:t>
      </w:r>
      <w:proofErr w:type="gramEnd"/>
      <w:r w:rsidRPr="00505CF0">
        <w:rPr>
          <w:rFonts w:asciiTheme="majorBidi" w:hAnsiTheme="majorBidi" w:cstheme="majorBidi"/>
          <w:sz w:val="24"/>
          <w:szCs w:val="24"/>
        </w:rPr>
        <w:t xml:space="preserve"> a similar pattern in presenting a selection of short stories framed around a central concept or theme. Similarly in fiction, several notable examples of anthology texts have arisen in the post-postmodern period that evidence a societal move, or desire for such a move, away from the postmodern paradigms that have dominated cultural production.</w:t>
      </w:r>
    </w:p>
    <w:p w14:paraId="32802B16" w14:textId="2B73C972"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Patrick McGrath’s </w:t>
      </w:r>
      <w:r w:rsidRPr="00505CF0">
        <w:rPr>
          <w:rFonts w:asciiTheme="majorBidi" w:hAnsiTheme="majorBidi" w:cstheme="majorBidi"/>
          <w:i/>
          <w:sz w:val="24"/>
          <w:szCs w:val="24"/>
        </w:rPr>
        <w:t>Ghost Town</w:t>
      </w:r>
      <w:r w:rsidRPr="00505CF0">
        <w:rPr>
          <w:rFonts w:asciiTheme="majorBidi" w:hAnsiTheme="majorBidi" w:cstheme="majorBidi"/>
          <w:sz w:val="24"/>
          <w:szCs w:val="24"/>
        </w:rPr>
        <w:t>, as the first such example, can be most succinctly summarised by its own subtitle ‘Tales of Manhattan Then and Now,’ and indeed recounts three separate tales located in Manhattan at varying stages of its development; 1777 in ‘Year of the Gibbet’ focusing on the war of independence, ~1850 in ‘Julius’</w:t>
      </w:r>
      <w:r w:rsidRPr="00505CF0">
        <w:rPr>
          <w:rStyle w:val="FootnoteReference"/>
          <w:rFonts w:asciiTheme="majorBidi" w:hAnsiTheme="majorBidi" w:cstheme="majorBidi"/>
          <w:i/>
          <w:sz w:val="24"/>
          <w:szCs w:val="24"/>
        </w:rPr>
        <w:footnoteReference w:id="470"/>
      </w:r>
      <w:r w:rsidRPr="00505CF0">
        <w:rPr>
          <w:rFonts w:asciiTheme="majorBidi" w:hAnsiTheme="majorBidi" w:cstheme="majorBidi"/>
          <w:i/>
          <w:sz w:val="24"/>
          <w:szCs w:val="24"/>
        </w:rPr>
        <w:t xml:space="preserve"> </w:t>
      </w:r>
      <w:r w:rsidRPr="00505CF0">
        <w:rPr>
          <w:rFonts w:asciiTheme="majorBidi" w:hAnsiTheme="majorBidi" w:cstheme="majorBidi"/>
          <w:sz w:val="24"/>
          <w:szCs w:val="24"/>
        </w:rPr>
        <w:t>as the American empire flourishes, and 2001 in ‘Ground Zero’ which deals, not surprisingly, with the aftermath of the September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terrorist attacks on the World Trade Center</w:t>
      </w:r>
      <w:r w:rsidRPr="00505CF0">
        <w:rPr>
          <w:rFonts w:asciiTheme="majorBidi" w:hAnsiTheme="majorBidi" w:cstheme="majorBidi"/>
          <w:i/>
          <w:sz w:val="24"/>
          <w:szCs w:val="24"/>
        </w:rPr>
        <w:t>.</w:t>
      </w:r>
      <w:r w:rsidRPr="00505CF0">
        <w:rPr>
          <w:rFonts w:asciiTheme="majorBidi" w:hAnsiTheme="majorBidi" w:cstheme="majorBidi"/>
          <w:sz w:val="24"/>
          <w:szCs w:val="24"/>
        </w:rPr>
        <w:t xml:space="preserve"> The triptych formed by these texts presents an interesting site for thematic consideration. Originally ostensibly appearing just as described, three tales of the developing Manhattan, and by extension America itself, the texts could easily be argued to represent a development of McGrath’s own works in which he moves from a more classically Gothic mode (‘Year of the Gibbet’</w:t>
      </w:r>
      <w:r w:rsidRPr="00505CF0">
        <w:rPr>
          <w:rFonts w:asciiTheme="majorBidi" w:hAnsiTheme="majorBidi" w:cstheme="majorBidi"/>
          <w:i/>
          <w:sz w:val="24"/>
          <w:szCs w:val="24"/>
        </w:rPr>
        <w:t xml:space="preserve"> </w:t>
      </w:r>
      <w:r w:rsidRPr="00505CF0">
        <w:rPr>
          <w:rFonts w:asciiTheme="majorBidi" w:hAnsiTheme="majorBidi" w:cstheme="majorBidi"/>
          <w:iCs/>
          <w:sz w:val="24"/>
          <w:szCs w:val="24"/>
        </w:rPr>
        <w:t>is representative of</w:t>
      </w:r>
      <w:r w:rsidRPr="00505CF0">
        <w:rPr>
          <w:rFonts w:asciiTheme="majorBidi" w:hAnsiTheme="majorBidi" w:cstheme="majorBidi"/>
          <w:i/>
          <w:sz w:val="24"/>
          <w:szCs w:val="24"/>
        </w:rPr>
        <w:t xml:space="preserve"> The Grotesque, Spider, </w:t>
      </w:r>
      <w:r w:rsidRPr="00505CF0">
        <w:rPr>
          <w:rFonts w:asciiTheme="majorBidi" w:hAnsiTheme="majorBidi" w:cstheme="majorBidi"/>
          <w:iCs/>
          <w:sz w:val="24"/>
          <w:szCs w:val="24"/>
        </w:rPr>
        <w:t xml:space="preserve">and </w:t>
      </w:r>
      <w:r w:rsidRPr="00505CF0">
        <w:rPr>
          <w:rFonts w:asciiTheme="majorBidi" w:hAnsiTheme="majorBidi" w:cstheme="majorBidi"/>
          <w:i/>
          <w:sz w:val="24"/>
          <w:szCs w:val="24"/>
        </w:rPr>
        <w:t>Dr.Haggard’s Disease)</w:t>
      </w:r>
      <w:r w:rsidRPr="00505CF0">
        <w:rPr>
          <w:rFonts w:asciiTheme="majorBidi" w:hAnsiTheme="majorBidi" w:cstheme="majorBidi"/>
          <w:sz w:val="24"/>
          <w:szCs w:val="24"/>
        </w:rPr>
        <w:t>, through family/psychosexual drama (‘Julius’</w:t>
      </w:r>
      <w:r w:rsidR="000100F1">
        <w:rPr>
          <w:rFonts w:asciiTheme="majorBidi" w:hAnsiTheme="majorBidi" w:cstheme="majorBidi"/>
          <w:sz w:val="24"/>
          <w:szCs w:val="24"/>
        </w:rPr>
        <w:t xml:space="preserve"> </w:t>
      </w:r>
      <w:r w:rsidRPr="00505CF0">
        <w:rPr>
          <w:rFonts w:asciiTheme="majorBidi" w:hAnsiTheme="majorBidi" w:cstheme="majorBidi"/>
          <w:iCs/>
          <w:sz w:val="24"/>
          <w:szCs w:val="24"/>
        </w:rPr>
        <w:t>is representative of</w:t>
      </w:r>
      <w:r w:rsidRPr="00505CF0">
        <w:rPr>
          <w:rFonts w:asciiTheme="majorBidi" w:hAnsiTheme="majorBidi" w:cstheme="majorBidi"/>
          <w:i/>
          <w:sz w:val="24"/>
          <w:szCs w:val="24"/>
        </w:rPr>
        <w:t xml:space="preserve"> Asylum, Martha Peake, </w:t>
      </w:r>
      <w:r w:rsidRPr="00505CF0">
        <w:rPr>
          <w:rFonts w:asciiTheme="majorBidi" w:hAnsiTheme="majorBidi" w:cstheme="majorBidi"/>
          <w:iCs/>
          <w:sz w:val="24"/>
          <w:szCs w:val="24"/>
        </w:rPr>
        <w:t>and</w:t>
      </w:r>
      <w:r w:rsidRPr="00505CF0">
        <w:rPr>
          <w:rFonts w:asciiTheme="majorBidi" w:hAnsiTheme="majorBidi" w:cstheme="majorBidi"/>
          <w:i/>
          <w:sz w:val="24"/>
          <w:szCs w:val="24"/>
        </w:rPr>
        <w:t xml:space="preserve"> Port Mungo</w:t>
      </w:r>
      <w:r w:rsidRPr="00505CF0">
        <w:rPr>
          <w:rFonts w:asciiTheme="majorBidi" w:hAnsiTheme="majorBidi" w:cstheme="majorBidi"/>
          <w:sz w:val="24"/>
          <w:szCs w:val="24"/>
        </w:rPr>
        <w:t>), to a final prediction of his works to follow</w:t>
      </w:r>
      <w:r w:rsidR="000100F1">
        <w:rPr>
          <w:rFonts w:asciiTheme="majorBidi" w:hAnsiTheme="majorBidi" w:cstheme="majorBidi"/>
          <w:sz w:val="24"/>
          <w:szCs w:val="24"/>
        </w:rPr>
        <w:t xml:space="preserve">– </w:t>
      </w:r>
      <w:r w:rsidRPr="00505CF0">
        <w:rPr>
          <w:rFonts w:asciiTheme="majorBidi" w:hAnsiTheme="majorBidi" w:cstheme="majorBidi"/>
          <w:sz w:val="24"/>
          <w:szCs w:val="24"/>
        </w:rPr>
        <w:t xml:space="preserve"> subtle psychological trauma and the repercussions of repression dressed lightly in Gothic garb (‘Ground Zero’</w:t>
      </w:r>
      <w:r w:rsidRPr="00505CF0">
        <w:rPr>
          <w:rFonts w:asciiTheme="majorBidi" w:hAnsiTheme="majorBidi" w:cstheme="majorBidi"/>
          <w:iCs/>
          <w:sz w:val="24"/>
          <w:szCs w:val="24"/>
        </w:rPr>
        <w:t xml:space="preserve"> is representative of</w:t>
      </w:r>
      <w:r w:rsidRPr="00505CF0">
        <w:rPr>
          <w:rFonts w:asciiTheme="majorBidi" w:hAnsiTheme="majorBidi" w:cstheme="majorBidi"/>
          <w:i/>
          <w:sz w:val="24"/>
          <w:szCs w:val="24"/>
        </w:rPr>
        <w:t xml:space="preserve"> Trauma, Constance, </w:t>
      </w:r>
      <w:r w:rsidRPr="00505CF0">
        <w:rPr>
          <w:rFonts w:asciiTheme="majorBidi" w:hAnsiTheme="majorBidi" w:cstheme="majorBidi"/>
          <w:iCs/>
          <w:sz w:val="24"/>
          <w:szCs w:val="24"/>
        </w:rPr>
        <w:t xml:space="preserve">and </w:t>
      </w:r>
      <w:r w:rsidRPr="00505CF0">
        <w:rPr>
          <w:rFonts w:asciiTheme="majorBidi" w:hAnsiTheme="majorBidi" w:cstheme="majorBidi"/>
          <w:i/>
          <w:sz w:val="24"/>
          <w:szCs w:val="24"/>
        </w:rPr>
        <w:t>The Wardrobe Mistress</w:t>
      </w:r>
      <w:r w:rsidRPr="00505CF0">
        <w:rPr>
          <w:rFonts w:asciiTheme="majorBidi" w:hAnsiTheme="majorBidi" w:cstheme="majorBidi"/>
          <w:sz w:val="24"/>
          <w:szCs w:val="24"/>
        </w:rPr>
        <w:t>). However, on a less metabibliographical level, the anthology, as a whole, presents a single thematic treatment of the concept of cultural threat.</w:t>
      </w:r>
      <w:r w:rsidR="00A452B5">
        <w:rPr>
          <w:rStyle w:val="FootnoteReference"/>
          <w:rFonts w:asciiTheme="majorBidi" w:hAnsiTheme="majorBidi" w:cstheme="majorBidi"/>
          <w:sz w:val="24"/>
          <w:szCs w:val="24"/>
        </w:rPr>
        <w:footnoteReference w:id="471"/>
      </w:r>
      <w:r w:rsidRPr="00505CF0">
        <w:rPr>
          <w:rFonts w:asciiTheme="majorBidi" w:hAnsiTheme="majorBidi" w:cstheme="majorBidi"/>
          <w:sz w:val="24"/>
          <w:szCs w:val="24"/>
        </w:rPr>
        <w:t xml:space="preserve"> In ‘Year of the Gibbet,’</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the threat is that of the paternal, of the English invaders destroying the inchoate and infant America as-yet-to-be, treated here as a malign, sexually deviant, and malicious influence as personified by the central antagonist of Lord John Hyde.  In ‘Julius,’ the threat progress from without to within (not a military invasion, but a flood of immigration that has already happened), and is represented by the threat of Irish immigrants to the purity of the growing American Empire, the apparent source of diseases that are observed to flourish in the ‘narrow city streets and fetid courtyards’ where they are seen to squat.</w:t>
      </w:r>
      <w:r w:rsidRPr="00505CF0">
        <w:rPr>
          <w:rStyle w:val="FootnoteReference"/>
          <w:rFonts w:asciiTheme="majorBidi" w:hAnsiTheme="majorBidi" w:cstheme="majorBidi"/>
          <w:sz w:val="24"/>
          <w:szCs w:val="24"/>
        </w:rPr>
        <w:footnoteReference w:id="472"/>
      </w:r>
      <w:r w:rsidRPr="00505CF0">
        <w:rPr>
          <w:rFonts w:asciiTheme="majorBidi" w:hAnsiTheme="majorBidi" w:cstheme="majorBidi"/>
          <w:sz w:val="24"/>
          <w:szCs w:val="24"/>
        </w:rPr>
        <w:t xml:space="preserve"> Annie Kelly, the life artist who young Julius falls in love with is just such an Irish immigrant and serves as the contested woman around whose death Julius’s madness centres. These events force the end of the family line. Finally, ‘Ground Zero’</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perhaps most clearly engages with ideas of cultural threat, though combing elements of external and internal threat from the previous stories: Dan, the central character, is initially threatened by the September 11</w:t>
      </w:r>
      <w:r w:rsidRPr="00505CF0">
        <w:rPr>
          <w:rFonts w:asciiTheme="majorBidi" w:hAnsiTheme="majorBidi" w:cstheme="majorBidi"/>
          <w:sz w:val="24"/>
          <w:szCs w:val="24"/>
          <w:vertAlign w:val="superscript"/>
        </w:rPr>
        <w:t>th</w:t>
      </w:r>
      <w:r w:rsidRPr="00505CF0">
        <w:rPr>
          <w:rFonts w:asciiTheme="majorBidi" w:hAnsiTheme="majorBidi" w:cstheme="majorBidi"/>
          <w:sz w:val="24"/>
          <w:szCs w:val="24"/>
        </w:rPr>
        <w:t xml:space="preserve"> terrorist attacks, believing that these external threats were in some way ‘directed at himself,’ yet also speaks to his psychiatrist, the protagonist-narrator of the tale, of his fear of the internal American political reactions: ‘He feared that congress was going to push through a bill letting federal agents lock up anyone they didn’t like the look of. He said these powers would be exercised with no judicial oversight, and the people the feds locked up would have no access to legal representation.’</w:t>
      </w:r>
      <w:r w:rsidRPr="00505CF0">
        <w:rPr>
          <w:rStyle w:val="FootnoteReference"/>
          <w:rFonts w:asciiTheme="majorBidi" w:hAnsiTheme="majorBidi" w:cstheme="majorBidi"/>
          <w:sz w:val="24"/>
          <w:szCs w:val="24"/>
        </w:rPr>
        <w:footnoteReference w:id="473"/>
      </w:r>
      <w:r w:rsidRPr="00505CF0">
        <w:rPr>
          <w:rFonts w:asciiTheme="majorBidi" w:hAnsiTheme="majorBidi" w:cstheme="majorBidi"/>
          <w:i/>
          <w:sz w:val="24"/>
          <w:szCs w:val="24"/>
        </w:rPr>
        <w:t xml:space="preserve"> </w:t>
      </w:r>
      <w:r w:rsidRPr="00505CF0">
        <w:rPr>
          <w:rFonts w:asciiTheme="majorBidi" w:hAnsiTheme="majorBidi" w:cstheme="majorBidi"/>
          <w:sz w:val="24"/>
          <w:szCs w:val="24"/>
        </w:rPr>
        <w:t>While Dan’s ‘troublesome thoughts’</w:t>
      </w:r>
      <w:r w:rsidRPr="00505CF0">
        <w:rPr>
          <w:rStyle w:val="FootnoteReference"/>
          <w:rFonts w:asciiTheme="majorBidi" w:hAnsiTheme="majorBidi" w:cstheme="majorBidi"/>
          <w:sz w:val="24"/>
          <w:szCs w:val="24"/>
        </w:rPr>
        <w:footnoteReference w:id="474"/>
      </w:r>
      <w:r w:rsidRPr="00505CF0">
        <w:rPr>
          <w:rFonts w:asciiTheme="majorBidi" w:hAnsiTheme="majorBidi" w:cstheme="majorBidi"/>
          <w:sz w:val="24"/>
          <w:szCs w:val="24"/>
        </w:rPr>
        <w:t xml:space="preserve"> provide an example of the </w:t>
      </w:r>
      <w:r w:rsidRPr="00505CF0">
        <w:rPr>
          <w:rFonts w:asciiTheme="majorBidi" w:hAnsiTheme="majorBidi" w:cstheme="majorBidi"/>
          <w:i/>
          <w:sz w:val="24"/>
          <w:szCs w:val="24"/>
        </w:rPr>
        <w:t xml:space="preserve">reactions </w:t>
      </w:r>
      <w:r w:rsidRPr="00505CF0">
        <w:rPr>
          <w:rFonts w:asciiTheme="majorBidi" w:hAnsiTheme="majorBidi" w:cstheme="majorBidi"/>
          <w:sz w:val="24"/>
          <w:szCs w:val="24"/>
        </w:rPr>
        <w:t>to the cultural threat of terrorism, the psychiatrist herself provides the more detailed exploration of the effects of such, particularly in her overt racism and xenophobia with regard to the Asian prostitute who Dan finds comfort with immediately following the attacks. She refers to Kim Lee throughout in debasing terms, calling her a ‘creature,’</w:t>
      </w:r>
      <w:r w:rsidRPr="00505CF0">
        <w:rPr>
          <w:rStyle w:val="FootnoteReference"/>
          <w:rFonts w:asciiTheme="majorBidi" w:hAnsiTheme="majorBidi" w:cstheme="majorBidi"/>
          <w:sz w:val="24"/>
          <w:szCs w:val="24"/>
        </w:rPr>
        <w:footnoteReference w:id="475"/>
      </w:r>
      <w:r w:rsidRPr="00505CF0">
        <w:rPr>
          <w:rFonts w:asciiTheme="majorBidi" w:hAnsiTheme="majorBidi" w:cstheme="majorBidi"/>
          <w:sz w:val="24"/>
          <w:szCs w:val="24"/>
        </w:rPr>
        <w:t xml:space="preserve"> ‘not beautiful, but certainly feline,’ having ‘a slick helmet of hair,’ carrying herself with ‘arrogance’ and ‘cruelty,’ as ‘a petite slinking creature,’</w:t>
      </w:r>
      <w:r w:rsidRPr="00505CF0">
        <w:rPr>
          <w:rStyle w:val="FootnoteReference"/>
          <w:rFonts w:asciiTheme="majorBidi" w:hAnsiTheme="majorBidi" w:cstheme="majorBidi"/>
          <w:sz w:val="24"/>
          <w:szCs w:val="24"/>
        </w:rPr>
        <w:footnoteReference w:id="476"/>
      </w:r>
      <w:r w:rsidRPr="00505CF0">
        <w:rPr>
          <w:rFonts w:asciiTheme="majorBidi" w:hAnsiTheme="majorBidi" w:cstheme="majorBidi"/>
          <w:sz w:val="24"/>
          <w:szCs w:val="24"/>
        </w:rPr>
        <w:t xml:space="preserve"> a ’sociopath’</w:t>
      </w:r>
      <w:r w:rsidRPr="00505CF0">
        <w:rPr>
          <w:rStyle w:val="FootnoteReference"/>
          <w:rFonts w:asciiTheme="majorBidi" w:hAnsiTheme="majorBidi" w:cstheme="majorBidi"/>
          <w:sz w:val="24"/>
          <w:szCs w:val="24"/>
        </w:rPr>
        <w:footnoteReference w:id="477"/>
      </w:r>
      <w:r w:rsidRPr="00505CF0">
        <w:rPr>
          <w:rFonts w:asciiTheme="majorBidi" w:hAnsiTheme="majorBidi" w:cstheme="majorBidi"/>
          <w:sz w:val="24"/>
          <w:szCs w:val="24"/>
        </w:rPr>
        <w:t xml:space="preserve"> with ‘a vicious little face.’</w:t>
      </w:r>
      <w:r w:rsidRPr="00505CF0">
        <w:rPr>
          <w:rStyle w:val="FootnoteReference"/>
          <w:rFonts w:asciiTheme="majorBidi" w:hAnsiTheme="majorBidi" w:cstheme="majorBidi"/>
          <w:sz w:val="24"/>
          <w:szCs w:val="24"/>
        </w:rPr>
        <w:footnoteReference w:id="478"/>
      </w:r>
      <w:r w:rsidRPr="00505CF0">
        <w:rPr>
          <w:rFonts w:asciiTheme="majorBidi" w:hAnsiTheme="majorBidi" w:cstheme="majorBidi"/>
          <w:sz w:val="24"/>
          <w:szCs w:val="24"/>
        </w:rPr>
        <w:t xml:space="preserve"> Kim Lee devolves from an escort to a ‘Chinese hooker,’</w:t>
      </w:r>
      <w:r w:rsidRPr="00505CF0">
        <w:rPr>
          <w:rStyle w:val="FootnoteReference"/>
          <w:rFonts w:asciiTheme="majorBidi" w:hAnsiTheme="majorBidi" w:cstheme="majorBidi"/>
          <w:sz w:val="24"/>
          <w:szCs w:val="24"/>
        </w:rPr>
        <w:footnoteReference w:id="479"/>
      </w:r>
      <w:r w:rsidRPr="00505CF0">
        <w:rPr>
          <w:rFonts w:asciiTheme="majorBidi" w:hAnsiTheme="majorBidi" w:cstheme="majorBidi"/>
          <w:sz w:val="24"/>
          <w:szCs w:val="24"/>
        </w:rPr>
        <w:t xml:space="preserve"> once the psychiatrist learns of her ethnicity, and as her attitude towards the potential threat of a foreign other begins to grow in the wake of the grand cultural threat of 9/11.</w:t>
      </w:r>
    </w:p>
    <w:p w14:paraId="7A01C85A" w14:textId="752045E8"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How does this pull us away from the postmodern? In creating such a collection which establishes both a metabibliographic linearity (aware of its own place within the author’s biblio</w:t>
      </w:r>
      <w:r w:rsidR="00757035">
        <w:rPr>
          <w:rFonts w:asciiTheme="majorBidi" w:hAnsiTheme="majorBidi" w:cstheme="majorBidi"/>
          <w:sz w:val="24"/>
          <w:szCs w:val="24"/>
        </w:rPr>
        <w:t>g</w:t>
      </w:r>
      <w:r w:rsidRPr="00505CF0">
        <w:rPr>
          <w:rFonts w:asciiTheme="majorBidi" w:hAnsiTheme="majorBidi" w:cstheme="majorBidi"/>
          <w:sz w:val="24"/>
          <w:szCs w:val="24"/>
        </w:rPr>
        <w:t xml:space="preserve">raphy) to McGrath’s own works, but more so in the thematic explorations of cultural threat, McGrath’s text pushes the reader up against the postmodern ‘rejection of wholeness,’ forcing the suggestion of a thematic link between seeming disparate texts; regardless of the situation, the same concepts of threat to established cultures are a continuing problem and, far from a seemingly damning account of these problems, such a narrative provides an almost positive message about the indomitable nature of human culture. To wit: there have always been threats to the established culture of the period, yet the civilization continues regardless. The metabibliographic elements identified, too, add to this idea of a fragmentation not for fragmentation’s sake, but rather positing each section as a part of a larger whole, an exemplar of a specific movement in McGrath’s own treatment of the Gothic, or perhaps even charting a movement within the genre itself. </w:t>
      </w:r>
      <w:proofErr w:type="gramStart"/>
      <w:r w:rsidRPr="00505CF0">
        <w:rPr>
          <w:rFonts w:asciiTheme="majorBidi" w:hAnsiTheme="majorBidi" w:cstheme="majorBidi"/>
          <w:sz w:val="24"/>
          <w:szCs w:val="24"/>
        </w:rPr>
        <w:t>A movement from skulls, disease, nationalism and heroines, through family drama, psycho-sexual madness, and romantic artists, finally to rest on more contemporary depictions of Gothic as exploring trauma, psychologically explicable mental conditions, hauntology, and terror.</w:t>
      </w:r>
      <w:proofErr w:type="gramEnd"/>
      <w:r w:rsidRPr="00505CF0">
        <w:rPr>
          <w:rFonts w:asciiTheme="majorBidi" w:hAnsiTheme="majorBidi" w:cstheme="majorBidi"/>
          <w:sz w:val="24"/>
          <w:szCs w:val="24"/>
        </w:rPr>
        <w:t xml:space="preserve"> Sue Zlosnik, too, argues for a thematic link between the three texts as that of the ‘dead mother.’ Zlosnik identifies this ‘larger patterning’ of the trio in ‘Year of the Gibbet’ first, where the dead mother ‘has an all too visible presence,’ and similarly points to Julius’s mother as haunting ‘Julius’ ‘as an absence,’ having died in childbirth to the title character.</w:t>
      </w:r>
      <w:r w:rsidRPr="00505CF0">
        <w:rPr>
          <w:rStyle w:val="FootnoteReference"/>
          <w:rFonts w:asciiTheme="majorBidi" w:hAnsiTheme="majorBidi" w:cstheme="majorBidi"/>
          <w:sz w:val="24"/>
          <w:szCs w:val="24"/>
        </w:rPr>
        <w:footnoteReference w:id="480"/>
      </w:r>
      <w:r w:rsidRPr="00505CF0">
        <w:rPr>
          <w:rFonts w:asciiTheme="majorBidi" w:hAnsiTheme="majorBidi" w:cstheme="majorBidi"/>
          <w:sz w:val="24"/>
          <w:szCs w:val="24"/>
        </w:rPr>
        <w:t xml:space="preserve"> In ‘Ground Zero,’ too, Dan’s dead mother, according to the narrator, forms the root cause of his psychological issues that first force him to seek psychiatric aid. Again, Zlosnik here identifies another manner in which the anthology expresses a specific thematic form, a series of stories which seem disparate, but in actuality deal with the same singular issue – the Gothic trope</w:t>
      </w:r>
      <w:r w:rsidR="00757035">
        <w:rPr>
          <w:rFonts w:asciiTheme="majorBidi" w:hAnsiTheme="majorBidi" w:cstheme="majorBidi"/>
          <w:sz w:val="24"/>
          <w:szCs w:val="24"/>
        </w:rPr>
        <w:t xml:space="preserve"> of the missing mother</w:t>
      </w:r>
      <w:r w:rsidRPr="00505CF0">
        <w:rPr>
          <w:rFonts w:asciiTheme="majorBidi" w:hAnsiTheme="majorBidi" w:cstheme="majorBidi"/>
          <w:sz w:val="24"/>
          <w:szCs w:val="24"/>
        </w:rPr>
        <w:t>, in this instance – and thus force an iota of assemblage from the fragmentary form and exceed the paradigms of the postmodern. Not by dint of mere thematic link, it should be stressed, but by attempting coherence from within the fragmentary mode.</w:t>
      </w:r>
    </w:p>
    <w:p w14:paraId="31700AF9" w14:textId="0656786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Jeremy Dyson’s </w:t>
      </w:r>
      <w:r w:rsidRPr="00505CF0">
        <w:rPr>
          <w:rFonts w:asciiTheme="majorBidi" w:hAnsiTheme="majorBidi" w:cstheme="majorBidi"/>
          <w:i/>
          <w:sz w:val="24"/>
          <w:szCs w:val="24"/>
        </w:rPr>
        <w:t>The Haunted Book</w:t>
      </w:r>
      <w:r w:rsidRPr="00505CF0">
        <w:rPr>
          <w:rFonts w:asciiTheme="majorBidi" w:hAnsiTheme="majorBidi" w:cstheme="majorBidi"/>
          <w:sz w:val="24"/>
          <w:szCs w:val="24"/>
        </w:rPr>
        <w:t xml:space="preserve"> too envisions the genre’s evolution as the anthology progresses, though here in reverse, ranging from contemporary tales of haunted studios and government secrets, to witches and necromancy. Dyson’s text is an anthology of ghost and supernatural stories, told first through Dyson himself as he travels to the locales of haunted tales in order to get inspiration to convert the oral accounts into written narratives. Dyson soon discovers another book along his travels that seems to reflect his own journey – </w:t>
      </w:r>
      <w:r w:rsidRPr="00505CF0">
        <w:rPr>
          <w:rFonts w:asciiTheme="majorBidi" w:hAnsiTheme="majorBidi" w:cstheme="majorBidi"/>
          <w:i/>
          <w:sz w:val="24"/>
          <w:szCs w:val="24"/>
        </w:rPr>
        <w:t xml:space="preserve">This Book is </w:t>
      </w:r>
      <w:proofErr w:type="gramStart"/>
      <w:r w:rsidRPr="00505CF0">
        <w:rPr>
          <w:rFonts w:asciiTheme="majorBidi" w:hAnsiTheme="majorBidi" w:cstheme="majorBidi"/>
          <w:i/>
          <w:sz w:val="24"/>
          <w:szCs w:val="24"/>
        </w:rPr>
        <w:t>Haunted</w:t>
      </w:r>
      <w:proofErr w:type="gramEnd"/>
      <w:r w:rsidRPr="00505CF0">
        <w:rPr>
          <w:rFonts w:asciiTheme="majorBidi" w:hAnsiTheme="majorBidi" w:cstheme="majorBidi"/>
          <w:sz w:val="24"/>
          <w:szCs w:val="24"/>
        </w:rPr>
        <w:t xml:space="preserve"> by H. Den Fawkes, printed in 1978. The text then turns into a facsimile of Fawkes’s fictional text, again following a writer as he collects tales of the haunted, before he too discovers a book matching his own research in the fictional Sir Eden Vachs’s </w:t>
      </w:r>
      <w:r w:rsidRPr="00505CF0">
        <w:rPr>
          <w:rFonts w:asciiTheme="majorBidi" w:hAnsiTheme="majorBidi" w:cstheme="majorBidi"/>
          <w:i/>
          <w:sz w:val="24"/>
          <w:szCs w:val="24"/>
        </w:rPr>
        <w:t>A Book of Hauntings</w:t>
      </w:r>
      <w:r w:rsidRPr="00505CF0">
        <w:rPr>
          <w:rFonts w:asciiTheme="majorBidi" w:hAnsiTheme="majorBidi" w:cstheme="majorBidi"/>
          <w:sz w:val="24"/>
          <w:szCs w:val="24"/>
        </w:rPr>
        <w:t xml:space="preserve">, purportedly published in 1938, into which the text again becomes a facsimile. Finally Vachs’s account, in the same manner as those two frames as came before, is overtaken by a facsimile of a further examination of ghost stories, here </w:t>
      </w:r>
      <w:r w:rsidRPr="00505CF0">
        <w:rPr>
          <w:rFonts w:asciiTheme="majorBidi" w:hAnsiTheme="majorBidi" w:cstheme="majorBidi"/>
          <w:i/>
          <w:sz w:val="24"/>
          <w:szCs w:val="24"/>
        </w:rPr>
        <w:t>Glimpses in the Twilight</w:t>
      </w:r>
      <w:r w:rsidRPr="00505CF0">
        <w:rPr>
          <w:rFonts w:asciiTheme="majorBidi" w:hAnsiTheme="majorBidi" w:cstheme="majorBidi"/>
          <w:sz w:val="24"/>
          <w:szCs w:val="24"/>
        </w:rPr>
        <w:t xml:space="preserve">, </w:t>
      </w:r>
      <w:r w:rsidRPr="00505CF0">
        <w:rPr>
          <w:rFonts w:asciiTheme="majorBidi" w:hAnsiTheme="majorBidi" w:cstheme="majorBidi"/>
          <w:i/>
          <w:sz w:val="24"/>
          <w:szCs w:val="24"/>
        </w:rPr>
        <w:t xml:space="preserve">being Various Notes, Records, and Examples of The Supernatural </w:t>
      </w:r>
      <w:r w:rsidRPr="00505CF0">
        <w:rPr>
          <w:rFonts w:asciiTheme="majorBidi" w:hAnsiTheme="majorBidi" w:cstheme="majorBidi"/>
          <w:sz w:val="24"/>
          <w:szCs w:val="24"/>
        </w:rPr>
        <w:t>by the Reverend A. Tennethorex (1885).  All of this before the reader emerges into the last 29 pages of the text, which are printed on black paper and burst the ontological levels that the text has raised beyond the bounds of the page and to the reader themselves who, through clever manipulation, is positioned as the final textual layer, the ultimate palimpsest. The haunted ‘book’ of the title is revealed to be the reader of Dyson’s novel who, unbeknownst to themselves, is a futuristic ‘Book’ an ambiguous art</w:t>
      </w:r>
      <w:r w:rsidR="00757035">
        <w:rPr>
          <w:rFonts w:asciiTheme="majorBidi" w:hAnsiTheme="majorBidi" w:cstheme="majorBidi"/>
          <w:sz w:val="24"/>
          <w:szCs w:val="24"/>
        </w:rPr>
        <w:t>e</w:t>
      </w:r>
      <w:r w:rsidRPr="00505CF0">
        <w:rPr>
          <w:rFonts w:asciiTheme="majorBidi" w:hAnsiTheme="majorBidi" w:cstheme="majorBidi"/>
          <w:sz w:val="24"/>
          <w:szCs w:val="24"/>
        </w:rPr>
        <w:t xml:space="preserve">fact into which a supposed ‘Reader,’ a human of the distant future somehow vicariously experiencing the life of the true reader, has become too deeply engrossed </w:t>
      </w:r>
      <w:r w:rsidR="00757035">
        <w:rPr>
          <w:rFonts w:asciiTheme="majorBidi" w:hAnsiTheme="majorBidi" w:cstheme="majorBidi"/>
          <w:sz w:val="24"/>
          <w:szCs w:val="24"/>
        </w:rPr>
        <w:t>with</w:t>
      </w:r>
      <w:r w:rsidRPr="00505CF0">
        <w:rPr>
          <w:rFonts w:asciiTheme="majorBidi" w:hAnsiTheme="majorBidi" w:cstheme="majorBidi"/>
          <w:sz w:val="24"/>
          <w:szCs w:val="24"/>
        </w:rPr>
        <w:t xml:space="preserve">in and must be extracted. The anthology promotes a sceptical deconstructive reading via the open-ended frames which the reader continues to slip deeper into never to emerge, unlike the more traditional Gothic frames which more often than not encapsulate their tales (see, </w:t>
      </w:r>
      <w:r w:rsidRPr="00505CF0">
        <w:rPr>
          <w:rFonts w:asciiTheme="majorBidi" w:hAnsiTheme="majorBidi" w:cstheme="majorBidi"/>
          <w:i/>
          <w:sz w:val="24"/>
          <w:szCs w:val="24"/>
        </w:rPr>
        <w:t xml:space="preserve">Frankenstein, The Private Memoirs and Confessions of a Justified Sinner, Melmoth the Wanderer’s </w:t>
      </w:r>
      <w:r w:rsidRPr="00505CF0">
        <w:rPr>
          <w:rFonts w:asciiTheme="majorBidi" w:hAnsiTheme="majorBidi" w:cstheme="majorBidi"/>
          <w:sz w:val="24"/>
          <w:szCs w:val="24"/>
        </w:rPr>
        <w:t>many nested tales). Expecting the ever</w:t>
      </w:r>
      <w:r w:rsidR="00B00E35">
        <w:rPr>
          <w:rFonts w:asciiTheme="majorBidi" w:hAnsiTheme="majorBidi" w:cstheme="majorBidi"/>
          <w:sz w:val="24"/>
          <w:szCs w:val="24"/>
        </w:rPr>
        <w:t>-</w:t>
      </w:r>
      <w:r w:rsidRPr="00505CF0">
        <w:rPr>
          <w:rFonts w:asciiTheme="majorBidi" w:hAnsiTheme="majorBidi" w:cstheme="majorBidi"/>
          <w:sz w:val="24"/>
          <w:szCs w:val="24"/>
        </w:rPr>
        <w:t xml:space="preserve">delayed return of the opening frames, the reader is drawn further into the text, </w:t>
      </w:r>
      <w:r w:rsidR="00B00E35">
        <w:rPr>
          <w:rFonts w:asciiTheme="majorBidi" w:hAnsiTheme="majorBidi" w:cstheme="majorBidi"/>
          <w:sz w:val="24"/>
          <w:szCs w:val="24"/>
        </w:rPr>
        <w:t xml:space="preserve">thus being </w:t>
      </w:r>
      <w:r w:rsidRPr="00505CF0">
        <w:rPr>
          <w:rFonts w:asciiTheme="majorBidi" w:hAnsiTheme="majorBidi" w:cstheme="majorBidi"/>
          <w:sz w:val="24"/>
          <w:szCs w:val="24"/>
        </w:rPr>
        <w:t>prepar</w:t>
      </w:r>
      <w:r w:rsidR="00B00E35">
        <w:rPr>
          <w:rFonts w:asciiTheme="majorBidi" w:hAnsiTheme="majorBidi" w:cstheme="majorBidi"/>
          <w:sz w:val="24"/>
          <w:szCs w:val="24"/>
        </w:rPr>
        <w:t>ed</w:t>
      </w:r>
      <w:r w:rsidRPr="00505CF0">
        <w:rPr>
          <w:rFonts w:asciiTheme="majorBidi" w:hAnsiTheme="majorBidi" w:cstheme="majorBidi"/>
          <w:sz w:val="24"/>
          <w:szCs w:val="24"/>
        </w:rPr>
        <w:t xml:space="preserve"> for the theme of the black pages and the need to return from being trapped deep in the pages of a Book. Again, the seemingly disparate nature of the anthology serves a larger purpose, and one which is suggestive of a shift away from postmodernism from within. The text engages with postmodern depthlessness, with the tales themselves serving as seemingly emotional ‘bait’ to lure the reader to the finale revelation of the haunted self – as haunted by a future presence – yet it too breaks from postmodern doctrine in doing so. The essential point of the nature of the text is, in essence, to emotionally situate the reader in position for the final reveal. The multiplicity of tales, then, serves less to reinforce an acceptance of multiplicity as emblematic of a general depthlessness of tale, but instead to provide a building sense </w:t>
      </w:r>
      <w:proofErr w:type="gramStart"/>
      <w:r w:rsidRPr="00505CF0">
        <w:rPr>
          <w:rFonts w:asciiTheme="majorBidi" w:hAnsiTheme="majorBidi" w:cstheme="majorBidi"/>
          <w:sz w:val="24"/>
          <w:szCs w:val="24"/>
        </w:rPr>
        <w:t>of a ‘wholeness</w:t>
      </w:r>
      <w:proofErr w:type="gramEnd"/>
      <w:r w:rsidRPr="00505CF0">
        <w:rPr>
          <w:rFonts w:asciiTheme="majorBidi" w:hAnsiTheme="majorBidi" w:cstheme="majorBidi"/>
          <w:sz w:val="24"/>
          <w:szCs w:val="24"/>
        </w:rPr>
        <w:t xml:space="preserve">,’ or rather a depthiness, in which the quest for meaning is forcibly foregrounded against the fragmentation. </w:t>
      </w:r>
    </w:p>
    <w:p w14:paraId="3261CA0D" w14:textId="3EFD10B1"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Similarly, Chuck Palahniuk’s </w:t>
      </w:r>
      <w:r w:rsidRPr="00505CF0">
        <w:rPr>
          <w:rFonts w:asciiTheme="majorBidi" w:hAnsiTheme="majorBidi" w:cstheme="majorBidi"/>
          <w:i/>
          <w:sz w:val="24"/>
          <w:szCs w:val="24"/>
        </w:rPr>
        <w:t>Haunted</w:t>
      </w:r>
      <w:r w:rsidRPr="00505CF0">
        <w:rPr>
          <w:rFonts w:asciiTheme="majorBidi" w:hAnsiTheme="majorBidi" w:cstheme="majorBidi"/>
          <w:sz w:val="24"/>
          <w:szCs w:val="24"/>
        </w:rPr>
        <w:t xml:space="preserve"> uses the anthology format to suggest a specific wholeness amongst seemingly disparate elements. The framing narrative is that of a series of amateur writers abandoning all civilization for a three-month-long writers retreat in utmost isolation organized by the mysterious Mr. Whittier. The novel forms a repeated pattern of switching between the events of the authors at the retreat and the stories they tell, centred on their lives before they chose to attend the retreat. Of course, in true Gothic fashion, it is all a sinister set-up, and individuals soon begin to die once the characters are sealed into their retreat, a sealed, isolated and decrepit old theatre. In a postmodern move, it is the apparent victims who, in the perverse desire for a victim story – how ‘Mr. Whitter took us hostage’</w:t>
      </w:r>
      <w:r w:rsidRPr="00505CF0">
        <w:rPr>
          <w:rStyle w:val="FootnoteReference"/>
          <w:rFonts w:asciiTheme="majorBidi" w:hAnsiTheme="majorBidi" w:cstheme="majorBidi"/>
          <w:sz w:val="24"/>
          <w:szCs w:val="24"/>
        </w:rPr>
        <w:footnoteReference w:id="481"/>
      </w:r>
      <w:r w:rsidRPr="00505CF0">
        <w:rPr>
          <w:rFonts w:asciiTheme="majorBidi" w:hAnsiTheme="majorBidi" w:cstheme="majorBidi"/>
          <w:sz w:val="24"/>
          <w:szCs w:val="24"/>
        </w:rPr>
        <w:t xml:space="preserve"> – destroy the food rations, the washing machine, the fridge, the heating, each new hardship created by </w:t>
      </w:r>
      <w:proofErr w:type="gramStart"/>
      <w:r w:rsidRPr="00505CF0">
        <w:rPr>
          <w:rFonts w:asciiTheme="majorBidi" w:hAnsiTheme="majorBidi" w:cstheme="majorBidi"/>
          <w:sz w:val="24"/>
          <w:szCs w:val="24"/>
        </w:rPr>
        <w:t>themselves</w:t>
      </w:r>
      <w:proofErr w:type="gramEnd"/>
      <w:r w:rsidRPr="00505CF0">
        <w:rPr>
          <w:rFonts w:asciiTheme="majorBidi" w:hAnsiTheme="majorBidi" w:cstheme="majorBidi"/>
          <w:sz w:val="24"/>
          <w:szCs w:val="24"/>
        </w:rPr>
        <w:t xml:space="preserve"> as ‘another plot point for the story that would be [their] cash cow.’</w:t>
      </w:r>
      <w:r w:rsidRPr="00505CF0">
        <w:rPr>
          <w:rStyle w:val="FootnoteReference"/>
          <w:rFonts w:asciiTheme="majorBidi" w:hAnsiTheme="majorBidi" w:cstheme="majorBidi"/>
          <w:sz w:val="24"/>
          <w:szCs w:val="24"/>
        </w:rPr>
        <w:footnoteReference w:id="482"/>
      </w:r>
      <w:r w:rsidRPr="00505CF0">
        <w:rPr>
          <w:rFonts w:asciiTheme="majorBidi" w:hAnsiTheme="majorBidi" w:cstheme="majorBidi"/>
          <w:sz w:val="24"/>
          <w:szCs w:val="24"/>
        </w:rPr>
        <w:t xml:space="preserve"> The victims, as they </w:t>
      </w:r>
      <w:r w:rsidR="00D1420B">
        <w:rPr>
          <w:rFonts w:asciiTheme="majorBidi" w:hAnsiTheme="majorBidi" w:cstheme="majorBidi"/>
          <w:sz w:val="24"/>
          <w:szCs w:val="24"/>
        </w:rPr>
        <w:t>w</w:t>
      </w:r>
      <w:r w:rsidRPr="00505CF0">
        <w:rPr>
          <w:rFonts w:asciiTheme="majorBidi" w:hAnsiTheme="majorBidi" w:cstheme="majorBidi"/>
          <w:sz w:val="24"/>
          <w:szCs w:val="24"/>
        </w:rPr>
        <w:t xml:space="preserve">ould probably wish to be known, desire this story to overwrite their own, of how they were forced to survive increasing hardships until rescue, not just as a means to </w:t>
      </w:r>
      <w:r w:rsidR="00D1420B">
        <w:rPr>
          <w:rFonts w:asciiTheme="majorBidi" w:hAnsiTheme="majorBidi" w:cstheme="majorBidi"/>
          <w:sz w:val="24"/>
          <w:szCs w:val="24"/>
        </w:rPr>
        <w:t xml:space="preserve">obtain </w:t>
      </w:r>
      <w:r w:rsidRPr="00505CF0">
        <w:rPr>
          <w:rFonts w:asciiTheme="majorBidi" w:hAnsiTheme="majorBidi" w:cstheme="majorBidi"/>
          <w:sz w:val="24"/>
          <w:szCs w:val="24"/>
        </w:rPr>
        <w:t>fame and fortune, but as the narrator reveals, in order to create a story through which they may transcend their own current existences:</w:t>
      </w:r>
    </w:p>
    <w:p w14:paraId="6C911529" w14:textId="77777777" w:rsidR="00C111D3" w:rsidRPr="00505CF0" w:rsidRDefault="00C111D3" w:rsidP="004C3EE0">
      <w:pPr>
        <w:jc w:val="both"/>
        <w:rPr>
          <w:rFonts w:asciiTheme="majorBidi" w:hAnsiTheme="majorBidi" w:cstheme="majorBidi"/>
          <w:sz w:val="24"/>
          <w:szCs w:val="24"/>
        </w:rPr>
      </w:pPr>
    </w:p>
    <w:p w14:paraId="14E5A7D4" w14:textId="77777777" w:rsidR="00C111D3" w:rsidRPr="00505CF0" w:rsidRDefault="00C111D3" w:rsidP="004C3EE0">
      <w:pPr>
        <w:ind w:left="737" w:rightChars="737" w:right="1621" w:firstLine="703"/>
        <w:jc w:val="both"/>
        <w:rPr>
          <w:rFonts w:asciiTheme="majorBidi" w:hAnsiTheme="majorBidi" w:cstheme="majorBidi"/>
          <w:sz w:val="24"/>
          <w:szCs w:val="24"/>
        </w:rPr>
      </w:pPr>
      <w:r w:rsidRPr="00505CF0">
        <w:rPr>
          <w:rFonts w:asciiTheme="majorBidi" w:hAnsiTheme="majorBidi" w:cstheme="majorBidi"/>
          <w:sz w:val="24"/>
          <w:szCs w:val="24"/>
        </w:rPr>
        <w:t xml:space="preserve">We still hunt for ways out. We still stand at the locked doors and scream for help.  </w:t>
      </w:r>
      <w:proofErr w:type="gramStart"/>
      <w:r w:rsidRPr="00505CF0">
        <w:rPr>
          <w:rFonts w:asciiTheme="majorBidi" w:hAnsiTheme="majorBidi" w:cstheme="majorBidi"/>
          <w:sz w:val="24"/>
          <w:szCs w:val="24"/>
        </w:rPr>
        <w:t>Just not too hard or too loud.</w:t>
      </w:r>
      <w:proofErr w:type="gramEnd"/>
      <w:r w:rsidRPr="00505CF0">
        <w:rPr>
          <w:rFonts w:asciiTheme="majorBidi" w:hAnsiTheme="majorBidi" w:cstheme="majorBidi"/>
          <w:sz w:val="24"/>
          <w:szCs w:val="24"/>
        </w:rPr>
        <w:t xml:space="preserve"> Not until our story would make a good movie. </w:t>
      </w:r>
      <w:proofErr w:type="gramStart"/>
      <w:r w:rsidRPr="00505CF0">
        <w:rPr>
          <w:rFonts w:asciiTheme="majorBidi" w:hAnsiTheme="majorBidi" w:cstheme="majorBidi"/>
          <w:sz w:val="24"/>
          <w:szCs w:val="24"/>
        </w:rPr>
        <w:t>Until each of us becomes a character skinny enough for a movie star to play.</w:t>
      </w:r>
      <w:proofErr w:type="gramEnd"/>
    </w:p>
    <w:p w14:paraId="49643314" w14:textId="77777777" w:rsidR="00C111D3" w:rsidRPr="00505CF0" w:rsidRDefault="00C111D3" w:rsidP="004C3EE0">
      <w:pPr>
        <w:ind w:left="737" w:rightChars="737" w:right="1621" w:firstLine="703"/>
        <w:jc w:val="both"/>
        <w:rPr>
          <w:rFonts w:asciiTheme="majorBidi" w:hAnsiTheme="majorBidi" w:cstheme="majorBidi"/>
          <w:sz w:val="24"/>
          <w:szCs w:val="24"/>
        </w:rPr>
      </w:pPr>
      <w:proofErr w:type="gramStart"/>
      <w:r w:rsidRPr="00505CF0">
        <w:rPr>
          <w:rFonts w:asciiTheme="majorBidi" w:hAnsiTheme="majorBidi" w:cstheme="majorBidi"/>
          <w:sz w:val="24"/>
          <w:szCs w:val="24"/>
        </w:rPr>
        <w:t>A story to save us all from the stories of our past.</w:t>
      </w:r>
      <w:proofErr w:type="gramEnd"/>
      <w:r w:rsidRPr="00505CF0">
        <w:rPr>
          <w:rStyle w:val="FootnoteReference"/>
          <w:rFonts w:asciiTheme="majorBidi" w:hAnsiTheme="majorBidi" w:cstheme="majorBidi"/>
          <w:sz w:val="24"/>
          <w:szCs w:val="24"/>
        </w:rPr>
        <w:footnoteReference w:id="483"/>
      </w:r>
    </w:p>
    <w:p w14:paraId="24084F8C" w14:textId="77777777" w:rsidR="00C111D3" w:rsidRPr="00505CF0" w:rsidRDefault="00C111D3" w:rsidP="004C3EE0">
      <w:pPr>
        <w:spacing w:line="480" w:lineRule="auto"/>
        <w:jc w:val="both"/>
        <w:rPr>
          <w:rFonts w:asciiTheme="majorBidi" w:hAnsiTheme="majorBidi" w:cstheme="majorBidi"/>
          <w:sz w:val="24"/>
          <w:szCs w:val="24"/>
        </w:rPr>
      </w:pPr>
    </w:p>
    <w:p w14:paraId="6DE07A0F"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Notably, the narrator most frequently identifies with the group, using collective pronouns throughout in a move that binds the perpetrators consistently together as one group, one selection of victims. The narrator’s identity, never fully revealed, thus becomes a moot topic. They are not one of the individuals at the writing retreat who increasingly mutilate, cannibalise and murder one </w:t>
      </w:r>
      <w:proofErr w:type="gramStart"/>
      <w:r w:rsidRPr="00505CF0">
        <w:rPr>
          <w:rFonts w:asciiTheme="majorBidi" w:hAnsiTheme="majorBidi" w:cstheme="majorBidi"/>
          <w:sz w:val="24"/>
          <w:szCs w:val="24"/>
        </w:rPr>
        <w:t>another,</w:t>
      </w:r>
      <w:proofErr w:type="gramEnd"/>
      <w:r w:rsidRPr="00505CF0">
        <w:rPr>
          <w:rFonts w:asciiTheme="majorBidi" w:hAnsiTheme="majorBidi" w:cstheme="majorBidi"/>
          <w:sz w:val="24"/>
          <w:szCs w:val="24"/>
        </w:rPr>
        <w:t xml:space="preserve"> they are in some manner representative of them all – the collective. Indeed, the various ‘confessions’ that form the short narratives of each character serve only to link each character together into one; they have all experienced tragedy and horror and, in doing so, a common backstory is built for each in which the world seems cruel, tragic, unpredictable and utterly, ultimately, Gothic. Scared and powerless individuals are forced to bear witness to horrors and grotesqueries, trapped in the labyrinths of their own lives. Once more, the fragmentary text serves to build a more general, cohesive whole from within a seemingly postmodern mode, eschewing techniques of fragmentation and pure-surface representations to create a collective impression of one victim, one story, </w:t>
      </w:r>
      <w:proofErr w:type="gramStart"/>
      <w:r w:rsidRPr="00505CF0">
        <w:rPr>
          <w:rFonts w:asciiTheme="majorBidi" w:hAnsiTheme="majorBidi" w:cstheme="majorBidi"/>
          <w:sz w:val="24"/>
          <w:szCs w:val="24"/>
        </w:rPr>
        <w:t>one</w:t>
      </w:r>
      <w:proofErr w:type="gramEnd"/>
      <w:r w:rsidRPr="00505CF0">
        <w:rPr>
          <w:rFonts w:asciiTheme="majorBidi" w:hAnsiTheme="majorBidi" w:cstheme="majorBidi"/>
          <w:sz w:val="24"/>
          <w:szCs w:val="24"/>
        </w:rPr>
        <w:t xml:space="preserve"> outcome. </w:t>
      </w:r>
    </w:p>
    <w:p w14:paraId="57B7873C" w14:textId="51E6B8C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Palahniuk’s text discusses the pitfalls of the over-written self, as the victims of the retreat seek to re-write and re-construct their own identity and circumstances, to forge a better future. Such reconstructions, however successful, do signpost </w:t>
      </w:r>
      <w:r w:rsidR="006F093E">
        <w:rPr>
          <w:rFonts w:asciiTheme="majorBidi" w:hAnsiTheme="majorBidi" w:cstheme="majorBidi"/>
          <w:sz w:val="24"/>
          <w:szCs w:val="24"/>
        </w:rPr>
        <w:t>a</w:t>
      </w:r>
      <w:r w:rsidR="006F093E" w:rsidRPr="00505CF0">
        <w:rPr>
          <w:rFonts w:asciiTheme="majorBidi" w:hAnsiTheme="majorBidi" w:cstheme="majorBidi"/>
          <w:sz w:val="24"/>
          <w:szCs w:val="24"/>
        </w:rPr>
        <w:t xml:space="preserve"> </w:t>
      </w:r>
      <w:r w:rsidRPr="00505CF0">
        <w:rPr>
          <w:rFonts w:asciiTheme="majorBidi" w:hAnsiTheme="majorBidi" w:cstheme="majorBidi"/>
          <w:sz w:val="24"/>
          <w:szCs w:val="24"/>
        </w:rPr>
        <w:t>post-postmodern desire to move beyond deconstruction and irony</w:t>
      </w:r>
      <w:r w:rsidR="006F093E">
        <w:rPr>
          <w:rFonts w:asciiTheme="majorBidi" w:hAnsiTheme="majorBidi" w:cstheme="majorBidi"/>
          <w:sz w:val="24"/>
          <w:szCs w:val="24"/>
        </w:rPr>
        <w:t xml:space="preserve"> and</w:t>
      </w:r>
      <w:r w:rsidRPr="00505CF0">
        <w:rPr>
          <w:rFonts w:asciiTheme="majorBidi" w:hAnsiTheme="majorBidi" w:cstheme="majorBidi"/>
          <w:sz w:val="24"/>
          <w:szCs w:val="24"/>
        </w:rPr>
        <w:t xml:space="preserve">, instead, as the metamodern posits, engaging </w:t>
      </w:r>
      <w:r w:rsidR="006F093E">
        <w:rPr>
          <w:rFonts w:asciiTheme="majorBidi" w:hAnsiTheme="majorBidi" w:cstheme="majorBidi"/>
          <w:sz w:val="24"/>
          <w:szCs w:val="24"/>
        </w:rPr>
        <w:t>with</w:t>
      </w:r>
      <w:r w:rsidRPr="00505CF0">
        <w:rPr>
          <w:rFonts w:asciiTheme="majorBidi" w:hAnsiTheme="majorBidi" w:cstheme="majorBidi"/>
          <w:sz w:val="24"/>
          <w:szCs w:val="24"/>
        </w:rPr>
        <w:t xml:space="preserve"> </w:t>
      </w:r>
      <w:r w:rsidR="006F093E">
        <w:rPr>
          <w:rFonts w:asciiTheme="majorBidi" w:hAnsiTheme="majorBidi" w:cstheme="majorBidi"/>
          <w:sz w:val="24"/>
          <w:szCs w:val="24"/>
        </w:rPr>
        <w:t>the</w:t>
      </w:r>
      <w:r w:rsidRPr="00505CF0">
        <w:rPr>
          <w:rFonts w:asciiTheme="majorBidi" w:hAnsiTheme="majorBidi" w:cstheme="majorBidi"/>
          <w:sz w:val="24"/>
          <w:szCs w:val="24"/>
        </w:rPr>
        <w:t xml:space="preserve"> new Romantic sentiment governed by reconstructive attempts made from within possibly doomed scenarios. They attempt and fail, but attempt regardless, and in doing so signal potential alternatives to the current status quo. Another specific way in which this trend can be observed is in the twenty-first century Gothic’s treatment of transcendence, a concept often denied by the postmodern impulse. </w:t>
      </w:r>
    </w:p>
    <w:p w14:paraId="36CBF751" w14:textId="77777777" w:rsidR="00C111D3" w:rsidRPr="00505CF0" w:rsidRDefault="00C111D3" w:rsidP="004C3EE0">
      <w:pPr>
        <w:spacing w:line="480" w:lineRule="auto"/>
        <w:ind w:left="720" w:hanging="720"/>
        <w:jc w:val="both"/>
        <w:rPr>
          <w:rFonts w:asciiTheme="majorBidi" w:hAnsiTheme="majorBidi" w:cstheme="majorBidi"/>
          <w:b/>
          <w:sz w:val="16"/>
          <w:szCs w:val="16"/>
          <w:u w:val="single"/>
        </w:rPr>
      </w:pPr>
    </w:p>
    <w:p w14:paraId="49DBB531" w14:textId="77777777" w:rsidR="00C111D3" w:rsidRPr="00505CF0" w:rsidRDefault="00C111D3" w:rsidP="004C3EE0">
      <w:pPr>
        <w:spacing w:line="480" w:lineRule="auto"/>
        <w:ind w:left="720" w:hanging="720"/>
        <w:jc w:val="both"/>
        <w:rPr>
          <w:rFonts w:asciiTheme="majorBidi" w:hAnsiTheme="majorBidi" w:cstheme="majorBidi"/>
          <w:b/>
          <w:sz w:val="16"/>
          <w:szCs w:val="16"/>
          <w:u w:val="single"/>
        </w:rPr>
      </w:pPr>
    </w:p>
    <w:p w14:paraId="0CC2FFAE" w14:textId="77777777" w:rsidR="00C111D3" w:rsidRPr="00FE7EAF" w:rsidRDefault="00C111D3" w:rsidP="00FE7EAF">
      <w:pPr>
        <w:spacing w:line="240" w:lineRule="auto"/>
        <w:ind w:left="720" w:hanging="720"/>
        <w:jc w:val="both"/>
        <w:rPr>
          <w:rFonts w:asciiTheme="majorBidi" w:hAnsiTheme="majorBidi" w:cstheme="majorBidi"/>
          <w:b/>
          <w:i/>
          <w:sz w:val="28"/>
          <w:szCs w:val="28"/>
        </w:rPr>
      </w:pPr>
      <w:r w:rsidRPr="00FE7EAF">
        <w:rPr>
          <w:rFonts w:asciiTheme="majorBidi" w:hAnsiTheme="majorBidi" w:cstheme="majorBidi"/>
          <w:b/>
          <w:sz w:val="28"/>
          <w:szCs w:val="28"/>
        </w:rPr>
        <w:t>2.2</w:t>
      </w:r>
      <w:r w:rsidRPr="006F093E">
        <w:rPr>
          <w:rFonts w:asciiTheme="majorBidi" w:hAnsiTheme="majorBidi" w:cstheme="majorBidi"/>
          <w:b/>
          <w:sz w:val="28"/>
          <w:szCs w:val="28"/>
        </w:rPr>
        <w:tab/>
      </w:r>
      <w:r w:rsidRPr="00FE7EAF">
        <w:rPr>
          <w:rFonts w:asciiTheme="majorBidi" w:hAnsiTheme="majorBidi" w:cstheme="majorBidi"/>
          <w:b/>
          <w:sz w:val="28"/>
          <w:szCs w:val="28"/>
        </w:rPr>
        <w:t xml:space="preserve">Beyond the Black Hole’s Deconstruction in </w:t>
      </w:r>
      <w:r w:rsidRPr="00FE7EAF">
        <w:rPr>
          <w:rFonts w:asciiTheme="majorBidi" w:hAnsiTheme="majorBidi" w:cstheme="majorBidi"/>
          <w:b/>
          <w:i/>
          <w:sz w:val="28"/>
          <w:szCs w:val="28"/>
        </w:rPr>
        <w:t xml:space="preserve">Gould’s Book of Fish, Glister, </w:t>
      </w:r>
      <w:r w:rsidRPr="00FE7EAF">
        <w:rPr>
          <w:rFonts w:asciiTheme="majorBidi" w:hAnsiTheme="majorBidi" w:cstheme="majorBidi"/>
          <w:b/>
          <w:sz w:val="28"/>
          <w:szCs w:val="28"/>
        </w:rPr>
        <w:t>&amp;</w:t>
      </w:r>
      <w:r w:rsidRPr="00FE7EAF">
        <w:rPr>
          <w:rFonts w:asciiTheme="majorBidi" w:hAnsiTheme="majorBidi" w:cstheme="majorBidi"/>
          <w:b/>
          <w:i/>
          <w:sz w:val="28"/>
          <w:szCs w:val="28"/>
        </w:rPr>
        <w:t xml:space="preserve"> </w:t>
      </w:r>
      <w:proofErr w:type="gramStart"/>
      <w:r w:rsidRPr="00FE7EAF">
        <w:rPr>
          <w:rFonts w:asciiTheme="majorBidi" w:hAnsiTheme="majorBidi" w:cstheme="majorBidi"/>
          <w:b/>
          <w:i/>
          <w:sz w:val="28"/>
          <w:szCs w:val="28"/>
        </w:rPr>
        <w:t>The</w:t>
      </w:r>
      <w:proofErr w:type="gramEnd"/>
      <w:r w:rsidRPr="00FE7EAF">
        <w:rPr>
          <w:rFonts w:asciiTheme="majorBidi" w:hAnsiTheme="majorBidi" w:cstheme="majorBidi"/>
          <w:b/>
          <w:i/>
          <w:sz w:val="28"/>
          <w:szCs w:val="28"/>
        </w:rPr>
        <w:t xml:space="preserve"> Terror </w:t>
      </w:r>
    </w:p>
    <w:p w14:paraId="2FD778C0" w14:textId="77777777" w:rsidR="00C111D3" w:rsidRPr="00505CF0" w:rsidRDefault="00C111D3" w:rsidP="004C3EE0">
      <w:pPr>
        <w:spacing w:line="480" w:lineRule="auto"/>
        <w:ind w:firstLine="720"/>
        <w:jc w:val="both"/>
        <w:rPr>
          <w:rFonts w:asciiTheme="majorBidi" w:hAnsiTheme="majorBidi" w:cstheme="majorBidi"/>
          <w:i/>
          <w:sz w:val="24"/>
          <w:szCs w:val="24"/>
        </w:rPr>
      </w:pPr>
    </w:p>
    <w:p w14:paraId="78401C9D"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The desire for something </w:t>
      </w:r>
      <w:r w:rsidRPr="00505CF0">
        <w:rPr>
          <w:rFonts w:asciiTheme="majorBidi" w:hAnsiTheme="majorBidi" w:cstheme="majorBidi"/>
          <w:i/>
          <w:sz w:val="24"/>
          <w:szCs w:val="24"/>
        </w:rPr>
        <w:t xml:space="preserve">beyond </w:t>
      </w:r>
      <w:r w:rsidRPr="00505CF0">
        <w:rPr>
          <w:rFonts w:asciiTheme="majorBidi" w:hAnsiTheme="majorBidi" w:cstheme="majorBidi"/>
          <w:sz w:val="24"/>
          <w:szCs w:val="24"/>
        </w:rPr>
        <w:t xml:space="preserve">the postmodern while seemingly bound to the impulse, as described by the metamodern oscillation, also finds expression in the Gothic, though much like Ness’ </w:t>
      </w:r>
      <w:r w:rsidRPr="00505CF0">
        <w:rPr>
          <w:rFonts w:asciiTheme="majorBidi" w:hAnsiTheme="majorBidi" w:cstheme="majorBidi"/>
          <w:i/>
          <w:sz w:val="24"/>
          <w:szCs w:val="24"/>
        </w:rPr>
        <w:t>The Crane Wife</w:t>
      </w:r>
      <w:r w:rsidRPr="00505CF0">
        <w:rPr>
          <w:rFonts w:asciiTheme="majorBidi" w:hAnsiTheme="majorBidi" w:cstheme="majorBidi"/>
          <w:sz w:val="24"/>
          <w:szCs w:val="24"/>
        </w:rPr>
        <w:t xml:space="preserve">, this seems to align with a Sisphyean attitude and a search for the means by which the postmodern may be transcended.  In </w:t>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by Richard Flanagan, for example, the ‘relentless humiliations’ of postmodern existence are harshly critiqued and found wanting:</w:t>
      </w:r>
    </w:p>
    <w:p w14:paraId="4E969C16" w14:textId="77777777" w:rsidR="00C111D3" w:rsidRPr="00505CF0" w:rsidRDefault="00C111D3" w:rsidP="004C3EE0">
      <w:pPr>
        <w:ind w:left="737" w:right="737"/>
        <w:jc w:val="both"/>
        <w:rPr>
          <w:rFonts w:asciiTheme="majorBidi" w:hAnsiTheme="majorBidi" w:cstheme="majorBidi"/>
          <w:sz w:val="24"/>
          <w:szCs w:val="24"/>
        </w:rPr>
      </w:pPr>
    </w:p>
    <w:p w14:paraId="02EEC4F3" w14:textId="4AD72BDA"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The tourists had money and we needed it; they only asked in return to be lied to and deceived and told that single most important </w:t>
      </w:r>
      <w:proofErr w:type="gramStart"/>
      <w:r w:rsidRPr="00505CF0">
        <w:rPr>
          <w:rFonts w:asciiTheme="majorBidi" w:hAnsiTheme="majorBidi" w:cstheme="majorBidi"/>
          <w:sz w:val="24"/>
          <w:szCs w:val="24"/>
        </w:rPr>
        <w:t>thing, that</w:t>
      </w:r>
      <w:proofErr w:type="gramEnd"/>
      <w:r w:rsidRPr="00505CF0">
        <w:rPr>
          <w:rFonts w:asciiTheme="majorBidi" w:hAnsiTheme="majorBidi" w:cstheme="majorBidi"/>
          <w:sz w:val="24"/>
          <w:szCs w:val="24"/>
        </w:rPr>
        <w:t xml:space="preserve"> they were safe, that their sense of security – national, individual, spiritual – wasn’t a bad joke being played on them by a bored and capricious destiny. To be told that there was no connection between then and now, that they didn’t need to wear a black armband or have a bad conscience about their power and their wealth and everybody else’s lack of it […] </w:t>
      </w:r>
      <w:proofErr w:type="gramStart"/>
      <w:r w:rsidRPr="00505CF0">
        <w:rPr>
          <w:rFonts w:asciiTheme="majorBidi" w:hAnsiTheme="majorBidi" w:cstheme="majorBidi"/>
          <w:sz w:val="24"/>
          <w:szCs w:val="24"/>
        </w:rPr>
        <w:t>We</w:t>
      </w:r>
      <w:proofErr w:type="gramEnd"/>
      <w:r w:rsidRPr="00505CF0">
        <w:rPr>
          <w:rFonts w:asciiTheme="majorBidi" w:hAnsiTheme="majorBidi" w:cstheme="majorBidi"/>
          <w:sz w:val="24"/>
          <w:szCs w:val="24"/>
        </w:rPr>
        <w:t xml:space="preserve"> kindly pretended that it was about buying and selling chairs. […] The tourists had insistent unspoken questions and we just had to answer as best we could, with forged furniture. They were really asking, ‘Are we safe?’ and we were really replying, ‘No, but a barricade of useless goods may help block the view.’ And because Hubris is not just an ancient Greek word but a human sense so deep-seated we might better regard it as an unerring instinct, they were also wanting to know, ‘If it is our fault, then will we suffer?’ and we were really reply</w:t>
      </w:r>
      <w:r w:rsidR="006F093E">
        <w:rPr>
          <w:rFonts w:asciiTheme="majorBidi" w:hAnsiTheme="majorBidi" w:cstheme="majorBidi"/>
          <w:sz w:val="24"/>
          <w:szCs w:val="24"/>
        </w:rPr>
        <w:t>ing</w:t>
      </w:r>
      <w:r w:rsidRPr="00505CF0">
        <w:rPr>
          <w:rFonts w:asciiTheme="majorBidi" w:hAnsiTheme="majorBidi" w:cstheme="majorBidi"/>
          <w:sz w:val="24"/>
          <w:szCs w:val="24"/>
        </w:rPr>
        <w:t>, ‘Yes, and slowly, but a fake chair may make us both feel better about it.’</w:t>
      </w:r>
      <w:r w:rsidRPr="00505CF0">
        <w:rPr>
          <w:rStyle w:val="FootnoteReference"/>
          <w:rFonts w:asciiTheme="majorBidi" w:hAnsiTheme="majorBidi" w:cstheme="majorBidi"/>
          <w:sz w:val="24"/>
          <w:szCs w:val="24"/>
        </w:rPr>
        <w:footnoteReference w:id="484"/>
      </w:r>
    </w:p>
    <w:p w14:paraId="1D06404C" w14:textId="77777777" w:rsidR="00C111D3" w:rsidRPr="00505CF0" w:rsidRDefault="00C111D3" w:rsidP="004C3EE0">
      <w:pPr>
        <w:spacing w:line="480" w:lineRule="auto"/>
        <w:jc w:val="both"/>
        <w:rPr>
          <w:rFonts w:asciiTheme="majorBidi" w:hAnsiTheme="majorBidi" w:cstheme="majorBidi"/>
          <w:sz w:val="24"/>
          <w:szCs w:val="24"/>
        </w:rPr>
      </w:pPr>
    </w:p>
    <w:p w14:paraId="13DD68EC" w14:textId="1B4B9944"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kind of eclectic materialism posited by postmodern</w:t>
      </w:r>
      <w:r w:rsidR="006F093E">
        <w:rPr>
          <w:rFonts w:asciiTheme="majorBidi" w:hAnsiTheme="majorBidi" w:cstheme="majorBidi"/>
          <w:sz w:val="24"/>
          <w:szCs w:val="24"/>
        </w:rPr>
        <w:t xml:space="preserve"> dogma</w:t>
      </w:r>
      <w:r w:rsidRPr="00505CF0">
        <w:rPr>
          <w:rFonts w:asciiTheme="majorBidi" w:hAnsiTheme="majorBidi" w:cstheme="majorBidi"/>
          <w:sz w:val="24"/>
          <w:szCs w:val="24"/>
        </w:rPr>
        <w:t xml:space="preserve"> is here treated as a scam, with grand ontological questions about safety, guilt, power, hubris all still seen as part of the human psyche, mitigated and falsely buried in materialist consumption.</w:t>
      </w:r>
      <w:r w:rsidRPr="00505CF0">
        <w:rPr>
          <w:rStyle w:val="FootnoteReference"/>
          <w:rFonts w:asciiTheme="majorBidi" w:hAnsiTheme="majorBidi" w:cstheme="majorBidi"/>
          <w:sz w:val="24"/>
          <w:szCs w:val="24"/>
        </w:rPr>
        <w:footnoteReference w:id="485"/>
      </w:r>
      <w:r w:rsidRPr="00505CF0">
        <w:rPr>
          <w:rFonts w:asciiTheme="majorBidi" w:hAnsiTheme="majorBidi" w:cstheme="majorBidi"/>
          <w:sz w:val="24"/>
          <w:szCs w:val="24"/>
        </w:rPr>
        <w:t xml:space="preserve"> The tourists seek emotional resolution, Sid Hammet and the forgers provide material comfort, not answering, but delaying the question. Postmodern ideology is thus shown to fail in the face of the contemporary need for meaning and it is just such a </w:t>
      </w:r>
      <w:r w:rsidR="006F093E">
        <w:rPr>
          <w:rFonts w:asciiTheme="majorBidi" w:hAnsiTheme="majorBidi" w:cstheme="majorBidi"/>
          <w:sz w:val="24"/>
          <w:szCs w:val="24"/>
        </w:rPr>
        <w:t>need</w:t>
      </w:r>
      <w:r w:rsidR="006F093E" w:rsidRPr="00505CF0">
        <w:rPr>
          <w:rFonts w:asciiTheme="majorBidi" w:hAnsiTheme="majorBidi" w:cstheme="majorBidi"/>
          <w:sz w:val="24"/>
          <w:szCs w:val="24"/>
        </w:rPr>
        <w:t xml:space="preserve"> </w:t>
      </w:r>
      <w:r w:rsidRPr="00505CF0">
        <w:rPr>
          <w:rFonts w:asciiTheme="majorBidi" w:hAnsiTheme="majorBidi" w:cstheme="majorBidi"/>
          <w:sz w:val="24"/>
          <w:szCs w:val="24"/>
        </w:rPr>
        <w:t>which drives the main protagonist, Sid Hammet, into attempting vicarious spiritual transcendence via the blurring of his identity with that of the historic figure of William Buelow Gould, whom Hammet perceives to have achieved such transcendence.</w:t>
      </w:r>
      <w:r w:rsidRPr="00505CF0">
        <w:rPr>
          <w:rStyle w:val="FootnoteReference"/>
          <w:rFonts w:asciiTheme="majorBidi" w:hAnsiTheme="majorBidi" w:cstheme="majorBidi"/>
          <w:sz w:val="24"/>
          <w:szCs w:val="24"/>
        </w:rPr>
        <w:footnoteReference w:id="486"/>
      </w:r>
    </w:p>
    <w:p w14:paraId="300EF0E4" w14:textId="5D921A8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is a text draped in Gothic trappings. A Byronic hero,</w:t>
      </w:r>
      <w:r w:rsidR="006F093E">
        <w:rPr>
          <w:rFonts w:asciiTheme="majorBidi" w:hAnsiTheme="majorBidi" w:cstheme="majorBidi"/>
          <w:sz w:val="24"/>
          <w:szCs w:val="24"/>
        </w:rPr>
        <w:t xml:space="preserve"> Sid</w:t>
      </w:r>
      <w:r w:rsidRPr="00505CF0">
        <w:rPr>
          <w:rFonts w:asciiTheme="majorBidi" w:hAnsiTheme="majorBidi" w:cstheme="majorBidi"/>
          <w:sz w:val="24"/>
          <w:szCs w:val="24"/>
        </w:rPr>
        <w:t xml:space="preserve"> Hammet, finds a mysterious and ancient seeming </w:t>
      </w:r>
      <w:proofErr w:type="gramStart"/>
      <w:r w:rsidRPr="00505CF0">
        <w:rPr>
          <w:rFonts w:asciiTheme="majorBidi" w:hAnsiTheme="majorBidi" w:cstheme="majorBidi"/>
          <w:sz w:val="24"/>
          <w:szCs w:val="24"/>
        </w:rPr>
        <w:t>book,</w:t>
      </w:r>
      <w:proofErr w:type="gramEnd"/>
      <w:r w:rsidRPr="00505CF0">
        <w:rPr>
          <w:rFonts w:asciiTheme="majorBidi" w:hAnsiTheme="majorBidi" w:cstheme="majorBidi"/>
          <w:sz w:val="24"/>
          <w:szCs w:val="24"/>
        </w:rPr>
        <w:t xml:space="preserve"> a palimpsest of loose sheets apparently penned by the madman and conman William Buelow Gould, </w:t>
      </w:r>
      <w:r w:rsidR="006F093E">
        <w:rPr>
          <w:rFonts w:asciiTheme="majorBidi" w:hAnsiTheme="majorBidi" w:cstheme="majorBidi"/>
          <w:sz w:val="24"/>
          <w:szCs w:val="24"/>
        </w:rPr>
        <w:t>and becomes obsessed with the story written within</w:t>
      </w:r>
      <w:r w:rsidRPr="00505CF0">
        <w:rPr>
          <w:rFonts w:asciiTheme="majorBidi" w:hAnsiTheme="majorBidi" w:cstheme="majorBidi"/>
          <w:sz w:val="24"/>
          <w:szCs w:val="24"/>
        </w:rPr>
        <w:t xml:space="preserve">. The text, after Hammet reads it, dissolves into sea water and so it is up to Hammet to reproduce the events contained within – that of Gould’s imprisonment at a terrifying island penal colony in Tasmania, then Van Diemen’s Land. </w:t>
      </w:r>
      <w:proofErr w:type="gramStart"/>
      <w:r w:rsidRPr="00505CF0">
        <w:rPr>
          <w:rFonts w:asciiTheme="majorBidi" w:hAnsiTheme="majorBidi" w:cstheme="majorBidi"/>
          <w:sz w:val="24"/>
          <w:szCs w:val="24"/>
        </w:rPr>
        <w:t>Gould,</w:t>
      </w:r>
      <w:proofErr w:type="gramEnd"/>
      <w:r w:rsidRPr="00505CF0">
        <w:rPr>
          <w:rFonts w:asciiTheme="majorBidi" w:hAnsiTheme="majorBidi" w:cstheme="majorBidi"/>
          <w:sz w:val="24"/>
          <w:szCs w:val="24"/>
        </w:rPr>
        <w:t xml:space="preserve"> forced to paint pictures of fish for the grotesque doctor of the island, Mr. Lempriere, or face the wrath of the tyrannical Commandant, attempts escape, fails, is returned to the island and sentenced to death by hanging.  Life, for Hammet, is an ‘ongoing act of disillusionment,’ until he comes across the text, after which he comes to believe he has been ‘swept up’ in a miracle.</w:t>
      </w:r>
      <w:r w:rsidRPr="00505CF0">
        <w:rPr>
          <w:rStyle w:val="FootnoteReference"/>
          <w:rFonts w:asciiTheme="majorBidi" w:hAnsiTheme="majorBidi" w:cstheme="majorBidi"/>
          <w:sz w:val="24"/>
          <w:szCs w:val="24"/>
        </w:rPr>
        <w:footnoteReference w:id="487"/>
      </w:r>
      <w:r w:rsidRPr="00505CF0">
        <w:rPr>
          <w:rFonts w:asciiTheme="majorBidi" w:hAnsiTheme="majorBidi" w:cstheme="majorBidi"/>
          <w:sz w:val="24"/>
          <w:szCs w:val="24"/>
        </w:rPr>
        <w:t xml:space="preserve"> Seemingly charmed by the same ‘flotsam of the romantic past’ that he sells to tourists in an effort to assuage the ‘rotten present,’</w:t>
      </w:r>
      <w:r w:rsidRPr="00505CF0">
        <w:rPr>
          <w:rStyle w:val="FootnoteReference"/>
          <w:rFonts w:asciiTheme="majorBidi" w:hAnsiTheme="majorBidi" w:cstheme="majorBidi"/>
          <w:sz w:val="24"/>
          <w:szCs w:val="24"/>
        </w:rPr>
        <w:footnoteReference w:id="488"/>
      </w:r>
      <w:r w:rsidRPr="00505CF0">
        <w:rPr>
          <w:rFonts w:asciiTheme="majorBidi" w:hAnsiTheme="majorBidi" w:cstheme="majorBidi"/>
          <w:sz w:val="24"/>
          <w:szCs w:val="24"/>
        </w:rPr>
        <w:t xml:space="preserve"> Hammet becomes infatuated with the book that he finds, which effects a sublime reaction in him upon first sight, ‘unravelling [his] heart and, worse still, [his] life’ into a ‘poor, scraggy skein.’</w:t>
      </w:r>
      <w:r w:rsidRPr="00505CF0">
        <w:rPr>
          <w:rStyle w:val="FootnoteReference"/>
          <w:rFonts w:asciiTheme="majorBidi" w:hAnsiTheme="majorBidi" w:cstheme="majorBidi"/>
          <w:sz w:val="24"/>
          <w:szCs w:val="24"/>
        </w:rPr>
        <w:footnoteReference w:id="489"/>
      </w:r>
      <w:r w:rsidRPr="00505CF0">
        <w:rPr>
          <w:rFonts w:asciiTheme="majorBidi" w:hAnsiTheme="majorBidi" w:cstheme="majorBidi"/>
          <w:sz w:val="24"/>
          <w:szCs w:val="24"/>
        </w:rPr>
        <w:t xml:space="preserve"> In line with a Kantian reaction, his sense of self is unable to comprehend the text, and so breaks down, yet he still receives a Burkean sense of exultation as the ‘gentle radiance’ makes him question whether he has ‘lived the same life over and over, like some Hindu mystic forever trapped on the Great Wheel.’</w:t>
      </w:r>
      <w:r w:rsidRPr="00505CF0">
        <w:rPr>
          <w:rStyle w:val="FootnoteReference"/>
          <w:rFonts w:asciiTheme="majorBidi" w:hAnsiTheme="majorBidi" w:cstheme="majorBidi"/>
          <w:sz w:val="24"/>
          <w:szCs w:val="24"/>
        </w:rPr>
        <w:footnoteReference w:id="490"/>
      </w:r>
      <w:r w:rsidRPr="00505CF0">
        <w:rPr>
          <w:rFonts w:asciiTheme="majorBidi" w:hAnsiTheme="majorBidi" w:cstheme="majorBidi"/>
          <w:sz w:val="24"/>
          <w:szCs w:val="24"/>
        </w:rPr>
        <w:t xml:space="preserve"> </w:t>
      </w:r>
      <w:r w:rsidR="003011F6">
        <w:rPr>
          <w:rFonts w:asciiTheme="majorBidi" w:hAnsiTheme="majorBidi" w:cstheme="majorBidi"/>
          <w:sz w:val="24"/>
          <w:szCs w:val="24"/>
        </w:rPr>
        <w:t xml:space="preserve">Before the dissolution of the text, </w:t>
      </w:r>
      <w:r w:rsidRPr="00505CF0">
        <w:rPr>
          <w:rFonts w:asciiTheme="majorBidi" w:hAnsiTheme="majorBidi" w:cstheme="majorBidi"/>
          <w:sz w:val="24"/>
          <w:szCs w:val="24"/>
        </w:rPr>
        <w:t>Hammet becomes obsessed with the book, ‘carrying it everywhere, as if it were some powerful talisman, as if it contained some magic that might somehow convey or explain something fundamental to [him].’</w:t>
      </w:r>
      <w:r w:rsidRPr="00505CF0">
        <w:rPr>
          <w:rStyle w:val="FootnoteReference"/>
          <w:rFonts w:asciiTheme="majorBidi" w:hAnsiTheme="majorBidi" w:cstheme="majorBidi"/>
          <w:sz w:val="24"/>
          <w:szCs w:val="24"/>
        </w:rPr>
        <w:footnoteReference w:id="491"/>
      </w:r>
      <w:r w:rsidRPr="00505CF0">
        <w:rPr>
          <w:rFonts w:asciiTheme="majorBidi" w:hAnsiTheme="majorBidi" w:cstheme="majorBidi"/>
          <w:sz w:val="24"/>
          <w:szCs w:val="24"/>
        </w:rPr>
        <w:t xml:space="preserve"> He is desperate to validate the book, taking it to historians, bibliophiles and publishers ‘for their opinion of its worth,’</w:t>
      </w:r>
      <w:r w:rsidRPr="00505CF0">
        <w:rPr>
          <w:rStyle w:val="FootnoteReference"/>
          <w:rFonts w:asciiTheme="majorBidi" w:hAnsiTheme="majorBidi" w:cstheme="majorBidi"/>
          <w:sz w:val="24"/>
          <w:szCs w:val="24"/>
        </w:rPr>
        <w:footnoteReference w:id="492"/>
      </w:r>
      <w:r w:rsidRPr="00505CF0">
        <w:rPr>
          <w:rFonts w:asciiTheme="majorBidi" w:hAnsiTheme="majorBidi" w:cstheme="majorBidi"/>
          <w:sz w:val="24"/>
          <w:szCs w:val="24"/>
        </w:rPr>
        <w:t xml:space="preserve"> the result of which is that ‘the bellicose book’ is described as ‘the insignificant somewhat curious product of a particularly demented mind,’</w:t>
      </w:r>
      <w:r w:rsidRPr="00505CF0">
        <w:rPr>
          <w:rStyle w:val="FootnoteReference"/>
          <w:rFonts w:asciiTheme="majorBidi" w:hAnsiTheme="majorBidi" w:cstheme="majorBidi"/>
          <w:sz w:val="24"/>
          <w:szCs w:val="24"/>
        </w:rPr>
        <w:footnoteReference w:id="493"/>
      </w:r>
      <w:r w:rsidRPr="00505CF0">
        <w:rPr>
          <w:rFonts w:asciiTheme="majorBidi" w:hAnsiTheme="majorBidi" w:cstheme="majorBidi"/>
          <w:sz w:val="24"/>
          <w:szCs w:val="24"/>
        </w:rPr>
        <w:t xml:space="preserve"> a quality forgery, and a ‘sad pastiche.’</w:t>
      </w:r>
      <w:r w:rsidRPr="00505CF0">
        <w:rPr>
          <w:rStyle w:val="FootnoteReference"/>
          <w:rFonts w:asciiTheme="majorBidi" w:hAnsiTheme="majorBidi" w:cstheme="majorBidi"/>
          <w:sz w:val="24"/>
          <w:szCs w:val="24"/>
        </w:rPr>
        <w:footnoteReference w:id="494"/>
      </w:r>
      <w:r w:rsidRPr="00505CF0">
        <w:rPr>
          <w:rFonts w:asciiTheme="majorBidi" w:hAnsiTheme="majorBidi" w:cstheme="majorBidi"/>
          <w:sz w:val="24"/>
          <w:szCs w:val="24"/>
        </w:rPr>
        <w:t xml:space="preserve"> In the wake of the book dissolving into a brackish puddle of water, he eventually takes up the task of re-writing the text from memory, creating the version that we are treated to in the text. This frame describes Hammet’s finding </w:t>
      </w:r>
      <w:r w:rsidR="003011F6">
        <w:rPr>
          <w:rFonts w:asciiTheme="majorBidi" w:hAnsiTheme="majorBidi" w:cstheme="majorBidi"/>
          <w:sz w:val="24"/>
          <w:szCs w:val="24"/>
        </w:rPr>
        <w:t xml:space="preserve">of </w:t>
      </w:r>
      <w:r w:rsidRPr="00505CF0">
        <w:rPr>
          <w:rFonts w:asciiTheme="majorBidi" w:hAnsiTheme="majorBidi" w:cstheme="majorBidi"/>
          <w:sz w:val="24"/>
          <w:szCs w:val="24"/>
        </w:rPr>
        <w:t xml:space="preserve">and subsequent recreation </w:t>
      </w:r>
      <w:r w:rsidR="003011F6">
        <w:rPr>
          <w:rFonts w:asciiTheme="majorBidi" w:hAnsiTheme="majorBidi" w:cstheme="majorBidi"/>
          <w:sz w:val="24"/>
          <w:szCs w:val="24"/>
        </w:rPr>
        <w:t>to</w:t>
      </w:r>
      <w:r w:rsidRPr="00505CF0">
        <w:rPr>
          <w:rFonts w:asciiTheme="majorBidi" w:hAnsiTheme="majorBidi" w:cstheme="majorBidi"/>
          <w:sz w:val="24"/>
          <w:szCs w:val="24"/>
        </w:rPr>
        <w:t xml:space="preserve"> the text, but this framing has a far more significant agenda than the mere expression of mania.</w:t>
      </w:r>
      <w:r w:rsidR="00051A01">
        <w:rPr>
          <w:rStyle w:val="FootnoteReference"/>
          <w:rFonts w:asciiTheme="majorBidi" w:hAnsiTheme="majorBidi" w:cstheme="majorBidi"/>
          <w:sz w:val="24"/>
          <w:szCs w:val="24"/>
        </w:rPr>
        <w:footnoteReference w:id="495"/>
      </w:r>
      <w:r w:rsidRPr="00505CF0">
        <w:rPr>
          <w:rFonts w:asciiTheme="majorBidi" w:hAnsiTheme="majorBidi" w:cstheme="majorBidi"/>
          <w:sz w:val="24"/>
          <w:szCs w:val="24"/>
        </w:rPr>
        <w:t xml:space="preserve"> Rather, the justification for Hammet’s seemingly sycophantic obsession with the text lies in the main theme of the narrative which he frames – that search for ‘something significant’, namely, significance itself. Gould’s narrative, after all, is one of enlightenment and transcendence. It is the story of a forger forced to produce something original, </w:t>
      </w:r>
      <w:r w:rsidRPr="00505CF0">
        <w:rPr>
          <w:rFonts w:asciiTheme="majorBidi" w:hAnsiTheme="majorBidi" w:cstheme="majorBidi"/>
          <w:i/>
          <w:sz w:val="24"/>
          <w:szCs w:val="24"/>
        </w:rPr>
        <w:t>The Book of Fish</w:t>
      </w:r>
      <w:r w:rsidRPr="00505CF0">
        <w:rPr>
          <w:rFonts w:asciiTheme="majorBidi" w:hAnsiTheme="majorBidi" w:cstheme="majorBidi"/>
          <w:sz w:val="24"/>
          <w:szCs w:val="24"/>
        </w:rPr>
        <w:t>, and how this ultimately leads him to become something grander than he could have otherwise achieved – in this instance represented by his ultimate metamorphosis into a leafy sea-dragon. In repeating the refrain ‘my name is a song which will be sung’ throughout the novel,</w:t>
      </w:r>
      <w:r w:rsidRPr="00505CF0">
        <w:rPr>
          <w:rStyle w:val="FootnoteReference"/>
          <w:rFonts w:asciiTheme="majorBidi" w:hAnsiTheme="majorBidi" w:cstheme="majorBidi"/>
          <w:sz w:val="24"/>
          <w:szCs w:val="24"/>
        </w:rPr>
        <w:footnoteReference w:id="496"/>
      </w:r>
      <w:r w:rsidRPr="00505CF0">
        <w:rPr>
          <w:rFonts w:asciiTheme="majorBidi" w:hAnsiTheme="majorBidi" w:cstheme="majorBidi"/>
          <w:sz w:val="24"/>
          <w:szCs w:val="24"/>
        </w:rPr>
        <w:t xml:space="preserve"> Gould makes clear his desire for permanence, or rather, a legacy that achieves redemption, a freedom gained via the fish he paints.</w:t>
      </w:r>
      <w:r w:rsidR="00701E5C">
        <w:rPr>
          <w:rStyle w:val="FootnoteReference"/>
          <w:rFonts w:asciiTheme="majorBidi" w:hAnsiTheme="majorBidi" w:cstheme="majorBidi"/>
          <w:sz w:val="24"/>
          <w:szCs w:val="24"/>
        </w:rPr>
        <w:footnoteReference w:id="497"/>
      </w:r>
      <w:r w:rsidRPr="00505CF0">
        <w:rPr>
          <w:rFonts w:asciiTheme="majorBidi" w:hAnsiTheme="majorBidi" w:cstheme="majorBidi"/>
          <w:sz w:val="24"/>
          <w:szCs w:val="24"/>
        </w:rPr>
        <w:t xml:space="preserve"> ‘The criticasters,’ Gould writes, ‘will say I am this small thing &amp; my pictures that irrelevant thing […] but I am William Buelow Gould, party of one, undefinable, &amp; my fish will free me &amp; I shall flee with them.’</w:t>
      </w:r>
      <w:r w:rsidRPr="00505CF0">
        <w:rPr>
          <w:rStyle w:val="FootnoteReference"/>
          <w:rFonts w:asciiTheme="majorBidi" w:hAnsiTheme="majorBidi" w:cstheme="majorBidi"/>
          <w:sz w:val="24"/>
          <w:szCs w:val="24"/>
        </w:rPr>
        <w:footnoteReference w:id="498"/>
      </w:r>
      <w:r w:rsidRPr="00505CF0">
        <w:rPr>
          <w:rFonts w:asciiTheme="majorBidi" w:hAnsiTheme="majorBidi" w:cstheme="majorBidi"/>
          <w:sz w:val="24"/>
          <w:szCs w:val="24"/>
        </w:rPr>
        <w:t xml:space="preserve"> He ardently believes that, via the painting of the fish pictures for Lempriere, he will achieve some form of freedom and a lasting legacy, that his name will be sung; Gould wishes to gain redemption via enlightenment, by finding and presenting some hidden meaning to the world for, as he writes, ‘my real crime was seeing the world for what it is &amp; painting it as fish.’</w:t>
      </w:r>
      <w:r w:rsidRPr="00505CF0">
        <w:rPr>
          <w:rStyle w:val="FootnoteReference"/>
          <w:rFonts w:asciiTheme="majorBidi" w:hAnsiTheme="majorBidi" w:cstheme="majorBidi"/>
          <w:sz w:val="24"/>
          <w:szCs w:val="24"/>
        </w:rPr>
        <w:footnoteReference w:id="499"/>
      </w:r>
      <w:r w:rsidRPr="00505CF0">
        <w:rPr>
          <w:rFonts w:asciiTheme="majorBidi" w:hAnsiTheme="majorBidi" w:cstheme="majorBidi"/>
          <w:sz w:val="24"/>
          <w:szCs w:val="24"/>
        </w:rPr>
        <w:t xml:space="preserve"> The fish come to represent not just portraits of people, but instead genuine ontological insights, a thing of worth that he is able to pass on and, in doing so, gain transcendence. ‘Perhaps,’ as Robert Hood writes, ‘it is best, then, to transform oneself, casting off the oppressive human form to live as a fish, free to swim the depths and watch the endless procession of human history as it goes its fraudulent, cruel, and controlling way.’</w:t>
      </w:r>
      <w:r w:rsidRPr="00505CF0">
        <w:rPr>
          <w:rStyle w:val="FootnoteReference"/>
          <w:rFonts w:asciiTheme="majorBidi" w:hAnsiTheme="majorBidi" w:cstheme="majorBidi"/>
          <w:sz w:val="24"/>
          <w:szCs w:val="24"/>
        </w:rPr>
        <w:footnoteReference w:id="500"/>
      </w:r>
      <w:r w:rsidRPr="00505CF0">
        <w:rPr>
          <w:rFonts w:asciiTheme="majorBidi" w:hAnsiTheme="majorBidi" w:cstheme="majorBidi"/>
          <w:sz w:val="24"/>
          <w:szCs w:val="24"/>
        </w:rPr>
        <w:t xml:space="preserve"> Gould casts off his human form as he transcends the ‘cruel and controlling ways of human history,’ knowledge he has gained through his artistic creations.</w:t>
      </w:r>
      <w:r w:rsidRPr="00505CF0">
        <w:rPr>
          <w:rStyle w:val="FootnoteReference"/>
          <w:rFonts w:asciiTheme="majorBidi" w:hAnsiTheme="majorBidi" w:cstheme="majorBidi"/>
          <w:sz w:val="24"/>
          <w:szCs w:val="24"/>
        </w:rPr>
        <w:footnoteReference w:id="501"/>
      </w:r>
      <w:r w:rsidRPr="00505CF0">
        <w:rPr>
          <w:rFonts w:asciiTheme="majorBidi" w:hAnsiTheme="majorBidi" w:cstheme="majorBidi"/>
          <w:sz w:val="24"/>
          <w:szCs w:val="24"/>
        </w:rPr>
        <w:t xml:space="preserve"> Hammet correctly surmises this goal when first describing the book: </w:t>
      </w:r>
    </w:p>
    <w:p w14:paraId="483C156C" w14:textId="77777777" w:rsidR="00C111D3" w:rsidRPr="00505CF0" w:rsidRDefault="00C111D3" w:rsidP="004C3EE0">
      <w:pPr>
        <w:ind w:left="737" w:right="737"/>
        <w:jc w:val="both"/>
        <w:rPr>
          <w:rFonts w:asciiTheme="majorBidi" w:hAnsiTheme="majorBidi" w:cstheme="majorBidi"/>
          <w:sz w:val="24"/>
          <w:szCs w:val="24"/>
        </w:rPr>
      </w:pPr>
    </w:p>
    <w:p w14:paraId="440EABB9"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The author wrote in colours; more precisely, I suspect, he felt in colours. […] his world took on hues that overwhelmed him, as if the universe was a consequence of colour, rather than the inverse. Did the wonder of colour, I pondered, redeem the horror of his world?</w:t>
      </w:r>
      <w:r w:rsidRPr="00505CF0">
        <w:rPr>
          <w:rStyle w:val="FootnoteReference"/>
          <w:rFonts w:asciiTheme="majorBidi" w:hAnsiTheme="majorBidi" w:cstheme="majorBidi"/>
          <w:sz w:val="24"/>
          <w:szCs w:val="24"/>
        </w:rPr>
        <w:footnoteReference w:id="502"/>
      </w:r>
      <w:r w:rsidRPr="00505CF0">
        <w:rPr>
          <w:rFonts w:asciiTheme="majorBidi" w:hAnsiTheme="majorBidi" w:cstheme="majorBidi"/>
          <w:sz w:val="24"/>
          <w:szCs w:val="24"/>
        </w:rPr>
        <w:t xml:space="preserve"> </w:t>
      </w:r>
    </w:p>
    <w:p w14:paraId="01DEA9BC" w14:textId="77777777" w:rsidR="00C111D3" w:rsidRPr="00505CF0" w:rsidRDefault="00C111D3" w:rsidP="004C3EE0">
      <w:pPr>
        <w:ind w:left="737" w:right="737"/>
        <w:jc w:val="both"/>
        <w:rPr>
          <w:rFonts w:asciiTheme="majorBidi" w:hAnsiTheme="majorBidi" w:cstheme="majorBidi"/>
          <w:sz w:val="24"/>
          <w:szCs w:val="24"/>
        </w:rPr>
      </w:pPr>
    </w:p>
    <w:p w14:paraId="56223663" w14:textId="77777777" w:rsidR="00C111D3" w:rsidRPr="00505CF0" w:rsidRDefault="00C111D3" w:rsidP="004C3EE0">
      <w:pPr>
        <w:ind w:left="737" w:right="737"/>
        <w:jc w:val="both"/>
        <w:rPr>
          <w:rFonts w:asciiTheme="majorBidi" w:hAnsiTheme="majorBidi" w:cstheme="majorBidi"/>
          <w:sz w:val="24"/>
          <w:szCs w:val="24"/>
        </w:rPr>
      </w:pPr>
    </w:p>
    <w:p w14:paraId="798D4A6E" w14:textId="490FF42C"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Hammet frames the text in order to appropriate this message of redemption and to control the representation of Gould within it to just that aim; much as Walton turns Frankenstein into a grander shade of himself, so too does Hammet turn Gould into a shade of himself, albeit a darker one living in a far more Gothic world. However, not content to simply leave the glory of this transcendence to a purely mise-en-abyme event, Hammet places himself as a haunting presence within Gould’s tale via a distinct blurring of the narrative boundaries. One way in which Hammet achieves this is through the mirroring of chapter presentation in order to present his frame as part of Gould’s text. Each chapter of </w:t>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is framed by a replica of the original fish paintings by the real-world William Beulow Gould, on whose life the text is roughly based, followed by a brief abstract of the chapter events.</w:t>
      </w:r>
      <w:r w:rsidRPr="00505CF0">
        <w:rPr>
          <w:rStyle w:val="FootnoteReference"/>
          <w:rFonts w:asciiTheme="majorBidi" w:hAnsiTheme="majorBidi" w:cstheme="majorBidi"/>
          <w:sz w:val="24"/>
          <w:szCs w:val="24"/>
        </w:rPr>
        <w:footnoteReference w:id="503"/>
      </w:r>
      <w:r w:rsidRPr="00505CF0">
        <w:rPr>
          <w:rFonts w:asciiTheme="majorBidi" w:hAnsiTheme="majorBidi" w:cstheme="majorBidi"/>
          <w:sz w:val="24"/>
          <w:szCs w:val="24"/>
        </w:rPr>
        <w:t xml:space="preserve"> This applies to </w:t>
      </w:r>
      <w:proofErr w:type="gramStart"/>
      <w:r w:rsidRPr="00505CF0">
        <w:rPr>
          <w:rFonts w:asciiTheme="majorBidi" w:hAnsiTheme="majorBidi" w:cstheme="majorBidi"/>
          <w:sz w:val="24"/>
          <w:szCs w:val="24"/>
        </w:rPr>
        <w:t>both the</w:t>
      </w:r>
      <w:proofErr w:type="gramEnd"/>
      <w:r w:rsidRPr="00505CF0">
        <w:rPr>
          <w:rFonts w:asciiTheme="majorBidi" w:hAnsiTheme="majorBidi" w:cstheme="majorBidi"/>
          <w:sz w:val="24"/>
          <w:szCs w:val="24"/>
        </w:rPr>
        <w:t xml:space="preserve"> first chapter, Hammet’s frame, as well as each subsequent chapter, Gould’s narrative sections. The join of the frame and main narrative t</w:t>
      </w:r>
      <w:r w:rsidR="0027136F">
        <w:rPr>
          <w:rFonts w:asciiTheme="majorBidi" w:hAnsiTheme="majorBidi" w:cstheme="majorBidi"/>
          <w:sz w:val="24"/>
          <w:szCs w:val="24"/>
        </w:rPr>
        <w:t>hus</w:t>
      </w:r>
      <w:r w:rsidRPr="00505CF0">
        <w:rPr>
          <w:rFonts w:asciiTheme="majorBidi" w:hAnsiTheme="majorBidi" w:cstheme="majorBidi"/>
          <w:sz w:val="24"/>
          <w:szCs w:val="24"/>
        </w:rPr>
        <w:t xml:space="preserve"> blurs the line between the two sections, with Hammet positing his own frame </w:t>
      </w:r>
      <w:r w:rsidRPr="00505CF0">
        <w:rPr>
          <w:rFonts w:asciiTheme="majorBidi" w:hAnsiTheme="majorBidi" w:cstheme="majorBidi"/>
          <w:i/>
          <w:iCs/>
          <w:sz w:val="24"/>
          <w:szCs w:val="24"/>
        </w:rPr>
        <w:t>as</w:t>
      </w:r>
      <w:r w:rsidRPr="00505CF0">
        <w:rPr>
          <w:rFonts w:asciiTheme="majorBidi" w:hAnsiTheme="majorBidi" w:cstheme="majorBidi"/>
          <w:sz w:val="24"/>
          <w:szCs w:val="24"/>
        </w:rPr>
        <w:t xml:space="preserve"> the introduction to Gould’s: the text states that ‘the first 46 pages of Gould’s notebook are missing; his journal begins on page 47’, page numbers which directly correspond to the pages of the text already expended by Hammet’s frame and also the corresponding page on which the Gould narrative begins.</w:t>
      </w:r>
      <w:r w:rsidRPr="00505CF0">
        <w:rPr>
          <w:rStyle w:val="FootnoteReference"/>
          <w:rFonts w:asciiTheme="majorBidi" w:hAnsiTheme="majorBidi" w:cstheme="majorBidi"/>
          <w:sz w:val="24"/>
          <w:szCs w:val="24"/>
        </w:rPr>
        <w:footnoteReference w:id="504"/>
      </w:r>
      <w:r w:rsidRPr="00505CF0">
        <w:rPr>
          <w:rFonts w:asciiTheme="majorBidi" w:hAnsiTheme="majorBidi" w:cstheme="majorBidi"/>
          <w:sz w:val="24"/>
          <w:szCs w:val="24"/>
        </w:rPr>
        <w:t xml:space="preserve"> Gould and Hammet also both express a concern over re-incarnation, or a dual identity, in a manner aimed at reconciling the two narrators. Hammet foregrounds this issue in the aforementioned ‘Great Wheel’ analogy, while Gould, in a moment of seeming existential crisis, describes a terror that overtakes him with the suggestion that he ‘may actually be someone else’: </w:t>
      </w:r>
    </w:p>
    <w:p w14:paraId="3C6D6655" w14:textId="77777777" w:rsidR="00C111D3" w:rsidRPr="00505CF0" w:rsidRDefault="00C111D3" w:rsidP="004C3EE0">
      <w:pPr>
        <w:ind w:left="737" w:right="737"/>
        <w:jc w:val="both"/>
        <w:rPr>
          <w:rFonts w:asciiTheme="majorBidi" w:hAnsiTheme="majorBidi" w:cstheme="majorBidi"/>
          <w:sz w:val="24"/>
          <w:szCs w:val="24"/>
        </w:rPr>
      </w:pPr>
    </w:p>
    <w:p w14:paraId="4BFB94D5"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Everything around me was beginning to whirl, that all my life was only a dream dreamt by another, that everything around me was only a simulacrum of a world, &amp; I was crying, lost, I really was somewhere else, somebody else, seeing all this.</w:t>
      </w:r>
      <w:r w:rsidRPr="00505CF0">
        <w:rPr>
          <w:rStyle w:val="FootnoteReference"/>
          <w:rFonts w:asciiTheme="majorBidi" w:hAnsiTheme="majorBidi" w:cstheme="majorBidi"/>
          <w:sz w:val="24"/>
          <w:szCs w:val="24"/>
        </w:rPr>
        <w:footnoteReference w:id="505"/>
      </w:r>
    </w:p>
    <w:p w14:paraId="0D8993F0" w14:textId="77777777" w:rsidR="00C111D3" w:rsidRPr="00505CF0" w:rsidRDefault="00C111D3" w:rsidP="004C3EE0">
      <w:pPr>
        <w:spacing w:line="480" w:lineRule="auto"/>
        <w:jc w:val="both"/>
        <w:rPr>
          <w:rFonts w:asciiTheme="majorBidi" w:hAnsiTheme="majorBidi" w:cstheme="majorBidi"/>
          <w:sz w:val="24"/>
          <w:szCs w:val="24"/>
        </w:rPr>
      </w:pPr>
    </w:p>
    <w:p w14:paraId="71FD0885" w14:textId="04171AFF"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blurring between the two continues as the similarities between the men continue to develop: Each is in possession of a book of fish, before this is either lost or dissolved, and </w:t>
      </w:r>
      <w:r w:rsidR="00F72648">
        <w:rPr>
          <w:rFonts w:asciiTheme="majorBidi" w:hAnsiTheme="majorBidi" w:cstheme="majorBidi"/>
          <w:sz w:val="24"/>
          <w:szCs w:val="24"/>
        </w:rPr>
        <w:t xml:space="preserve">each </w:t>
      </w:r>
      <w:r w:rsidRPr="00505CF0">
        <w:rPr>
          <w:rFonts w:asciiTheme="majorBidi" w:hAnsiTheme="majorBidi" w:cstheme="majorBidi"/>
          <w:sz w:val="24"/>
          <w:szCs w:val="24"/>
        </w:rPr>
        <w:t>begins to recreate a second edition from memory; each man turns into a Weedy Seadragon at the end of their respective stories; each is a counterfeiter and a forger, convicted of their crime; and each falls in love with a woman in contact with whom their identity becomes fluid (The Conga for Hammet and Twopenny Sal for Gould). Hammet, in framing the text (one could even go so far as to state that he has fabricated it entirely) presents Gould as a redeemable man, as a version of himself that has found some life-affirming meaning and subsequent transcendence through artistic creation.</w:t>
      </w:r>
      <w:r w:rsidR="00AE6788">
        <w:rPr>
          <w:rStyle w:val="FootnoteReference"/>
          <w:rFonts w:asciiTheme="majorBidi" w:hAnsiTheme="majorBidi" w:cstheme="majorBidi"/>
          <w:sz w:val="24"/>
          <w:szCs w:val="24"/>
        </w:rPr>
        <w:footnoteReference w:id="506"/>
      </w:r>
      <w:r w:rsidRPr="00505CF0">
        <w:rPr>
          <w:rFonts w:asciiTheme="majorBidi" w:hAnsiTheme="majorBidi" w:cstheme="majorBidi"/>
          <w:sz w:val="24"/>
          <w:szCs w:val="24"/>
        </w:rPr>
        <w:t xml:space="preserve"> In doing so, he cements his own blurring with Gould, attempting a pseudo-vicarious experience where he does not actually live through Gould, but as the man. As Hammet tellingly reveals at the beginning of the text about the tourists: ‘</w:t>
      </w:r>
      <w:proofErr w:type="gramStart"/>
      <w:r w:rsidRPr="00505CF0">
        <w:rPr>
          <w:rFonts w:asciiTheme="majorBidi" w:hAnsiTheme="majorBidi" w:cstheme="majorBidi"/>
          <w:sz w:val="24"/>
          <w:szCs w:val="24"/>
        </w:rPr>
        <w:t>They</w:t>
      </w:r>
      <w:proofErr w:type="gramEnd"/>
      <w:r w:rsidRPr="00505CF0">
        <w:rPr>
          <w:rFonts w:asciiTheme="majorBidi" w:hAnsiTheme="majorBidi" w:cstheme="majorBidi"/>
          <w:sz w:val="24"/>
          <w:szCs w:val="24"/>
        </w:rPr>
        <w:t xml:space="preserve"> wanted stories, I came to realise, in which they were already imprisoned, not stories in which they appeared along with the storyteller, accomplices in escaping.’</w:t>
      </w:r>
      <w:r w:rsidRPr="00505CF0">
        <w:rPr>
          <w:rStyle w:val="FootnoteReference"/>
          <w:rFonts w:asciiTheme="majorBidi" w:hAnsiTheme="majorBidi" w:cstheme="majorBidi"/>
          <w:sz w:val="24"/>
          <w:szCs w:val="24"/>
        </w:rPr>
        <w:footnoteReference w:id="507"/>
      </w:r>
      <w:r w:rsidRPr="00505CF0">
        <w:rPr>
          <w:rFonts w:asciiTheme="majorBidi" w:hAnsiTheme="majorBidi" w:cstheme="majorBidi"/>
          <w:sz w:val="24"/>
          <w:szCs w:val="24"/>
        </w:rPr>
        <w:t xml:space="preserve"> The tourists, as ironically hungry for meaning as Hammet himself later becomes, do not wish to travel along with the storyteller, but to be imprisoned within the story itself, an experience that Hammet himself desires; not a vicarious transcendence lived through Gould, but the same experience, the same reactions and knowledge gained through the blurring of their identities.</w:t>
      </w:r>
      <w:r w:rsidRPr="00505CF0">
        <w:rPr>
          <w:rStyle w:val="FootnoteReference"/>
          <w:rFonts w:asciiTheme="majorBidi" w:hAnsiTheme="majorBidi" w:cstheme="majorBidi"/>
          <w:sz w:val="24"/>
          <w:szCs w:val="24"/>
        </w:rPr>
        <w:footnoteReference w:id="508"/>
      </w:r>
    </w:p>
    <w:p w14:paraId="133CC836"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sz w:val="24"/>
          <w:szCs w:val="24"/>
        </w:rPr>
        <w:t xml:space="preserve">Gould’s Book of Fish </w:t>
      </w:r>
      <w:r w:rsidRPr="00505CF0">
        <w:rPr>
          <w:rFonts w:asciiTheme="majorBidi" w:hAnsiTheme="majorBidi" w:cstheme="majorBidi"/>
          <w:sz w:val="24"/>
          <w:szCs w:val="24"/>
        </w:rPr>
        <w:t>ends in a circular reflection of the beginning, with the Seadragon and Hammet trading places:</w:t>
      </w:r>
    </w:p>
    <w:p w14:paraId="1DD976B1"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ab/>
      </w:r>
    </w:p>
    <w:p w14:paraId="3AAB2B2F"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ab/>
        <w:t xml:space="preserve">Sid Hammet stares at me for too long. I am not afraid, never have I been afraid. I shall be you. I am ascending from the night, rising, rolling, </w:t>
      </w:r>
      <w:proofErr w:type="gramStart"/>
      <w:r w:rsidRPr="00505CF0">
        <w:rPr>
          <w:rFonts w:asciiTheme="majorBidi" w:hAnsiTheme="majorBidi" w:cstheme="majorBidi"/>
          <w:sz w:val="24"/>
          <w:szCs w:val="24"/>
        </w:rPr>
        <w:t>passing</w:t>
      </w:r>
      <w:proofErr w:type="gramEnd"/>
      <w:r w:rsidRPr="00505CF0">
        <w:rPr>
          <w:rFonts w:asciiTheme="majorBidi" w:hAnsiTheme="majorBidi" w:cstheme="majorBidi"/>
          <w:sz w:val="24"/>
          <w:szCs w:val="24"/>
        </w:rPr>
        <w:t xml:space="preserve"> through glass &amp; air into his sad eyes. Who am I? </w:t>
      </w:r>
      <w:proofErr w:type="gramStart"/>
      <w:r w:rsidRPr="00505CF0">
        <w:rPr>
          <w:rFonts w:asciiTheme="majorBidi" w:hAnsiTheme="majorBidi" w:cstheme="majorBidi"/>
          <w:sz w:val="24"/>
          <w:szCs w:val="24"/>
        </w:rPr>
        <w:t>he</w:t>
      </w:r>
      <w:proofErr w:type="gramEnd"/>
      <w:r w:rsidRPr="00505CF0">
        <w:rPr>
          <w:rFonts w:asciiTheme="majorBidi" w:hAnsiTheme="majorBidi" w:cstheme="majorBidi"/>
          <w:sz w:val="24"/>
          <w:szCs w:val="24"/>
        </w:rPr>
        <w:t xml:space="preserve"> can no longer ask &amp; I – my punishment perfect for one who has taken a life but not gained another in return – can only with for the certainty to the answer: I am William Buelow Gould.</w:t>
      </w:r>
      <w:r w:rsidRPr="00505CF0">
        <w:rPr>
          <w:rStyle w:val="FootnoteReference"/>
          <w:rFonts w:asciiTheme="majorBidi" w:hAnsiTheme="majorBidi" w:cstheme="majorBidi"/>
          <w:sz w:val="24"/>
          <w:szCs w:val="24"/>
        </w:rPr>
        <w:footnoteReference w:id="509"/>
      </w:r>
    </w:p>
    <w:p w14:paraId="53A47D78" w14:textId="77777777" w:rsidR="00C111D3" w:rsidRPr="00505CF0" w:rsidRDefault="00C111D3" w:rsidP="004C3EE0">
      <w:pPr>
        <w:ind w:left="737" w:right="737"/>
        <w:jc w:val="both"/>
        <w:rPr>
          <w:rFonts w:asciiTheme="majorBidi" w:hAnsiTheme="majorBidi" w:cstheme="majorBidi"/>
          <w:sz w:val="24"/>
          <w:szCs w:val="24"/>
        </w:rPr>
      </w:pPr>
    </w:p>
    <w:p w14:paraId="686E44CD" w14:textId="77777777" w:rsidR="00C111D3" w:rsidRPr="00505CF0" w:rsidRDefault="00C111D3" w:rsidP="004C3EE0">
      <w:pPr>
        <w:ind w:left="737" w:right="737"/>
        <w:jc w:val="both"/>
        <w:rPr>
          <w:rFonts w:asciiTheme="majorBidi" w:hAnsiTheme="majorBidi" w:cstheme="majorBidi"/>
          <w:sz w:val="24"/>
          <w:szCs w:val="24"/>
        </w:rPr>
      </w:pPr>
    </w:p>
    <w:p w14:paraId="69524F00" w14:textId="05736868"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This confirms the conjoining of the two parties as Gould begins to possess Hammet’s body</w:t>
      </w:r>
      <w:r w:rsidR="00F72648">
        <w:rPr>
          <w:rFonts w:asciiTheme="majorBidi" w:hAnsiTheme="majorBidi" w:cstheme="majorBidi"/>
          <w:sz w:val="24"/>
          <w:szCs w:val="24"/>
        </w:rPr>
        <w:t xml:space="preserve"> and</w:t>
      </w:r>
      <w:r w:rsidRPr="00505CF0">
        <w:rPr>
          <w:rFonts w:asciiTheme="majorBidi" w:hAnsiTheme="majorBidi" w:cstheme="majorBidi"/>
          <w:sz w:val="24"/>
          <w:szCs w:val="24"/>
        </w:rPr>
        <w:t xml:space="preserve"> the transcendence Hammet wishes for, finally, is denied in a seeming act of possession. He has become Gould, though Gould, too, has become him. John Burnside’s </w:t>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too forms a circular text, though </w:t>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presents more as an ouroboros in form, the snake ever eating its</w:t>
      </w:r>
      <w:r w:rsidR="00F72648">
        <w:rPr>
          <w:rFonts w:asciiTheme="majorBidi" w:hAnsiTheme="majorBidi" w:cstheme="majorBidi"/>
          <w:sz w:val="24"/>
          <w:szCs w:val="24"/>
        </w:rPr>
        <w:t xml:space="preserve"> tail</w:t>
      </w:r>
      <w:r w:rsidRPr="00505CF0">
        <w:rPr>
          <w:rFonts w:asciiTheme="majorBidi" w:hAnsiTheme="majorBidi" w:cstheme="majorBidi"/>
          <w:sz w:val="24"/>
          <w:szCs w:val="24"/>
        </w:rPr>
        <w:t xml:space="preserve"> </w:t>
      </w:r>
      <w:r w:rsidR="00F72648">
        <w:rPr>
          <w:rFonts w:asciiTheme="majorBidi" w:hAnsiTheme="majorBidi" w:cstheme="majorBidi"/>
          <w:sz w:val="24"/>
          <w:szCs w:val="24"/>
        </w:rPr>
        <w:t>(</w:t>
      </w:r>
      <w:r w:rsidRPr="00505CF0">
        <w:rPr>
          <w:rFonts w:asciiTheme="majorBidi" w:hAnsiTheme="majorBidi" w:cstheme="majorBidi"/>
          <w:sz w:val="24"/>
          <w:szCs w:val="24"/>
        </w:rPr>
        <w:t>tale</w:t>
      </w:r>
      <w:r w:rsidR="00F72648">
        <w:rPr>
          <w:rFonts w:asciiTheme="majorBidi" w:hAnsiTheme="majorBidi" w:cstheme="majorBidi"/>
          <w:sz w:val="24"/>
          <w:szCs w:val="24"/>
        </w:rPr>
        <w:t>?)</w:t>
      </w:r>
      <w:r w:rsidRPr="00505CF0">
        <w:rPr>
          <w:rFonts w:asciiTheme="majorBidi" w:hAnsiTheme="majorBidi" w:cstheme="majorBidi"/>
          <w:sz w:val="24"/>
          <w:szCs w:val="24"/>
        </w:rPr>
        <w:t xml:space="preserve">, the story ever returning to that original point in which Leonard finds </w:t>
      </w:r>
      <w:proofErr w:type="gramStart"/>
      <w:r w:rsidRPr="00505CF0">
        <w:rPr>
          <w:rFonts w:asciiTheme="majorBidi" w:hAnsiTheme="majorBidi" w:cstheme="majorBidi"/>
          <w:sz w:val="24"/>
          <w:szCs w:val="24"/>
        </w:rPr>
        <w:t>himself</w:t>
      </w:r>
      <w:proofErr w:type="gramEnd"/>
      <w:r w:rsidRPr="00505CF0">
        <w:rPr>
          <w:rFonts w:asciiTheme="majorBidi" w:hAnsiTheme="majorBidi" w:cstheme="majorBidi"/>
          <w:sz w:val="24"/>
          <w:szCs w:val="24"/>
        </w:rPr>
        <w:t xml:space="preserve"> in an unusual timeless place, listening to the calling of the gulls.</w:t>
      </w:r>
      <w:r w:rsidRPr="00505CF0">
        <w:rPr>
          <w:rStyle w:val="FootnoteReference"/>
          <w:rFonts w:asciiTheme="majorBidi" w:hAnsiTheme="majorBidi" w:cstheme="majorBidi"/>
          <w:sz w:val="24"/>
          <w:szCs w:val="24"/>
        </w:rPr>
        <w:footnoteReference w:id="510"/>
      </w:r>
    </w:p>
    <w:p w14:paraId="15ADADBC"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is, ostensibly, a detective story. Young boys have been regularly disappearing from the town of Homeland, one every year or so, and the only person attempting to solve these crimes, the policeman John Morrison, is implicated in their coverup. The town is at all points shadowed by the presence of the old chemical plant which has ravaged the local wildlife and left the landscape desolate, and around which the children of the town play and roam. For the majority of the text, however, the reader finds themselves observing one of these children, Leonard Wilson, in his experiences around the town, with the mystery of who has been kidnapping the boys of the city left largely untouched until its return in the final forty or so pages of the novel. Burnside’s text becomes, then, a metafictional take on the detective genre, dressed in Gothic trappings of ruined castles (the plant), malign patriarchal figures (Leonard’s depressive Father), sexual taboo (Elspeth’s sexual needs, despite her young age), madness or mental illness (Alice, again Leonard’s father), and violent death (Leonard’s murder of an innocent man). The novel is metafictional, here, in the sense that it deconstructs the necessities of the detective genre, posing the question of how a novel would work should the detective supposed to be investigating the murders be someone actively working to cover them up, as is the case with Morrison. Morrison, in the face of the first murder scene and the young boy Mark Wilkinson ‘suspended in [a] tree like a figure from some makeshift crucifixion,’</w:t>
      </w:r>
      <w:r w:rsidRPr="00505CF0">
        <w:rPr>
          <w:rStyle w:val="FootnoteReference"/>
          <w:rFonts w:asciiTheme="majorBidi" w:hAnsiTheme="majorBidi" w:cstheme="majorBidi"/>
          <w:sz w:val="24"/>
          <w:szCs w:val="24"/>
        </w:rPr>
        <w:footnoteReference w:id="511"/>
      </w:r>
      <w:r w:rsidRPr="00505CF0">
        <w:rPr>
          <w:rFonts w:asciiTheme="majorBidi" w:hAnsiTheme="majorBidi" w:cstheme="majorBidi"/>
          <w:sz w:val="24"/>
          <w:szCs w:val="24"/>
        </w:rPr>
        <w:t xml:space="preserve"> finds himself wanting:</w:t>
      </w:r>
    </w:p>
    <w:p w14:paraId="42EECD01" w14:textId="77777777" w:rsidR="00C111D3" w:rsidRPr="00505CF0" w:rsidRDefault="00C111D3" w:rsidP="004C3EE0">
      <w:pPr>
        <w:ind w:left="737" w:right="737"/>
        <w:jc w:val="both"/>
        <w:rPr>
          <w:rFonts w:asciiTheme="majorBidi" w:hAnsiTheme="majorBidi" w:cstheme="majorBidi"/>
          <w:sz w:val="24"/>
          <w:szCs w:val="24"/>
        </w:rPr>
      </w:pPr>
    </w:p>
    <w:p w14:paraId="5E3B72AF" w14:textId="38281EB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Morrison had to fight the temptation, then, to cut the boy down, to undo the ceremony of what had been done to him, to cover him up and not let him be seen like this by anyone else. […] And it was then that John Morrison understood, with a sudden and brutal clarity, that he wasn’t a real policeman after all, because he did not have what it took to deal with this.</w:t>
      </w:r>
      <w:r w:rsidRPr="00505CF0">
        <w:rPr>
          <w:rStyle w:val="FootnoteReference"/>
          <w:rFonts w:asciiTheme="majorBidi" w:hAnsiTheme="majorBidi" w:cstheme="majorBidi"/>
          <w:sz w:val="24"/>
          <w:szCs w:val="24"/>
        </w:rPr>
        <w:footnoteReference w:id="512"/>
      </w:r>
      <w:r w:rsidRPr="00505CF0">
        <w:rPr>
          <w:rFonts w:asciiTheme="majorBidi" w:hAnsiTheme="majorBidi" w:cstheme="majorBidi"/>
          <w:sz w:val="24"/>
          <w:szCs w:val="24"/>
        </w:rPr>
        <w:t xml:space="preserve"> </w:t>
      </w:r>
    </w:p>
    <w:p w14:paraId="29AB7CD1" w14:textId="77777777" w:rsidR="00C111D3" w:rsidRPr="00505CF0" w:rsidRDefault="00C111D3" w:rsidP="004C3EE0">
      <w:pPr>
        <w:spacing w:line="480" w:lineRule="auto"/>
        <w:jc w:val="both"/>
        <w:rPr>
          <w:rFonts w:asciiTheme="majorBidi" w:hAnsiTheme="majorBidi" w:cstheme="majorBidi"/>
          <w:sz w:val="24"/>
          <w:szCs w:val="24"/>
        </w:rPr>
      </w:pPr>
    </w:p>
    <w:p w14:paraId="32E01E37"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Morrison calls for help and subsequently covers up this crime and all the same that follow, with the help of the wealthy psychopath Brian Smith, who comes to represent that typical Gothic villain – the wealthy land-owner subtly affecting the lives of the lower classes. </w:t>
      </w:r>
    </w:p>
    <w:p w14:paraId="5AF3F7F9" w14:textId="06BC25E5"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Towards the end of the text, one-hundred and fifty pages (roughly sixty percent of the text) after the initial set up of the mystery, in which we follow Leonard’s adventures around the plant, we return to the detective story as Leonard finds himself being followed, ‘watched’ by someone amongst the ruins of the chemical plant.</w:t>
      </w:r>
      <w:r w:rsidRPr="00505CF0">
        <w:rPr>
          <w:rStyle w:val="FootnoteReference"/>
          <w:rFonts w:asciiTheme="majorBidi" w:hAnsiTheme="majorBidi" w:cstheme="majorBidi"/>
          <w:sz w:val="24"/>
          <w:szCs w:val="24"/>
        </w:rPr>
        <w:footnoteReference w:id="513"/>
      </w:r>
      <w:r w:rsidRPr="00505CF0">
        <w:rPr>
          <w:rFonts w:asciiTheme="majorBidi" w:hAnsiTheme="majorBidi" w:cstheme="majorBidi"/>
          <w:sz w:val="24"/>
          <w:szCs w:val="24"/>
        </w:rPr>
        <w:t xml:space="preserve"> This watcher is soon revealed to be the Moth Man, an adult friend of Leonard and amateur lepidopterist, who, as it turns out, is also the murderer of the children, a fact realised </w:t>
      </w:r>
      <w:proofErr w:type="gramStart"/>
      <w:r w:rsidRPr="00505CF0">
        <w:rPr>
          <w:rFonts w:asciiTheme="majorBidi" w:hAnsiTheme="majorBidi" w:cstheme="majorBidi"/>
          <w:sz w:val="24"/>
          <w:szCs w:val="24"/>
        </w:rPr>
        <w:t>by  Morrison</w:t>
      </w:r>
      <w:proofErr w:type="gramEnd"/>
      <w:r w:rsidRPr="00505CF0">
        <w:rPr>
          <w:rFonts w:asciiTheme="majorBidi" w:hAnsiTheme="majorBidi" w:cstheme="majorBidi"/>
          <w:sz w:val="24"/>
          <w:szCs w:val="24"/>
        </w:rPr>
        <w:t xml:space="preserve"> only when it is too late; bound almost entirely in a body-cast by the Moth Man as punishment for his complicity in covering up the </w:t>
      </w:r>
      <w:r w:rsidR="00252349" w:rsidRPr="00505CF0">
        <w:rPr>
          <w:rFonts w:asciiTheme="majorBidi" w:hAnsiTheme="majorBidi" w:cstheme="majorBidi"/>
          <w:sz w:val="24"/>
          <w:szCs w:val="24"/>
        </w:rPr>
        <w:t>murders</w:t>
      </w:r>
      <w:r w:rsidRPr="00505CF0">
        <w:rPr>
          <w:rFonts w:asciiTheme="majorBidi" w:hAnsiTheme="majorBidi" w:cstheme="majorBidi"/>
          <w:sz w:val="24"/>
          <w:szCs w:val="24"/>
        </w:rPr>
        <w:t xml:space="preserve">, Morrison realises that his punisher is the killer, yet is unable to ask him any questions about why, due to the nature of his imprisonment. Burnside, then, abandons the genre conventions of the detective mode, with the villain’s ‘big reveal’ left entirely </w:t>
      </w:r>
      <w:proofErr w:type="gramStart"/>
      <w:r w:rsidRPr="00505CF0">
        <w:rPr>
          <w:rFonts w:asciiTheme="majorBidi" w:hAnsiTheme="majorBidi" w:cstheme="majorBidi"/>
          <w:sz w:val="24"/>
          <w:szCs w:val="24"/>
        </w:rPr>
        <w:t>to</w:t>
      </w:r>
      <w:proofErr w:type="gramEnd"/>
      <w:r w:rsidRPr="00505CF0">
        <w:rPr>
          <w:rFonts w:asciiTheme="majorBidi" w:hAnsiTheme="majorBidi" w:cstheme="majorBidi"/>
          <w:sz w:val="24"/>
          <w:szCs w:val="24"/>
        </w:rPr>
        <w:t xml:space="preserve"> internal speculation on the part of Morrison, who is unable to comprehend</w:t>
      </w:r>
      <w:r w:rsidR="00922A43">
        <w:rPr>
          <w:rFonts w:asciiTheme="majorBidi" w:hAnsiTheme="majorBidi" w:cstheme="majorBidi"/>
          <w:sz w:val="24"/>
          <w:szCs w:val="24"/>
        </w:rPr>
        <w:t>, nor to interrogate the ‘villain’ about his motives</w:t>
      </w:r>
      <w:r w:rsidRPr="00505CF0">
        <w:rPr>
          <w:rFonts w:asciiTheme="majorBidi" w:hAnsiTheme="majorBidi" w:cstheme="majorBidi"/>
          <w:sz w:val="24"/>
          <w:szCs w:val="24"/>
        </w:rPr>
        <w:t xml:space="preserve">. This critique, though, is not an entirely postmodern endeavour. The postmodern play and pastiche here serves a far more significant purpose in the text, in which the reason </w:t>
      </w:r>
      <w:r w:rsidRPr="00505CF0">
        <w:rPr>
          <w:rFonts w:asciiTheme="majorBidi" w:hAnsiTheme="majorBidi" w:cstheme="majorBidi"/>
          <w:i/>
          <w:sz w:val="24"/>
          <w:szCs w:val="24"/>
        </w:rPr>
        <w:t>why</w:t>
      </w:r>
      <w:r w:rsidRPr="00505CF0">
        <w:rPr>
          <w:rFonts w:asciiTheme="majorBidi" w:hAnsiTheme="majorBidi" w:cstheme="majorBidi"/>
          <w:sz w:val="24"/>
          <w:szCs w:val="24"/>
        </w:rPr>
        <w:t xml:space="preserve"> the murders happen is considered unimportant in the wake of the </w:t>
      </w:r>
      <w:r w:rsidRPr="00505CF0">
        <w:rPr>
          <w:rFonts w:asciiTheme="majorBidi" w:hAnsiTheme="majorBidi" w:cstheme="majorBidi"/>
          <w:i/>
          <w:sz w:val="24"/>
          <w:szCs w:val="24"/>
        </w:rPr>
        <w:t>effects</w:t>
      </w:r>
      <w:r w:rsidRPr="00505CF0">
        <w:rPr>
          <w:rFonts w:asciiTheme="majorBidi" w:hAnsiTheme="majorBidi" w:cstheme="majorBidi"/>
          <w:sz w:val="24"/>
          <w:szCs w:val="24"/>
        </w:rPr>
        <w:t xml:space="preserve"> of the murders themselves</w:t>
      </w:r>
      <w:r w:rsidR="00922A43">
        <w:rPr>
          <w:rFonts w:asciiTheme="majorBidi" w:hAnsiTheme="majorBidi" w:cstheme="majorBidi"/>
          <w:sz w:val="24"/>
          <w:szCs w:val="24"/>
        </w:rPr>
        <w:t>.</w:t>
      </w:r>
      <w:r w:rsidRPr="00505CF0">
        <w:rPr>
          <w:rFonts w:asciiTheme="majorBidi" w:hAnsiTheme="majorBidi" w:cstheme="majorBidi"/>
          <w:sz w:val="24"/>
          <w:szCs w:val="24"/>
        </w:rPr>
        <w:t xml:space="preserve"> The concern is not the past, the how and who of the crime, but rather the future, the intended, and actualised, purpose of the crime itself. Postmodern meaninglessness is thus driven to a background setting in which the quest for forgiveness, and a specific humanism, is foregrounded by the Moth Man’s agenda.</w:t>
      </w:r>
    </w:p>
    <w:p w14:paraId="5C7CFD0C" w14:textId="7B066495"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The Moth Man, it seems, kills the children in a sacrificial manner, but in doing so loosens their souls from their body that they may be led through the ‘Glister,’ a mysterious machine inside the </w:t>
      </w:r>
      <w:r w:rsidR="00922A43">
        <w:rPr>
          <w:rFonts w:asciiTheme="majorBidi" w:hAnsiTheme="majorBidi" w:cstheme="majorBidi"/>
          <w:sz w:val="24"/>
          <w:szCs w:val="24"/>
        </w:rPr>
        <w:t>p</w:t>
      </w:r>
      <w:r w:rsidRPr="00505CF0">
        <w:rPr>
          <w:rFonts w:asciiTheme="majorBidi" w:hAnsiTheme="majorBidi" w:cstheme="majorBidi"/>
          <w:sz w:val="24"/>
          <w:szCs w:val="24"/>
        </w:rPr>
        <w:t>lant that allows them to enter the space beyond life, described as ‘the point where every story begins and ends,’ by Leonard.</w:t>
      </w:r>
      <w:r w:rsidRPr="00505CF0">
        <w:rPr>
          <w:rStyle w:val="FootnoteReference"/>
          <w:rFonts w:asciiTheme="majorBidi" w:hAnsiTheme="majorBidi" w:cstheme="majorBidi"/>
          <w:sz w:val="24"/>
          <w:szCs w:val="24"/>
        </w:rPr>
        <w:footnoteReference w:id="514"/>
      </w:r>
      <w:r w:rsidRPr="00505CF0">
        <w:rPr>
          <w:rFonts w:asciiTheme="majorBidi" w:hAnsiTheme="majorBidi" w:cstheme="majorBidi"/>
          <w:sz w:val="24"/>
          <w:szCs w:val="24"/>
        </w:rPr>
        <w:t xml:space="preserve"> The point of being led into this seeming limbo-like space beyond death (Leonard witnesses his own corpse strung up in the same manner as the other murdered boy’s before he enters the machine), seems to be to attain forgiveness, as Leonard states before he walks willingly into the machine:</w:t>
      </w:r>
    </w:p>
    <w:p w14:paraId="42049D49" w14:textId="77777777" w:rsidR="00C111D3" w:rsidRPr="00505CF0" w:rsidRDefault="00C111D3" w:rsidP="004C3EE0">
      <w:pPr>
        <w:ind w:left="737" w:right="737"/>
        <w:jc w:val="both"/>
        <w:rPr>
          <w:rFonts w:asciiTheme="majorBidi" w:hAnsiTheme="majorBidi" w:cstheme="majorBidi"/>
          <w:sz w:val="24"/>
          <w:szCs w:val="24"/>
        </w:rPr>
      </w:pPr>
    </w:p>
    <w:p w14:paraId="4612D0E3" w14:textId="1DA4E011"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I’ve seen in [The Moth Man’s] eyes that he is going to send me into the Glister alone. Which I should have known, of course, because he has to stay, he has to go on with his work. He </w:t>
      </w:r>
      <w:r w:rsidRPr="00505CF0">
        <w:rPr>
          <w:rFonts w:asciiTheme="majorBidi" w:hAnsiTheme="majorBidi" w:cstheme="majorBidi"/>
          <w:i/>
          <w:sz w:val="24"/>
          <w:szCs w:val="24"/>
        </w:rPr>
        <w:t xml:space="preserve">is </w:t>
      </w:r>
      <w:r w:rsidRPr="00505CF0">
        <w:rPr>
          <w:rFonts w:asciiTheme="majorBidi" w:hAnsiTheme="majorBidi" w:cstheme="majorBidi"/>
          <w:sz w:val="24"/>
          <w:szCs w:val="24"/>
        </w:rPr>
        <w:t xml:space="preserve">the necessary angel. I have an image of him going from house to house all along the peninsula, picking off the [descendants of those who closed the plant] one by one. That’s what I see in him, at least. </w:t>
      </w:r>
      <w:proofErr w:type="gramStart"/>
      <w:r w:rsidRPr="00505CF0">
        <w:rPr>
          <w:rFonts w:asciiTheme="majorBidi" w:hAnsiTheme="majorBidi" w:cstheme="majorBidi"/>
          <w:sz w:val="24"/>
          <w:szCs w:val="24"/>
        </w:rPr>
        <w:t>An angel going from door to door.</w:t>
      </w:r>
      <w:proofErr w:type="gramEnd"/>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 xml:space="preserve">The </w:t>
      </w:r>
      <w:r w:rsidR="001F37B6">
        <w:rPr>
          <w:rFonts w:asciiTheme="majorBidi" w:hAnsiTheme="majorBidi" w:cstheme="majorBidi"/>
          <w:sz w:val="24"/>
          <w:szCs w:val="24"/>
        </w:rPr>
        <w:t>a</w:t>
      </w:r>
      <w:r w:rsidRPr="00505CF0">
        <w:rPr>
          <w:rFonts w:asciiTheme="majorBidi" w:hAnsiTheme="majorBidi" w:cstheme="majorBidi"/>
          <w:sz w:val="24"/>
          <w:szCs w:val="24"/>
        </w:rPr>
        <w:t>ngel of death.</w:t>
      </w:r>
      <w:proofErr w:type="gramEnd"/>
      <w:r w:rsidRPr="00505CF0">
        <w:rPr>
          <w:rFonts w:asciiTheme="majorBidi" w:hAnsiTheme="majorBidi" w:cstheme="majorBidi"/>
          <w:sz w:val="24"/>
          <w:szCs w:val="24"/>
        </w:rPr>
        <w:t xml:space="preserve"> The angel of absolution, gathering in the souls of the wicked – not as a punishment, but because God has forgiven them at last, and is releasing them from the hell they had fallen into.</w:t>
      </w:r>
      <w:r w:rsidRPr="00505CF0">
        <w:rPr>
          <w:rStyle w:val="FootnoteReference"/>
          <w:rFonts w:asciiTheme="majorBidi" w:hAnsiTheme="majorBidi" w:cstheme="majorBidi"/>
          <w:sz w:val="24"/>
          <w:szCs w:val="24"/>
        </w:rPr>
        <w:footnoteReference w:id="515"/>
      </w:r>
      <w:r w:rsidRPr="00505CF0">
        <w:rPr>
          <w:rFonts w:asciiTheme="majorBidi" w:hAnsiTheme="majorBidi" w:cstheme="majorBidi"/>
          <w:sz w:val="24"/>
          <w:szCs w:val="24"/>
        </w:rPr>
        <w:t xml:space="preserve"> </w:t>
      </w:r>
    </w:p>
    <w:p w14:paraId="5AE4665C" w14:textId="77777777" w:rsidR="00C111D3" w:rsidRPr="00505CF0" w:rsidRDefault="00C111D3" w:rsidP="004C3EE0">
      <w:pPr>
        <w:spacing w:line="480" w:lineRule="auto"/>
        <w:jc w:val="both"/>
        <w:rPr>
          <w:rFonts w:asciiTheme="majorBidi" w:hAnsiTheme="majorBidi" w:cstheme="majorBidi"/>
          <w:sz w:val="24"/>
          <w:szCs w:val="24"/>
        </w:rPr>
      </w:pPr>
    </w:p>
    <w:p w14:paraId="0737C5B8"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Moth Man’s agenda is a redemptive one, not malicious or vengeful, bent on absolution and forgiveness. Indeed, the purpose of Leonard’s ‘death’ via the Glister seems to be that he is able to relive, or retell, his story in an effort to ‘forgive everyone who figures there, including </w:t>
      </w:r>
      <w:proofErr w:type="gramStart"/>
      <w:r w:rsidRPr="00505CF0">
        <w:rPr>
          <w:rFonts w:asciiTheme="majorBidi" w:hAnsiTheme="majorBidi" w:cstheme="majorBidi"/>
          <w:sz w:val="24"/>
          <w:szCs w:val="24"/>
        </w:rPr>
        <w:t>myself</w:t>
      </w:r>
      <w:proofErr w:type="gramEnd"/>
      <w:r w:rsidRPr="00505CF0">
        <w:rPr>
          <w:rFonts w:asciiTheme="majorBidi" w:hAnsiTheme="majorBidi" w:cstheme="majorBidi"/>
          <w:sz w:val="24"/>
          <w:szCs w:val="24"/>
        </w:rPr>
        <w:t xml:space="preserve">. […] Life is bigger. As my own local variation of this one story begins again for the last time, in the moment before it is forgotten, it may become a perfect rendition, a true story, told once and for all. </w:t>
      </w:r>
      <w:proofErr w:type="gramStart"/>
      <w:r w:rsidRPr="00505CF0">
        <w:rPr>
          <w:rFonts w:asciiTheme="majorBidi" w:hAnsiTheme="majorBidi" w:cstheme="majorBidi"/>
          <w:sz w:val="24"/>
          <w:szCs w:val="24"/>
        </w:rPr>
        <w:t>If it happens like that.</w:t>
      </w:r>
      <w:proofErr w:type="gramEnd"/>
      <w:r w:rsidRPr="00505CF0">
        <w:rPr>
          <w:rFonts w:asciiTheme="majorBidi" w:hAnsiTheme="majorBidi" w:cstheme="majorBidi"/>
          <w:sz w:val="24"/>
          <w:szCs w:val="24"/>
        </w:rPr>
        <w:t xml:space="preserve"> If it happens in full, then everything is understood. Everything is forgiven.’</w:t>
      </w:r>
      <w:r w:rsidRPr="00505CF0">
        <w:rPr>
          <w:rStyle w:val="FootnoteReference"/>
          <w:rFonts w:asciiTheme="majorBidi" w:hAnsiTheme="majorBidi" w:cstheme="majorBidi"/>
          <w:sz w:val="24"/>
          <w:szCs w:val="24"/>
        </w:rPr>
        <w:footnoteReference w:id="516"/>
      </w:r>
      <w:r w:rsidRPr="00505CF0">
        <w:rPr>
          <w:rFonts w:asciiTheme="majorBidi" w:hAnsiTheme="majorBidi" w:cstheme="majorBidi"/>
          <w:sz w:val="24"/>
          <w:szCs w:val="24"/>
        </w:rPr>
        <w:t xml:space="preserve"> By using techniques of postmodern deconstruction to force the detective genre into a less significant plot role, </w:t>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is able to foreground issues of forgiveness, of transcending the typical postmodern techniques through a desire for something beyond. </w:t>
      </w:r>
      <w:r w:rsidRPr="00505CF0">
        <w:rPr>
          <w:rFonts w:asciiTheme="majorBidi" w:hAnsiTheme="majorBidi" w:cstheme="majorBidi"/>
          <w:i/>
          <w:iCs/>
          <w:sz w:val="24"/>
          <w:szCs w:val="24"/>
        </w:rPr>
        <w:t xml:space="preserve">Glister’s </w:t>
      </w:r>
      <w:r w:rsidRPr="00505CF0">
        <w:rPr>
          <w:rFonts w:asciiTheme="majorBidi" w:hAnsiTheme="majorBidi" w:cstheme="majorBidi"/>
          <w:sz w:val="24"/>
          <w:szCs w:val="24"/>
        </w:rPr>
        <w:t>suggested answer to the postmodern problem is the creation space in which to critically analyse those wrongs perpetrated upon us and, rather than to lament a lack of justice, or to seek vengeance in its place, to attempt forgiveness and transcend the meaninglessness of stories by imbuing them with the possibility of clemency. Perhaps most emblematic of this shift is the aforementioned ‘punishment’ of Morrison by the Moth Man, which is acted not to avenge his cover up of the bodies, but rather, as the Moth Man states, to give him ‘time to repent.’</w:t>
      </w:r>
      <w:r w:rsidRPr="00505CF0">
        <w:rPr>
          <w:rStyle w:val="FootnoteReference"/>
          <w:rFonts w:asciiTheme="majorBidi" w:hAnsiTheme="majorBidi" w:cstheme="majorBidi"/>
          <w:sz w:val="24"/>
          <w:szCs w:val="24"/>
        </w:rPr>
        <w:footnoteReference w:id="517"/>
      </w:r>
    </w:p>
    <w:p w14:paraId="01A8E5B6" w14:textId="5934B1B5"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If </w:t>
      </w:r>
      <w:r w:rsidRPr="00505CF0">
        <w:rPr>
          <w:rFonts w:asciiTheme="majorBidi" w:hAnsiTheme="majorBidi" w:cstheme="majorBidi"/>
          <w:i/>
          <w:sz w:val="24"/>
          <w:szCs w:val="24"/>
        </w:rPr>
        <w:t>Glister</w:t>
      </w:r>
      <w:r w:rsidRPr="00505CF0">
        <w:rPr>
          <w:rFonts w:asciiTheme="majorBidi" w:hAnsiTheme="majorBidi" w:cstheme="majorBidi"/>
          <w:sz w:val="24"/>
          <w:szCs w:val="24"/>
        </w:rPr>
        <w:t xml:space="preserve"> moves beyond the typical concerns of the detective genre from within, then so too does Dan Simmons’ </w:t>
      </w:r>
      <w:r w:rsidRPr="00505CF0">
        <w:rPr>
          <w:rFonts w:asciiTheme="majorBidi" w:hAnsiTheme="majorBidi" w:cstheme="majorBidi"/>
          <w:i/>
          <w:sz w:val="24"/>
          <w:szCs w:val="24"/>
        </w:rPr>
        <w:t>The Terror</w:t>
      </w:r>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provide</w:t>
      </w:r>
      <w:proofErr w:type="gramEnd"/>
      <w:r w:rsidRPr="00505CF0">
        <w:rPr>
          <w:rFonts w:asciiTheme="majorBidi" w:hAnsiTheme="majorBidi" w:cstheme="majorBidi"/>
          <w:sz w:val="24"/>
          <w:szCs w:val="24"/>
        </w:rPr>
        <w:t xml:space="preserve"> a further example of breaking the bounds of genre</w:t>
      </w:r>
      <w:r w:rsidR="001F37B6">
        <w:rPr>
          <w:rFonts w:asciiTheme="majorBidi" w:hAnsiTheme="majorBidi" w:cstheme="majorBidi"/>
          <w:sz w:val="24"/>
          <w:szCs w:val="24"/>
        </w:rPr>
        <w:t>, in this case</w:t>
      </w:r>
      <w:r w:rsidRPr="00505CF0">
        <w:rPr>
          <w:rFonts w:asciiTheme="majorBidi" w:hAnsiTheme="majorBidi" w:cstheme="majorBidi"/>
          <w:sz w:val="24"/>
          <w:szCs w:val="24"/>
        </w:rPr>
        <w:t xml:space="preserve"> cosmic horror</w:t>
      </w:r>
      <w:r w:rsidR="001F37B6">
        <w:rPr>
          <w:rFonts w:asciiTheme="majorBidi" w:hAnsiTheme="majorBidi" w:cstheme="majorBidi"/>
          <w:sz w:val="24"/>
          <w:szCs w:val="24"/>
        </w:rPr>
        <w:t>,</w:t>
      </w:r>
      <w:r w:rsidRPr="00505CF0">
        <w:rPr>
          <w:rFonts w:asciiTheme="majorBidi" w:hAnsiTheme="majorBidi" w:cstheme="majorBidi"/>
          <w:sz w:val="24"/>
          <w:szCs w:val="24"/>
        </w:rPr>
        <w:t xml:space="preserve"> to evidence a desire for something beyond the postmodern mundane.</w:t>
      </w:r>
    </w:p>
    <w:p w14:paraId="47811DA1"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sz w:val="24"/>
          <w:szCs w:val="24"/>
        </w:rPr>
        <w:t>The Terror</w:t>
      </w:r>
      <w:r w:rsidRPr="00505CF0">
        <w:rPr>
          <w:rFonts w:asciiTheme="majorBidi" w:hAnsiTheme="majorBidi" w:cstheme="majorBidi"/>
          <w:sz w:val="24"/>
          <w:szCs w:val="24"/>
        </w:rPr>
        <w:t xml:space="preserve"> follows several members of Sir John Franklin’s 1845 expedition to the North Pole in search of the North-West Passage through to the Canadian territories, consisting of two well-stocked ships, HMS Erebus, and HMS Terror. After being frozen in ice for two years before their goal could be achieved, the plot, primarily, centres on the captain of the Terror, Francis Crozier, as he attempts to keep his men alive in the face of oppressive arctic conditions, increasingly spoiled rations, the ever-present threat of scurvy, and, most threatening of all, an unknown bestial assailant who has begun to violently slaughter any crew member who should stray from the relative safety of the ship. </w:t>
      </w:r>
    </w:p>
    <w:p w14:paraId="3F5A9144" w14:textId="6AE6E1A4"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Dan Simmons’ text presents, initially, a slow building horror story of the trials that Crozier must face in the inhospitable extreme </w:t>
      </w:r>
      <w:r w:rsidR="001F37B6">
        <w:rPr>
          <w:rFonts w:asciiTheme="majorBidi" w:hAnsiTheme="majorBidi" w:cstheme="majorBidi"/>
          <w:sz w:val="24"/>
          <w:szCs w:val="24"/>
        </w:rPr>
        <w:t>n</w:t>
      </w:r>
      <w:r w:rsidRPr="00505CF0">
        <w:rPr>
          <w:rFonts w:asciiTheme="majorBidi" w:hAnsiTheme="majorBidi" w:cstheme="majorBidi"/>
          <w:sz w:val="24"/>
          <w:szCs w:val="24"/>
        </w:rPr>
        <w:t>orth and the creature slaughtering his men, yet soon emerges more into the territory of pseudo-Lovecraftian cosmic horror as the beast is revealed to be that of the Tuunbaq, a creature of Inuit myth. Created in a fight between cosmic and ancient gods but failing in its ultimate task, to defeat the rival gods of its creator, the Tuunbaq is banished to ‘the coldest, emptiest part of the crowded earth – the perpetually frozen region near the north pole.’</w:t>
      </w:r>
      <w:r w:rsidRPr="00505CF0">
        <w:rPr>
          <w:rStyle w:val="FootnoteReference"/>
          <w:rFonts w:asciiTheme="majorBidi" w:hAnsiTheme="majorBidi" w:cstheme="majorBidi"/>
          <w:sz w:val="24"/>
          <w:szCs w:val="24"/>
        </w:rPr>
        <w:footnoteReference w:id="518"/>
      </w:r>
      <w:r w:rsidRPr="00505CF0">
        <w:rPr>
          <w:rFonts w:asciiTheme="majorBidi" w:hAnsiTheme="majorBidi" w:cstheme="majorBidi"/>
          <w:sz w:val="24"/>
          <w:szCs w:val="24"/>
        </w:rPr>
        <w:t xml:space="preserve"> There, </w:t>
      </w:r>
      <w:proofErr w:type="gramStart"/>
      <w:r w:rsidRPr="00505CF0">
        <w:rPr>
          <w:rFonts w:asciiTheme="majorBidi" w:hAnsiTheme="majorBidi" w:cstheme="majorBidi"/>
          <w:sz w:val="24"/>
          <w:szCs w:val="24"/>
        </w:rPr>
        <w:t xml:space="preserve">a selection of psychically gifted individuals, the </w:t>
      </w:r>
      <w:r w:rsidRPr="00505CF0">
        <w:rPr>
          <w:rFonts w:asciiTheme="majorBidi" w:hAnsiTheme="majorBidi" w:cstheme="majorBidi"/>
          <w:i/>
          <w:sz w:val="24"/>
          <w:szCs w:val="24"/>
        </w:rPr>
        <w:t>sixam ieua</w:t>
      </w:r>
      <w:r w:rsidRPr="00505CF0">
        <w:rPr>
          <w:rFonts w:asciiTheme="majorBidi" w:hAnsiTheme="majorBidi" w:cstheme="majorBidi"/>
          <w:sz w:val="24"/>
          <w:szCs w:val="24"/>
        </w:rPr>
        <w:t>, keep</w:t>
      </w:r>
      <w:proofErr w:type="gramEnd"/>
      <w:r w:rsidRPr="00505CF0">
        <w:rPr>
          <w:rFonts w:asciiTheme="majorBidi" w:hAnsiTheme="majorBidi" w:cstheme="majorBidi"/>
          <w:sz w:val="24"/>
          <w:szCs w:val="24"/>
        </w:rPr>
        <w:t xml:space="preserve"> the Tuunbaq sedate through telepathic promises:</w:t>
      </w:r>
    </w:p>
    <w:p w14:paraId="1083B29A" w14:textId="77777777" w:rsidR="00C111D3" w:rsidRPr="00505CF0" w:rsidRDefault="00C111D3" w:rsidP="004C3EE0">
      <w:pPr>
        <w:ind w:left="737" w:right="737"/>
        <w:jc w:val="both"/>
        <w:rPr>
          <w:rFonts w:asciiTheme="majorBidi" w:hAnsiTheme="majorBidi" w:cstheme="majorBidi"/>
          <w:sz w:val="24"/>
          <w:szCs w:val="24"/>
        </w:rPr>
      </w:pPr>
    </w:p>
    <w:p w14:paraId="276769B5"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The [</w:t>
      </w:r>
      <w:r w:rsidRPr="00505CF0">
        <w:rPr>
          <w:rFonts w:asciiTheme="majorBidi" w:hAnsiTheme="majorBidi" w:cstheme="majorBidi"/>
          <w:i/>
          <w:sz w:val="24"/>
          <w:szCs w:val="24"/>
        </w:rPr>
        <w:t>sixam ieua</w:t>
      </w:r>
      <w:r w:rsidRPr="00505CF0">
        <w:rPr>
          <w:rFonts w:asciiTheme="majorBidi" w:hAnsiTheme="majorBidi" w:cstheme="majorBidi"/>
          <w:sz w:val="24"/>
          <w:szCs w:val="24"/>
        </w:rPr>
        <w:t xml:space="preserve">] learned to summon </w:t>
      </w:r>
      <w:r w:rsidRPr="00505CF0">
        <w:rPr>
          <w:rFonts w:asciiTheme="majorBidi" w:hAnsiTheme="majorBidi" w:cstheme="majorBidi"/>
          <w:i/>
          <w:sz w:val="24"/>
          <w:szCs w:val="24"/>
        </w:rPr>
        <w:t>Tuunbaq</w:t>
      </w:r>
      <w:r w:rsidRPr="00505CF0">
        <w:rPr>
          <w:rFonts w:asciiTheme="majorBidi" w:hAnsiTheme="majorBidi" w:cstheme="majorBidi"/>
          <w:sz w:val="24"/>
          <w:szCs w:val="24"/>
        </w:rPr>
        <w:t xml:space="preserve"> with their throat singing. Devoting themselves to communicating with the </w:t>
      </w:r>
      <w:r w:rsidRPr="00505CF0">
        <w:rPr>
          <w:rFonts w:asciiTheme="majorBidi" w:hAnsiTheme="majorBidi" w:cstheme="majorBidi"/>
          <w:i/>
          <w:sz w:val="24"/>
          <w:szCs w:val="24"/>
        </w:rPr>
        <w:t>Tuunbaq</w:t>
      </w:r>
      <w:r w:rsidRPr="00505CF0">
        <w:rPr>
          <w:rFonts w:asciiTheme="majorBidi" w:hAnsiTheme="majorBidi" w:cstheme="majorBidi"/>
          <w:sz w:val="24"/>
          <w:szCs w:val="24"/>
        </w:rPr>
        <w:t xml:space="preserve">, they agreed to allow the jealous and monstrous creature to deprive them of their ability to speak to their fellow human beings. In exchange for the </w:t>
      </w:r>
      <w:r w:rsidRPr="00505CF0">
        <w:rPr>
          <w:rFonts w:asciiTheme="majorBidi" w:hAnsiTheme="majorBidi" w:cstheme="majorBidi"/>
          <w:i/>
          <w:sz w:val="24"/>
          <w:szCs w:val="24"/>
        </w:rPr>
        <w:t>tupilek</w:t>
      </w:r>
      <w:r w:rsidRPr="00505CF0">
        <w:rPr>
          <w:rStyle w:val="FootnoteReference"/>
          <w:rFonts w:asciiTheme="majorBidi" w:hAnsiTheme="majorBidi" w:cstheme="majorBidi"/>
          <w:i/>
          <w:sz w:val="24"/>
          <w:szCs w:val="24"/>
        </w:rPr>
        <w:footnoteReference w:id="519"/>
      </w:r>
      <w:r w:rsidRPr="00505CF0">
        <w:rPr>
          <w:rFonts w:asciiTheme="majorBidi" w:hAnsiTheme="majorBidi" w:cstheme="majorBidi"/>
          <w:sz w:val="24"/>
          <w:szCs w:val="24"/>
        </w:rPr>
        <w:t xml:space="preserve"> killing-creature no longer preying on human souls, the-spirit-governors-of-the-sky promised the God Who Walks </w:t>
      </w:r>
      <w:proofErr w:type="gramStart"/>
      <w:r w:rsidRPr="00505CF0">
        <w:rPr>
          <w:rFonts w:asciiTheme="majorBidi" w:hAnsiTheme="majorBidi" w:cstheme="majorBidi"/>
          <w:sz w:val="24"/>
          <w:szCs w:val="24"/>
        </w:rPr>
        <w:t>Like</w:t>
      </w:r>
      <w:proofErr w:type="gramEnd"/>
      <w:r w:rsidRPr="00505CF0">
        <w:rPr>
          <w:rFonts w:asciiTheme="majorBidi" w:hAnsiTheme="majorBidi" w:cstheme="majorBidi"/>
          <w:sz w:val="24"/>
          <w:szCs w:val="24"/>
        </w:rPr>
        <w:t xml:space="preserve"> a Man that they – the human beings and Real People</w:t>
      </w:r>
      <w:r w:rsidRPr="00505CF0">
        <w:rPr>
          <w:rStyle w:val="FootnoteReference"/>
          <w:rFonts w:asciiTheme="majorBidi" w:hAnsiTheme="majorBidi" w:cstheme="majorBidi"/>
          <w:sz w:val="24"/>
          <w:szCs w:val="24"/>
        </w:rPr>
        <w:footnoteReference w:id="520"/>
      </w:r>
      <w:r w:rsidRPr="00505CF0">
        <w:rPr>
          <w:rFonts w:asciiTheme="majorBidi" w:hAnsiTheme="majorBidi" w:cstheme="majorBidi"/>
          <w:sz w:val="24"/>
          <w:szCs w:val="24"/>
        </w:rPr>
        <w:t xml:space="preserve"> – would no longer make their dwelling places in its northernmost domain. They promised the God Who Walks </w:t>
      </w:r>
      <w:proofErr w:type="gramStart"/>
      <w:r w:rsidRPr="00505CF0">
        <w:rPr>
          <w:rFonts w:asciiTheme="majorBidi" w:hAnsiTheme="majorBidi" w:cstheme="majorBidi"/>
          <w:sz w:val="24"/>
          <w:szCs w:val="24"/>
        </w:rPr>
        <w:t>Like</w:t>
      </w:r>
      <w:proofErr w:type="gramEnd"/>
      <w:r w:rsidRPr="00505CF0">
        <w:rPr>
          <w:rFonts w:asciiTheme="majorBidi" w:hAnsiTheme="majorBidi" w:cstheme="majorBidi"/>
          <w:sz w:val="24"/>
          <w:szCs w:val="24"/>
        </w:rPr>
        <w:t xml:space="preserve"> a Man that they would honour it by never fishing or hunting within its kingdom without the monster-creature’s permission. […] They promised that no human being’s kayak or boat would trespass on the God Who Walks </w:t>
      </w:r>
      <w:proofErr w:type="gramStart"/>
      <w:r w:rsidRPr="00505CF0">
        <w:rPr>
          <w:rFonts w:asciiTheme="majorBidi" w:hAnsiTheme="majorBidi" w:cstheme="majorBidi"/>
          <w:sz w:val="24"/>
          <w:szCs w:val="24"/>
        </w:rPr>
        <w:t>Like</w:t>
      </w:r>
      <w:proofErr w:type="gramEnd"/>
      <w:r w:rsidRPr="00505CF0">
        <w:rPr>
          <w:rFonts w:asciiTheme="majorBidi" w:hAnsiTheme="majorBidi" w:cstheme="majorBidi"/>
          <w:sz w:val="24"/>
          <w:szCs w:val="24"/>
        </w:rPr>
        <w:t xml:space="preserve"> a Man’s seadomain.</w:t>
      </w:r>
      <w:r w:rsidRPr="00505CF0">
        <w:rPr>
          <w:rStyle w:val="FootnoteReference"/>
          <w:rFonts w:asciiTheme="majorBidi" w:hAnsiTheme="majorBidi" w:cstheme="majorBidi"/>
          <w:sz w:val="24"/>
          <w:szCs w:val="24"/>
        </w:rPr>
        <w:footnoteReference w:id="521"/>
      </w:r>
      <w:r w:rsidRPr="00505CF0">
        <w:rPr>
          <w:rFonts w:asciiTheme="majorBidi" w:hAnsiTheme="majorBidi" w:cstheme="majorBidi"/>
          <w:sz w:val="24"/>
          <w:szCs w:val="24"/>
        </w:rPr>
        <w:t xml:space="preserve"> </w:t>
      </w:r>
    </w:p>
    <w:p w14:paraId="454EFB3A" w14:textId="77777777" w:rsidR="00C111D3" w:rsidRPr="00505CF0" w:rsidRDefault="00C111D3" w:rsidP="004C3EE0">
      <w:pPr>
        <w:spacing w:line="480" w:lineRule="auto"/>
        <w:jc w:val="both"/>
        <w:rPr>
          <w:rFonts w:asciiTheme="majorBidi" w:hAnsiTheme="majorBidi" w:cstheme="majorBidi"/>
          <w:sz w:val="24"/>
          <w:szCs w:val="24"/>
        </w:rPr>
      </w:pPr>
    </w:p>
    <w:p w14:paraId="0208BBF0" w14:textId="366B52B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cause of the Terror’s woes, then, comes from the accidental breaking of this pact. In a true echo of the ethos of Lovecraft’s fiction, modern humans, in a quest for scientific mastery, find themselves in aggressive confrontation with forces far older and more vicious than they are able to contend with, and to whom a cult of individuals (a touch of King here, a cult of those who possess the ‘shining’) has formed to worship. In a similarly Lovecraftian convention, the Tuunbaq’s form causes insanity to those who view it; ‘any form it took was so terrible that even a pure spirit could not look upon it directly without going mad,’</w:t>
      </w:r>
      <w:r w:rsidRPr="00505CF0">
        <w:rPr>
          <w:rStyle w:val="FootnoteReference"/>
          <w:rFonts w:asciiTheme="majorBidi" w:hAnsiTheme="majorBidi" w:cstheme="majorBidi"/>
          <w:sz w:val="24"/>
          <w:szCs w:val="24"/>
        </w:rPr>
        <w:footnoteReference w:id="522"/>
      </w:r>
      <w:r w:rsidRPr="00505CF0">
        <w:rPr>
          <w:rFonts w:asciiTheme="majorBidi" w:hAnsiTheme="majorBidi" w:cstheme="majorBidi"/>
          <w:sz w:val="24"/>
          <w:szCs w:val="24"/>
        </w:rPr>
        <w:t xml:space="preserve"> a concept that instantly brings to mind some of the more notorious beings purportedly listed in the Necronomicon, and in particular Cthulhu,</w:t>
      </w:r>
      <w:r w:rsidRPr="00505CF0">
        <w:rPr>
          <w:rStyle w:val="FootnoteReference"/>
          <w:rFonts w:asciiTheme="majorBidi" w:hAnsiTheme="majorBidi" w:cstheme="majorBidi"/>
          <w:sz w:val="24"/>
          <w:szCs w:val="24"/>
        </w:rPr>
        <w:footnoteReference w:id="523"/>
      </w:r>
      <w:r w:rsidRPr="00505CF0">
        <w:rPr>
          <w:rFonts w:asciiTheme="majorBidi" w:hAnsiTheme="majorBidi" w:cstheme="majorBidi"/>
          <w:sz w:val="24"/>
          <w:szCs w:val="24"/>
        </w:rPr>
        <w:t xml:space="preserve"> whose sight drives the sailor Briden insane.</w:t>
      </w:r>
      <w:r w:rsidRPr="00505CF0">
        <w:rPr>
          <w:rStyle w:val="FootnoteReference"/>
          <w:rFonts w:asciiTheme="majorBidi" w:hAnsiTheme="majorBidi" w:cstheme="majorBidi"/>
          <w:sz w:val="24"/>
          <w:szCs w:val="24"/>
        </w:rPr>
        <w:footnoteReference w:id="524"/>
      </w:r>
      <w:r w:rsidRPr="00505CF0">
        <w:rPr>
          <w:rFonts w:asciiTheme="majorBidi" w:hAnsiTheme="majorBidi" w:cstheme="majorBidi"/>
          <w:sz w:val="24"/>
          <w:szCs w:val="24"/>
        </w:rPr>
        <w:t xml:space="preserve"> Unusual for a Lovecraftian hero, though</w:t>
      </w:r>
      <w:r w:rsidR="001F37B6">
        <w:rPr>
          <w:rFonts w:asciiTheme="majorBidi" w:hAnsiTheme="majorBidi" w:cstheme="majorBidi"/>
          <w:sz w:val="24"/>
          <w:szCs w:val="24"/>
        </w:rPr>
        <w:t>,</w:t>
      </w:r>
      <w:r w:rsidRPr="00505CF0">
        <w:rPr>
          <w:rFonts w:asciiTheme="majorBidi" w:hAnsiTheme="majorBidi" w:cstheme="majorBidi"/>
          <w:sz w:val="24"/>
          <w:szCs w:val="24"/>
        </w:rPr>
        <w:t xml:space="preserve"> Captain Crozier is not driven mad by his experiences with the Tuunbaq, but rather achieves a form of transcendence that moves the text beyond postmodern concerns. In contrast to, for example, Neil Gaiman’s postmodern love letter to Lovecraft in </w:t>
      </w:r>
      <w:r w:rsidRPr="00505CF0">
        <w:rPr>
          <w:rFonts w:asciiTheme="majorBidi" w:hAnsiTheme="majorBidi" w:cstheme="majorBidi"/>
          <w:i/>
          <w:sz w:val="24"/>
          <w:szCs w:val="24"/>
        </w:rPr>
        <w:t>Shoggoth’s Old Peculiar</w:t>
      </w:r>
      <w:r w:rsidRPr="00505CF0">
        <w:rPr>
          <w:rFonts w:asciiTheme="majorBidi" w:hAnsiTheme="majorBidi" w:cstheme="majorBidi"/>
          <w:sz w:val="24"/>
          <w:szCs w:val="24"/>
        </w:rPr>
        <w:t xml:space="preserve"> (1998),</w:t>
      </w:r>
      <w:r w:rsidRPr="00505CF0">
        <w:rPr>
          <w:rStyle w:val="FootnoteReference"/>
          <w:rFonts w:asciiTheme="majorBidi" w:hAnsiTheme="majorBidi" w:cstheme="majorBidi"/>
          <w:sz w:val="24"/>
          <w:szCs w:val="24"/>
        </w:rPr>
        <w:footnoteReference w:id="525"/>
      </w:r>
      <w:r w:rsidRPr="00505CF0">
        <w:rPr>
          <w:rFonts w:asciiTheme="majorBidi" w:hAnsiTheme="majorBidi" w:cstheme="majorBidi"/>
          <w:sz w:val="24"/>
          <w:szCs w:val="24"/>
        </w:rPr>
        <w:t xml:space="preserve"> Simmons’ take on cosmic horror focuses less on postmodern deconstruction and instead presents an entirely sincere treatment of the subject, though within the typically postmodern-aligned mode of the historiographic metafiction. </w:t>
      </w:r>
      <w:r w:rsidRPr="00505CF0">
        <w:rPr>
          <w:rFonts w:asciiTheme="majorBidi" w:hAnsiTheme="majorBidi" w:cstheme="majorBidi"/>
          <w:i/>
          <w:sz w:val="24"/>
          <w:szCs w:val="24"/>
        </w:rPr>
        <w:t>The Terror</w:t>
      </w:r>
      <w:r w:rsidRPr="00505CF0">
        <w:rPr>
          <w:rFonts w:asciiTheme="majorBidi" w:hAnsiTheme="majorBidi" w:cstheme="majorBidi"/>
          <w:sz w:val="24"/>
          <w:szCs w:val="24"/>
        </w:rPr>
        <w:t xml:space="preserve"> reads as a slow-building cosmic horror that refuses an ironic stance and, in its place, treats the subject with a post-ironic, somewhat hopeful touch, as evidenced through Crozier Himself who, rather than be destroyed by his experience with the Absurdity of existence as epitomized by the cosmic horror of the Tuunbaq, is instead reborn. In opposition to </w:t>
      </w:r>
      <w:r w:rsidRPr="00505CF0">
        <w:rPr>
          <w:rFonts w:asciiTheme="majorBidi" w:hAnsiTheme="majorBidi" w:cstheme="majorBidi"/>
          <w:i/>
          <w:sz w:val="24"/>
          <w:szCs w:val="24"/>
        </w:rPr>
        <w:t>The Call of Cthulhu</w:t>
      </w:r>
      <w:r w:rsidRPr="00505CF0">
        <w:rPr>
          <w:rFonts w:asciiTheme="majorBidi" w:hAnsiTheme="majorBidi" w:cstheme="majorBidi"/>
          <w:sz w:val="24"/>
          <w:szCs w:val="24"/>
        </w:rPr>
        <w:t xml:space="preserve">’s Briden, who loses his sense of self to madness in wake of his interactions with the ancient, titular, cosmic horror, Crozier is instead turned from an isolated, desperate and dying sailor into part of the </w:t>
      </w:r>
      <w:r w:rsidRPr="00505CF0">
        <w:rPr>
          <w:rFonts w:asciiTheme="majorBidi" w:hAnsiTheme="majorBidi" w:cstheme="majorBidi"/>
          <w:i/>
          <w:sz w:val="24"/>
          <w:szCs w:val="24"/>
        </w:rPr>
        <w:t xml:space="preserve">Sixam Ieua, </w:t>
      </w:r>
      <w:r w:rsidRPr="00505CF0">
        <w:rPr>
          <w:rFonts w:asciiTheme="majorBidi" w:hAnsiTheme="majorBidi" w:cstheme="majorBidi"/>
          <w:sz w:val="24"/>
          <w:szCs w:val="24"/>
        </w:rPr>
        <w:t>becoming a member of the Inuit people as a shaman able to speak to the horror and taking the name of Taliriktug to mark the transition.</w:t>
      </w:r>
      <w:r w:rsidRPr="00505CF0">
        <w:rPr>
          <w:rStyle w:val="FootnoteReference"/>
          <w:rFonts w:asciiTheme="majorBidi" w:hAnsiTheme="majorBidi" w:cstheme="majorBidi"/>
          <w:sz w:val="24"/>
          <w:szCs w:val="24"/>
        </w:rPr>
        <w:footnoteReference w:id="526"/>
      </w:r>
      <w:r w:rsidRPr="00505CF0">
        <w:rPr>
          <w:rFonts w:asciiTheme="majorBidi" w:hAnsiTheme="majorBidi" w:cstheme="majorBidi"/>
          <w:sz w:val="24"/>
          <w:szCs w:val="24"/>
        </w:rPr>
        <w:t xml:space="preserve"> Rather than the standard postmodern Gothic of before, and much like the role of the mythic in Ness’s </w:t>
      </w:r>
      <w:r w:rsidRPr="00505CF0">
        <w:rPr>
          <w:rFonts w:asciiTheme="majorBidi" w:hAnsiTheme="majorBidi" w:cstheme="majorBidi"/>
          <w:i/>
          <w:sz w:val="24"/>
          <w:szCs w:val="24"/>
        </w:rPr>
        <w:t>The Crane Wife</w:t>
      </w:r>
      <w:r w:rsidRPr="00505CF0">
        <w:rPr>
          <w:rFonts w:asciiTheme="majorBidi" w:hAnsiTheme="majorBidi" w:cstheme="majorBidi"/>
          <w:sz w:val="24"/>
          <w:szCs w:val="24"/>
        </w:rPr>
        <w:t>, Simmons’ text promotes a co-existence with the mythic as an augmentation to life that, in some manner, may help to transcend (or at the very least partially mitigate), the absurd difficulty and indifference of existence:</w:t>
      </w:r>
    </w:p>
    <w:p w14:paraId="241E8DD4" w14:textId="77777777" w:rsidR="00C111D3" w:rsidRPr="00505CF0" w:rsidRDefault="00C111D3" w:rsidP="004C3EE0">
      <w:pPr>
        <w:ind w:left="737" w:right="737"/>
        <w:jc w:val="both"/>
        <w:rPr>
          <w:rFonts w:asciiTheme="majorBidi" w:hAnsiTheme="majorBidi" w:cstheme="majorBidi"/>
          <w:sz w:val="24"/>
          <w:szCs w:val="24"/>
        </w:rPr>
      </w:pPr>
    </w:p>
    <w:p w14:paraId="4333B4DE" w14:textId="77777777" w:rsidR="00C111D3" w:rsidRPr="00505CF0" w:rsidRDefault="00C111D3" w:rsidP="004C3EE0">
      <w:pPr>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 xml:space="preserve">The Francis Crozier </w:t>
      </w:r>
      <w:r w:rsidRPr="00505CF0">
        <w:rPr>
          <w:rFonts w:asciiTheme="majorBidi" w:hAnsiTheme="majorBidi" w:cstheme="majorBidi"/>
          <w:i/>
          <w:sz w:val="24"/>
          <w:szCs w:val="24"/>
        </w:rPr>
        <w:t>inua</w:t>
      </w:r>
      <w:r w:rsidRPr="00505CF0">
        <w:rPr>
          <w:rStyle w:val="FootnoteReference"/>
          <w:rFonts w:asciiTheme="majorBidi" w:hAnsiTheme="majorBidi" w:cstheme="majorBidi"/>
          <w:sz w:val="24"/>
          <w:szCs w:val="24"/>
        </w:rPr>
        <w:footnoteReference w:id="527"/>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still alive and well in Taliriktug had no illusions about life being anything but poor, nasty, brutish, and short. </w:t>
      </w:r>
    </w:p>
    <w:p w14:paraId="31AE71A1"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ab/>
        <w:t>But perhaps it did not have to be solitary.</w:t>
      </w:r>
      <w:r w:rsidRPr="00505CF0">
        <w:rPr>
          <w:rStyle w:val="FootnoteReference"/>
          <w:rFonts w:asciiTheme="majorBidi" w:hAnsiTheme="majorBidi" w:cstheme="majorBidi"/>
          <w:sz w:val="24"/>
          <w:szCs w:val="24"/>
        </w:rPr>
        <w:footnoteReference w:id="528"/>
      </w:r>
      <w:r w:rsidRPr="00505CF0">
        <w:rPr>
          <w:rFonts w:asciiTheme="majorBidi" w:hAnsiTheme="majorBidi" w:cstheme="majorBidi"/>
          <w:sz w:val="24"/>
          <w:szCs w:val="24"/>
        </w:rPr>
        <w:t xml:space="preserve"> </w:t>
      </w:r>
    </w:p>
    <w:p w14:paraId="0C4A042F" w14:textId="77777777" w:rsidR="00C111D3" w:rsidRPr="00505CF0" w:rsidRDefault="00C111D3" w:rsidP="004C3EE0">
      <w:pPr>
        <w:spacing w:line="480" w:lineRule="auto"/>
        <w:jc w:val="both"/>
        <w:rPr>
          <w:rFonts w:asciiTheme="majorBidi" w:hAnsiTheme="majorBidi" w:cstheme="majorBidi"/>
          <w:sz w:val="24"/>
          <w:szCs w:val="24"/>
        </w:rPr>
      </w:pPr>
    </w:p>
    <w:p w14:paraId="0E8F389F"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Crozier discovers peace within the brutish world through his new relationship with the mythic as one able to merge both worlds; to converse with the mythic and live amongst the real, crossing the boundaries of the seemingly depthlessness of existence and finding some form of happiness and transcendence. </w:t>
      </w:r>
    </w:p>
    <w:p w14:paraId="277BF26C" w14:textId="2813E9C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The desire to transcend postmodern concerns, in particular those of fragmentation and the denial of transcendentalism within surface-based artistic production, finds clear representation within the Gothic genre, showcasing reconstructive attempts to move beyond the typical concerns of the period from within the methods. In line with the posited theories of the metamodern, such texts do not entirely manage to transcend the postmodern, but rather highlight attempts to do so from within the mode. Attempt is the key, not success. Fragmenta</w:t>
      </w:r>
      <w:r w:rsidR="00EF3B5E">
        <w:rPr>
          <w:rFonts w:asciiTheme="majorBidi" w:hAnsiTheme="majorBidi" w:cstheme="majorBidi"/>
          <w:sz w:val="24"/>
          <w:szCs w:val="24"/>
        </w:rPr>
        <w:t>ry</w:t>
      </w:r>
      <w:r w:rsidRPr="00505CF0">
        <w:rPr>
          <w:rFonts w:asciiTheme="majorBidi" w:hAnsiTheme="majorBidi" w:cstheme="majorBidi"/>
          <w:sz w:val="24"/>
          <w:szCs w:val="24"/>
        </w:rPr>
        <w:t xml:space="preserve"> texts still exist, and </w:t>
      </w:r>
      <w:r w:rsidR="00EF3B5E">
        <w:rPr>
          <w:rFonts w:asciiTheme="majorBidi" w:hAnsiTheme="majorBidi" w:cstheme="majorBidi"/>
          <w:sz w:val="24"/>
          <w:szCs w:val="24"/>
        </w:rPr>
        <w:t>are</w:t>
      </w:r>
      <w:r w:rsidRPr="00505CF0">
        <w:rPr>
          <w:rFonts w:asciiTheme="majorBidi" w:hAnsiTheme="majorBidi" w:cstheme="majorBidi"/>
          <w:sz w:val="24"/>
          <w:szCs w:val="24"/>
        </w:rPr>
        <w:t xml:space="preserve"> still used to suggest a certain unreliability of narrated modes, yet new themes are emerging from within such attempts to consolidate fragmentation through higher, loftier, thematic concerns. So, too, with the resurgence of transcendental themes within twenty-first century Gothic: Hammet blurs his identity into that of Gould to achieve vicarious transcendence of human concerns; Leonard transcends death in order to achieve some form of forgiveness; and, finally, Crozier transcends the constraints of his Modern existence, the reliance on technology, belief in progress, scepticism of religion and tradition, in order to accept the mythic and cosmic horror</w:t>
      </w:r>
      <w:r w:rsidR="00AE6788">
        <w:rPr>
          <w:rStyle w:val="FootnoteReference"/>
          <w:rFonts w:asciiTheme="majorBidi" w:hAnsiTheme="majorBidi" w:cstheme="majorBidi"/>
          <w:sz w:val="24"/>
          <w:szCs w:val="24"/>
        </w:rPr>
        <w:footnoteReference w:id="529"/>
      </w:r>
      <w:r w:rsidRPr="00505CF0">
        <w:rPr>
          <w:rFonts w:asciiTheme="majorBidi" w:hAnsiTheme="majorBidi" w:cstheme="majorBidi"/>
          <w:sz w:val="24"/>
          <w:szCs w:val="24"/>
        </w:rPr>
        <w:t xml:space="preserve"> of the ‘brutish’ world and, in thus augmenting the mundane, achieve some form of personal tranquillity. </w:t>
      </w:r>
    </w:p>
    <w:p w14:paraId="4FD3C0C7" w14:textId="77777777" w:rsidR="00C111D3" w:rsidRDefault="00C111D3" w:rsidP="004C3EE0">
      <w:pPr>
        <w:spacing w:line="480" w:lineRule="auto"/>
        <w:jc w:val="both"/>
        <w:rPr>
          <w:rFonts w:asciiTheme="majorBidi" w:hAnsiTheme="majorBidi" w:cstheme="majorBidi"/>
        </w:rPr>
      </w:pPr>
    </w:p>
    <w:p w14:paraId="4C090F36" w14:textId="77777777" w:rsidR="006405B7" w:rsidRPr="00505CF0" w:rsidRDefault="006405B7" w:rsidP="004C3EE0">
      <w:pPr>
        <w:spacing w:line="480" w:lineRule="auto"/>
        <w:jc w:val="both"/>
        <w:rPr>
          <w:rFonts w:asciiTheme="majorBidi" w:hAnsiTheme="majorBidi" w:cstheme="majorBidi"/>
        </w:rPr>
      </w:pPr>
    </w:p>
    <w:p w14:paraId="099773B4" w14:textId="77777777" w:rsidR="00C111D3" w:rsidRPr="00FE7EAF" w:rsidRDefault="00C111D3" w:rsidP="004C3EE0">
      <w:pPr>
        <w:spacing w:line="480" w:lineRule="auto"/>
        <w:jc w:val="both"/>
        <w:rPr>
          <w:rFonts w:asciiTheme="majorBidi" w:hAnsiTheme="majorBidi" w:cstheme="majorBidi"/>
          <w:b/>
          <w:i/>
          <w:sz w:val="28"/>
          <w:szCs w:val="28"/>
        </w:rPr>
      </w:pPr>
      <w:r w:rsidRPr="00FE7EAF">
        <w:rPr>
          <w:rFonts w:asciiTheme="majorBidi" w:hAnsiTheme="majorBidi" w:cstheme="majorBidi"/>
          <w:b/>
          <w:sz w:val="28"/>
          <w:szCs w:val="28"/>
        </w:rPr>
        <w:t>2.3</w:t>
      </w:r>
      <w:r w:rsidRPr="00EF3B5E">
        <w:rPr>
          <w:rFonts w:asciiTheme="majorBidi" w:hAnsiTheme="majorBidi" w:cstheme="majorBidi"/>
          <w:b/>
          <w:sz w:val="28"/>
          <w:szCs w:val="28"/>
        </w:rPr>
        <w:tab/>
      </w:r>
      <w:r w:rsidRPr="00FE7EAF">
        <w:rPr>
          <w:rFonts w:asciiTheme="majorBidi" w:hAnsiTheme="majorBidi" w:cstheme="majorBidi"/>
          <w:b/>
          <w:sz w:val="28"/>
          <w:szCs w:val="28"/>
        </w:rPr>
        <w:t xml:space="preserve">Gothic Sincerity in </w:t>
      </w:r>
      <w:r w:rsidRPr="00FE7EAF">
        <w:rPr>
          <w:rFonts w:asciiTheme="majorBidi" w:hAnsiTheme="majorBidi" w:cstheme="majorBidi"/>
          <w:b/>
          <w:i/>
          <w:sz w:val="28"/>
          <w:szCs w:val="28"/>
        </w:rPr>
        <w:t>Cold Skin</w:t>
      </w:r>
      <w:r w:rsidRPr="00FE7EAF">
        <w:rPr>
          <w:rFonts w:asciiTheme="majorBidi" w:hAnsiTheme="majorBidi" w:cstheme="majorBidi"/>
          <w:b/>
          <w:sz w:val="28"/>
          <w:szCs w:val="28"/>
        </w:rPr>
        <w:t xml:space="preserve"> &amp; </w:t>
      </w:r>
      <w:proofErr w:type="gramStart"/>
      <w:r w:rsidRPr="00FE7EAF">
        <w:rPr>
          <w:rFonts w:asciiTheme="majorBidi" w:hAnsiTheme="majorBidi" w:cstheme="majorBidi"/>
          <w:b/>
          <w:i/>
          <w:sz w:val="28"/>
          <w:szCs w:val="28"/>
        </w:rPr>
        <w:t>The</w:t>
      </w:r>
      <w:proofErr w:type="gramEnd"/>
      <w:r w:rsidRPr="00FE7EAF">
        <w:rPr>
          <w:rFonts w:asciiTheme="majorBidi" w:hAnsiTheme="majorBidi" w:cstheme="majorBidi"/>
          <w:b/>
          <w:i/>
          <w:sz w:val="28"/>
          <w:szCs w:val="28"/>
        </w:rPr>
        <w:t xml:space="preserve"> Testament of Gideon Mack</w:t>
      </w:r>
    </w:p>
    <w:p w14:paraId="123E78F7" w14:textId="77777777" w:rsidR="00C111D3" w:rsidRPr="00505CF0" w:rsidRDefault="00C111D3" w:rsidP="004C3EE0">
      <w:pPr>
        <w:spacing w:line="480" w:lineRule="auto"/>
        <w:jc w:val="both"/>
        <w:rPr>
          <w:rFonts w:asciiTheme="majorBidi" w:hAnsiTheme="majorBidi" w:cstheme="majorBidi"/>
        </w:rPr>
      </w:pPr>
    </w:p>
    <w:p w14:paraId="01B35488"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While the previously identified trends in the contemporary Gothic signal a desire to transcend the years of the postmodern, further thematic developments in the genre more closely tie the mode to concepts not just of the post-postmodern, but specifically of the metamodern. In particular here I wish to focus, if somewhat briefly for the moment, on the growing attempts at post-irony and sincerity of emotional intent or impact that are increasingly emerging within the eldritch genre and which link to Timotheus Vermeulen and Robin van den Akker’s identification of an ‘(at times feigned) sincerity that hint[s] at another structure of feeling [than the postmodern], intimating another discourse.’</w:t>
      </w:r>
      <w:r w:rsidRPr="00505CF0">
        <w:rPr>
          <w:rStyle w:val="FootnoteReference"/>
          <w:rFonts w:asciiTheme="majorBidi" w:hAnsiTheme="majorBidi" w:cstheme="majorBidi"/>
          <w:sz w:val="24"/>
          <w:szCs w:val="24"/>
        </w:rPr>
        <w:footnoteReference w:id="530"/>
      </w:r>
      <w:r w:rsidRPr="00505CF0">
        <w:rPr>
          <w:rFonts w:asciiTheme="majorBidi" w:hAnsiTheme="majorBidi" w:cstheme="majorBidi"/>
          <w:sz w:val="24"/>
          <w:szCs w:val="24"/>
        </w:rPr>
        <w:t xml:space="preserve"> </w:t>
      </w:r>
    </w:p>
    <w:p w14:paraId="57BE8CBE" w14:textId="4E5A32B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The discourse of the postmodern cannot properly accommodate texts like that of J.B. Aspinall’s </w:t>
      </w:r>
      <w:r w:rsidRPr="00505CF0">
        <w:rPr>
          <w:rFonts w:asciiTheme="majorBidi" w:hAnsiTheme="majorBidi" w:cstheme="majorBidi"/>
          <w:i/>
          <w:sz w:val="24"/>
          <w:szCs w:val="24"/>
        </w:rPr>
        <w:t>Sycorax</w:t>
      </w:r>
      <w:r w:rsidRPr="00505CF0">
        <w:rPr>
          <w:rFonts w:asciiTheme="majorBidi" w:hAnsiTheme="majorBidi" w:cstheme="majorBidi"/>
          <w:iCs/>
          <w:sz w:val="24"/>
          <w:szCs w:val="24"/>
        </w:rPr>
        <w:t xml:space="preserve"> (2006)</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or </w:t>
      </w:r>
      <w:r w:rsidRPr="00505CF0">
        <w:rPr>
          <w:rFonts w:asciiTheme="majorBidi" w:hAnsiTheme="majorBidi" w:cstheme="majorBidi"/>
          <w:i/>
          <w:sz w:val="24"/>
          <w:szCs w:val="24"/>
        </w:rPr>
        <w:t>The Resurrectionist</w:t>
      </w:r>
      <w:r w:rsidRPr="00505CF0">
        <w:rPr>
          <w:rFonts w:asciiTheme="majorBidi" w:hAnsiTheme="majorBidi" w:cstheme="majorBidi"/>
          <w:sz w:val="24"/>
          <w:szCs w:val="24"/>
        </w:rPr>
        <w:t xml:space="preserve">, which revel in the trappings and tropes of past literary endeavours, but do so without a sense of the ironic. </w:t>
      </w:r>
      <w:r w:rsidRPr="00505CF0">
        <w:rPr>
          <w:rFonts w:asciiTheme="majorBidi" w:hAnsiTheme="majorBidi" w:cstheme="majorBidi"/>
          <w:i/>
          <w:sz w:val="24"/>
          <w:szCs w:val="24"/>
        </w:rPr>
        <w:t>Sycorax</w:t>
      </w:r>
      <w:r w:rsidRPr="00505CF0">
        <w:rPr>
          <w:rFonts w:asciiTheme="majorBidi" w:hAnsiTheme="majorBidi" w:cstheme="majorBidi"/>
          <w:sz w:val="24"/>
          <w:szCs w:val="24"/>
        </w:rPr>
        <w:t xml:space="preserve"> itself owes much to that classic of the Gothic canon, Matthew Lewis’s </w:t>
      </w:r>
      <w:r w:rsidRPr="00505CF0">
        <w:rPr>
          <w:rFonts w:asciiTheme="majorBidi" w:hAnsiTheme="majorBidi" w:cstheme="majorBidi"/>
          <w:i/>
          <w:sz w:val="24"/>
          <w:szCs w:val="24"/>
        </w:rPr>
        <w:t>The Monk</w:t>
      </w:r>
      <w:r w:rsidRPr="00505CF0">
        <w:rPr>
          <w:rFonts w:asciiTheme="majorBidi" w:hAnsiTheme="majorBidi" w:cstheme="majorBidi"/>
          <w:sz w:val="24"/>
          <w:szCs w:val="24"/>
        </w:rPr>
        <w:t xml:space="preserve">, following, as it does, the misadventures of a lecherous monk, tempted towards evil by devilish figures, yet Aspinall never overtly parodies this text, nor </w:t>
      </w:r>
      <w:r w:rsidR="00EF3B5E">
        <w:rPr>
          <w:rFonts w:asciiTheme="majorBidi" w:hAnsiTheme="majorBidi" w:cstheme="majorBidi"/>
          <w:sz w:val="24"/>
          <w:szCs w:val="24"/>
        </w:rPr>
        <w:t xml:space="preserve">allows </w:t>
      </w:r>
      <w:r w:rsidRPr="00505CF0">
        <w:rPr>
          <w:rFonts w:asciiTheme="majorBidi" w:hAnsiTheme="majorBidi" w:cstheme="majorBidi"/>
          <w:sz w:val="24"/>
          <w:szCs w:val="24"/>
        </w:rPr>
        <w:t>his own</w:t>
      </w:r>
      <w:r w:rsidR="00EF3B5E">
        <w:rPr>
          <w:rFonts w:asciiTheme="majorBidi" w:hAnsiTheme="majorBidi" w:cstheme="majorBidi"/>
          <w:sz w:val="24"/>
          <w:szCs w:val="24"/>
        </w:rPr>
        <w:t xml:space="preserve"> to fall into the parodical</w:t>
      </w:r>
      <w:r w:rsidRPr="00505CF0">
        <w:rPr>
          <w:rFonts w:asciiTheme="majorBidi" w:hAnsiTheme="majorBidi" w:cstheme="majorBidi"/>
          <w:sz w:val="24"/>
          <w:szCs w:val="24"/>
        </w:rPr>
        <w:t xml:space="preserve">. Instead, the text relishes in the tropes of the Gothic from which it draws, unashamedly returning to a more classical Gothic mode. Palimpsestic, supernatural, maddening, and found-manuscript framed, Aspinall’s text is arguably clichéd in its use of Gothic tropes, yet they are employed entirely without ironic parody or deconstruction. So too, in </w:t>
      </w:r>
      <w:r w:rsidRPr="00505CF0">
        <w:rPr>
          <w:rFonts w:asciiTheme="majorBidi" w:hAnsiTheme="majorBidi" w:cstheme="majorBidi"/>
          <w:i/>
          <w:sz w:val="24"/>
          <w:szCs w:val="24"/>
        </w:rPr>
        <w:t>The Resurrectionist</w:t>
      </w:r>
      <w:r w:rsidRPr="00505CF0">
        <w:rPr>
          <w:rFonts w:asciiTheme="majorBidi" w:hAnsiTheme="majorBidi" w:cstheme="majorBidi"/>
          <w:sz w:val="24"/>
          <w:szCs w:val="24"/>
        </w:rPr>
        <w:t>, which eschews deconstruction, surface-play, parody and irony and instead presents critique-less Gothic tropes in the form of Frankensteinian doctors, grotesque creations, supernatural monsters, and (once again) the found manuscript, each a marker of the genre and a knowing-nod to the literary tradition created without attempt to satirise it. The language of the postmodern fails in confrontation with these offerings, works in which authorial intent is to affectionately or sincerely showcase their form, in opposition to presenting as a postmodern pastiche of it. Instead it is to the language and terms of the metamodern we must turn to find sufficient language of analysis, specifically the identification of such techniques as part of the emergent attempts at authorial sincerity. As Olsen argues, twenty-first century Gothic departs from the ‘dry academic discussion’ which would suggest texts as mere ‘intellectual puzzles, or some chaos to put in order’; instead, they offer a post-postmodern desire for something beyond irony in their attempts to effect affect.</w:t>
      </w:r>
      <w:r w:rsidRPr="00505CF0">
        <w:rPr>
          <w:rStyle w:val="FootnoteReference"/>
          <w:rFonts w:asciiTheme="majorBidi" w:hAnsiTheme="majorBidi" w:cstheme="majorBidi"/>
          <w:sz w:val="24"/>
          <w:szCs w:val="24"/>
        </w:rPr>
        <w:footnoteReference w:id="531"/>
      </w:r>
      <w:r w:rsidRPr="00505CF0">
        <w:rPr>
          <w:rFonts w:asciiTheme="majorBidi" w:hAnsiTheme="majorBidi" w:cstheme="majorBidi"/>
          <w:sz w:val="24"/>
          <w:szCs w:val="24"/>
        </w:rPr>
        <w:t xml:space="preserve"> They are, he argues, ‘more,’ ‘they intend to chill and astonish, and they mean to be felt,’ and in doing so move beyond irony towards a sincerity of feeling and intent.</w:t>
      </w:r>
      <w:r w:rsidRPr="00505CF0">
        <w:rPr>
          <w:rStyle w:val="FootnoteReference"/>
          <w:rFonts w:asciiTheme="majorBidi" w:hAnsiTheme="majorBidi" w:cstheme="majorBidi"/>
          <w:sz w:val="24"/>
          <w:szCs w:val="24"/>
        </w:rPr>
        <w:footnoteReference w:id="532"/>
      </w:r>
      <w:r w:rsidRPr="00505CF0">
        <w:rPr>
          <w:rFonts w:asciiTheme="majorBidi" w:hAnsiTheme="majorBidi" w:cstheme="majorBidi"/>
          <w:sz w:val="24"/>
          <w:szCs w:val="24"/>
        </w:rPr>
        <w:t xml:space="preserve"> Perhaps the best example of this metamodern Gothic post-irony, in terms of form, is that of Albert Sánchez Piñol’s </w:t>
      </w:r>
      <w:r w:rsidRPr="00505CF0">
        <w:rPr>
          <w:rFonts w:asciiTheme="majorBidi" w:hAnsiTheme="majorBidi" w:cstheme="majorBidi"/>
          <w:i/>
          <w:sz w:val="24"/>
          <w:szCs w:val="24"/>
        </w:rPr>
        <w:t>Cold Skin</w:t>
      </w:r>
      <w:r w:rsidRPr="00505CF0">
        <w:rPr>
          <w:rFonts w:asciiTheme="majorBidi" w:hAnsiTheme="majorBidi" w:cstheme="majorBidi"/>
          <w:sz w:val="24"/>
          <w:szCs w:val="24"/>
        </w:rPr>
        <w:t xml:space="preserve">. </w:t>
      </w:r>
    </w:p>
    <w:p w14:paraId="442A3CBA" w14:textId="7557D5F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r w:rsidRPr="00505CF0">
        <w:rPr>
          <w:rFonts w:asciiTheme="majorBidi" w:hAnsiTheme="majorBidi" w:cstheme="majorBidi"/>
          <w:i/>
          <w:sz w:val="24"/>
          <w:szCs w:val="24"/>
        </w:rPr>
        <w:t>Cold Skin</w:t>
      </w:r>
      <w:r w:rsidRPr="00505CF0">
        <w:rPr>
          <w:rFonts w:asciiTheme="majorBidi" w:hAnsiTheme="majorBidi" w:cstheme="majorBidi"/>
          <w:sz w:val="24"/>
          <w:szCs w:val="24"/>
        </w:rPr>
        <w:t xml:space="preserve"> depicts the struggle of an unnamed narrator seeking solace from the world as a weather official on a ‘tiny island swept by harsh polar winds,’ close to the Antarctic.</w:t>
      </w:r>
      <w:r w:rsidRPr="00505CF0">
        <w:rPr>
          <w:rStyle w:val="FootnoteReference"/>
          <w:rFonts w:asciiTheme="majorBidi" w:hAnsiTheme="majorBidi" w:cstheme="majorBidi"/>
          <w:sz w:val="24"/>
          <w:szCs w:val="24"/>
        </w:rPr>
        <w:footnoteReference w:id="533"/>
      </w:r>
      <w:r w:rsidRPr="00505CF0">
        <w:rPr>
          <w:rFonts w:asciiTheme="majorBidi" w:hAnsiTheme="majorBidi" w:cstheme="majorBidi"/>
          <w:sz w:val="24"/>
          <w:szCs w:val="24"/>
        </w:rPr>
        <w:t xml:space="preserve"> The job of recording the daily weather conditions on the island – ‘</w:t>
      </w:r>
      <w:r w:rsidR="00EF3B5E">
        <w:rPr>
          <w:rFonts w:asciiTheme="majorBidi" w:hAnsiTheme="majorBidi" w:cstheme="majorBidi"/>
          <w:sz w:val="24"/>
          <w:szCs w:val="24"/>
        </w:rPr>
        <w:t>[a]</w:t>
      </w:r>
      <w:r w:rsidRPr="00505CF0">
        <w:rPr>
          <w:rFonts w:asciiTheme="majorBidi" w:hAnsiTheme="majorBidi" w:cstheme="majorBidi"/>
          <w:sz w:val="24"/>
          <w:szCs w:val="24"/>
        </w:rPr>
        <w:t xml:space="preserve"> job as monotonous as it was insignificant’</w:t>
      </w:r>
      <w:r w:rsidRPr="00505CF0">
        <w:rPr>
          <w:rStyle w:val="FootnoteReference"/>
          <w:rFonts w:asciiTheme="majorBidi" w:hAnsiTheme="majorBidi" w:cstheme="majorBidi"/>
          <w:sz w:val="24"/>
          <w:szCs w:val="24"/>
        </w:rPr>
        <w:footnoteReference w:id="534"/>
      </w:r>
      <w:r w:rsidRPr="00505CF0">
        <w:rPr>
          <w:rFonts w:asciiTheme="majorBidi" w:hAnsiTheme="majorBidi" w:cstheme="majorBidi"/>
          <w:sz w:val="24"/>
          <w:szCs w:val="24"/>
        </w:rPr>
        <w:t xml:space="preserve"> – is immediately interrupted on the narrator’s first night ashore by the attack of beasts reminiscent of the denizens of Lovecraft’s Innsmouth:</w:t>
      </w:r>
    </w:p>
    <w:p w14:paraId="23688509" w14:textId="77777777" w:rsidR="00C111D3" w:rsidRPr="00505CF0" w:rsidRDefault="00C111D3" w:rsidP="004C3EE0">
      <w:pPr>
        <w:ind w:left="737" w:right="737"/>
        <w:jc w:val="both"/>
        <w:rPr>
          <w:rFonts w:asciiTheme="majorBidi" w:hAnsiTheme="majorBidi" w:cstheme="majorBidi"/>
          <w:sz w:val="24"/>
          <w:szCs w:val="24"/>
        </w:rPr>
      </w:pPr>
    </w:p>
    <w:p w14:paraId="7BC47F76"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The lower part of the door had a kind of hatch. A round hole covered by a moveable flap. The [creature’s] arm was sticking out of it. </w:t>
      </w:r>
      <w:proofErr w:type="gramStart"/>
      <w:r w:rsidRPr="00505CF0">
        <w:rPr>
          <w:rFonts w:asciiTheme="majorBidi" w:hAnsiTheme="majorBidi" w:cstheme="majorBidi"/>
          <w:sz w:val="24"/>
          <w:szCs w:val="24"/>
        </w:rPr>
        <w:t>A whole arm, naked and elongated.</w:t>
      </w:r>
      <w:proofErr w:type="gramEnd"/>
      <w:r w:rsidRPr="00505CF0">
        <w:rPr>
          <w:rFonts w:asciiTheme="majorBidi" w:hAnsiTheme="majorBidi" w:cstheme="majorBidi"/>
          <w:sz w:val="24"/>
          <w:szCs w:val="24"/>
        </w:rPr>
        <w:t xml:space="preserve"> […] It was not a human arm […] I could see that the three bones at the elbow were smaller and pointier than ours. Not a speck of fat; pure muscle coated with shark skin. But the hand was worst of all. The fingers were joined by a membrane that went all the way up to the nails. […] Six or seven tentacle-like arms waved in front of their faces that came screaming out of some amphibious underworld; eyes like eggs, pupils like needles, holes instead of noses, no eyebrows, no lips, a huge mouth.</w:t>
      </w:r>
      <w:r w:rsidRPr="00505CF0">
        <w:rPr>
          <w:rStyle w:val="FootnoteReference"/>
          <w:rFonts w:asciiTheme="majorBidi" w:hAnsiTheme="majorBidi" w:cstheme="majorBidi"/>
          <w:sz w:val="24"/>
          <w:szCs w:val="24"/>
        </w:rPr>
        <w:footnoteReference w:id="535"/>
      </w:r>
      <w:r w:rsidRPr="00505CF0">
        <w:rPr>
          <w:rFonts w:asciiTheme="majorBidi" w:hAnsiTheme="majorBidi" w:cstheme="majorBidi"/>
          <w:sz w:val="24"/>
          <w:szCs w:val="24"/>
        </w:rPr>
        <w:t xml:space="preserve">  </w:t>
      </w:r>
    </w:p>
    <w:p w14:paraId="3C5ABFDD" w14:textId="77777777" w:rsidR="00C111D3" w:rsidRPr="00505CF0" w:rsidRDefault="00C111D3" w:rsidP="004C3EE0">
      <w:pPr>
        <w:spacing w:line="480" w:lineRule="auto"/>
        <w:jc w:val="both"/>
        <w:rPr>
          <w:rFonts w:asciiTheme="majorBidi" w:hAnsiTheme="majorBidi" w:cstheme="majorBidi"/>
          <w:sz w:val="24"/>
          <w:szCs w:val="24"/>
        </w:rPr>
      </w:pPr>
    </w:p>
    <w:p w14:paraId="007F4DA4" w14:textId="45B855DF"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As the text progresses, the narrator comes to humanise the pseudo-Deep-Ones, named ‘Sitauca,’ recognising their attacks as an act of defence against the hostile invasions of humanity upon their territory, even going so far as to begin sexual relations with a female Sitauca, Aneris, ‘tamed’ by the island’s only other inhabitant, the ever-hostile Gruner. Gruner holds the only defensible section of the island, a heavily fortified lighthouse, which he eventually, begrudgingly, allows the narrator access within, though ultimately succumbing to his madness and rushing out into the ocean, and the death-by-</w:t>
      </w:r>
      <w:proofErr w:type="gramStart"/>
      <w:r w:rsidRPr="00505CF0">
        <w:rPr>
          <w:rFonts w:asciiTheme="majorBidi" w:hAnsiTheme="majorBidi" w:cstheme="majorBidi"/>
          <w:sz w:val="24"/>
          <w:szCs w:val="24"/>
        </w:rPr>
        <w:t>Sitauca  enacted</w:t>
      </w:r>
      <w:proofErr w:type="gramEnd"/>
      <w:r w:rsidRPr="00505CF0">
        <w:rPr>
          <w:rFonts w:asciiTheme="majorBidi" w:hAnsiTheme="majorBidi" w:cstheme="majorBidi"/>
          <w:sz w:val="24"/>
          <w:szCs w:val="24"/>
        </w:rPr>
        <w:t xml:space="preserve"> on him there. </w:t>
      </w:r>
    </w:p>
    <w:p w14:paraId="2ED24394" w14:textId="1A281B81" w:rsidR="00C111D3" w:rsidRPr="00505CF0" w:rsidRDefault="00C111D3" w:rsidP="004C3EE0">
      <w:pPr>
        <w:spacing w:line="480" w:lineRule="auto"/>
        <w:jc w:val="both"/>
        <w:rPr>
          <w:rFonts w:asciiTheme="majorBidi" w:hAnsiTheme="majorBidi" w:cstheme="majorBidi"/>
          <w:i/>
          <w:sz w:val="24"/>
          <w:szCs w:val="24"/>
        </w:rPr>
      </w:pPr>
      <w:r w:rsidRPr="00505CF0">
        <w:rPr>
          <w:rFonts w:asciiTheme="majorBidi" w:hAnsiTheme="majorBidi" w:cstheme="majorBidi"/>
          <w:sz w:val="24"/>
          <w:szCs w:val="24"/>
        </w:rPr>
        <w:tab/>
        <w:t xml:space="preserve">Much like </w:t>
      </w:r>
      <w:r w:rsidRPr="00505CF0">
        <w:rPr>
          <w:rFonts w:asciiTheme="majorBidi" w:hAnsiTheme="majorBidi" w:cstheme="majorBidi"/>
          <w:i/>
          <w:sz w:val="24"/>
          <w:szCs w:val="24"/>
        </w:rPr>
        <w:t>The Terror</w:t>
      </w:r>
      <w:r w:rsidRPr="00505CF0">
        <w:rPr>
          <w:rFonts w:asciiTheme="majorBidi" w:hAnsiTheme="majorBidi" w:cstheme="majorBidi"/>
          <w:sz w:val="24"/>
          <w:szCs w:val="24"/>
        </w:rPr>
        <w:t xml:space="preserve">, </w:t>
      </w:r>
      <w:r w:rsidRPr="00505CF0">
        <w:rPr>
          <w:rFonts w:asciiTheme="majorBidi" w:hAnsiTheme="majorBidi" w:cstheme="majorBidi"/>
          <w:i/>
          <w:sz w:val="24"/>
          <w:szCs w:val="24"/>
        </w:rPr>
        <w:t>Cold Skin</w:t>
      </w:r>
      <w:r w:rsidRPr="00505CF0">
        <w:rPr>
          <w:rFonts w:asciiTheme="majorBidi" w:hAnsiTheme="majorBidi" w:cstheme="majorBidi"/>
          <w:sz w:val="24"/>
          <w:szCs w:val="24"/>
        </w:rPr>
        <w:t xml:space="preserve"> plays with Lovecraftian themes without pastiche or irony, attempting to take certain concepts further than their initial development rather than deconstruct them; while the love triangle formed between the bestial Aneris, the mad Gruner and the amorous narrator may at first seem a postmodern parody of the Lovecraftian</w:t>
      </w:r>
      <w:r w:rsidRPr="00505CF0">
        <w:rPr>
          <w:rStyle w:val="FootnoteReference"/>
          <w:rFonts w:asciiTheme="majorBidi" w:hAnsiTheme="majorBidi" w:cstheme="majorBidi"/>
          <w:sz w:val="24"/>
          <w:szCs w:val="24"/>
        </w:rPr>
        <w:footnoteReference w:id="536"/>
      </w:r>
      <w:r w:rsidRPr="00505CF0">
        <w:rPr>
          <w:rFonts w:asciiTheme="majorBidi" w:hAnsiTheme="majorBidi" w:cstheme="majorBidi"/>
          <w:sz w:val="24"/>
          <w:szCs w:val="24"/>
        </w:rPr>
        <w:t xml:space="preserve"> – warping Lovecraft’s own detestation of the act of degeneration and of race-mixing into a tangled love story – in truth the text merely fleshes out certain sequences that were left to ambiguity in Lovecraft’s own text, namely the very relationships humans must have had with the Deep Ones of Innsmouth in order to produce their mixed bloodline. Piñol’s text expands upon a Lovecraftian concept without resorting to deconstruction or parody, and any sympathy for the devil, for the Sitauca, that may have been developing alongside their anthropomorphism by the Narrator is abruptly cut short by their ‘gleeful’</w:t>
      </w:r>
      <w:r w:rsidRPr="00505CF0">
        <w:rPr>
          <w:rStyle w:val="FootnoteReference"/>
          <w:rFonts w:asciiTheme="majorBidi" w:hAnsiTheme="majorBidi" w:cstheme="majorBidi"/>
          <w:sz w:val="24"/>
          <w:szCs w:val="24"/>
        </w:rPr>
        <w:footnoteReference w:id="537"/>
      </w:r>
      <w:r w:rsidRPr="00505CF0">
        <w:rPr>
          <w:rFonts w:asciiTheme="majorBidi" w:hAnsiTheme="majorBidi" w:cstheme="majorBidi"/>
          <w:sz w:val="24"/>
          <w:szCs w:val="24"/>
        </w:rPr>
        <w:t xml:space="preserve"> destruction of Gruner and continued desire to rid the island of humanity even after his death, returning to Lovecraft’s original thematic considerations. </w:t>
      </w:r>
      <w:r w:rsidRPr="00505CF0">
        <w:rPr>
          <w:rFonts w:asciiTheme="majorBidi" w:hAnsiTheme="majorBidi" w:cstheme="majorBidi"/>
          <w:i/>
          <w:sz w:val="24"/>
          <w:szCs w:val="24"/>
        </w:rPr>
        <w:t>Cold Skin</w:t>
      </w:r>
      <w:r w:rsidRPr="00505CF0">
        <w:rPr>
          <w:rFonts w:asciiTheme="majorBidi" w:hAnsiTheme="majorBidi" w:cstheme="majorBidi"/>
          <w:sz w:val="24"/>
          <w:szCs w:val="24"/>
        </w:rPr>
        <w:t xml:space="preserve"> serves as a sincere, in terms of authorial intent, re-visitation of classic Lovecraftian themes, though here slightly modified before returning to the original premise from which they pay homage. We begin to sympathise with the plight of the Sitauca, before </w:t>
      </w:r>
      <w:r w:rsidR="00572F4A">
        <w:rPr>
          <w:rFonts w:asciiTheme="majorBidi" w:hAnsiTheme="majorBidi" w:cstheme="majorBidi"/>
          <w:sz w:val="24"/>
          <w:szCs w:val="24"/>
        </w:rPr>
        <w:t>being reminded of</w:t>
      </w:r>
      <w:r w:rsidRPr="00505CF0">
        <w:rPr>
          <w:rFonts w:asciiTheme="majorBidi" w:hAnsiTheme="majorBidi" w:cstheme="majorBidi"/>
          <w:sz w:val="24"/>
          <w:szCs w:val="24"/>
        </w:rPr>
        <w:t xml:space="preserve"> the horror of their nature. In a metamodern move, the text seems, at first, to be presenting a postmodern take on Lovecraft’s Deep Ones, those creatures from the sea that come on to land to water the bloodlines, so to speak, and form terrifying hybrids. Yet the text oscillates between fear and acceptance of the other, of the monstrous, between sincerity of Lovecraftian intent and irony of conventional, </w:t>
      </w:r>
      <w:proofErr w:type="gramStart"/>
      <w:r w:rsidRPr="00505CF0">
        <w:rPr>
          <w:rFonts w:asciiTheme="majorBidi" w:hAnsiTheme="majorBidi" w:cstheme="majorBidi"/>
          <w:sz w:val="24"/>
          <w:szCs w:val="24"/>
        </w:rPr>
        <w:t>or</w:t>
      </w:r>
      <w:proofErr w:type="gramEnd"/>
      <w:r w:rsidRPr="00505CF0">
        <w:rPr>
          <w:rFonts w:asciiTheme="majorBidi" w:hAnsiTheme="majorBidi" w:cstheme="majorBidi"/>
          <w:sz w:val="24"/>
          <w:szCs w:val="24"/>
        </w:rPr>
        <w:t xml:space="preserve"> genre, play. It is a sincere response to the literary legacy of one of the ‘canonical’ writers of the mode into which the novel fits,</w:t>
      </w:r>
      <w:r w:rsidR="00AE6788">
        <w:rPr>
          <w:rStyle w:val="FootnoteReference"/>
          <w:rFonts w:asciiTheme="majorBidi" w:hAnsiTheme="majorBidi" w:cstheme="majorBidi"/>
          <w:sz w:val="24"/>
          <w:szCs w:val="24"/>
        </w:rPr>
        <w:footnoteReference w:id="538"/>
      </w:r>
      <w:r w:rsidRPr="00505CF0">
        <w:rPr>
          <w:rFonts w:asciiTheme="majorBidi" w:hAnsiTheme="majorBidi" w:cstheme="majorBidi"/>
          <w:sz w:val="24"/>
          <w:szCs w:val="24"/>
        </w:rPr>
        <w:t xml:space="preserve"> much like </w:t>
      </w:r>
      <w:r w:rsidRPr="00505CF0">
        <w:rPr>
          <w:rFonts w:asciiTheme="majorBidi" w:hAnsiTheme="majorBidi" w:cstheme="majorBidi"/>
          <w:i/>
          <w:sz w:val="24"/>
          <w:szCs w:val="24"/>
        </w:rPr>
        <w:t>The Resurrectionist, Sycorax</w:t>
      </w:r>
      <w:r w:rsidRPr="00505CF0">
        <w:rPr>
          <w:rFonts w:asciiTheme="majorBidi" w:hAnsiTheme="majorBidi" w:cstheme="majorBidi"/>
          <w:sz w:val="24"/>
          <w:szCs w:val="24"/>
        </w:rPr>
        <w:t xml:space="preserve"> and, indeed, </w:t>
      </w:r>
      <w:r w:rsidRPr="00505CF0">
        <w:rPr>
          <w:rFonts w:asciiTheme="majorBidi" w:hAnsiTheme="majorBidi" w:cstheme="majorBidi"/>
          <w:i/>
          <w:sz w:val="24"/>
          <w:szCs w:val="24"/>
        </w:rPr>
        <w:t>The Testament of Gideon Mack</w:t>
      </w:r>
      <w:r w:rsidRPr="00505CF0">
        <w:rPr>
          <w:rFonts w:asciiTheme="majorBidi" w:hAnsiTheme="majorBidi" w:cstheme="majorBidi"/>
          <w:sz w:val="24"/>
          <w:szCs w:val="24"/>
        </w:rPr>
        <w:t xml:space="preserve">, by James Robertson. </w:t>
      </w:r>
    </w:p>
    <w:p w14:paraId="537744AE" w14:textId="06C6411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Robertson’s text follows Gideon </w:t>
      </w:r>
      <w:proofErr w:type="gramStart"/>
      <w:r w:rsidRPr="00505CF0">
        <w:rPr>
          <w:rFonts w:asciiTheme="majorBidi" w:hAnsiTheme="majorBidi" w:cstheme="majorBidi"/>
          <w:sz w:val="24"/>
          <w:szCs w:val="24"/>
        </w:rPr>
        <w:t>Mack,</w:t>
      </w:r>
      <w:proofErr w:type="gramEnd"/>
      <w:r w:rsidRPr="00505CF0">
        <w:rPr>
          <w:rFonts w:asciiTheme="majorBidi" w:hAnsiTheme="majorBidi" w:cstheme="majorBidi"/>
          <w:sz w:val="24"/>
          <w:szCs w:val="24"/>
        </w:rPr>
        <w:t xml:space="preserve"> a Scottish minister conflicted both by his own secret atheism and his marital infidelities with his best friend’s wife. Mack, struggling with the moral implications of these issues, falls into a gorge while attempting to rescue a dog, and emerges some days later claiming to have conversed with the devil in the depths of the earth. Mack, on revealing his conversations to the public at large, is</w:t>
      </w:r>
      <w:r w:rsidR="006B4AB0">
        <w:rPr>
          <w:rFonts w:asciiTheme="majorBidi" w:hAnsiTheme="majorBidi" w:cstheme="majorBidi"/>
          <w:sz w:val="24"/>
          <w:szCs w:val="24"/>
        </w:rPr>
        <w:t xml:space="preserve"> subsequently</w:t>
      </w:r>
      <w:r w:rsidRPr="00505CF0">
        <w:rPr>
          <w:rFonts w:asciiTheme="majorBidi" w:hAnsiTheme="majorBidi" w:cstheme="majorBidi"/>
          <w:sz w:val="24"/>
          <w:szCs w:val="24"/>
        </w:rPr>
        <w:t xml:space="preserve"> defamed by the kirk, deemed a madman, and finds his end apparently at the hands of the devil on a lonely moor, leaving only a manuscript (his ‘testament’) behind.   </w:t>
      </w:r>
    </w:p>
    <w:p w14:paraId="2192AA3B" w14:textId="0DB7348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Framed at both ends by an editor’s narrative, that of Patrick Walker, finder of the Mack manuscript, the text pays both formal and intertextual homage to James Hogg’s </w:t>
      </w:r>
      <w:r w:rsidRPr="00505CF0">
        <w:rPr>
          <w:rFonts w:asciiTheme="majorBidi" w:hAnsiTheme="majorBidi" w:cstheme="majorBidi"/>
          <w:i/>
          <w:sz w:val="24"/>
          <w:szCs w:val="24"/>
        </w:rPr>
        <w:t>Private Memoirs and Confessions of a Justified Sinner</w:t>
      </w:r>
      <w:r w:rsidRPr="00505CF0">
        <w:rPr>
          <w:rFonts w:asciiTheme="majorBidi" w:hAnsiTheme="majorBidi" w:cstheme="majorBidi"/>
          <w:sz w:val="24"/>
          <w:szCs w:val="24"/>
        </w:rPr>
        <w:t>, referencing, as it does, the initials GM throughout in an allusion to the devilish Gil-Martin of Hogg’s text, as one amongst many intertextual cues.</w:t>
      </w:r>
      <w:r w:rsidRPr="00505CF0">
        <w:rPr>
          <w:rStyle w:val="FootnoteReference"/>
          <w:rFonts w:asciiTheme="majorBidi" w:hAnsiTheme="majorBidi" w:cstheme="majorBidi"/>
          <w:sz w:val="24"/>
          <w:szCs w:val="24"/>
        </w:rPr>
        <w:footnoteReference w:id="539"/>
      </w:r>
      <w:r w:rsidRPr="00505CF0">
        <w:rPr>
          <w:rFonts w:asciiTheme="majorBidi" w:hAnsiTheme="majorBidi" w:cstheme="majorBidi"/>
          <w:sz w:val="24"/>
          <w:szCs w:val="24"/>
        </w:rPr>
        <w:t xml:space="preserve"> Indeed, most critics and reviewers of the novel pick up on these allusions as Robertson’s attempts to offer ‘a new perspective’ on Hogg’s text, if not that of Scottish literature as a whole,</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540"/>
      </w:r>
      <w:r w:rsidRPr="00505CF0">
        <w:rPr>
          <w:rFonts w:asciiTheme="majorBidi" w:hAnsiTheme="majorBidi" w:cstheme="majorBidi"/>
          <w:sz w:val="24"/>
          <w:szCs w:val="24"/>
        </w:rPr>
        <w:t xml:space="preserve"> with Sarah Murchison in particular pointing to how both novels deal ‘with a universally human subject: that of the tension between certainty and uncertainty, doubt and faith.’</w:t>
      </w:r>
      <w:r w:rsidRPr="00505CF0">
        <w:rPr>
          <w:rStyle w:val="FootnoteReference"/>
          <w:rFonts w:asciiTheme="majorBidi" w:hAnsiTheme="majorBidi" w:cstheme="majorBidi"/>
          <w:sz w:val="24"/>
          <w:szCs w:val="24"/>
        </w:rPr>
        <w:footnoteReference w:id="541"/>
      </w:r>
      <w:r w:rsidRPr="00505CF0">
        <w:rPr>
          <w:rFonts w:asciiTheme="majorBidi" w:hAnsiTheme="majorBidi" w:cstheme="majorBidi"/>
          <w:sz w:val="24"/>
          <w:szCs w:val="24"/>
        </w:rPr>
        <w:t xml:space="preserve"> </w:t>
      </w:r>
      <w:r w:rsidRPr="00505CF0">
        <w:rPr>
          <w:rFonts w:asciiTheme="majorBidi" w:hAnsiTheme="majorBidi" w:cstheme="majorBidi"/>
          <w:i/>
          <w:sz w:val="24"/>
          <w:szCs w:val="24"/>
        </w:rPr>
        <w:t>Gideon Mack</w:t>
      </w:r>
      <w:r w:rsidRPr="00505CF0">
        <w:rPr>
          <w:rFonts w:asciiTheme="majorBidi" w:hAnsiTheme="majorBidi" w:cstheme="majorBidi"/>
          <w:sz w:val="24"/>
          <w:szCs w:val="24"/>
        </w:rPr>
        <w:t xml:space="preserve"> offers an honest homage to Hogg’s legacy, though introducing a transference of anxiety from that of the existence of evil to the seeming death of God, while suggesting a more humanist approach as a sincere response to these ontological anxieties through Mack’s own revelations post-devil</w:t>
      </w:r>
      <w:r w:rsidR="006B4AB0">
        <w:rPr>
          <w:rFonts w:asciiTheme="majorBidi" w:hAnsiTheme="majorBidi" w:cstheme="majorBidi"/>
          <w:sz w:val="24"/>
          <w:szCs w:val="24"/>
        </w:rPr>
        <w:t>:</w:t>
      </w:r>
      <w:r w:rsidRPr="00505CF0">
        <w:rPr>
          <w:rFonts w:asciiTheme="majorBidi" w:hAnsiTheme="majorBidi" w:cstheme="majorBidi"/>
          <w:sz w:val="24"/>
          <w:szCs w:val="24"/>
        </w:rPr>
        <w:t xml:space="preserve"> Mack confess</w:t>
      </w:r>
      <w:r w:rsidR="006B4AB0">
        <w:rPr>
          <w:rFonts w:asciiTheme="majorBidi" w:hAnsiTheme="majorBidi" w:cstheme="majorBidi"/>
          <w:sz w:val="24"/>
          <w:szCs w:val="24"/>
        </w:rPr>
        <w:t>es</w:t>
      </w:r>
      <w:r w:rsidRPr="00505CF0">
        <w:rPr>
          <w:rFonts w:asciiTheme="majorBidi" w:hAnsiTheme="majorBidi" w:cstheme="majorBidi"/>
          <w:sz w:val="24"/>
          <w:szCs w:val="24"/>
        </w:rPr>
        <w:t xml:space="preserve"> to his congregation at the burial of Catherine Craigie that he has met the Devil in the Black Jaws gorge, and in doing so attained a belief in ‘another world beyond ours, a world beyond death, the strangeness and wonderfulness of which we can only guess at.’</w:t>
      </w:r>
      <w:r w:rsidRPr="00505CF0">
        <w:rPr>
          <w:rStyle w:val="FootnoteReference"/>
          <w:rFonts w:asciiTheme="majorBidi" w:hAnsiTheme="majorBidi" w:cstheme="majorBidi"/>
          <w:sz w:val="24"/>
          <w:szCs w:val="24"/>
        </w:rPr>
        <w:footnoteReference w:id="542"/>
      </w:r>
      <w:r w:rsidRPr="00505CF0">
        <w:rPr>
          <w:rFonts w:asciiTheme="majorBidi" w:hAnsiTheme="majorBidi" w:cstheme="majorBidi"/>
          <w:sz w:val="24"/>
          <w:szCs w:val="24"/>
        </w:rPr>
        <w:t xml:space="preserve"> The wondrous, strange land is neither heaven nor hell, the existence of which are denied by the Devil down in the Jaws as stereotypes to be ignored, and instead Mack has gained a belief in something undefinable beyond the ordinary realms of life. He expresses a sincere desire to spread this message, despite the inevitable claims of heresy applied to him, and a discovery of something beyond the realms of the everyday that can overcome the religious anxiety</w:t>
      </w:r>
      <w:r w:rsidR="006B4AB0">
        <w:rPr>
          <w:rFonts w:asciiTheme="majorBidi" w:hAnsiTheme="majorBidi" w:cstheme="majorBidi"/>
          <w:sz w:val="24"/>
          <w:szCs w:val="24"/>
        </w:rPr>
        <w:t xml:space="preserve"> Mack feels</w:t>
      </w:r>
      <w:r w:rsidRPr="00505CF0">
        <w:rPr>
          <w:rFonts w:asciiTheme="majorBidi" w:hAnsiTheme="majorBidi" w:cstheme="majorBidi"/>
          <w:sz w:val="24"/>
          <w:szCs w:val="24"/>
        </w:rPr>
        <w:t xml:space="preserve"> following the </w:t>
      </w:r>
      <w:r w:rsidR="006B4AB0">
        <w:rPr>
          <w:rFonts w:asciiTheme="majorBidi" w:hAnsiTheme="majorBidi" w:cstheme="majorBidi"/>
          <w:sz w:val="24"/>
          <w:szCs w:val="24"/>
        </w:rPr>
        <w:t xml:space="preserve">apparent </w:t>
      </w:r>
      <w:r w:rsidRPr="00505CF0">
        <w:rPr>
          <w:rFonts w:asciiTheme="majorBidi" w:hAnsiTheme="majorBidi" w:cstheme="majorBidi"/>
          <w:sz w:val="24"/>
          <w:szCs w:val="24"/>
        </w:rPr>
        <w:t xml:space="preserve">death of God. </w:t>
      </w:r>
    </w:p>
    <w:p w14:paraId="12996185" w14:textId="64D57D71"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Robertson’s text stands in stark contrast to another, particularly postmodern, Gothic novel which re-works Hogg’s </w:t>
      </w:r>
      <w:r w:rsidRPr="00505CF0">
        <w:rPr>
          <w:rFonts w:asciiTheme="majorBidi" w:hAnsiTheme="majorBidi" w:cstheme="majorBidi"/>
          <w:i/>
          <w:sz w:val="24"/>
          <w:szCs w:val="24"/>
        </w:rPr>
        <w:t>Sinner</w:t>
      </w:r>
      <w:r w:rsidRPr="00505CF0">
        <w:rPr>
          <w:rFonts w:asciiTheme="majorBidi" w:hAnsiTheme="majorBidi" w:cstheme="majorBidi"/>
          <w:sz w:val="24"/>
          <w:szCs w:val="24"/>
        </w:rPr>
        <w:t xml:space="preserve">- Emma Tennant’s 1978 novel </w:t>
      </w:r>
      <w:r w:rsidRPr="00505CF0">
        <w:rPr>
          <w:rFonts w:asciiTheme="majorBidi" w:hAnsiTheme="majorBidi" w:cstheme="majorBidi"/>
          <w:i/>
          <w:sz w:val="24"/>
          <w:szCs w:val="24"/>
        </w:rPr>
        <w:t>The Bad Sister</w:t>
      </w:r>
      <w:r w:rsidRPr="00505CF0">
        <w:rPr>
          <w:rFonts w:asciiTheme="majorBidi" w:hAnsiTheme="majorBidi" w:cstheme="majorBidi"/>
          <w:sz w:val="24"/>
          <w:szCs w:val="24"/>
        </w:rPr>
        <w:t xml:space="preserve">. Tennant’s text sees typical postmodern deconstruction applied to the novel, reversing gender roles in a move reminiscent of </w:t>
      </w:r>
      <w:r w:rsidR="0049267B">
        <w:rPr>
          <w:rFonts w:asciiTheme="majorBidi" w:hAnsiTheme="majorBidi" w:cstheme="majorBidi"/>
          <w:sz w:val="24"/>
          <w:szCs w:val="24"/>
        </w:rPr>
        <w:t xml:space="preserve">the works of </w:t>
      </w:r>
      <w:r w:rsidRPr="00505CF0">
        <w:rPr>
          <w:rFonts w:asciiTheme="majorBidi" w:hAnsiTheme="majorBidi" w:cstheme="majorBidi"/>
          <w:sz w:val="24"/>
          <w:szCs w:val="24"/>
        </w:rPr>
        <w:t xml:space="preserve">Angela Carter, and creating a fragmentary text in which Gil-Martin’s influence becomes that of a patriarchal oppression, forcing specific gender roles upon the protagonist. A comparison across the two texts is suggestive not only of the shift away from such postmodern devices – Robertson eschews fragmentation from within the seemingly postmodern intertextual homage – but a move towards a sincerity of appreciation and conviction. The text, as Murchison argues, highlights the more emotional, human issues raised by an anxiety of faith, expressing sincerity through purpose and authorial intent that pays homage without irony, treating its subject not (as in </w:t>
      </w:r>
      <w:r w:rsidRPr="00505CF0">
        <w:rPr>
          <w:rFonts w:asciiTheme="majorBidi" w:hAnsiTheme="majorBidi" w:cstheme="majorBidi"/>
          <w:i/>
          <w:sz w:val="24"/>
          <w:szCs w:val="24"/>
        </w:rPr>
        <w:t>The Bad Sister</w:t>
      </w:r>
      <w:r w:rsidRPr="00505CF0">
        <w:rPr>
          <w:rFonts w:asciiTheme="majorBidi" w:hAnsiTheme="majorBidi" w:cstheme="majorBidi"/>
          <w:sz w:val="24"/>
          <w:szCs w:val="24"/>
        </w:rPr>
        <w:t xml:space="preserve">) as a series of tropes to be reworked entirely, deconstructed and reformed, but instead adhered to, or adapted, with due deference and appreciation. </w:t>
      </w:r>
    </w:p>
    <w:p w14:paraId="213ED4C1" w14:textId="4CEC50A3"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Robertson posits Gideon Mack as something of a classical Romantic in his search for such feelings as religion once inspired – the strangeness and wonderfulness beyond death – from within a position of atheism, though locating these experiences not, for example, in the sublime landscapes of Thomas Cole, but instead in a particular acceptance of the death of God and the possibility of the supernatural. This re-introduction of Romantic sensibilities, too, finds expression as part of the metamodern moment</w:t>
      </w:r>
      <w:r w:rsidR="0049267B">
        <w:rPr>
          <w:rFonts w:asciiTheme="majorBidi" w:hAnsiTheme="majorBidi" w:cstheme="majorBidi"/>
          <w:sz w:val="24"/>
          <w:szCs w:val="24"/>
        </w:rPr>
        <w:t>,</w:t>
      </w:r>
      <w:r w:rsidRPr="00505CF0">
        <w:rPr>
          <w:rFonts w:asciiTheme="majorBidi" w:hAnsiTheme="majorBidi" w:cstheme="majorBidi"/>
          <w:sz w:val="24"/>
          <w:szCs w:val="24"/>
        </w:rPr>
        <w:t xml:space="preserve"> and the resurgence of New Romantic ideals</w:t>
      </w:r>
      <w:r w:rsidR="0049267B">
        <w:rPr>
          <w:rFonts w:asciiTheme="majorBidi" w:hAnsiTheme="majorBidi" w:cstheme="majorBidi"/>
          <w:sz w:val="24"/>
          <w:szCs w:val="24"/>
        </w:rPr>
        <w:t>,</w:t>
      </w:r>
      <w:r w:rsidRPr="00505CF0">
        <w:rPr>
          <w:rFonts w:asciiTheme="majorBidi" w:hAnsiTheme="majorBidi" w:cstheme="majorBidi"/>
          <w:sz w:val="24"/>
          <w:szCs w:val="24"/>
        </w:rPr>
        <w:t xml:space="preserve"> as recognised by Vermeulen and van den Akker</w:t>
      </w:r>
      <w:r w:rsidR="0049267B">
        <w:rPr>
          <w:rFonts w:asciiTheme="majorBidi" w:hAnsiTheme="majorBidi" w:cstheme="majorBidi"/>
          <w:sz w:val="24"/>
          <w:szCs w:val="24"/>
        </w:rPr>
        <w:t>,</w:t>
      </w:r>
      <w:r w:rsidRPr="00505CF0">
        <w:rPr>
          <w:rFonts w:asciiTheme="majorBidi" w:hAnsiTheme="majorBidi" w:cstheme="majorBidi"/>
          <w:sz w:val="24"/>
          <w:szCs w:val="24"/>
        </w:rPr>
        <w:t xml:space="preserve"> equally find expression and relevance in metamodern Gothic, as we will explore further now.  </w:t>
      </w:r>
    </w:p>
    <w:p w14:paraId="1E1BA4C5" w14:textId="77777777" w:rsidR="006405B7" w:rsidRDefault="006405B7" w:rsidP="004C3EE0">
      <w:pPr>
        <w:jc w:val="both"/>
        <w:rPr>
          <w:rFonts w:asciiTheme="majorBidi" w:hAnsiTheme="majorBidi" w:cstheme="majorBidi"/>
          <w:sz w:val="24"/>
          <w:szCs w:val="24"/>
        </w:rPr>
      </w:pPr>
    </w:p>
    <w:p w14:paraId="258CE2A0" w14:textId="77777777" w:rsidR="006405B7" w:rsidRPr="00505CF0" w:rsidRDefault="006405B7" w:rsidP="004C3EE0">
      <w:pPr>
        <w:jc w:val="both"/>
        <w:rPr>
          <w:rFonts w:asciiTheme="majorBidi" w:hAnsiTheme="majorBidi" w:cstheme="majorBidi"/>
          <w:sz w:val="24"/>
          <w:szCs w:val="24"/>
        </w:rPr>
      </w:pPr>
    </w:p>
    <w:p w14:paraId="5246EBE9" w14:textId="77777777" w:rsidR="00C111D3" w:rsidRPr="00505CF0" w:rsidRDefault="00C111D3" w:rsidP="004C3EE0">
      <w:pPr>
        <w:jc w:val="both"/>
        <w:rPr>
          <w:rFonts w:asciiTheme="majorBidi" w:hAnsiTheme="majorBidi" w:cstheme="majorBidi"/>
        </w:rPr>
      </w:pPr>
    </w:p>
    <w:p w14:paraId="05D53267" w14:textId="77777777" w:rsidR="00C111D3" w:rsidRPr="00505CF0" w:rsidRDefault="00C111D3" w:rsidP="004C3EE0">
      <w:pPr>
        <w:jc w:val="both"/>
        <w:rPr>
          <w:rFonts w:asciiTheme="majorBidi" w:hAnsiTheme="majorBidi" w:cstheme="majorBidi"/>
        </w:rPr>
      </w:pPr>
    </w:p>
    <w:p w14:paraId="5EFB3AFC" w14:textId="7177E07B" w:rsidR="00C111D3" w:rsidRPr="00FE7EAF" w:rsidRDefault="00C111D3" w:rsidP="004C3EE0">
      <w:pPr>
        <w:spacing w:line="480" w:lineRule="auto"/>
        <w:jc w:val="both"/>
        <w:rPr>
          <w:rFonts w:asciiTheme="majorBidi" w:hAnsiTheme="majorBidi" w:cstheme="majorBidi"/>
          <w:b/>
          <w:sz w:val="32"/>
          <w:szCs w:val="32"/>
        </w:rPr>
      </w:pPr>
      <w:r w:rsidRPr="00FE7EAF">
        <w:rPr>
          <w:rFonts w:asciiTheme="majorBidi" w:hAnsiTheme="majorBidi" w:cstheme="majorBidi"/>
          <w:b/>
          <w:sz w:val="32"/>
          <w:szCs w:val="32"/>
        </w:rPr>
        <w:t>3</w:t>
      </w:r>
      <w:r w:rsidR="0049267B">
        <w:rPr>
          <w:rFonts w:asciiTheme="majorBidi" w:hAnsiTheme="majorBidi" w:cstheme="majorBidi"/>
          <w:b/>
          <w:sz w:val="32"/>
          <w:szCs w:val="32"/>
        </w:rPr>
        <w:t>.</w:t>
      </w:r>
      <w:r w:rsidRPr="0049267B">
        <w:rPr>
          <w:rFonts w:asciiTheme="majorBidi" w:hAnsiTheme="majorBidi" w:cstheme="majorBidi"/>
          <w:b/>
          <w:sz w:val="32"/>
          <w:szCs w:val="32"/>
        </w:rPr>
        <w:tab/>
      </w:r>
      <w:r w:rsidRPr="00FE7EAF">
        <w:rPr>
          <w:rFonts w:asciiTheme="majorBidi" w:hAnsiTheme="majorBidi" w:cstheme="majorBidi"/>
          <w:b/>
          <w:sz w:val="32"/>
          <w:szCs w:val="32"/>
        </w:rPr>
        <w:t xml:space="preserve">The World </w:t>
      </w:r>
      <w:proofErr w:type="gramStart"/>
      <w:r w:rsidRPr="00FE7EAF">
        <w:rPr>
          <w:rFonts w:asciiTheme="majorBidi" w:hAnsiTheme="majorBidi" w:cstheme="majorBidi"/>
          <w:b/>
          <w:sz w:val="32"/>
          <w:szCs w:val="32"/>
        </w:rPr>
        <w:t>Must</w:t>
      </w:r>
      <w:proofErr w:type="gramEnd"/>
      <w:r w:rsidRPr="00FE7EAF">
        <w:rPr>
          <w:rFonts w:asciiTheme="majorBidi" w:hAnsiTheme="majorBidi" w:cstheme="majorBidi"/>
          <w:b/>
          <w:sz w:val="32"/>
          <w:szCs w:val="32"/>
        </w:rPr>
        <w:t xml:space="preserve"> be Romanticized</w:t>
      </w:r>
    </w:p>
    <w:p w14:paraId="6712BDC5" w14:textId="77777777" w:rsidR="00C111D3" w:rsidRPr="00505CF0" w:rsidRDefault="00C111D3" w:rsidP="004C3EE0">
      <w:pPr>
        <w:spacing w:line="480" w:lineRule="auto"/>
        <w:jc w:val="both"/>
        <w:rPr>
          <w:rFonts w:asciiTheme="majorBidi" w:hAnsiTheme="majorBidi" w:cstheme="majorBidi"/>
        </w:rPr>
      </w:pPr>
    </w:p>
    <w:p w14:paraId="550721CE" w14:textId="7CAAABA0"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Robert D. Hume, in the opening salvo of an academic argument with Robert Platzer, proposes the following: ‘That Gothicism is closely related to Romanticism is perfectly clear, but it is easier to state the fact than to prove it tidily and convincingly.’</w:t>
      </w:r>
      <w:r w:rsidRPr="00505CF0">
        <w:rPr>
          <w:rStyle w:val="FootnoteReference"/>
          <w:rFonts w:asciiTheme="majorBidi" w:hAnsiTheme="majorBidi" w:cstheme="majorBidi"/>
          <w:sz w:val="24"/>
          <w:szCs w:val="24"/>
        </w:rPr>
        <w:footnoteReference w:id="543"/>
      </w:r>
      <w:r w:rsidRPr="00505CF0">
        <w:rPr>
          <w:rFonts w:asciiTheme="majorBidi" w:hAnsiTheme="majorBidi" w:cstheme="majorBidi"/>
          <w:sz w:val="24"/>
          <w:szCs w:val="24"/>
        </w:rPr>
        <w:t xml:space="preserve"> Truly, to trace the links between the Romantic and Gothic movements is a task far greater than I have sufficient space for here, and one taken up with greater accuracy by academics whose toes I have no desire to tread clumsily upon now. Suffice to say that Gothic tentacles reach into concepts of Romanticism from the very first and oft quoted text by Walpole who</w:t>
      </w:r>
      <w:r w:rsidR="0049267B">
        <w:rPr>
          <w:rFonts w:asciiTheme="majorBidi" w:hAnsiTheme="majorBidi" w:cstheme="majorBidi"/>
          <w:sz w:val="24"/>
          <w:szCs w:val="24"/>
        </w:rPr>
        <w:t xml:space="preserve"> asserts</w:t>
      </w:r>
      <w:r w:rsidRPr="00505CF0">
        <w:rPr>
          <w:rFonts w:asciiTheme="majorBidi" w:hAnsiTheme="majorBidi" w:cstheme="majorBidi"/>
          <w:sz w:val="24"/>
          <w:szCs w:val="24"/>
        </w:rPr>
        <w:t xml:space="preserve">, as MacAndew rightly </w:t>
      </w:r>
      <w:r w:rsidR="0049267B">
        <w:rPr>
          <w:rFonts w:asciiTheme="majorBidi" w:hAnsiTheme="majorBidi" w:cstheme="majorBidi"/>
          <w:sz w:val="24"/>
          <w:szCs w:val="24"/>
        </w:rPr>
        <w:t>highlights</w:t>
      </w:r>
      <w:proofErr w:type="gramStart"/>
      <w:r w:rsidRPr="00505CF0">
        <w:rPr>
          <w:rFonts w:asciiTheme="majorBidi" w:hAnsiTheme="majorBidi" w:cstheme="majorBidi"/>
          <w:sz w:val="24"/>
          <w:szCs w:val="24"/>
        </w:rPr>
        <w:t>,  in</w:t>
      </w:r>
      <w:proofErr w:type="gramEnd"/>
      <w:r w:rsidRPr="00505CF0">
        <w:rPr>
          <w:rFonts w:asciiTheme="majorBidi" w:hAnsiTheme="majorBidi" w:cstheme="majorBidi"/>
          <w:sz w:val="24"/>
          <w:szCs w:val="24"/>
        </w:rPr>
        <w:t xml:space="preserve"> the preface to second edition of </w:t>
      </w:r>
      <w:r w:rsidRPr="00505CF0">
        <w:rPr>
          <w:rFonts w:asciiTheme="majorBidi" w:hAnsiTheme="majorBidi" w:cstheme="majorBidi"/>
          <w:i/>
          <w:sz w:val="24"/>
          <w:szCs w:val="24"/>
        </w:rPr>
        <w:t xml:space="preserve">The Castle of Otranto </w:t>
      </w:r>
      <w:r w:rsidRPr="00505CF0">
        <w:rPr>
          <w:rFonts w:asciiTheme="majorBidi" w:hAnsiTheme="majorBidi" w:cstheme="majorBidi"/>
          <w:sz w:val="24"/>
          <w:szCs w:val="24"/>
        </w:rPr>
        <w:t>that the text</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blends two identifiable forms of romance – the ancient and the modern.</w:t>
      </w:r>
      <w:r w:rsidRPr="00505CF0">
        <w:rPr>
          <w:rStyle w:val="FootnoteReference"/>
          <w:rFonts w:asciiTheme="majorBidi" w:hAnsiTheme="majorBidi" w:cstheme="majorBidi"/>
          <w:sz w:val="24"/>
          <w:szCs w:val="24"/>
        </w:rPr>
        <w:footnoteReference w:id="544"/>
      </w:r>
      <w:r w:rsidRPr="00505CF0">
        <w:rPr>
          <w:rFonts w:asciiTheme="majorBidi" w:hAnsiTheme="majorBidi" w:cstheme="majorBidi"/>
          <w:sz w:val="24"/>
          <w:szCs w:val="24"/>
        </w:rPr>
        <w:t xml:space="preserve"> With their emphasis on emotion, the glorification of nature, criticism of the past, and artists who are often isolated (sometimes to the extent of madness), some significant links between the Gothic and Romanticism should by this stage in the twenty-first century be somewhat clear, though perhaps not as perfectly as Hume would have us believe. Rather than an entirely detailed look at the entire field of developments of Romanticism, my intention here is to signpost some of the continuations and adaptations of Romantic ideology within twenty-first century Gothic, before moving into a more in-depth analysis of one such paradigm in particular, namely that of the sublime. </w:t>
      </w:r>
    </w:p>
    <w:p w14:paraId="062ECA06" w14:textId="77777777" w:rsidR="006405B7" w:rsidRPr="00505CF0" w:rsidRDefault="006405B7" w:rsidP="004C3EE0">
      <w:pPr>
        <w:spacing w:line="480" w:lineRule="auto"/>
        <w:jc w:val="both"/>
        <w:rPr>
          <w:rFonts w:asciiTheme="majorBidi" w:hAnsiTheme="majorBidi" w:cstheme="majorBidi"/>
          <w:sz w:val="24"/>
          <w:szCs w:val="24"/>
        </w:rPr>
      </w:pPr>
    </w:p>
    <w:p w14:paraId="1E652778" w14:textId="77777777" w:rsidR="00C111D3" w:rsidRPr="00505CF0" w:rsidRDefault="00C111D3" w:rsidP="004C3EE0">
      <w:pPr>
        <w:spacing w:line="480" w:lineRule="auto"/>
        <w:jc w:val="both"/>
        <w:rPr>
          <w:rFonts w:asciiTheme="majorBidi" w:hAnsiTheme="majorBidi" w:cstheme="majorBidi"/>
          <w:b/>
          <w:sz w:val="24"/>
          <w:szCs w:val="24"/>
          <w:u w:val="single"/>
        </w:rPr>
      </w:pPr>
    </w:p>
    <w:p w14:paraId="29A7DA5F" w14:textId="77777777" w:rsidR="00C111D3" w:rsidRPr="00FE7EAF" w:rsidRDefault="00C111D3" w:rsidP="004C3EE0">
      <w:pPr>
        <w:spacing w:line="480" w:lineRule="auto"/>
        <w:jc w:val="both"/>
        <w:rPr>
          <w:rFonts w:asciiTheme="majorBidi" w:hAnsiTheme="majorBidi" w:cstheme="majorBidi"/>
          <w:b/>
          <w:sz w:val="28"/>
          <w:szCs w:val="28"/>
        </w:rPr>
      </w:pPr>
      <w:r w:rsidRPr="00FE7EAF">
        <w:rPr>
          <w:rFonts w:asciiTheme="majorBidi" w:hAnsiTheme="majorBidi" w:cstheme="majorBidi"/>
          <w:b/>
          <w:sz w:val="28"/>
          <w:szCs w:val="28"/>
        </w:rPr>
        <w:t>3.1</w:t>
      </w:r>
      <w:r w:rsidRPr="0049267B">
        <w:rPr>
          <w:rFonts w:asciiTheme="majorBidi" w:hAnsiTheme="majorBidi" w:cstheme="majorBidi"/>
          <w:b/>
          <w:sz w:val="28"/>
          <w:szCs w:val="28"/>
        </w:rPr>
        <w:tab/>
      </w:r>
      <w:r w:rsidRPr="00FE7EAF">
        <w:rPr>
          <w:rFonts w:asciiTheme="majorBidi" w:hAnsiTheme="majorBidi" w:cstheme="majorBidi"/>
          <w:b/>
          <w:sz w:val="28"/>
          <w:szCs w:val="28"/>
        </w:rPr>
        <w:t>New Romanticism</w:t>
      </w:r>
    </w:p>
    <w:p w14:paraId="277135B2" w14:textId="77777777" w:rsidR="00C111D3" w:rsidRPr="00505CF0" w:rsidRDefault="00C111D3" w:rsidP="004C3EE0">
      <w:pPr>
        <w:spacing w:line="480" w:lineRule="auto"/>
        <w:jc w:val="both"/>
        <w:rPr>
          <w:rFonts w:asciiTheme="majorBidi" w:hAnsiTheme="majorBidi" w:cstheme="majorBidi"/>
          <w:b/>
          <w:sz w:val="24"/>
          <w:szCs w:val="24"/>
          <w:u w:val="single"/>
        </w:rPr>
      </w:pPr>
    </w:p>
    <w:p w14:paraId="3D25B692" w14:textId="3A871E20"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Romanticism, then, is being reappraised with regard to the relevance of its prescribed concepts in the post-postmodern age. Specifically, and as argued elsewhere,</w:t>
      </w:r>
      <w:r w:rsidRPr="00505CF0">
        <w:rPr>
          <w:rStyle w:val="FootnoteReference"/>
          <w:rFonts w:asciiTheme="majorBidi" w:hAnsiTheme="majorBidi" w:cstheme="majorBidi"/>
          <w:sz w:val="24"/>
          <w:szCs w:val="24"/>
        </w:rPr>
        <w:footnoteReference w:id="545"/>
      </w:r>
      <w:r w:rsidRPr="00505CF0">
        <w:rPr>
          <w:rFonts w:asciiTheme="majorBidi" w:hAnsiTheme="majorBidi" w:cstheme="majorBidi"/>
          <w:sz w:val="24"/>
          <w:szCs w:val="24"/>
        </w:rPr>
        <w:t xml:space="preserve"> Timotheus Vermeulen and Robin van den Akker identify one of the markers of these metamodern times as ‘an emergent neoromantic sensibility,’ by which (and in attempt to mitigate the ‘notoriously pluralistic’ nature of the phrase) they refer to a New Romanticism which centres on ‘the attempt to turn the finite into the infinite, while recognizing that it can never be realized,’ ‘oscillating between attempt and failure,’ or, additionally, a modernist enthusiasm and a postmodern irony.</w:t>
      </w:r>
      <w:r w:rsidRPr="00505CF0">
        <w:rPr>
          <w:rStyle w:val="FootnoteReference"/>
          <w:rFonts w:asciiTheme="majorBidi" w:hAnsiTheme="majorBidi" w:cstheme="majorBidi"/>
          <w:sz w:val="24"/>
          <w:szCs w:val="24"/>
        </w:rPr>
        <w:footnoteReference w:id="546"/>
      </w:r>
      <w:r w:rsidRPr="00505CF0">
        <w:rPr>
          <w:rFonts w:asciiTheme="majorBidi" w:hAnsiTheme="majorBidi" w:cstheme="majorBidi"/>
          <w:sz w:val="24"/>
          <w:szCs w:val="24"/>
        </w:rPr>
        <w:t xml:space="preserve"> From this oscillation, they argue, core concepts of the Romantic emerge:</w:t>
      </w:r>
    </w:p>
    <w:p w14:paraId="6AD9CEC3" w14:textId="77777777" w:rsidR="00C111D3" w:rsidRPr="00505CF0" w:rsidRDefault="00C111D3" w:rsidP="004C3EE0">
      <w:pPr>
        <w:ind w:left="737" w:right="737"/>
        <w:jc w:val="both"/>
        <w:rPr>
          <w:rFonts w:asciiTheme="majorBidi" w:hAnsiTheme="majorBidi" w:cstheme="majorBidi"/>
          <w:sz w:val="24"/>
          <w:szCs w:val="24"/>
        </w:rPr>
      </w:pPr>
    </w:p>
    <w:p w14:paraId="40DDF2DF"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It is from this hesitation [between each pole of the oscillating swing] that the Romantic inclination toward the tragic, the sublime, and the uncanny stem, aesthetic categories lingering between projection and perception, form and the unformable, coherence and chaos, corruption and innocence.</w:t>
      </w:r>
      <w:r w:rsidRPr="00505CF0">
        <w:rPr>
          <w:rStyle w:val="FootnoteReference"/>
          <w:rFonts w:asciiTheme="majorBidi" w:hAnsiTheme="majorBidi" w:cstheme="majorBidi"/>
          <w:sz w:val="24"/>
          <w:szCs w:val="24"/>
        </w:rPr>
        <w:footnoteReference w:id="547"/>
      </w:r>
    </w:p>
    <w:p w14:paraId="1DBB1B5F" w14:textId="77777777" w:rsidR="00C111D3" w:rsidRPr="00505CF0" w:rsidRDefault="00C111D3" w:rsidP="004C3EE0">
      <w:pPr>
        <w:spacing w:line="480" w:lineRule="auto"/>
        <w:jc w:val="both"/>
        <w:rPr>
          <w:rFonts w:asciiTheme="majorBidi" w:hAnsiTheme="majorBidi" w:cstheme="majorBidi"/>
          <w:sz w:val="24"/>
          <w:szCs w:val="24"/>
        </w:rPr>
      </w:pPr>
    </w:p>
    <w:p w14:paraId="2E15D47E"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Vermeulen and van den Akker’s recognition of the emergent New Romantic sensibility in culture can equally be seen in a myriad of examples of twenty-first century Gothic texts which express ideas of both classical (that is, pre-modernist) Romanticism and Vermeulen and van den Akker’s metamodern New Romanticism. </w:t>
      </w:r>
    </w:p>
    <w:p w14:paraId="1685BC78"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‘The child-worship of the anti-industrial romantics,’</w:t>
      </w:r>
      <w:r w:rsidRPr="00505CF0">
        <w:rPr>
          <w:rStyle w:val="FootnoteReference"/>
          <w:rFonts w:asciiTheme="majorBidi" w:hAnsiTheme="majorBidi" w:cstheme="majorBidi"/>
          <w:sz w:val="24"/>
          <w:szCs w:val="24"/>
        </w:rPr>
        <w:footnoteReference w:id="548"/>
      </w:r>
      <w:r w:rsidRPr="00505CF0">
        <w:rPr>
          <w:rFonts w:asciiTheme="majorBidi" w:hAnsiTheme="majorBidi" w:cstheme="majorBidi"/>
          <w:sz w:val="24"/>
          <w:szCs w:val="24"/>
        </w:rPr>
        <w:t xml:space="preserve"> as a prime example, finds ample representation in contemporary Gothic texts, though here tempered by the contemporary Gothic’s obsession with loss; agreeing with Punter’s earlier sentiments on the subject, Steven Bruhm argues for ‘loss’ as central to contemporary Gothic:</w:t>
      </w:r>
    </w:p>
    <w:p w14:paraId="239C0124" w14:textId="77777777" w:rsidR="00C111D3" w:rsidRPr="00505CF0" w:rsidRDefault="00C111D3" w:rsidP="004C3EE0">
      <w:pPr>
        <w:ind w:left="737" w:right="737"/>
        <w:jc w:val="both"/>
        <w:rPr>
          <w:rFonts w:asciiTheme="majorBidi" w:hAnsiTheme="majorBidi" w:cstheme="majorBidi"/>
          <w:sz w:val="24"/>
          <w:szCs w:val="24"/>
        </w:rPr>
      </w:pPr>
    </w:p>
    <w:p w14:paraId="32E488BD"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What makes the contemporary Gothic particularly contemporary in both its themes and </w:t>
      </w:r>
      <w:proofErr w:type="gramStart"/>
      <w:r w:rsidRPr="00505CF0">
        <w:rPr>
          <w:rFonts w:asciiTheme="majorBidi" w:hAnsiTheme="majorBidi" w:cstheme="majorBidi"/>
          <w:sz w:val="24"/>
          <w:szCs w:val="24"/>
        </w:rPr>
        <w:t>reception,</w:t>
      </w:r>
      <w:proofErr w:type="gramEnd"/>
      <w:r w:rsidRPr="00505CF0">
        <w:rPr>
          <w:rFonts w:asciiTheme="majorBidi" w:hAnsiTheme="majorBidi" w:cstheme="majorBidi"/>
          <w:sz w:val="24"/>
          <w:szCs w:val="24"/>
        </w:rPr>
        <w:t xml:space="preserve"> however, is that these [Freudian] unconscious desires center on the problem of a lost object, the most overriding basis of </w:t>
      </w:r>
      <w:r w:rsidRPr="00505CF0">
        <w:rPr>
          <w:rFonts w:asciiTheme="majorBidi" w:hAnsiTheme="majorBidi" w:cstheme="majorBidi"/>
          <w:i/>
          <w:iCs/>
          <w:sz w:val="24"/>
          <w:szCs w:val="24"/>
        </w:rPr>
        <w:t xml:space="preserve">our </w:t>
      </w:r>
      <w:r w:rsidRPr="00505CF0">
        <w:rPr>
          <w:rFonts w:asciiTheme="majorBidi" w:hAnsiTheme="majorBidi" w:cstheme="majorBidi"/>
          <w:sz w:val="24"/>
          <w:szCs w:val="24"/>
        </w:rPr>
        <w:t>need for the Gothic and almost everything else. That loss is usually material (parents, money, property, freedom to move around, a lover, or family member), but the materiality of that loss always has a psychological and symbolic dimension to it.</w:t>
      </w:r>
      <w:r w:rsidRPr="00505CF0">
        <w:rPr>
          <w:rStyle w:val="FootnoteReference"/>
          <w:rFonts w:asciiTheme="majorBidi" w:hAnsiTheme="majorBidi" w:cstheme="majorBidi"/>
          <w:sz w:val="24"/>
          <w:szCs w:val="24"/>
        </w:rPr>
        <w:footnoteReference w:id="549"/>
      </w:r>
    </w:p>
    <w:p w14:paraId="045E7928" w14:textId="77777777" w:rsidR="00C111D3" w:rsidRPr="00505CF0" w:rsidRDefault="00C111D3" w:rsidP="004C3EE0">
      <w:pPr>
        <w:spacing w:line="480" w:lineRule="auto"/>
        <w:jc w:val="both"/>
        <w:rPr>
          <w:rFonts w:asciiTheme="majorBidi" w:hAnsiTheme="majorBidi" w:cstheme="majorBidi"/>
          <w:sz w:val="24"/>
          <w:szCs w:val="24"/>
        </w:rPr>
      </w:pPr>
    </w:p>
    <w:p w14:paraId="375A9360" w14:textId="22E3CCB4"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In contemporary Gothic such a ‘loss’ finds representation in the apparent loss of the Romantic reverence of the childish often seen through the destruction of childhood innocence (which occurs with such regularity as to make Rousseau weep). In </w:t>
      </w:r>
      <w:r w:rsidRPr="00505CF0">
        <w:rPr>
          <w:rFonts w:asciiTheme="majorBidi" w:hAnsiTheme="majorBidi" w:cstheme="majorBidi"/>
          <w:i/>
          <w:sz w:val="24"/>
          <w:szCs w:val="24"/>
        </w:rPr>
        <w:t>Sycorax</w:t>
      </w:r>
      <w:r w:rsidRPr="00505CF0">
        <w:rPr>
          <w:rFonts w:asciiTheme="majorBidi" w:hAnsiTheme="majorBidi" w:cstheme="majorBidi"/>
          <w:sz w:val="24"/>
          <w:szCs w:val="24"/>
        </w:rPr>
        <w:t>, the young ‘child’</w:t>
      </w:r>
      <w:r w:rsidRPr="00505CF0">
        <w:rPr>
          <w:rStyle w:val="FootnoteReference"/>
          <w:rFonts w:asciiTheme="majorBidi" w:hAnsiTheme="majorBidi" w:cstheme="majorBidi"/>
          <w:sz w:val="24"/>
          <w:szCs w:val="24"/>
        </w:rPr>
        <w:footnoteReference w:id="550"/>
      </w:r>
      <w:r w:rsidRPr="00505CF0">
        <w:rPr>
          <w:rFonts w:asciiTheme="majorBidi" w:hAnsiTheme="majorBidi" w:cstheme="majorBidi"/>
          <w:sz w:val="24"/>
          <w:szCs w:val="24"/>
        </w:rPr>
        <w:t xml:space="preserve"> Sukie Dobson, accused of witchcraft in the wake of her self-imposed social exile, knowledge of healing herbs, and ownership of a ‘sod of a black devil-dog,’</w:t>
      </w:r>
      <w:r w:rsidRPr="00505CF0">
        <w:rPr>
          <w:rStyle w:val="FootnoteReference"/>
          <w:rFonts w:asciiTheme="majorBidi" w:hAnsiTheme="majorBidi" w:cstheme="majorBidi"/>
          <w:sz w:val="24"/>
          <w:szCs w:val="24"/>
        </w:rPr>
        <w:footnoteReference w:id="551"/>
      </w:r>
      <w:r w:rsidRPr="00505CF0">
        <w:rPr>
          <w:rFonts w:asciiTheme="majorBidi" w:hAnsiTheme="majorBidi" w:cstheme="majorBidi"/>
          <w:sz w:val="24"/>
          <w:szCs w:val="24"/>
        </w:rPr>
        <w:t xml:space="preserve"> is treated violently and abused; ‘[her brother] kneed her in the belly and punched her head until she was nearly unconscious’ during her arrest, followed by being stripped, shaved, repeatedly groped, and permanently maimed by her torturers in search of a confession of witchcraft. In Alice Thompson’s </w:t>
      </w:r>
      <w:r w:rsidRPr="00505CF0">
        <w:rPr>
          <w:rFonts w:asciiTheme="majorBidi" w:hAnsiTheme="majorBidi" w:cstheme="majorBidi"/>
          <w:i/>
          <w:sz w:val="24"/>
          <w:szCs w:val="24"/>
        </w:rPr>
        <w:t>Pharos</w:t>
      </w:r>
      <w:r w:rsidRPr="00505CF0">
        <w:rPr>
          <w:rFonts w:asciiTheme="majorBidi" w:hAnsiTheme="majorBidi" w:cstheme="majorBidi"/>
          <w:sz w:val="24"/>
          <w:szCs w:val="24"/>
        </w:rPr>
        <w:t>, Grace, a child born from the rape of a priestess, is ejected from her lighthouse home into the wild and harsh environments of the surrounding island, there to fend for herself or die.</w:t>
      </w:r>
      <w:r w:rsidRPr="00505CF0">
        <w:rPr>
          <w:rStyle w:val="FootnoteReference"/>
          <w:rFonts w:asciiTheme="majorBidi" w:hAnsiTheme="majorBidi" w:cstheme="majorBidi"/>
          <w:sz w:val="24"/>
          <w:szCs w:val="24"/>
        </w:rPr>
        <w:footnoteReference w:id="552"/>
      </w:r>
      <w:r w:rsidRPr="00505CF0">
        <w:rPr>
          <w:rFonts w:asciiTheme="majorBidi" w:hAnsiTheme="majorBidi" w:cstheme="majorBidi"/>
          <w:sz w:val="24"/>
          <w:szCs w:val="24"/>
        </w:rPr>
        <w:t xml:space="preserve">  Grace’s mother, who died in childbirth, too forces additional hardships upon her daughter, communicating through her in a manner described as ‘the slavery of possession,’ and forcing Grace to forever become a host for her soul.</w:t>
      </w:r>
      <w:r w:rsidRPr="00505CF0">
        <w:rPr>
          <w:rStyle w:val="FootnoteReference"/>
          <w:rFonts w:asciiTheme="majorBidi" w:hAnsiTheme="majorBidi" w:cstheme="majorBidi"/>
          <w:sz w:val="24"/>
          <w:szCs w:val="24"/>
        </w:rPr>
        <w:footnoteReference w:id="553"/>
      </w:r>
      <w:r w:rsidRPr="00505CF0">
        <w:rPr>
          <w:rFonts w:asciiTheme="majorBidi" w:hAnsiTheme="majorBidi" w:cstheme="majorBidi"/>
          <w:sz w:val="24"/>
          <w:szCs w:val="24"/>
        </w:rPr>
        <w:t xml:space="preserve"> In Sarah Pinborough’s </w:t>
      </w:r>
      <w:r w:rsidRPr="00505CF0">
        <w:rPr>
          <w:rFonts w:asciiTheme="majorBidi" w:hAnsiTheme="majorBidi" w:cstheme="majorBidi"/>
          <w:i/>
          <w:sz w:val="24"/>
          <w:szCs w:val="24"/>
        </w:rPr>
        <w:t>The Death House</w:t>
      </w:r>
      <w:r w:rsidRPr="00505CF0">
        <w:rPr>
          <w:rFonts w:asciiTheme="majorBidi" w:hAnsiTheme="majorBidi" w:cstheme="majorBidi"/>
          <w:sz w:val="24"/>
          <w:szCs w:val="24"/>
        </w:rPr>
        <w:t xml:space="preserve"> children are removed from their families if found to carry the gene for an unknown disease, taken instead to a remote island from which there is no escape, there to live out their short lives in the knowledge that the grotesque ravages of the disease will soon take them. E.B. Hudspeth’s </w:t>
      </w:r>
      <w:r w:rsidRPr="00505CF0">
        <w:rPr>
          <w:rFonts w:asciiTheme="majorBidi" w:hAnsiTheme="majorBidi" w:cstheme="majorBidi"/>
          <w:i/>
          <w:sz w:val="24"/>
          <w:szCs w:val="24"/>
        </w:rPr>
        <w:t>The Resurrectionist</w:t>
      </w:r>
      <w:r w:rsidRPr="00505CF0">
        <w:rPr>
          <w:rFonts w:asciiTheme="majorBidi" w:hAnsiTheme="majorBidi" w:cstheme="majorBidi"/>
          <w:sz w:val="24"/>
          <w:szCs w:val="24"/>
        </w:rPr>
        <w:t xml:space="preserve">, too, showcases horrors done to children and their subsequent loss of innocence through Spencer Black’s own manipulation of his son’s body into a monstrous, timeless entity, leading to both </w:t>
      </w:r>
      <w:r w:rsidR="009758B3">
        <w:rPr>
          <w:rFonts w:asciiTheme="majorBidi" w:hAnsiTheme="majorBidi" w:cstheme="majorBidi"/>
          <w:sz w:val="24"/>
          <w:szCs w:val="24"/>
        </w:rPr>
        <w:t>Victor’s</w:t>
      </w:r>
      <w:r w:rsidRPr="00505CF0">
        <w:rPr>
          <w:rFonts w:asciiTheme="majorBidi" w:hAnsiTheme="majorBidi" w:cstheme="majorBidi"/>
          <w:sz w:val="24"/>
          <w:szCs w:val="24"/>
        </w:rPr>
        <w:t xml:space="preserve"> interment in a mental institute and predilection towards the torture of small animals later in life. Above all others, Andrew Michael Hurley’s </w:t>
      </w:r>
      <w:r w:rsidRPr="00505CF0">
        <w:rPr>
          <w:rFonts w:asciiTheme="majorBidi" w:hAnsiTheme="majorBidi" w:cstheme="majorBidi"/>
          <w:i/>
          <w:sz w:val="24"/>
          <w:szCs w:val="24"/>
        </w:rPr>
        <w:t>The Loney</w:t>
      </w:r>
      <w:r w:rsidRPr="00505CF0">
        <w:rPr>
          <w:rFonts w:asciiTheme="majorBidi" w:hAnsiTheme="majorBidi" w:cstheme="majorBidi"/>
          <w:sz w:val="24"/>
          <w:szCs w:val="24"/>
        </w:rPr>
        <w:t xml:space="preserve"> perhaps reveals this lament over the loss of the Romantic ideal in the most overt terms, in which the ailments of the elderly are ritualistically transferred to an infant, which then becomes a grotesque: ‘The swaddling clothes had come apart, and although Leonard quickly stepped out of the [ritual performance area] to draw the sheets back over the child, he wasn’t quick enough. I saw the baby’s blind grey eyes. </w:t>
      </w:r>
      <w:proofErr w:type="gramStart"/>
      <w:r w:rsidRPr="00505CF0">
        <w:rPr>
          <w:rFonts w:asciiTheme="majorBidi" w:hAnsiTheme="majorBidi" w:cstheme="majorBidi"/>
          <w:sz w:val="24"/>
          <w:szCs w:val="24"/>
        </w:rPr>
        <w:t>Its shrivelled yellow face.</w:t>
      </w:r>
      <w:proofErr w:type="gramEnd"/>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The grotesque swellings on its neck.</w:t>
      </w:r>
      <w:proofErr w:type="gramEnd"/>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The mangled claw of a hand.’</w:t>
      </w:r>
      <w:proofErr w:type="gramEnd"/>
      <w:r w:rsidRPr="00505CF0">
        <w:rPr>
          <w:rStyle w:val="FootnoteReference"/>
          <w:rFonts w:asciiTheme="majorBidi" w:hAnsiTheme="majorBidi" w:cstheme="majorBidi"/>
          <w:sz w:val="24"/>
          <w:szCs w:val="24"/>
        </w:rPr>
        <w:footnoteReference w:id="554"/>
      </w:r>
      <w:r w:rsidRPr="00505CF0">
        <w:rPr>
          <w:rFonts w:asciiTheme="majorBidi" w:hAnsiTheme="majorBidi" w:cstheme="majorBidi"/>
          <w:sz w:val="24"/>
          <w:szCs w:val="24"/>
        </w:rPr>
        <w:t xml:space="preserve"> Of course, beyond the loss of innocence of this baby, it is the shattering of the faith of the main character, nicknamed Tonto, and his brother, both of whom are children </w:t>
      </w:r>
      <w:r w:rsidR="009758B3">
        <w:rPr>
          <w:rFonts w:asciiTheme="majorBidi" w:hAnsiTheme="majorBidi" w:cstheme="majorBidi"/>
          <w:sz w:val="24"/>
          <w:szCs w:val="24"/>
        </w:rPr>
        <w:t>when they witness this act,</w:t>
      </w:r>
      <w:r w:rsidRPr="00505CF0">
        <w:rPr>
          <w:rFonts w:asciiTheme="majorBidi" w:hAnsiTheme="majorBidi" w:cstheme="majorBidi"/>
          <w:sz w:val="24"/>
          <w:szCs w:val="24"/>
        </w:rPr>
        <w:t xml:space="preserve"> that epitomises this loss. Rather than the repeated Christian rituals performed upon the narrator’s brother, Hanny, to cure his muteness, it is only through a pseudo-pagan evil – the aforementioned transference of ailments to a newborn child – that Hanny is cured. This loss is further compounded by Tonto’s discovery of Father Wilfred’s journal that reveals the reason for his suicide as a loss of faith in human decency and the existence of God:</w:t>
      </w:r>
    </w:p>
    <w:p w14:paraId="28D4AB49" w14:textId="77777777" w:rsidR="00C111D3" w:rsidRPr="00505CF0" w:rsidRDefault="00C111D3" w:rsidP="004C3EE0">
      <w:pPr>
        <w:ind w:left="737" w:right="737"/>
        <w:jc w:val="both"/>
        <w:rPr>
          <w:rFonts w:asciiTheme="majorBidi" w:hAnsiTheme="majorBidi" w:cstheme="majorBidi"/>
          <w:sz w:val="24"/>
          <w:szCs w:val="24"/>
        </w:rPr>
      </w:pPr>
    </w:p>
    <w:p w14:paraId="01BBC818"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And children themselves were changing. […] He had seen it in the youngsters he had caught one evening smashing gravestones with bricks they had knocked out of the churchyard wall, a kind of emptiness in their eyes. […] These weren’t just the jittery fears of an ageing priest, it was a genuine felling that all goodness and simple humility – for who on earth was humble nowadays? – had been excised from the hearts of men.</w:t>
      </w:r>
      <w:r w:rsidRPr="00505CF0">
        <w:rPr>
          <w:rStyle w:val="FootnoteReference"/>
          <w:rFonts w:asciiTheme="majorBidi" w:hAnsiTheme="majorBidi" w:cstheme="majorBidi"/>
          <w:sz w:val="24"/>
          <w:szCs w:val="24"/>
        </w:rPr>
        <w:footnoteReference w:id="555"/>
      </w:r>
    </w:p>
    <w:p w14:paraId="1BF7F984" w14:textId="77777777" w:rsidR="00C111D3" w:rsidRPr="00505CF0" w:rsidRDefault="00C111D3" w:rsidP="004C3EE0">
      <w:pPr>
        <w:ind w:left="737" w:right="737"/>
        <w:jc w:val="both"/>
        <w:rPr>
          <w:rFonts w:asciiTheme="majorBidi" w:hAnsiTheme="majorBidi" w:cstheme="majorBidi"/>
          <w:sz w:val="24"/>
          <w:szCs w:val="24"/>
        </w:rPr>
      </w:pPr>
    </w:p>
    <w:p w14:paraId="132C0AA9"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He had been wrong about everything.</w:t>
      </w:r>
    </w:p>
    <w:p w14:paraId="1BA1A760"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God was missing. He had never been here. And if He had never been here, in this their special place, then He was nowhere at all.</w:t>
      </w:r>
      <w:r w:rsidRPr="00505CF0">
        <w:rPr>
          <w:rStyle w:val="FootnoteReference"/>
          <w:rFonts w:asciiTheme="majorBidi" w:hAnsiTheme="majorBidi" w:cstheme="majorBidi"/>
          <w:sz w:val="24"/>
          <w:szCs w:val="24"/>
        </w:rPr>
        <w:footnoteReference w:id="556"/>
      </w:r>
    </w:p>
    <w:p w14:paraId="239EC746" w14:textId="77777777" w:rsidR="00C111D3" w:rsidRPr="00505CF0" w:rsidRDefault="00C111D3" w:rsidP="004C3EE0">
      <w:pPr>
        <w:ind w:left="737" w:right="737"/>
        <w:jc w:val="both"/>
        <w:rPr>
          <w:rFonts w:asciiTheme="majorBidi" w:hAnsiTheme="majorBidi" w:cstheme="majorBidi"/>
          <w:sz w:val="24"/>
          <w:szCs w:val="24"/>
        </w:rPr>
      </w:pPr>
    </w:p>
    <w:p w14:paraId="1D4F8127"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 </w:t>
      </w:r>
    </w:p>
    <w:p w14:paraId="0E1A7BE7"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children have changed, God no longer exists (if ever He did), and in the face of these revelations the narrator is presented with the presence of the malign supernatural in the form of the transfer of disease from the elderly to the young, all of which contributes to the loss of innocence that leads to the necessity of psychiatric care repeatedly alluded to in the narrator’s later life. </w:t>
      </w:r>
    </w:p>
    <w:p w14:paraId="29101261" w14:textId="23D2F019"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Of course, this specific revisiting (and reversal) of the veneration of the child-like is far from the only Romantic ideal to be returned to in contemporary Gothic. Many twenty-first century Gothic texts witness the return of the ‘romantic supremacy of the creative urge,’</w:t>
      </w:r>
      <w:r w:rsidRPr="00505CF0">
        <w:rPr>
          <w:rStyle w:val="FootnoteReference"/>
          <w:rFonts w:asciiTheme="majorBidi" w:hAnsiTheme="majorBidi" w:cstheme="majorBidi"/>
          <w:sz w:val="24"/>
          <w:szCs w:val="24"/>
        </w:rPr>
        <w:footnoteReference w:id="557"/>
      </w:r>
      <w:r w:rsidRPr="00505CF0">
        <w:rPr>
          <w:rFonts w:asciiTheme="majorBidi" w:hAnsiTheme="majorBidi" w:cstheme="majorBidi"/>
          <w:sz w:val="24"/>
          <w:szCs w:val="24"/>
        </w:rPr>
        <w:t xml:space="preserve"> often revisiting concepts of the isolated, emotionally vulnerable artist. According to Sue Zlosnik, in the later works of the reluctant Gothicist Patrick McGrath such Romantic isolated artists who sacrifice for their art too form a ‘central concern’</w:t>
      </w:r>
      <w:r w:rsidRPr="00505CF0">
        <w:rPr>
          <w:rStyle w:val="FootnoteReference"/>
          <w:rFonts w:asciiTheme="majorBidi" w:hAnsiTheme="majorBidi" w:cstheme="majorBidi"/>
          <w:sz w:val="24"/>
          <w:szCs w:val="24"/>
        </w:rPr>
        <w:footnoteReference w:id="558"/>
      </w:r>
      <w:r w:rsidRPr="00505CF0">
        <w:rPr>
          <w:rFonts w:asciiTheme="majorBidi" w:hAnsiTheme="majorBidi" w:cstheme="majorBidi"/>
          <w:sz w:val="24"/>
          <w:szCs w:val="24"/>
        </w:rPr>
        <w:t xml:space="preserve"> (alluding to another Romantic ideal, specifically that of ‘knowledge to be gained through difficulty and pain.’)</w:t>
      </w:r>
      <w:r w:rsidRPr="00505CF0">
        <w:rPr>
          <w:rStyle w:val="FootnoteReference"/>
          <w:rFonts w:asciiTheme="majorBidi" w:hAnsiTheme="majorBidi" w:cstheme="majorBidi"/>
          <w:sz w:val="24"/>
          <w:szCs w:val="24"/>
        </w:rPr>
        <w:footnoteReference w:id="559"/>
      </w:r>
      <w:r w:rsidRPr="00505CF0">
        <w:rPr>
          <w:rFonts w:asciiTheme="majorBidi" w:hAnsiTheme="majorBidi" w:cstheme="majorBidi"/>
          <w:sz w:val="24"/>
          <w:szCs w:val="24"/>
        </w:rPr>
        <w:t xml:space="preserve"> In terms of such works in the post-postmodern period both of the Rathbone children, Jack and Gin of </w:t>
      </w:r>
      <w:r w:rsidRPr="00505CF0">
        <w:rPr>
          <w:rFonts w:asciiTheme="majorBidi" w:hAnsiTheme="majorBidi" w:cstheme="majorBidi"/>
          <w:i/>
          <w:sz w:val="24"/>
          <w:szCs w:val="24"/>
        </w:rPr>
        <w:t>Port Mungo</w:t>
      </w:r>
      <w:r w:rsidRPr="00505CF0">
        <w:rPr>
          <w:rFonts w:asciiTheme="majorBidi" w:hAnsiTheme="majorBidi" w:cstheme="majorBidi"/>
          <w:sz w:val="24"/>
          <w:szCs w:val="24"/>
        </w:rPr>
        <w:t xml:space="preserve">, become isolated artists later in life, with Jack retreating to the eponymous port in the swamps of Honduras to concentrate on his art, while Gin too isolates herself, though in a more domestic environment. In his latest work, </w:t>
      </w:r>
      <w:r w:rsidRPr="00505CF0">
        <w:rPr>
          <w:rFonts w:asciiTheme="majorBidi" w:hAnsiTheme="majorBidi" w:cstheme="majorBidi"/>
          <w:i/>
          <w:sz w:val="24"/>
          <w:szCs w:val="24"/>
        </w:rPr>
        <w:t>The Wardrobe Mistress</w:t>
      </w:r>
      <w:r w:rsidRPr="00505CF0">
        <w:rPr>
          <w:rFonts w:asciiTheme="majorBidi" w:hAnsiTheme="majorBidi" w:cstheme="majorBidi"/>
          <w:sz w:val="24"/>
          <w:szCs w:val="24"/>
        </w:rPr>
        <w:t>, Vera Grice, a seemingly ‘fragile,’</w:t>
      </w:r>
      <w:r w:rsidRPr="00505CF0">
        <w:rPr>
          <w:rStyle w:val="FootnoteReference"/>
          <w:rFonts w:asciiTheme="majorBidi" w:hAnsiTheme="majorBidi" w:cstheme="majorBidi"/>
          <w:sz w:val="24"/>
          <w:szCs w:val="24"/>
        </w:rPr>
        <w:footnoteReference w:id="560"/>
      </w:r>
      <w:r w:rsidRPr="00505CF0">
        <w:rPr>
          <w:rFonts w:asciiTheme="majorBidi" w:hAnsiTheme="majorBidi" w:cstheme="majorBidi"/>
          <w:sz w:val="24"/>
          <w:szCs w:val="24"/>
        </w:rPr>
        <w:t xml:space="preserve"> ‘hysterical,’ young woman ‘preoccupied with her work’</w:t>
      </w:r>
      <w:r w:rsidRPr="00505CF0">
        <w:rPr>
          <w:rStyle w:val="FootnoteReference"/>
          <w:rFonts w:asciiTheme="majorBidi" w:hAnsiTheme="majorBidi" w:cstheme="majorBidi"/>
          <w:sz w:val="24"/>
          <w:szCs w:val="24"/>
        </w:rPr>
        <w:footnoteReference w:id="561"/>
      </w:r>
      <w:r w:rsidRPr="00505CF0">
        <w:rPr>
          <w:rFonts w:asciiTheme="majorBidi" w:hAnsiTheme="majorBidi" w:cstheme="majorBidi"/>
          <w:sz w:val="24"/>
          <w:szCs w:val="24"/>
        </w:rPr>
        <w:t xml:space="preserve"> as an actress, isolates herself in the loft of her marital home, there to better her craft for her upcoming performance. Such romantic artists – doomed, misunderstood, isolated, martyrs to their art – </w:t>
      </w:r>
      <w:r w:rsidR="009758B3">
        <w:rPr>
          <w:rFonts w:asciiTheme="majorBidi" w:hAnsiTheme="majorBidi" w:cstheme="majorBidi"/>
          <w:sz w:val="24"/>
          <w:szCs w:val="24"/>
        </w:rPr>
        <w:t xml:space="preserve">also </w:t>
      </w:r>
      <w:r w:rsidRPr="00505CF0">
        <w:rPr>
          <w:rFonts w:asciiTheme="majorBidi" w:hAnsiTheme="majorBidi" w:cstheme="majorBidi"/>
          <w:sz w:val="24"/>
          <w:szCs w:val="24"/>
        </w:rPr>
        <w:t xml:space="preserve">find </w:t>
      </w:r>
      <w:r w:rsidR="009758B3">
        <w:rPr>
          <w:rFonts w:asciiTheme="majorBidi" w:hAnsiTheme="majorBidi" w:cstheme="majorBidi"/>
          <w:sz w:val="24"/>
          <w:szCs w:val="24"/>
        </w:rPr>
        <w:t>representation</w:t>
      </w:r>
      <w:r w:rsidR="009758B3"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in Zampano of Danielewski’s </w:t>
      </w:r>
      <w:r w:rsidRPr="00505CF0">
        <w:rPr>
          <w:rFonts w:asciiTheme="majorBidi" w:hAnsiTheme="majorBidi" w:cstheme="majorBidi"/>
          <w:i/>
          <w:sz w:val="24"/>
          <w:szCs w:val="24"/>
        </w:rPr>
        <w:t xml:space="preserve">House of Leaves, </w:t>
      </w:r>
      <w:r w:rsidRPr="00505CF0">
        <w:rPr>
          <w:rFonts w:asciiTheme="majorBidi" w:hAnsiTheme="majorBidi" w:cstheme="majorBidi"/>
          <w:sz w:val="24"/>
          <w:szCs w:val="24"/>
        </w:rPr>
        <w:t xml:space="preserve">the enigmatic V.M. Straka of </w:t>
      </w:r>
      <w:r w:rsidRPr="00505CF0">
        <w:rPr>
          <w:rFonts w:asciiTheme="majorBidi" w:hAnsiTheme="majorBidi" w:cstheme="majorBidi"/>
          <w:i/>
          <w:sz w:val="24"/>
          <w:szCs w:val="24"/>
        </w:rPr>
        <w:t xml:space="preserve">S </w:t>
      </w:r>
      <w:r w:rsidRPr="00505CF0">
        <w:rPr>
          <w:rFonts w:asciiTheme="majorBidi" w:hAnsiTheme="majorBidi" w:cstheme="majorBidi"/>
          <w:sz w:val="24"/>
          <w:szCs w:val="24"/>
        </w:rPr>
        <w:t xml:space="preserve">by Doug Dorst and J.J. Abrams, and Stanislav Cordova of Marisha Pessl’s </w:t>
      </w:r>
      <w:r w:rsidRPr="00505CF0">
        <w:rPr>
          <w:rFonts w:asciiTheme="majorBidi" w:hAnsiTheme="majorBidi" w:cstheme="majorBidi"/>
          <w:i/>
          <w:sz w:val="24"/>
          <w:szCs w:val="24"/>
        </w:rPr>
        <w:t xml:space="preserve">Night Film, </w:t>
      </w:r>
      <w:r w:rsidRPr="00505CF0">
        <w:rPr>
          <w:rFonts w:asciiTheme="majorBidi" w:hAnsiTheme="majorBidi" w:cstheme="majorBidi"/>
          <w:sz w:val="24"/>
          <w:szCs w:val="24"/>
        </w:rPr>
        <w:t xml:space="preserve">to name a few amongst many. </w:t>
      </w:r>
    </w:p>
    <w:p w14:paraId="689DD553" w14:textId="6E51A926" w:rsidR="00C111D3" w:rsidRPr="00505CF0" w:rsidRDefault="00C111D3" w:rsidP="004C3EE0">
      <w:pPr>
        <w:spacing w:line="480" w:lineRule="auto"/>
        <w:ind w:firstLine="720"/>
        <w:jc w:val="both"/>
        <w:rPr>
          <w:rFonts w:asciiTheme="majorBidi" w:hAnsiTheme="majorBidi" w:cstheme="majorBidi"/>
          <w:color w:val="FF0000"/>
          <w:sz w:val="24"/>
          <w:szCs w:val="24"/>
        </w:rPr>
      </w:pPr>
      <w:r w:rsidRPr="00505CF0">
        <w:rPr>
          <w:rFonts w:asciiTheme="majorBidi" w:hAnsiTheme="majorBidi" w:cstheme="majorBidi"/>
          <w:sz w:val="24"/>
          <w:szCs w:val="24"/>
        </w:rPr>
        <w:t xml:space="preserve">In </w:t>
      </w:r>
      <w:r w:rsidRPr="00505CF0">
        <w:rPr>
          <w:rFonts w:asciiTheme="majorBidi" w:hAnsiTheme="majorBidi" w:cstheme="majorBidi"/>
          <w:i/>
          <w:sz w:val="24"/>
          <w:szCs w:val="24"/>
        </w:rPr>
        <w:t>Glister</w:t>
      </w:r>
      <w:r w:rsidRPr="00505CF0">
        <w:rPr>
          <w:rFonts w:asciiTheme="majorBidi" w:hAnsiTheme="majorBidi" w:cstheme="majorBidi"/>
          <w:sz w:val="24"/>
          <w:szCs w:val="24"/>
        </w:rPr>
        <w:t>, too, a convincing argument can be made for the protagonist as representative of ‘the romantic conception of the poet [who] ends in apotheosis</w:t>
      </w:r>
      <w:r w:rsidR="00786CBE">
        <w:rPr>
          <w:rFonts w:asciiTheme="majorBidi" w:hAnsiTheme="majorBidi" w:cstheme="majorBidi"/>
          <w:sz w:val="24"/>
          <w:szCs w:val="24"/>
        </w:rPr>
        <w:t>,</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562"/>
      </w:r>
      <w:r w:rsidRPr="00505CF0">
        <w:rPr>
          <w:rFonts w:asciiTheme="majorBidi" w:hAnsiTheme="majorBidi" w:cstheme="majorBidi"/>
          <w:sz w:val="24"/>
          <w:szCs w:val="24"/>
        </w:rPr>
        <w:t xml:space="preserve"> </w:t>
      </w:r>
      <w:r w:rsidR="00786CBE">
        <w:rPr>
          <w:rFonts w:asciiTheme="majorBidi" w:hAnsiTheme="majorBidi" w:cstheme="majorBidi"/>
          <w:sz w:val="24"/>
          <w:szCs w:val="24"/>
        </w:rPr>
        <w:t xml:space="preserve">as </w:t>
      </w:r>
      <w:r w:rsidRPr="00505CF0">
        <w:rPr>
          <w:rFonts w:asciiTheme="majorBidi" w:hAnsiTheme="majorBidi" w:cstheme="majorBidi"/>
          <w:sz w:val="24"/>
          <w:szCs w:val="24"/>
        </w:rPr>
        <w:t xml:space="preserve">Leonard easily overlays with several attitudes attributed to that of the heroic, Romantic figure of Thomas Chatterton. A sensitive child, rejected by the cruel, vulgar world, yet who could be noble in the eyes of anyone able to understand him, with an uncomprehending family and who, ultimately, loses their life in a seemingly noble, emotionally charged manner akin to Goethe’s Werther – in Leonard’s case, doing so with aid of the Moth Man, but all in order to transition to a site in which forgiveness may be attempted.  </w:t>
      </w:r>
    </w:p>
    <w:p w14:paraId="0A0DB2F0"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Attempt is the central tenet of the metamodern new Romanticism, as described earlier, and contemporary Gothic literature too expresses not just classical Romantic ideals but explorations of attempt and failure that align with the metamodern ‘conscious decision to attempt, in spite of those alternatives’, untenableness.’</w:t>
      </w:r>
      <w:r w:rsidRPr="00505CF0">
        <w:rPr>
          <w:rStyle w:val="FootnoteReference"/>
          <w:rFonts w:asciiTheme="majorBidi" w:hAnsiTheme="majorBidi" w:cstheme="majorBidi"/>
          <w:sz w:val="24"/>
          <w:szCs w:val="24"/>
        </w:rPr>
        <w:footnoteReference w:id="563"/>
      </w:r>
      <w:r w:rsidRPr="00505CF0">
        <w:rPr>
          <w:rFonts w:asciiTheme="majorBidi" w:hAnsiTheme="majorBidi" w:cstheme="majorBidi"/>
          <w:sz w:val="24"/>
          <w:szCs w:val="24"/>
        </w:rPr>
        <w:t xml:space="preserve"> Metamodernism, and by extension the new romantic structure of feeling by which it finds its clearest expression,</w:t>
      </w:r>
      <w:r w:rsidRPr="00505CF0">
        <w:rPr>
          <w:rStyle w:val="FootnoteReference"/>
          <w:rFonts w:asciiTheme="majorBidi" w:hAnsiTheme="majorBidi" w:cstheme="majorBidi"/>
          <w:sz w:val="24"/>
          <w:szCs w:val="24"/>
        </w:rPr>
        <w:footnoteReference w:id="564"/>
      </w:r>
      <w:r w:rsidRPr="00505CF0">
        <w:rPr>
          <w:rFonts w:asciiTheme="majorBidi" w:hAnsiTheme="majorBidi" w:cstheme="majorBidi"/>
          <w:sz w:val="24"/>
          <w:szCs w:val="24"/>
        </w:rPr>
        <w:t xml:space="preserve"> ‘attempts in spite of its inevitable failure; it seeks forever a truth that it never expects to find.’</w:t>
      </w:r>
      <w:r w:rsidRPr="00505CF0">
        <w:rPr>
          <w:rStyle w:val="FootnoteReference"/>
          <w:rFonts w:asciiTheme="majorBidi" w:hAnsiTheme="majorBidi" w:cstheme="majorBidi"/>
          <w:sz w:val="24"/>
          <w:szCs w:val="24"/>
        </w:rPr>
        <w:footnoteReference w:id="565"/>
      </w:r>
      <w:r w:rsidRPr="00505CF0">
        <w:rPr>
          <w:rFonts w:asciiTheme="majorBidi" w:hAnsiTheme="majorBidi" w:cstheme="majorBidi"/>
          <w:sz w:val="24"/>
          <w:szCs w:val="24"/>
        </w:rPr>
        <w:t xml:space="preserve"> Such descriptors find comfortable representation in the Gothic works of Mark Z Danielewski, who, in </w:t>
      </w:r>
      <w:r w:rsidRPr="00505CF0">
        <w:rPr>
          <w:rFonts w:asciiTheme="majorBidi" w:hAnsiTheme="majorBidi" w:cstheme="majorBidi"/>
          <w:i/>
          <w:sz w:val="24"/>
          <w:szCs w:val="24"/>
        </w:rPr>
        <w:t xml:space="preserve">House of Leaves, the Fifty Year Sword, </w:t>
      </w:r>
      <w:r w:rsidRPr="00505CF0">
        <w:rPr>
          <w:rFonts w:asciiTheme="majorBidi" w:hAnsiTheme="majorBidi" w:cstheme="majorBidi"/>
          <w:sz w:val="24"/>
          <w:szCs w:val="24"/>
        </w:rPr>
        <w:t xml:space="preserve">and, most recently, </w:t>
      </w:r>
      <w:r w:rsidRPr="00505CF0">
        <w:rPr>
          <w:rFonts w:asciiTheme="majorBidi" w:hAnsiTheme="majorBidi" w:cstheme="majorBidi"/>
          <w:i/>
          <w:sz w:val="24"/>
          <w:szCs w:val="24"/>
        </w:rPr>
        <w:t>The Familiar</w:t>
      </w:r>
      <w:r w:rsidRPr="00505CF0">
        <w:rPr>
          <w:rFonts w:asciiTheme="majorBidi" w:hAnsiTheme="majorBidi" w:cstheme="majorBidi"/>
          <w:sz w:val="24"/>
          <w:szCs w:val="24"/>
        </w:rPr>
        <w:t xml:space="preserve">, attempts to adapt modern horror media back into the more classical codex form.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presents an attempt at the novelisation of the typical horror film, here translated through Zampano’s academic analysis,</w:t>
      </w:r>
      <w:r w:rsidRPr="00505CF0">
        <w:rPr>
          <w:rStyle w:val="FootnoteReference"/>
          <w:rFonts w:asciiTheme="majorBidi" w:hAnsiTheme="majorBidi" w:cstheme="majorBidi"/>
          <w:sz w:val="24"/>
          <w:szCs w:val="24"/>
        </w:rPr>
        <w:footnoteReference w:id="566"/>
      </w:r>
      <w:r w:rsidRPr="00505CF0">
        <w:rPr>
          <w:rFonts w:asciiTheme="majorBidi" w:hAnsiTheme="majorBidi" w:cstheme="majorBidi"/>
          <w:sz w:val="24"/>
          <w:szCs w:val="24"/>
        </w:rPr>
        <w:t xml:space="preserve"> while </w:t>
      </w:r>
      <w:r w:rsidRPr="00505CF0">
        <w:rPr>
          <w:rFonts w:asciiTheme="majorBidi" w:hAnsiTheme="majorBidi" w:cstheme="majorBidi"/>
          <w:i/>
          <w:sz w:val="24"/>
          <w:szCs w:val="24"/>
        </w:rPr>
        <w:t xml:space="preserve">The Fifty-Year Sword </w:t>
      </w:r>
      <w:r w:rsidRPr="00505CF0">
        <w:rPr>
          <w:rFonts w:asciiTheme="majorBidi" w:hAnsiTheme="majorBidi" w:cstheme="majorBidi"/>
          <w:sz w:val="24"/>
          <w:szCs w:val="24"/>
        </w:rPr>
        <w:t xml:space="preserve">attempts to faithfully represent an oral ghost story in written form. Similarly, the multi-volume (on-going) project of </w:t>
      </w:r>
      <w:r w:rsidRPr="00505CF0">
        <w:rPr>
          <w:rFonts w:asciiTheme="majorBidi" w:hAnsiTheme="majorBidi" w:cstheme="majorBidi"/>
          <w:i/>
          <w:sz w:val="24"/>
          <w:szCs w:val="24"/>
        </w:rPr>
        <w:t>The Familiar</w:t>
      </w:r>
      <w:r w:rsidRPr="00505CF0">
        <w:rPr>
          <w:rFonts w:asciiTheme="majorBidi" w:hAnsiTheme="majorBidi" w:cstheme="majorBidi"/>
          <w:sz w:val="24"/>
          <w:szCs w:val="24"/>
        </w:rPr>
        <w:t xml:space="preserve"> will attempt to re-create the structure of an American TV show, with each volume representing a single episode of a typical twenty-seven episode season arc. The success of such ventures is entirely up to debate and personal preference, though the challenges to such attempts are easily identified: </w:t>
      </w:r>
      <w:r w:rsidRPr="00505CF0">
        <w:rPr>
          <w:rFonts w:asciiTheme="majorBidi" w:hAnsiTheme="majorBidi" w:cstheme="majorBidi"/>
          <w:i/>
          <w:sz w:val="24"/>
          <w:szCs w:val="24"/>
        </w:rPr>
        <w:t xml:space="preserve">House of Leaves </w:t>
      </w:r>
      <w:r w:rsidRPr="00505CF0">
        <w:rPr>
          <w:rFonts w:asciiTheme="majorBidi" w:hAnsiTheme="majorBidi" w:cstheme="majorBidi"/>
          <w:sz w:val="24"/>
          <w:szCs w:val="24"/>
        </w:rPr>
        <w:t xml:space="preserve">experiments with the representation of a predominantly visual medium in a (relatively) non-visual format, </w:t>
      </w:r>
      <w:r w:rsidRPr="00505CF0">
        <w:rPr>
          <w:rFonts w:asciiTheme="majorBidi" w:hAnsiTheme="majorBidi" w:cstheme="majorBidi"/>
          <w:i/>
          <w:sz w:val="24"/>
          <w:szCs w:val="24"/>
        </w:rPr>
        <w:t xml:space="preserve">The Fifty-Year Sword </w:t>
      </w:r>
      <w:r w:rsidRPr="00505CF0">
        <w:rPr>
          <w:rFonts w:asciiTheme="majorBidi" w:hAnsiTheme="majorBidi" w:cstheme="majorBidi"/>
          <w:sz w:val="24"/>
          <w:szCs w:val="24"/>
        </w:rPr>
        <w:t xml:space="preserve">attempts a collage of voices, yet they appear less as a collage and more as a single broken voice from the very beginning – rather than a collage of disjointed voices coming together to echo Danielewski’s premise about the genesis of the ghost stories, the voices seem synched from the beginning as one narratorial and so problematise the collage. </w:t>
      </w:r>
      <w:r w:rsidRPr="00505CF0">
        <w:rPr>
          <w:rFonts w:asciiTheme="majorBidi" w:hAnsiTheme="majorBidi" w:cstheme="majorBidi"/>
          <w:i/>
          <w:sz w:val="24"/>
          <w:szCs w:val="24"/>
        </w:rPr>
        <w:t>The Familiar</w:t>
      </w:r>
      <w:r w:rsidRPr="00505CF0">
        <w:rPr>
          <w:rFonts w:asciiTheme="majorBidi" w:hAnsiTheme="majorBidi" w:cstheme="majorBidi"/>
          <w:sz w:val="24"/>
          <w:szCs w:val="24"/>
        </w:rPr>
        <w:t xml:space="preserve">, too, attempts to present a visual medium through cryptographic means, as in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though finds challenge in the infrequency of the releases of the volumes; which tv show, after all, releases one episode a year? Potential and observable issues are clear in Danielewski’s attempts, but the attempts are made nonetheless, regardless of their potential to fail in their main endeavour, a sentiment echoed by Bret Easton Ellis who, in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writes that ‘defeat is good for art.’</w:t>
      </w:r>
      <w:r w:rsidRPr="00505CF0">
        <w:rPr>
          <w:rStyle w:val="FootnoteReference"/>
          <w:rFonts w:asciiTheme="majorBidi" w:hAnsiTheme="majorBidi" w:cstheme="majorBidi"/>
          <w:sz w:val="24"/>
          <w:szCs w:val="24"/>
        </w:rPr>
        <w:footnoteReference w:id="567"/>
      </w:r>
      <w:r w:rsidRPr="00505CF0">
        <w:rPr>
          <w:rFonts w:asciiTheme="majorBidi" w:hAnsiTheme="majorBidi" w:cstheme="majorBidi"/>
          <w:sz w:val="24"/>
          <w:szCs w:val="24"/>
        </w:rPr>
        <w:t xml:space="preserve">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equally presents with an attempt in spite of itself, adhering to Vermeulen and van den Akker’s recognition of metamodern new romantic artists opting to ‘employ methods and materials’ that are not necessarily ‘suited to their mission or task’ in that the writing of the text was an attempt at catharsis for Ellis with regards to his lingering issues with his father:</w:t>
      </w:r>
      <w:r w:rsidRPr="00505CF0">
        <w:rPr>
          <w:rStyle w:val="FootnoteReference"/>
          <w:rFonts w:asciiTheme="majorBidi" w:hAnsiTheme="majorBidi" w:cstheme="majorBidi"/>
          <w:sz w:val="24"/>
          <w:szCs w:val="24"/>
        </w:rPr>
        <w:footnoteReference w:id="568"/>
      </w:r>
      <w:r w:rsidRPr="00505CF0">
        <w:rPr>
          <w:rFonts w:asciiTheme="majorBidi" w:hAnsiTheme="majorBidi" w:cstheme="majorBidi"/>
          <w:sz w:val="24"/>
          <w:szCs w:val="24"/>
        </w:rPr>
        <w:t xml:space="preserve"> </w:t>
      </w:r>
    </w:p>
    <w:p w14:paraId="4A96563D" w14:textId="77777777" w:rsidR="00C111D3" w:rsidRPr="00505CF0" w:rsidRDefault="00C111D3" w:rsidP="004C3EE0">
      <w:pPr>
        <w:ind w:left="737" w:right="737"/>
        <w:jc w:val="both"/>
        <w:rPr>
          <w:rFonts w:asciiTheme="majorBidi" w:hAnsiTheme="majorBidi" w:cstheme="majorBidi"/>
          <w:sz w:val="24"/>
          <w:szCs w:val="24"/>
        </w:rPr>
      </w:pPr>
    </w:p>
    <w:p w14:paraId="04772CB8"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I hadn't grieved for my father until I was midway through writing [</w:t>
      </w:r>
      <w:r w:rsidRPr="00505CF0">
        <w:rPr>
          <w:rFonts w:asciiTheme="majorBidi" w:hAnsiTheme="majorBidi" w:cstheme="majorBidi"/>
          <w:i/>
          <w:sz w:val="24"/>
          <w:szCs w:val="24"/>
        </w:rPr>
        <w:t>Lunar Park</w:t>
      </w:r>
      <w:r w:rsidRPr="00505CF0">
        <w:rPr>
          <w:rFonts w:asciiTheme="majorBidi" w:hAnsiTheme="majorBidi" w:cstheme="majorBidi"/>
          <w:sz w:val="24"/>
          <w:szCs w:val="24"/>
        </w:rPr>
        <w:t>], and he had died ten years previous to that. I had not grieved. I didn't grieve. […] I didn't expect to grieve […</w:t>
      </w:r>
      <w:proofErr w:type="gramStart"/>
      <w:r w:rsidRPr="00505CF0">
        <w:rPr>
          <w:rFonts w:asciiTheme="majorBidi" w:hAnsiTheme="majorBidi" w:cstheme="majorBidi"/>
          <w:sz w:val="24"/>
          <w:szCs w:val="24"/>
        </w:rPr>
        <w:t>]  there</w:t>
      </w:r>
      <w:proofErr w:type="gramEnd"/>
      <w:r w:rsidRPr="00505CF0">
        <w:rPr>
          <w:rFonts w:asciiTheme="majorBidi" w:hAnsiTheme="majorBidi" w:cstheme="majorBidi"/>
          <w:sz w:val="24"/>
          <w:szCs w:val="24"/>
        </w:rPr>
        <w:t xml:space="preserve"> were a lot of unresolved things floating around in the air. Therapy didn't really help it, dealing with my anger and frustration, but I should have realized that writing a book was gonna do it. But I didn't. That was not a plan as part of writing this book, but ultimately, as I wrote it, I did. I grieved for us. </w:t>
      </w:r>
      <w:proofErr w:type="gramStart"/>
      <w:r w:rsidRPr="00505CF0">
        <w:rPr>
          <w:rFonts w:asciiTheme="majorBidi" w:hAnsiTheme="majorBidi" w:cstheme="majorBidi"/>
          <w:sz w:val="24"/>
          <w:szCs w:val="24"/>
        </w:rPr>
        <w:t>Not only for my dad but for both of us.</w:t>
      </w:r>
      <w:proofErr w:type="gramEnd"/>
      <w:r w:rsidRPr="00505CF0">
        <w:rPr>
          <w:rFonts w:asciiTheme="majorBidi" w:hAnsiTheme="majorBidi" w:cstheme="majorBidi"/>
          <w:sz w:val="24"/>
          <w:szCs w:val="24"/>
        </w:rPr>
        <w:t xml:space="preserve"> </w:t>
      </w:r>
      <w:proofErr w:type="gramStart"/>
      <w:r w:rsidRPr="00505CF0">
        <w:rPr>
          <w:rFonts w:asciiTheme="majorBidi" w:hAnsiTheme="majorBidi" w:cstheme="majorBidi"/>
          <w:sz w:val="24"/>
          <w:szCs w:val="24"/>
        </w:rPr>
        <w:t>For the impossibility of our relationship.</w:t>
      </w:r>
      <w:proofErr w:type="gramEnd"/>
      <w:r w:rsidRPr="00505CF0">
        <w:rPr>
          <w:rStyle w:val="FootnoteReference"/>
          <w:rFonts w:asciiTheme="majorBidi" w:hAnsiTheme="majorBidi" w:cstheme="majorBidi"/>
          <w:sz w:val="24"/>
          <w:szCs w:val="24"/>
        </w:rPr>
        <w:footnoteReference w:id="569"/>
      </w:r>
    </w:p>
    <w:p w14:paraId="6AFB380D" w14:textId="77777777" w:rsidR="00C111D3" w:rsidRPr="00505CF0" w:rsidRDefault="00C111D3" w:rsidP="004C3EE0">
      <w:pPr>
        <w:spacing w:line="480" w:lineRule="auto"/>
        <w:jc w:val="both"/>
        <w:rPr>
          <w:rFonts w:asciiTheme="majorBidi" w:hAnsiTheme="majorBidi" w:cstheme="majorBidi"/>
          <w:sz w:val="24"/>
          <w:szCs w:val="24"/>
        </w:rPr>
      </w:pPr>
    </w:p>
    <w:p w14:paraId="42A2472E" w14:textId="4DD30E3D"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While Ellis argues that through the process of writing he achieved a cathartic, therapeutic effect (‘at the end of this book I felt something lift off me, I felt something was resolved,’) the trappings of the Gothic through which the message is presented do somewhat muddy the results; While Ellis himself may have felt relief after writing, the fictional Ellis of the novel is constantly threatened by unresolved issues of fatherhood to the end of the text, with Bateman acting as a surrogate wayward son come to haunt him</w:t>
      </w:r>
      <w:r w:rsidR="00786CBE">
        <w:rPr>
          <w:rFonts w:asciiTheme="majorBidi" w:hAnsiTheme="majorBidi" w:cstheme="majorBidi"/>
          <w:sz w:val="24"/>
          <w:szCs w:val="24"/>
        </w:rPr>
        <w:t>,</w:t>
      </w:r>
      <w:r w:rsidRPr="00505CF0">
        <w:rPr>
          <w:rFonts w:asciiTheme="majorBidi" w:hAnsiTheme="majorBidi" w:cstheme="majorBidi"/>
          <w:sz w:val="24"/>
          <w:szCs w:val="24"/>
        </w:rPr>
        <w:t xml:space="preserve"> and Robby disappearing at the end of the text never to return</w:t>
      </w:r>
      <w:r w:rsidR="00786CBE">
        <w:rPr>
          <w:rFonts w:asciiTheme="majorBidi" w:hAnsiTheme="majorBidi" w:cstheme="majorBidi"/>
          <w:sz w:val="24"/>
          <w:szCs w:val="24"/>
        </w:rPr>
        <w:t>.</w:t>
      </w:r>
      <w:r w:rsidRPr="00505CF0">
        <w:rPr>
          <w:rFonts w:asciiTheme="majorBidi" w:hAnsiTheme="majorBidi" w:cstheme="majorBidi"/>
          <w:sz w:val="24"/>
          <w:szCs w:val="24"/>
        </w:rPr>
        <w:t xml:space="preserve"> </w:t>
      </w:r>
      <w:r w:rsidR="00786CBE">
        <w:rPr>
          <w:rFonts w:asciiTheme="majorBidi" w:hAnsiTheme="majorBidi" w:cstheme="majorBidi"/>
          <w:sz w:val="24"/>
          <w:szCs w:val="24"/>
        </w:rPr>
        <w:t xml:space="preserve">All the </w:t>
      </w:r>
      <w:r w:rsidRPr="00505CF0">
        <w:rPr>
          <w:rFonts w:asciiTheme="majorBidi" w:hAnsiTheme="majorBidi" w:cstheme="majorBidi"/>
          <w:sz w:val="24"/>
          <w:szCs w:val="24"/>
        </w:rPr>
        <w:t>while the fictional Ellis remains ‘arms held out and waiting’ for the return of his estranged son.</w:t>
      </w:r>
      <w:r w:rsidRPr="00505CF0">
        <w:rPr>
          <w:rStyle w:val="FootnoteReference"/>
          <w:rFonts w:asciiTheme="majorBidi" w:hAnsiTheme="majorBidi" w:cstheme="majorBidi"/>
          <w:sz w:val="24"/>
          <w:szCs w:val="24"/>
        </w:rPr>
        <w:footnoteReference w:id="570"/>
      </w:r>
      <w:r w:rsidRPr="00505CF0">
        <w:rPr>
          <w:rFonts w:asciiTheme="majorBidi" w:hAnsiTheme="majorBidi" w:cstheme="majorBidi"/>
          <w:sz w:val="24"/>
          <w:szCs w:val="24"/>
        </w:rPr>
        <w:t xml:space="preserve"> Fiction, Christiane Blot-Labarrère writes, ‘delivers us from nothing, cures nothing, because by projecting one’s suffering, one freezes it and encloses it, one consecrates it rather than obliterating it,’</w:t>
      </w:r>
      <w:r w:rsidRPr="00505CF0">
        <w:rPr>
          <w:rStyle w:val="FootnoteReference"/>
          <w:rFonts w:asciiTheme="majorBidi" w:hAnsiTheme="majorBidi" w:cstheme="majorBidi"/>
          <w:sz w:val="24"/>
          <w:szCs w:val="24"/>
        </w:rPr>
        <w:footnoteReference w:id="571"/>
      </w:r>
      <w:r w:rsidRPr="00505CF0">
        <w:rPr>
          <w:rFonts w:asciiTheme="majorBidi" w:hAnsiTheme="majorBidi" w:cstheme="majorBidi"/>
          <w:sz w:val="24"/>
          <w:szCs w:val="24"/>
        </w:rPr>
        <w:t xml:space="preserve"> a sentiment easily applied to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’s resolution with regard to paternal anxiety – it is textually enclosed, problematised by the Gothic, and left relatively unresolved. Perhaps, then, not the best tool by which Ellis could have attempted to resolve his anxieties, considering the unresolved father-issues of the end of the text, yet an attempt made nonetheless. </w:t>
      </w:r>
    </w:p>
    <w:p w14:paraId="66917E4F"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While signposting these metamodern new romantic sentiments in the Gothic is, I hope, enlightening in and of itself, the one question that remains unanswered as of yet is ‘Why?’ Why do these Gothic texts continue in their presentation, and indeed foregrounding, of the new Romantic sentiment? A valid question, and one both posited and answered by the Editorial team of the editorial team of the flagship website of the metamodern, ‘Metamodernism.com’ founded and run by Vermeulen and van den Akker in 2009:</w:t>
      </w:r>
    </w:p>
    <w:p w14:paraId="76A78B4A" w14:textId="77777777" w:rsidR="00C111D3" w:rsidRPr="00505CF0" w:rsidRDefault="00C111D3" w:rsidP="004C3EE0">
      <w:pPr>
        <w:ind w:left="737" w:right="737"/>
        <w:jc w:val="both"/>
        <w:rPr>
          <w:rFonts w:asciiTheme="majorBidi" w:hAnsiTheme="majorBidi" w:cstheme="majorBidi"/>
          <w:sz w:val="24"/>
          <w:szCs w:val="24"/>
        </w:rPr>
      </w:pPr>
    </w:p>
    <w:p w14:paraId="149799FC" w14:textId="77777777" w:rsidR="00C111D3" w:rsidRPr="00505CF0" w:rsidRDefault="00C111D3" w:rsidP="004C3EE0">
      <w:pPr>
        <w:ind w:left="737" w:right="737"/>
        <w:jc w:val="both"/>
        <w:rPr>
          <w:rFonts w:asciiTheme="majorBidi" w:hAnsiTheme="majorBidi" w:cstheme="majorBidi"/>
          <w:sz w:val="24"/>
          <w:szCs w:val="24"/>
        </w:rPr>
      </w:pPr>
      <w:proofErr w:type="gramStart"/>
      <w:r w:rsidRPr="00505CF0">
        <w:rPr>
          <w:rFonts w:asciiTheme="majorBidi" w:hAnsiTheme="majorBidi" w:cstheme="majorBidi"/>
          <w:sz w:val="24"/>
          <w:szCs w:val="24"/>
        </w:rPr>
        <w:t>But why now?</w:t>
      </w:r>
      <w:proofErr w:type="gramEnd"/>
      <w:r w:rsidRPr="00505CF0">
        <w:rPr>
          <w:rFonts w:asciiTheme="majorBidi" w:hAnsiTheme="majorBidi" w:cstheme="majorBidi"/>
          <w:sz w:val="24"/>
          <w:szCs w:val="24"/>
        </w:rPr>
        <w:t xml:space="preserve"> Why have artists taken to these Romantic sentiments all of a sudden? Our answer is that Romanticism provides them with the vocabulary and iconography to express </w:t>
      </w:r>
      <w:proofErr w:type="gramStart"/>
      <w:r w:rsidRPr="00505CF0">
        <w:rPr>
          <w:rFonts w:asciiTheme="majorBidi" w:hAnsiTheme="majorBidi" w:cstheme="majorBidi"/>
          <w:sz w:val="24"/>
          <w:szCs w:val="24"/>
        </w:rPr>
        <w:t>a dissatisfaction</w:t>
      </w:r>
      <w:proofErr w:type="gramEnd"/>
      <w:r w:rsidRPr="00505CF0">
        <w:rPr>
          <w:rFonts w:asciiTheme="majorBidi" w:hAnsiTheme="majorBidi" w:cstheme="majorBidi"/>
          <w:sz w:val="24"/>
          <w:szCs w:val="24"/>
        </w:rPr>
        <w:t xml:space="preserve"> about a present that is increasingly uninhabitable, and a desire for a future whose blueprint has yet to be drawn. New Romanticism expresses the transition from a place not yet left behind, to another space it has not yet entered, and probably never will. Ominous ruins as symbols for the cliffs of the past. </w:t>
      </w:r>
      <w:proofErr w:type="gramStart"/>
      <w:r w:rsidRPr="00505CF0">
        <w:rPr>
          <w:rFonts w:asciiTheme="majorBidi" w:hAnsiTheme="majorBidi" w:cstheme="majorBidi"/>
          <w:sz w:val="24"/>
          <w:szCs w:val="24"/>
        </w:rPr>
        <w:t>Mysterious sects in situ the shores of the future.</w:t>
      </w:r>
      <w:proofErr w:type="gramEnd"/>
      <w:r w:rsidRPr="00505CF0">
        <w:rPr>
          <w:rStyle w:val="FootnoteReference"/>
          <w:rFonts w:asciiTheme="majorBidi" w:hAnsiTheme="majorBidi" w:cstheme="majorBidi"/>
          <w:sz w:val="24"/>
          <w:szCs w:val="24"/>
        </w:rPr>
        <w:footnoteReference w:id="572"/>
      </w:r>
    </w:p>
    <w:p w14:paraId="16FB1504" w14:textId="77777777" w:rsidR="00C111D3" w:rsidRPr="00505CF0" w:rsidRDefault="00C111D3" w:rsidP="004C3EE0">
      <w:pPr>
        <w:ind w:right="737"/>
        <w:jc w:val="both"/>
        <w:rPr>
          <w:rFonts w:asciiTheme="majorBidi" w:hAnsiTheme="majorBidi" w:cstheme="majorBidi"/>
          <w:sz w:val="24"/>
          <w:szCs w:val="24"/>
        </w:rPr>
      </w:pPr>
    </w:p>
    <w:p w14:paraId="39620455" w14:textId="77777777" w:rsidR="00C111D3" w:rsidRPr="00505CF0" w:rsidRDefault="00C111D3" w:rsidP="004C3EE0">
      <w:pPr>
        <w:ind w:right="737"/>
        <w:jc w:val="both"/>
        <w:rPr>
          <w:rFonts w:asciiTheme="majorBidi" w:hAnsiTheme="majorBidi" w:cstheme="majorBidi"/>
          <w:sz w:val="24"/>
          <w:szCs w:val="24"/>
        </w:rPr>
      </w:pPr>
    </w:p>
    <w:p w14:paraId="004D0E78" w14:textId="16DDB23D"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New Romanticism, then, is a reaction to the dissatisfaction with the present that spurred the movement into the post-postmodern and which engendered the metamodern moment. The described displacement of the ‘cliffs,’ and ‘shores’ of the dissatisfied world with new ‘ominous ruins’ and ‘mysterious </w:t>
      </w:r>
      <w:proofErr w:type="gramStart"/>
      <w:r w:rsidRPr="00505CF0">
        <w:rPr>
          <w:rFonts w:asciiTheme="majorBidi" w:hAnsiTheme="majorBidi" w:cstheme="majorBidi"/>
          <w:sz w:val="24"/>
          <w:szCs w:val="24"/>
        </w:rPr>
        <w:t xml:space="preserve">sects,’ </w:t>
      </w:r>
      <w:r w:rsidR="00786CBE">
        <w:rPr>
          <w:rFonts w:asciiTheme="majorBidi" w:hAnsiTheme="majorBidi" w:cstheme="majorBidi"/>
          <w:sz w:val="24"/>
          <w:szCs w:val="24"/>
        </w:rPr>
        <w:t xml:space="preserve"> not</w:t>
      </w:r>
      <w:proofErr w:type="gramEnd"/>
      <w:r w:rsidR="00786CBE">
        <w:rPr>
          <w:rFonts w:asciiTheme="majorBidi" w:hAnsiTheme="majorBidi" w:cstheme="majorBidi"/>
          <w:sz w:val="24"/>
          <w:szCs w:val="24"/>
        </w:rPr>
        <w:t xml:space="preserve"> only aligning with and reinforcing our recognition of</w:t>
      </w:r>
      <w:r w:rsidRPr="00505CF0">
        <w:rPr>
          <w:rFonts w:asciiTheme="majorBidi" w:hAnsiTheme="majorBidi" w:cstheme="majorBidi"/>
          <w:sz w:val="24"/>
          <w:szCs w:val="24"/>
        </w:rPr>
        <w:t xml:space="preserve"> the Gothic sensibilities of our  times, but also bring</w:t>
      </w:r>
      <w:r w:rsidR="00786CBE">
        <w:rPr>
          <w:rFonts w:asciiTheme="majorBidi" w:hAnsiTheme="majorBidi" w:cstheme="majorBidi"/>
          <w:sz w:val="24"/>
          <w:szCs w:val="24"/>
        </w:rPr>
        <w:t>ing</w:t>
      </w:r>
      <w:r w:rsidRPr="00505CF0">
        <w:rPr>
          <w:rFonts w:asciiTheme="majorBidi" w:hAnsiTheme="majorBidi" w:cstheme="majorBidi"/>
          <w:sz w:val="24"/>
          <w:szCs w:val="24"/>
        </w:rPr>
        <w:t xml:space="preserve"> to mind the sublime landscapes of the Romantic period: those great cliff faces and storm-warped seas which inspired terror and awe in the small, insignificant man to observe them.  </w:t>
      </w:r>
    </w:p>
    <w:p w14:paraId="2730C00D" w14:textId="21A97729"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The sublime, another indelible tie between Romanticism and Gothicism, continues to find representation in twenty-first century Gothic literature, though departing from the traditional Kantian or Burkean conceptions in an effort to further express the dissatisfaction about the present that seems increasingly ecologically and psychologically uninhabitable. The cliffs of the past are long-eroded, the shores of the future acid-rimed from burning oceans</w:t>
      </w:r>
      <w:r w:rsidR="00786CBE">
        <w:rPr>
          <w:rFonts w:asciiTheme="majorBidi" w:hAnsiTheme="majorBidi" w:cstheme="majorBidi"/>
          <w:sz w:val="24"/>
          <w:szCs w:val="24"/>
        </w:rPr>
        <w:t>, where then can the sublime be located?</w:t>
      </w:r>
      <w:r w:rsidR="00AE6788">
        <w:rPr>
          <w:rStyle w:val="FootnoteReference"/>
          <w:rFonts w:asciiTheme="majorBidi" w:hAnsiTheme="majorBidi" w:cstheme="majorBidi"/>
          <w:sz w:val="24"/>
          <w:szCs w:val="24"/>
        </w:rPr>
        <w:footnoteReference w:id="573"/>
      </w:r>
      <w:r w:rsidRPr="00505CF0">
        <w:rPr>
          <w:rFonts w:asciiTheme="majorBidi" w:hAnsiTheme="majorBidi" w:cstheme="majorBidi"/>
          <w:sz w:val="24"/>
          <w:szCs w:val="24"/>
        </w:rPr>
        <w:t xml:space="preserve"> </w:t>
      </w:r>
    </w:p>
    <w:p w14:paraId="14447DE1" w14:textId="77777777" w:rsidR="00C111D3" w:rsidRPr="00505CF0" w:rsidRDefault="00C111D3" w:rsidP="004C3EE0">
      <w:pPr>
        <w:spacing w:line="480" w:lineRule="auto"/>
        <w:jc w:val="both"/>
        <w:rPr>
          <w:rFonts w:asciiTheme="majorBidi" w:hAnsiTheme="majorBidi" w:cstheme="majorBidi"/>
          <w:sz w:val="24"/>
          <w:szCs w:val="24"/>
        </w:rPr>
      </w:pPr>
    </w:p>
    <w:p w14:paraId="229DE9B8" w14:textId="77777777" w:rsidR="00C111D3" w:rsidRPr="00505CF0" w:rsidRDefault="00C111D3" w:rsidP="004C3EE0">
      <w:pPr>
        <w:spacing w:line="480" w:lineRule="auto"/>
        <w:jc w:val="both"/>
        <w:rPr>
          <w:rFonts w:asciiTheme="majorBidi" w:hAnsiTheme="majorBidi" w:cstheme="majorBidi"/>
          <w:sz w:val="24"/>
          <w:szCs w:val="24"/>
        </w:rPr>
      </w:pPr>
    </w:p>
    <w:p w14:paraId="1F1C0E8A" w14:textId="77777777" w:rsidR="00C111D3" w:rsidRPr="00FE7EAF" w:rsidRDefault="00C111D3" w:rsidP="004C3EE0">
      <w:pPr>
        <w:spacing w:line="480" w:lineRule="auto"/>
        <w:jc w:val="both"/>
        <w:rPr>
          <w:rFonts w:asciiTheme="majorBidi" w:hAnsiTheme="majorBidi" w:cstheme="majorBidi"/>
          <w:b/>
          <w:sz w:val="28"/>
          <w:szCs w:val="28"/>
        </w:rPr>
      </w:pPr>
      <w:r w:rsidRPr="00FE7EAF">
        <w:rPr>
          <w:rFonts w:asciiTheme="majorBidi" w:hAnsiTheme="majorBidi" w:cstheme="majorBidi"/>
          <w:b/>
          <w:sz w:val="28"/>
          <w:szCs w:val="28"/>
        </w:rPr>
        <w:t>3.2</w:t>
      </w:r>
      <w:r w:rsidRPr="007A26E2">
        <w:rPr>
          <w:rFonts w:asciiTheme="majorBidi" w:hAnsiTheme="majorBidi" w:cstheme="majorBidi"/>
          <w:b/>
          <w:sz w:val="28"/>
          <w:szCs w:val="28"/>
        </w:rPr>
        <w:tab/>
      </w:r>
      <w:r w:rsidRPr="00FE7EAF">
        <w:rPr>
          <w:rFonts w:asciiTheme="majorBidi" w:hAnsiTheme="majorBidi" w:cstheme="majorBidi"/>
          <w:b/>
          <w:sz w:val="28"/>
          <w:szCs w:val="28"/>
        </w:rPr>
        <w:t>Sublime Experimentation</w:t>
      </w:r>
    </w:p>
    <w:p w14:paraId="12667DAE" w14:textId="77777777" w:rsidR="00C111D3" w:rsidRPr="00505CF0" w:rsidRDefault="00C111D3" w:rsidP="004C3EE0">
      <w:pPr>
        <w:spacing w:line="480" w:lineRule="auto"/>
        <w:jc w:val="both"/>
        <w:rPr>
          <w:rFonts w:asciiTheme="majorBidi" w:hAnsiTheme="majorBidi" w:cstheme="majorBidi"/>
        </w:rPr>
      </w:pPr>
    </w:p>
    <w:p w14:paraId="00F042DF" w14:textId="7D4D25CD"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As part of the re-emergence of the Romantic (which is itself perhaps a reaction to the increasingly corporate, capitalist, and Sisyphean nature of contemporary Western life), metamodern Gothic too re-examines the Romantic notion of the sublime, though now moving beyond the traditional Burkean or Kantian definitions and reactions. In order to avoid a lengthy discussion of an historical notion covered in great detail by many critics, the philosophical notion of the sublime can be summarised as a reaction to a vast, incomprehensible stimuli (often the natural, the divine, or the terrifying) which challenges self-constructions within the witnessing subject in</w:t>
      </w:r>
      <w:r w:rsidR="00CC6DEF">
        <w:rPr>
          <w:rFonts w:asciiTheme="majorBidi" w:hAnsiTheme="majorBidi" w:cstheme="majorBidi"/>
          <w:sz w:val="24"/>
          <w:szCs w:val="24"/>
        </w:rPr>
        <w:t xml:space="preserve"> the</w:t>
      </w:r>
      <w:r w:rsidRPr="00505CF0">
        <w:rPr>
          <w:rFonts w:asciiTheme="majorBidi" w:hAnsiTheme="majorBidi" w:cstheme="majorBidi"/>
          <w:sz w:val="24"/>
          <w:szCs w:val="24"/>
        </w:rPr>
        <w:t xml:space="preserve"> two classical formulations mentioned previously: the Burkean and the Kantian.</w:t>
      </w:r>
      <w:r w:rsidRPr="00505CF0">
        <w:rPr>
          <w:rStyle w:val="FootnoteReference"/>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574"/>
      </w:r>
      <w:r w:rsidRPr="00505CF0">
        <w:rPr>
          <w:rFonts w:asciiTheme="majorBidi" w:hAnsiTheme="majorBidi" w:cstheme="majorBidi"/>
          <w:sz w:val="24"/>
          <w:szCs w:val="24"/>
        </w:rPr>
        <w:t xml:space="preserve"> The difference between these two distinctions is effectively summarised by Helen Dennis as follows:</w:t>
      </w:r>
    </w:p>
    <w:p w14:paraId="1C422381" w14:textId="77777777" w:rsidR="00C111D3" w:rsidRPr="00505CF0" w:rsidRDefault="00C111D3" w:rsidP="004C3EE0">
      <w:pPr>
        <w:ind w:left="737" w:right="737"/>
        <w:jc w:val="both"/>
        <w:rPr>
          <w:rFonts w:asciiTheme="majorBidi" w:hAnsiTheme="majorBidi" w:cstheme="majorBidi"/>
          <w:sz w:val="24"/>
          <w:szCs w:val="24"/>
        </w:rPr>
      </w:pPr>
    </w:p>
    <w:p w14:paraId="3058D213"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In Edmund Burke's account of the sublime the subject encounters the external cause of terror, the subjects' imagination “swells” and rises to meet it and feels a triumphant pleasure at having expanded the human facilities to join with it. In Kant, the sublime permits the imagination a merely futile attempt at this union before collapsing, and this failure produces not exaltation in the subject but obedient “Respect.” […] [After Burke] We cannot help but experience and perceive the sublime but the notion of the incomprehensible, the ungraspable, </w:t>
      </w:r>
      <w:proofErr w:type="gramStart"/>
      <w:r w:rsidRPr="00505CF0">
        <w:rPr>
          <w:rFonts w:asciiTheme="majorBidi" w:hAnsiTheme="majorBidi" w:cstheme="majorBidi"/>
          <w:sz w:val="24"/>
          <w:szCs w:val="24"/>
        </w:rPr>
        <w:t>the</w:t>
      </w:r>
      <w:proofErr w:type="gramEnd"/>
      <w:r w:rsidRPr="00505CF0">
        <w:rPr>
          <w:rFonts w:asciiTheme="majorBidi" w:hAnsiTheme="majorBidi" w:cstheme="majorBidi"/>
          <w:sz w:val="24"/>
          <w:szCs w:val="24"/>
        </w:rPr>
        <w:t xml:space="preserve"> infinitiudinal no longer shores up the human identity. Instead, it leads to yet more hyperbolic attempts to make the connection, to construct a metaphysical bridge over the abyss.</w:t>
      </w:r>
      <w:r w:rsidRPr="00505CF0">
        <w:rPr>
          <w:rStyle w:val="FootnoteReference"/>
          <w:rFonts w:asciiTheme="majorBidi" w:hAnsiTheme="majorBidi" w:cstheme="majorBidi"/>
          <w:sz w:val="24"/>
          <w:szCs w:val="24"/>
        </w:rPr>
        <w:footnoteReference w:id="575"/>
      </w:r>
    </w:p>
    <w:p w14:paraId="5A7FE972" w14:textId="77777777" w:rsidR="00C111D3" w:rsidRPr="00505CF0" w:rsidRDefault="00C111D3" w:rsidP="004C3EE0">
      <w:pPr>
        <w:spacing w:line="480" w:lineRule="auto"/>
        <w:jc w:val="both"/>
        <w:rPr>
          <w:rFonts w:asciiTheme="majorBidi" w:hAnsiTheme="majorBidi" w:cstheme="majorBidi"/>
          <w:sz w:val="24"/>
          <w:szCs w:val="24"/>
        </w:rPr>
      </w:pPr>
    </w:p>
    <w:p w14:paraId="782BA7FE"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In a classical example, then, the subject witnesses a storm at sea and has a sublime reaction, a feeling of both terror and awe. In the Burkean, the subject witnesses the terror and raw power of the natural and momentarily feels insignificant in the face of it, yet ends with a pleasurable growth of the self, having safely confronted the stimuli and through the application of reason and logic, understood it. In the Kantian, the subject witness the horrors of the crashing waves, the power of the natural chaos and, unable to reconcile the insignificant self with such sights, fails in accepting the ability to tame such forces with reason, instead left only with a respect for the stimuli and a sense of internal collapse.</w:t>
      </w:r>
      <w:r w:rsidRPr="00505CF0">
        <w:rPr>
          <w:rStyle w:val="FootnoteReference"/>
          <w:rFonts w:asciiTheme="majorBidi" w:hAnsiTheme="majorBidi" w:cstheme="majorBidi"/>
          <w:sz w:val="24"/>
          <w:szCs w:val="24"/>
        </w:rPr>
        <w:footnoteReference w:id="576"/>
      </w:r>
      <w:r w:rsidRPr="00505CF0">
        <w:rPr>
          <w:rFonts w:asciiTheme="majorBidi" w:hAnsiTheme="majorBidi" w:cstheme="majorBidi"/>
          <w:sz w:val="24"/>
          <w:szCs w:val="24"/>
        </w:rPr>
        <w:t xml:space="preserve"> A ship foundering at sea, a vast mountain range, an immense crashing waterfall, these are the classical sites of the Romantic sublime, where the subject is forced to consider the nature of the self in the face of the natural. Yet, as Vijay Mishra notes, the Gothic ‘tropes the sublime as the unthinkable, the unnameable, and the unspeakable:’</w:t>
      </w:r>
      <w:r w:rsidRPr="00505CF0">
        <w:rPr>
          <w:rStyle w:val="FootnoteReference"/>
          <w:rFonts w:asciiTheme="majorBidi" w:hAnsiTheme="majorBidi" w:cstheme="majorBidi"/>
          <w:sz w:val="24"/>
          <w:szCs w:val="24"/>
        </w:rPr>
        <w:footnoteReference w:id="577"/>
      </w:r>
    </w:p>
    <w:p w14:paraId="3DD8C13F" w14:textId="77777777" w:rsidR="00C111D3" w:rsidRPr="00505CF0" w:rsidRDefault="00C111D3" w:rsidP="004C3EE0">
      <w:pPr>
        <w:ind w:left="737" w:right="737"/>
        <w:jc w:val="both"/>
        <w:rPr>
          <w:rFonts w:asciiTheme="majorBidi" w:hAnsiTheme="majorBidi" w:cstheme="majorBidi"/>
          <w:sz w:val="24"/>
          <w:szCs w:val="24"/>
        </w:rPr>
      </w:pPr>
    </w:p>
    <w:p w14:paraId="3F7A5F09"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[The Gothic sublime] is not the vast oceans and tempests of Longinus or Kant, but the subterranean passages and the grotesque deformations contained in the dreamscapes of the Gothic imagination. The Gothic sublime is the sub, not as “up to” (as in </w:t>
      </w:r>
      <w:r w:rsidRPr="00505CF0">
        <w:rPr>
          <w:rFonts w:asciiTheme="majorBidi" w:hAnsiTheme="majorBidi" w:cstheme="majorBidi"/>
          <w:i/>
          <w:sz w:val="24"/>
          <w:szCs w:val="24"/>
        </w:rPr>
        <w:t>sub + limen</w:t>
      </w:r>
      <w:r w:rsidRPr="00505CF0">
        <w:rPr>
          <w:rFonts w:asciiTheme="majorBidi" w:hAnsiTheme="majorBidi" w:cstheme="majorBidi"/>
          <w:sz w:val="24"/>
          <w:szCs w:val="24"/>
        </w:rPr>
        <w:t xml:space="preserve">, the Latin etymology of the sublime), but rather as the </w:t>
      </w:r>
      <w:r w:rsidRPr="00505CF0">
        <w:rPr>
          <w:rFonts w:asciiTheme="majorBidi" w:hAnsiTheme="majorBidi" w:cstheme="majorBidi"/>
          <w:i/>
          <w:sz w:val="24"/>
          <w:szCs w:val="24"/>
        </w:rPr>
        <w:t>below</w:t>
      </w:r>
      <w:r w:rsidRPr="00505CF0">
        <w:rPr>
          <w:rFonts w:asciiTheme="majorBidi" w:hAnsiTheme="majorBidi" w:cstheme="majorBidi"/>
          <w:sz w:val="24"/>
          <w:szCs w:val="24"/>
        </w:rPr>
        <w:t xml:space="preserve">, the underneath, of the </w:t>
      </w:r>
      <w:r w:rsidRPr="00505CF0">
        <w:rPr>
          <w:rFonts w:asciiTheme="majorBidi" w:hAnsiTheme="majorBidi" w:cstheme="majorBidi"/>
          <w:i/>
          <w:sz w:val="24"/>
          <w:szCs w:val="24"/>
        </w:rPr>
        <w:t>limen</w:t>
      </w:r>
      <w:r w:rsidRPr="00505CF0">
        <w:rPr>
          <w:rFonts w:asciiTheme="majorBidi" w:hAnsiTheme="majorBidi" w:cstheme="majorBidi"/>
          <w:sz w:val="24"/>
          <w:szCs w:val="24"/>
        </w:rPr>
        <w:t>, of the limit of one’s perception.</w:t>
      </w:r>
      <w:r w:rsidRPr="00505CF0">
        <w:rPr>
          <w:rStyle w:val="FootnoteReference"/>
          <w:rFonts w:asciiTheme="majorBidi" w:hAnsiTheme="majorBidi" w:cstheme="majorBidi"/>
          <w:sz w:val="24"/>
          <w:szCs w:val="24"/>
        </w:rPr>
        <w:footnoteReference w:id="578"/>
      </w:r>
    </w:p>
    <w:p w14:paraId="549CAB3E" w14:textId="77777777" w:rsidR="00C111D3" w:rsidRPr="00505CF0" w:rsidRDefault="00C111D3" w:rsidP="004C3EE0">
      <w:pPr>
        <w:spacing w:line="480" w:lineRule="auto"/>
        <w:jc w:val="both"/>
        <w:rPr>
          <w:rFonts w:asciiTheme="majorBidi" w:hAnsiTheme="majorBidi" w:cstheme="majorBidi"/>
          <w:sz w:val="24"/>
          <w:szCs w:val="24"/>
        </w:rPr>
      </w:pPr>
    </w:p>
    <w:p w14:paraId="19625499" w14:textId="6530A691"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Mishra’s description here foregrounds the use of the sublime in exploration of the self through engaging with that haunted attic (or perhaps cellar) of the Gothic, the unconscious. The sublime enables the self to be stripped back to expose the raw nerve of the unconscious self laid bare that the self may either swell or fail in the recognition, a ‘preoccupation’ ‘retained’ by the Gothic as it evolved, according to Maria Beville, into postmodernist forms that flaunted such issues of truth and subjectivity.</w:t>
      </w:r>
      <w:r w:rsidRPr="00505CF0">
        <w:rPr>
          <w:rStyle w:val="FootnoteReference"/>
          <w:rFonts w:asciiTheme="majorBidi" w:hAnsiTheme="majorBidi" w:cstheme="majorBidi"/>
          <w:sz w:val="24"/>
          <w:szCs w:val="24"/>
        </w:rPr>
        <w:footnoteReference w:id="579"/>
      </w:r>
      <w:r w:rsidRPr="00505CF0">
        <w:rPr>
          <w:rFonts w:asciiTheme="majorBidi" w:hAnsiTheme="majorBidi" w:cstheme="majorBidi"/>
          <w:sz w:val="24"/>
          <w:szCs w:val="24"/>
        </w:rPr>
        <w:t xml:space="preserve"> Metamodern Gothic continues the long history of the Gothic sublime, though increasingly using it to attempt to move beyond notions of postmodern paradigms and  explore potential alternatives to those sites of the sublime no longer able to elicit such an emotional response within the subject.</w:t>
      </w:r>
      <w:r w:rsidRPr="00505CF0">
        <w:rPr>
          <w:rStyle w:val="FootnoteReference"/>
          <w:rFonts w:asciiTheme="majorBidi" w:hAnsiTheme="majorBidi" w:cstheme="majorBidi"/>
          <w:sz w:val="24"/>
          <w:szCs w:val="24"/>
        </w:rPr>
        <w:footnoteReference w:id="580"/>
      </w:r>
      <w:r w:rsidRPr="00505CF0">
        <w:rPr>
          <w:rFonts w:asciiTheme="majorBidi" w:hAnsiTheme="majorBidi" w:cstheme="majorBidi"/>
          <w:sz w:val="24"/>
          <w:szCs w:val="24"/>
        </w:rPr>
        <w:t xml:space="preserve"> </w:t>
      </w:r>
      <w:r w:rsidR="00CC6DEF">
        <w:rPr>
          <w:rFonts w:asciiTheme="majorBidi" w:hAnsiTheme="majorBidi" w:cstheme="majorBidi"/>
          <w:sz w:val="24"/>
          <w:szCs w:val="24"/>
        </w:rPr>
        <w:t>One</w:t>
      </w:r>
      <w:r w:rsidRPr="00505CF0">
        <w:rPr>
          <w:rFonts w:asciiTheme="majorBidi" w:hAnsiTheme="majorBidi" w:cstheme="majorBidi"/>
          <w:sz w:val="24"/>
          <w:szCs w:val="24"/>
        </w:rPr>
        <w:t xml:space="preserve"> such text that explores the sublime as a site of bleached emotional charge is </w:t>
      </w:r>
      <w:r w:rsidRPr="00505CF0">
        <w:rPr>
          <w:rFonts w:asciiTheme="majorBidi" w:hAnsiTheme="majorBidi" w:cstheme="majorBidi"/>
          <w:i/>
          <w:sz w:val="24"/>
          <w:szCs w:val="24"/>
        </w:rPr>
        <w:t>Lunar Park</w:t>
      </w:r>
      <w:r w:rsidRPr="00505CF0">
        <w:rPr>
          <w:rFonts w:asciiTheme="majorBidi" w:hAnsiTheme="majorBidi" w:cstheme="majorBidi"/>
          <w:sz w:val="24"/>
          <w:szCs w:val="24"/>
        </w:rPr>
        <w:t>.</w:t>
      </w:r>
    </w:p>
    <w:p w14:paraId="6C543AB6" w14:textId="1672E65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iCs/>
          <w:sz w:val="24"/>
          <w:szCs w:val="24"/>
        </w:rPr>
        <w:t xml:space="preserve">Bret Easton Ellis’s </w:t>
      </w:r>
      <w:r w:rsidRPr="00505CF0">
        <w:rPr>
          <w:rFonts w:asciiTheme="majorBidi" w:hAnsiTheme="majorBidi" w:cstheme="majorBidi"/>
          <w:i/>
          <w:iCs/>
          <w:sz w:val="24"/>
          <w:szCs w:val="24"/>
        </w:rPr>
        <w:t xml:space="preserve">Lunar Park, </w:t>
      </w:r>
      <w:r w:rsidRPr="00505CF0">
        <w:rPr>
          <w:rFonts w:asciiTheme="majorBidi" w:hAnsiTheme="majorBidi" w:cstheme="majorBidi"/>
          <w:iCs/>
          <w:sz w:val="24"/>
          <w:szCs w:val="24"/>
        </w:rPr>
        <w:t>while appearing as a text exhibiting a decidedly postmodern pastiche of autobiography,</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 xml:space="preserve">uses the sublime in order to critique just such postmodern practices. The story follows that of Bret Easton Ellis, a successful novelist, and his family life as he becomes haunted by the ghost of his father, the enigmatic doppelganger figure of Patrick Bateman, and </w:t>
      </w:r>
      <w:r w:rsidR="002D7599">
        <w:rPr>
          <w:rFonts w:asciiTheme="majorBidi" w:hAnsiTheme="majorBidi" w:cstheme="majorBidi"/>
          <w:sz w:val="24"/>
          <w:szCs w:val="24"/>
        </w:rPr>
        <w:t>a</w:t>
      </w:r>
      <w:r w:rsidRPr="00505CF0">
        <w:rPr>
          <w:rFonts w:asciiTheme="majorBidi" w:hAnsiTheme="majorBidi" w:cstheme="majorBidi"/>
          <w:sz w:val="24"/>
          <w:szCs w:val="24"/>
        </w:rPr>
        <w:t xml:space="preserve">n apparent demonic possession of his daughter’s pseudo-furby. </w:t>
      </w:r>
    </w:p>
    <w:p w14:paraId="765D3CBE" w14:textId="6A27ED6F"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The sublime first manifests as something demonic, or at the very least evil-seeming, appear</w:t>
      </w:r>
      <w:r w:rsidR="004758FA">
        <w:rPr>
          <w:rFonts w:asciiTheme="majorBidi" w:hAnsiTheme="majorBidi" w:cstheme="majorBidi"/>
          <w:sz w:val="24"/>
          <w:szCs w:val="24"/>
        </w:rPr>
        <w:t>ing</w:t>
      </w:r>
      <w:r w:rsidRPr="00505CF0">
        <w:rPr>
          <w:rFonts w:asciiTheme="majorBidi" w:hAnsiTheme="majorBidi" w:cstheme="majorBidi"/>
          <w:sz w:val="24"/>
          <w:szCs w:val="24"/>
        </w:rPr>
        <w:t xml:space="preserve"> to Bret in his back garden</w:t>
      </w:r>
      <w:r w:rsidR="004758FA">
        <w:rPr>
          <w:rFonts w:asciiTheme="majorBidi" w:hAnsiTheme="majorBidi" w:cstheme="majorBidi"/>
          <w:sz w:val="24"/>
          <w:szCs w:val="24"/>
        </w:rPr>
        <w:t xml:space="preserve"> during a house party</w:t>
      </w:r>
      <w:r w:rsidRPr="00505CF0">
        <w:rPr>
          <w:rFonts w:asciiTheme="majorBidi" w:hAnsiTheme="majorBidi" w:cstheme="majorBidi"/>
          <w:sz w:val="24"/>
          <w:szCs w:val="24"/>
        </w:rPr>
        <w:t>. Reflective of Lyotard’s thoughts on the postmodern sublime as that moment in which the subject’s ‘imagination fails to present an object which might, if only in principle, come to match a concept,’</w:t>
      </w:r>
      <w:r w:rsidRPr="00505CF0">
        <w:rPr>
          <w:rStyle w:val="FootnoteReference"/>
          <w:rFonts w:asciiTheme="majorBidi" w:hAnsiTheme="majorBidi" w:cstheme="majorBidi"/>
          <w:sz w:val="24"/>
          <w:szCs w:val="24"/>
        </w:rPr>
        <w:footnoteReference w:id="581"/>
      </w:r>
      <w:r w:rsidRPr="00505CF0">
        <w:rPr>
          <w:rFonts w:asciiTheme="majorBidi" w:hAnsiTheme="majorBidi" w:cstheme="majorBidi"/>
          <w:sz w:val="24"/>
          <w:szCs w:val="24"/>
        </w:rPr>
        <w:t xml:space="preserve"> Bret attempts to witness an emerging evil which has come to hound him, and </w:t>
      </w:r>
      <w:r w:rsidR="004758FA">
        <w:rPr>
          <w:rFonts w:asciiTheme="majorBidi" w:hAnsiTheme="majorBidi" w:cstheme="majorBidi"/>
          <w:sz w:val="24"/>
          <w:szCs w:val="24"/>
        </w:rPr>
        <w:t xml:space="preserve">subsequently </w:t>
      </w:r>
      <w:r w:rsidRPr="00505CF0">
        <w:rPr>
          <w:rFonts w:asciiTheme="majorBidi" w:hAnsiTheme="majorBidi" w:cstheme="majorBidi"/>
          <w:sz w:val="24"/>
          <w:szCs w:val="24"/>
        </w:rPr>
        <w:t>fail</w:t>
      </w:r>
      <w:r w:rsidR="004758FA">
        <w:rPr>
          <w:rFonts w:asciiTheme="majorBidi" w:hAnsiTheme="majorBidi" w:cstheme="majorBidi"/>
          <w:sz w:val="24"/>
          <w:szCs w:val="24"/>
        </w:rPr>
        <w:t>s</w:t>
      </w:r>
      <w:r w:rsidRPr="00505CF0">
        <w:rPr>
          <w:rFonts w:asciiTheme="majorBidi" w:hAnsiTheme="majorBidi" w:cstheme="majorBidi"/>
          <w:sz w:val="24"/>
          <w:szCs w:val="24"/>
        </w:rPr>
        <w:t xml:space="preserve"> in his attempt</w:t>
      </w:r>
      <w:r w:rsidR="004758FA">
        <w:rPr>
          <w:rFonts w:asciiTheme="majorBidi" w:hAnsiTheme="majorBidi" w:cstheme="majorBidi"/>
          <w:sz w:val="24"/>
          <w:szCs w:val="24"/>
        </w:rPr>
        <w:t xml:space="preserve"> to</w:t>
      </w:r>
      <w:r w:rsidRPr="00505CF0">
        <w:rPr>
          <w:rFonts w:asciiTheme="majorBidi" w:hAnsiTheme="majorBidi" w:cstheme="majorBidi"/>
          <w:sz w:val="24"/>
          <w:szCs w:val="24"/>
        </w:rPr>
        <w:t xml:space="preserve"> represent</w:t>
      </w:r>
      <w:r w:rsidR="004758FA">
        <w:rPr>
          <w:rFonts w:asciiTheme="majorBidi" w:hAnsiTheme="majorBidi" w:cstheme="majorBidi"/>
          <w:sz w:val="24"/>
          <w:szCs w:val="24"/>
        </w:rPr>
        <w:t xml:space="preserve"> what he witnesses rationally</w:t>
      </w:r>
      <w:r w:rsidRPr="00505CF0">
        <w:rPr>
          <w:rFonts w:asciiTheme="majorBidi" w:hAnsiTheme="majorBidi" w:cstheme="majorBidi"/>
          <w:sz w:val="24"/>
          <w:szCs w:val="24"/>
        </w:rPr>
        <w:t>. His interpretation fractures into several Gothic</w:t>
      </w:r>
      <w:r w:rsidR="004758FA">
        <w:rPr>
          <w:rFonts w:asciiTheme="majorBidi" w:hAnsiTheme="majorBidi" w:cstheme="majorBidi"/>
          <w:sz w:val="24"/>
          <w:szCs w:val="24"/>
        </w:rPr>
        <w:t>,</w:t>
      </w:r>
      <w:r w:rsidRPr="00505CF0">
        <w:rPr>
          <w:rFonts w:asciiTheme="majorBidi" w:hAnsiTheme="majorBidi" w:cstheme="majorBidi"/>
          <w:sz w:val="24"/>
          <w:szCs w:val="24"/>
        </w:rPr>
        <w:t xml:space="preserve"> or horror</w:t>
      </w:r>
      <w:r w:rsidR="004758FA">
        <w:rPr>
          <w:rFonts w:asciiTheme="majorBidi" w:hAnsiTheme="majorBidi" w:cstheme="majorBidi"/>
          <w:sz w:val="24"/>
          <w:szCs w:val="24"/>
        </w:rPr>
        <w:t>,</w:t>
      </w:r>
      <w:r w:rsidRPr="00505CF0">
        <w:rPr>
          <w:rFonts w:asciiTheme="majorBidi" w:hAnsiTheme="majorBidi" w:cstheme="majorBidi"/>
          <w:sz w:val="24"/>
          <w:szCs w:val="24"/>
        </w:rPr>
        <w:t xml:space="preserve"> images in quick succession before settling on the indescribable: he witnesses a ‘shape’ that moves in a ‘spiderlike’ fashion, which ‘lurches ‘grotesquely’ after the dog, before a figure appears from the woods which flees across the field ‘grasping what appeared to be a pitchfork,’ and is accompanied by the sounds of locusts, the emergence of a headstone, large animal shapes and seemingly malevolent-minded wind.</w:t>
      </w:r>
      <w:r w:rsidRPr="00505CF0">
        <w:rPr>
          <w:rStyle w:val="FootnoteReference"/>
          <w:rFonts w:asciiTheme="majorBidi" w:hAnsiTheme="majorBidi" w:cstheme="majorBidi"/>
          <w:sz w:val="24"/>
          <w:szCs w:val="24"/>
        </w:rPr>
        <w:footnoteReference w:id="582"/>
      </w:r>
      <w:r w:rsidRPr="00505CF0">
        <w:rPr>
          <w:rFonts w:asciiTheme="majorBidi" w:hAnsiTheme="majorBidi" w:cstheme="majorBidi"/>
          <w:sz w:val="24"/>
          <w:szCs w:val="24"/>
        </w:rPr>
        <w:t xml:space="preserve"> Bret, on first attempting to see these horrors in the woods, is unable to comprehend or represent what he is witnessing and falls into this series of fragmented images, absurdist in their reliance on Gothic cliché. His sublime reaction is thus a postmodern reaction as he falls back on repeated representations of terror that are, by this stage in the development of Gothic narratives, bleached of emotional resonance and seemingly hollow. The pitch-forked beast, here an ironic and outmoded signifier for the devil, comes to represent the major thematic concern of the text, namely that in relying on almost pop-culture depictions of horror, one drains it of impact and fails in representation; the purely postmodern can no longer aid us in our understanding of those stimuli which would effect a sublime reaction. Ellis here showcases the failures of the postmodern tradition, too foregrounding the type of tradition which Ellis’s son, Robby, seeks so desperately to escape from and which Ellis himself wishes transcendence from for Robby.</w:t>
      </w:r>
      <w:r w:rsidRPr="00505CF0">
        <w:rPr>
          <w:rStyle w:val="FootnoteReference"/>
          <w:rFonts w:asciiTheme="majorBidi" w:hAnsiTheme="majorBidi" w:cstheme="majorBidi"/>
          <w:sz w:val="24"/>
          <w:szCs w:val="24"/>
        </w:rPr>
        <w:footnoteReference w:id="583"/>
      </w:r>
    </w:p>
    <w:p w14:paraId="71F04320" w14:textId="05775BA8"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Beville states that the current ‘fascination with the Gothic is entirely narcissistic. It is to do with explorations of self and reality and the terror of the end, with issues that we cannot know or directly represent,’</w:t>
      </w:r>
      <w:r w:rsidRPr="00505CF0">
        <w:rPr>
          <w:rStyle w:val="FootnoteReference"/>
          <w:rFonts w:asciiTheme="majorBidi" w:hAnsiTheme="majorBidi" w:cstheme="majorBidi"/>
          <w:sz w:val="24"/>
          <w:szCs w:val="24"/>
        </w:rPr>
        <w:footnoteReference w:id="584"/>
      </w:r>
      <w:r w:rsidRPr="00505CF0">
        <w:rPr>
          <w:rFonts w:asciiTheme="majorBidi" w:hAnsiTheme="majorBidi" w:cstheme="majorBidi"/>
          <w:sz w:val="24"/>
          <w:szCs w:val="24"/>
        </w:rPr>
        <w:t xml:space="preserve"> an argument </w:t>
      </w:r>
      <w:r w:rsidRPr="00505CF0">
        <w:rPr>
          <w:rFonts w:asciiTheme="majorBidi" w:hAnsiTheme="majorBidi" w:cstheme="majorBidi"/>
          <w:i/>
          <w:iCs/>
          <w:sz w:val="24"/>
          <w:szCs w:val="24"/>
        </w:rPr>
        <w:t xml:space="preserve">Lunar Park </w:t>
      </w:r>
      <w:r w:rsidRPr="00505CF0">
        <w:rPr>
          <w:rFonts w:asciiTheme="majorBidi" w:hAnsiTheme="majorBidi" w:cstheme="majorBidi"/>
          <w:sz w:val="24"/>
          <w:szCs w:val="24"/>
        </w:rPr>
        <w:t>manifests in its representation of the sublime in the form of Bret’s sublime narcissism. Traditionally, the sublime constructs an unnameable dread, a blockage that threatens subjectivity itself, and Bret’s narcissistic tendencies come to epitomise this blockage in the text, through which subjectivity finds threat.</w:t>
      </w:r>
      <w:r w:rsidRPr="00505CF0">
        <w:rPr>
          <w:rStyle w:val="FootnoteReference"/>
          <w:rFonts w:asciiTheme="majorBidi" w:hAnsiTheme="majorBidi" w:cstheme="majorBidi"/>
          <w:sz w:val="24"/>
          <w:szCs w:val="24"/>
        </w:rPr>
        <w:footnoteReference w:id="585"/>
      </w:r>
      <w:r w:rsidRPr="00505CF0">
        <w:rPr>
          <w:rFonts w:asciiTheme="majorBidi" w:hAnsiTheme="majorBidi" w:cstheme="majorBidi"/>
          <w:sz w:val="24"/>
          <w:szCs w:val="24"/>
        </w:rPr>
        <w:t xml:space="preserve"> Bret’s narcissism is an internalized sublime; the dread is the loss of his subjectivity, his ego is the blockage that inspires terror and awe. Bret’s focus within the text remains purely on the maintenance of his self, whether lying about his relapse into substance abuse,</w:t>
      </w:r>
      <w:r w:rsidRPr="00505CF0">
        <w:rPr>
          <w:rStyle w:val="FootnoteReference"/>
          <w:rFonts w:asciiTheme="majorBidi" w:hAnsiTheme="majorBidi" w:cstheme="majorBidi"/>
          <w:sz w:val="24"/>
          <w:szCs w:val="24"/>
        </w:rPr>
        <w:footnoteReference w:id="586"/>
      </w:r>
      <w:r w:rsidRPr="00505CF0">
        <w:rPr>
          <w:rFonts w:asciiTheme="majorBidi" w:hAnsiTheme="majorBidi" w:cstheme="majorBidi"/>
          <w:sz w:val="24"/>
          <w:szCs w:val="24"/>
        </w:rPr>
        <w:t xml:space="preserve"> visiting a psychiatrist to get help with regards to rekindling a relationship with Robby and never speaking of him once during the session,</w:t>
      </w:r>
      <w:r w:rsidRPr="00505CF0">
        <w:rPr>
          <w:rStyle w:val="FootnoteReference"/>
          <w:rFonts w:asciiTheme="majorBidi" w:hAnsiTheme="majorBidi" w:cstheme="majorBidi"/>
          <w:sz w:val="24"/>
          <w:szCs w:val="24"/>
        </w:rPr>
        <w:footnoteReference w:id="587"/>
      </w:r>
      <w:r w:rsidRPr="00505CF0">
        <w:rPr>
          <w:rFonts w:asciiTheme="majorBidi" w:hAnsiTheme="majorBidi" w:cstheme="majorBidi"/>
          <w:sz w:val="24"/>
          <w:szCs w:val="24"/>
        </w:rPr>
        <w:t xml:space="preserve"> or his own belief that he is the centre of the haunting, not his family. These instances serve to establish Bret not only as the focus of the text, but as the subject around which all things revolve. His narcissism, in focusing the story only on his own life and issues, creates an environment which overrides the text, his sense of self becoming a sacred ideal not to be changed or tampered with. Any subsequent threat to that sense of self, such as the Patrick Bateman </w:t>
      </w:r>
      <w:proofErr w:type="gramStart"/>
      <w:r w:rsidRPr="00505CF0">
        <w:rPr>
          <w:rFonts w:asciiTheme="majorBidi" w:hAnsiTheme="majorBidi" w:cstheme="majorBidi"/>
          <w:sz w:val="24"/>
          <w:szCs w:val="24"/>
        </w:rPr>
        <w:t>doppelganger  that</w:t>
      </w:r>
      <w:proofErr w:type="gramEnd"/>
      <w:r w:rsidRPr="00505CF0">
        <w:rPr>
          <w:rFonts w:asciiTheme="majorBidi" w:hAnsiTheme="majorBidi" w:cstheme="majorBidi"/>
          <w:sz w:val="24"/>
          <w:szCs w:val="24"/>
        </w:rPr>
        <w:t xml:space="preserve"> appears, the past sins of his life coming back to haunt him in the transformations of the house, or the warnings from his Father, produces a sublime effect</w:t>
      </w:r>
      <w:r w:rsidR="004758FA">
        <w:rPr>
          <w:rFonts w:asciiTheme="majorBidi" w:hAnsiTheme="majorBidi" w:cstheme="majorBidi"/>
          <w:sz w:val="24"/>
          <w:szCs w:val="24"/>
        </w:rPr>
        <w:t>.</w:t>
      </w:r>
      <w:r w:rsidRPr="00505CF0">
        <w:rPr>
          <w:rFonts w:asciiTheme="majorBidi" w:hAnsiTheme="majorBidi" w:cstheme="majorBidi"/>
          <w:sz w:val="24"/>
          <w:szCs w:val="24"/>
        </w:rPr>
        <w:t xml:space="preserve"> </w:t>
      </w:r>
      <w:r w:rsidR="004758FA">
        <w:rPr>
          <w:rFonts w:asciiTheme="majorBidi" w:hAnsiTheme="majorBidi" w:cstheme="majorBidi"/>
          <w:sz w:val="24"/>
          <w:szCs w:val="24"/>
        </w:rPr>
        <w:t>T</w:t>
      </w:r>
      <w:r w:rsidRPr="00505CF0">
        <w:rPr>
          <w:rFonts w:asciiTheme="majorBidi" w:hAnsiTheme="majorBidi" w:cstheme="majorBidi"/>
          <w:sz w:val="24"/>
          <w:szCs w:val="24"/>
        </w:rPr>
        <w:t>hey create a simultaneous terror and awe within Bret, forcing moments that demand he expand his mind and self</w:t>
      </w:r>
      <w:r w:rsidR="004758FA">
        <w:rPr>
          <w:rFonts w:asciiTheme="majorBidi" w:hAnsiTheme="majorBidi" w:cstheme="majorBidi"/>
          <w:sz w:val="24"/>
          <w:szCs w:val="24"/>
        </w:rPr>
        <w:t>, only</w:t>
      </w:r>
      <w:r w:rsidRPr="00505CF0">
        <w:rPr>
          <w:rFonts w:asciiTheme="majorBidi" w:hAnsiTheme="majorBidi" w:cstheme="majorBidi"/>
          <w:sz w:val="24"/>
          <w:szCs w:val="24"/>
        </w:rPr>
        <w:t xml:space="preserve"> to be forcefully rejected in favour of his preservation of the original self to such an extent that he ‘rewrites’ segments of his life which challenge his self-conception:</w:t>
      </w:r>
    </w:p>
    <w:p w14:paraId="294C1771" w14:textId="77777777" w:rsidR="00C111D3" w:rsidRPr="00505CF0" w:rsidRDefault="00C111D3" w:rsidP="004C3EE0">
      <w:pPr>
        <w:ind w:leftChars="737" w:left="1621" w:right="737" w:firstLine="720"/>
        <w:jc w:val="both"/>
        <w:rPr>
          <w:rFonts w:asciiTheme="majorBidi" w:hAnsiTheme="majorBidi" w:cstheme="majorBidi"/>
          <w:sz w:val="24"/>
          <w:szCs w:val="24"/>
        </w:rPr>
      </w:pPr>
    </w:p>
    <w:p w14:paraId="672C046B"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I convinced myself I hadn’t seen [his dead father’s car]. I had done this many times before […] and I was adept at erasing reality. As a writer, it was easy for me to dream up the more viable scenario than the one that had actually played out […] I began realizing a new [series of events] with different scenes and a happier ending that didn’t leave me shivering in the guest room, alone and afraid.</w:t>
      </w:r>
      <w:r w:rsidRPr="00505CF0">
        <w:rPr>
          <w:rStyle w:val="FootnoteReference"/>
          <w:rFonts w:asciiTheme="majorBidi" w:hAnsiTheme="majorBidi" w:cstheme="majorBidi"/>
          <w:sz w:val="24"/>
          <w:szCs w:val="24"/>
        </w:rPr>
        <w:footnoteReference w:id="588"/>
      </w:r>
      <w:r w:rsidRPr="00505CF0">
        <w:rPr>
          <w:rFonts w:asciiTheme="majorBidi" w:hAnsiTheme="majorBidi" w:cstheme="majorBidi"/>
          <w:sz w:val="24"/>
          <w:szCs w:val="24"/>
        </w:rPr>
        <w:t xml:space="preserve"> </w:t>
      </w:r>
    </w:p>
    <w:p w14:paraId="1EB269D2" w14:textId="77777777" w:rsidR="00C111D3" w:rsidRPr="00505CF0" w:rsidRDefault="00C111D3" w:rsidP="004C3EE0">
      <w:pPr>
        <w:spacing w:line="480" w:lineRule="auto"/>
        <w:ind w:firstLine="720"/>
        <w:jc w:val="both"/>
        <w:rPr>
          <w:rFonts w:asciiTheme="majorBidi" w:hAnsiTheme="majorBidi" w:cstheme="majorBidi"/>
          <w:sz w:val="24"/>
          <w:szCs w:val="24"/>
        </w:rPr>
      </w:pPr>
    </w:p>
    <w:p w14:paraId="3D9254D0" w14:textId="20AE3BF8"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In denying the events around him that may challenge his conceptions of reality, Bret is never able to achieve that moment of sublime self-expansion, leading each threat to become a constant experience of the negative sublime. The self is threatened and terror is created before Bret attempt</w:t>
      </w:r>
      <w:r w:rsidR="004758FA">
        <w:rPr>
          <w:rFonts w:asciiTheme="majorBidi" w:hAnsiTheme="majorBidi" w:cstheme="majorBidi"/>
          <w:sz w:val="24"/>
          <w:szCs w:val="24"/>
        </w:rPr>
        <w:t>s</w:t>
      </w:r>
      <w:r w:rsidRPr="00505CF0">
        <w:rPr>
          <w:rFonts w:asciiTheme="majorBidi" w:hAnsiTheme="majorBidi" w:cstheme="majorBidi"/>
          <w:sz w:val="24"/>
          <w:szCs w:val="24"/>
        </w:rPr>
        <w:t xml:space="preserve"> to comprehend that he must somehow change and his sense of self must adapt, </w:t>
      </w:r>
      <w:proofErr w:type="gramStart"/>
      <w:r w:rsidR="004758FA">
        <w:rPr>
          <w:rFonts w:asciiTheme="majorBidi" w:hAnsiTheme="majorBidi" w:cstheme="majorBidi"/>
          <w:sz w:val="24"/>
          <w:szCs w:val="24"/>
        </w:rPr>
        <w:t xml:space="preserve">yet </w:t>
      </w:r>
      <w:r w:rsidRPr="00505CF0">
        <w:rPr>
          <w:rFonts w:asciiTheme="majorBidi" w:hAnsiTheme="majorBidi" w:cstheme="majorBidi"/>
          <w:sz w:val="24"/>
          <w:szCs w:val="24"/>
        </w:rPr>
        <w:t xml:space="preserve"> he</w:t>
      </w:r>
      <w:proofErr w:type="gramEnd"/>
      <w:r w:rsidRPr="00505CF0">
        <w:rPr>
          <w:rFonts w:asciiTheme="majorBidi" w:hAnsiTheme="majorBidi" w:cstheme="majorBidi"/>
          <w:sz w:val="24"/>
          <w:szCs w:val="24"/>
        </w:rPr>
        <w:t xml:space="preserve"> frequently fails </w:t>
      </w:r>
      <w:r w:rsidR="004758FA">
        <w:rPr>
          <w:rFonts w:asciiTheme="majorBidi" w:hAnsiTheme="majorBidi" w:cstheme="majorBidi"/>
          <w:sz w:val="24"/>
          <w:szCs w:val="24"/>
        </w:rPr>
        <w:t>in this task</w:t>
      </w:r>
      <w:r w:rsidRPr="00505CF0">
        <w:rPr>
          <w:rFonts w:asciiTheme="majorBidi" w:hAnsiTheme="majorBidi" w:cstheme="majorBidi"/>
          <w:sz w:val="24"/>
          <w:szCs w:val="24"/>
        </w:rPr>
        <w:t xml:space="preserve"> </w:t>
      </w:r>
      <w:r w:rsidR="004758FA">
        <w:rPr>
          <w:rFonts w:asciiTheme="majorBidi" w:hAnsiTheme="majorBidi" w:cstheme="majorBidi"/>
          <w:sz w:val="24"/>
          <w:szCs w:val="24"/>
        </w:rPr>
        <w:t xml:space="preserve">instead </w:t>
      </w:r>
      <w:r w:rsidRPr="00505CF0">
        <w:rPr>
          <w:rFonts w:asciiTheme="majorBidi" w:hAnsiTheme="majorBidi" w:cstheme="majorBidi"/>
          <w:sz w:val="24"/>
          <w:szCs w:val="24"/>
        </w:rPr>
        <w:t>laps</w:t>
      </w:r>
      <w:r w:rsidR="004758FA">
        <w:rPr>
          <w:rFonts w:asciiTheme="majorBidi" w:hAnsiTheme="majorBidi" w:cstheme="majorBidi"/>
          <w:sz w:val="24"/>
          <w:szCs w:val="24"/>
        </w:rPr>
        <w:t>ing</w:t>
      </w:r>
      <w:r w:rsidRPr="00505CF0">
        <w:rPr>
          <w:rFonts w:asciiTheme="majorBidi" w:hAnsiTheme="majorBidi" w:cstheme="majorBidi"/>
          <w:sz w:val="24"/>
          <w:szCs w:val="24"/>
        </w:rPr>
        <w:t xml:space="preserve"> into postmodern irony and a fragmented series of failed images.</w:t>
      </w:r>
      <w:r w:rsidR="00701E5C">
        <w:rPr>
          <w:rStyle w:val="FootnoteReference"/>
          <w:rFonts w:asciiTheme="majorBidi" w:hAnsiTheme="majorBidi" w:cstheme="majorBidi"/>
          <w:sz w:val="24"/>
          <w:szCs w:val="24"/>
        </w:rPr>
        <w:footnoteReference w:id="589"/>
      </w:r>
      <w:r w:rsidR="004758FA">
        <w:rPr>
          <w:rFonts w:asciiTheme="majorBidi" w:hAnsiTheme="majorBidi" w:cstheme="majorBidi"/>
          <w:sz w:val="24"/>
          <w:szCs w:val="24"/>
        </w:rPr>
        <w:t xml:space="preserve"> The techniques of the postmodern are a comfortable safe-space into which Bret retreats when his subjectivity, or rather his ego, is threatened</w:t>
      </w:r>
      <w:r w:rsidR="0066767A">
        <w:rPr>
          <w:rFonts w:asciiTheme="majorBidi" w:hAnsiTheme="majorBidi" w:cstheme="majorBidi"/>
          <w:sz w:val="24"/>
          <w:szCs w:val="24"/>
        </w:rPr>
        <w:t xml:space="preserve">, a safety net which enables the denial of the sublime. While such techniques save Bret from ontological uncertainty, they certainly do little to resolve the main thematic issues </w:t>
      </w:r>
      <w:proofErr w:type="gramStart"/>
      <w:r w:rsidR="0066767A">
        <w:rPr>
          <w:rFonts w:asciiTheme="majorBidi" w:hAnsiTheme="majorBidi" w:cstheme="majorBidi"/>
          <w:sz w:val="24"/>
          <w:szCs w:val="24"/>
        </w:rPr>
        <w:t>raised</w:t>
      </w:r>
      <w:proofErr w:type="gramEnd"/>
      <w:r w:rsidR="0066767A">
        <w:rPr>
          <w:rFonts w:asciiTheme="majorBidi" w:hAnsiTheme="majorBidi" w:cstheme="majorBidi"/>
          <w:sz w:val="24"/>
          <w:szCs w:val="24"/>
        </w:rPr>
        <w:t xml:space="preserve"> in the first place.</w:t>
      </w:r>
      <w:r w:rsidRPr="00505CF0">
        <w:rPr>
          <w:rFonts w:asciiTheme="majorBidi" w:hAnsiTheme="majorBidi" w:cstheme="majorBidi"/>
          <w:sz w:val="24"/>
          <w:szCs w:val="24"/>
        </w:rPr>
        <w:t xml:space="preserve"> </w:t>
      </w:r>
      <w:r w:rsidR="0066767A">
        <w:rPr>
          <w:rFonts w:asciiTheme="majorBidi" w:hAnsiTheme="majorBidi" w:cstheme="majorBidi"/>
          <w:sz w:val="24"/>
          <w:szCs w:val="24"/>
        </w:rPr>
        <w:t xml:space="preserve">A postmodern response to the sublime thus becomes a means by which to achieve a mitigation of potential problems, rather than a resolution. </w:t>
      </w:r>
      <w:r w:rsidRPr="00505CF0">
        <w:rPr>
          <w:rFonts w:asciiTheme="majorBidi" w:hAnsiTheme="majorBidi" w:cstheme="majorBidi"/>
          <w:i/>
          <w:iCs/>
          <w:sz w:val="24"/>
          <w:szCs w:val="24"/>
        </w:rPr>
        <w:t>Lunar Park</w:t>
      </w:r>
      <w:r w:rsidRPr="00505CF0">
        <w:rPr>
          <w:rFonts w:asciiTheme="majorBidi" w:hAnsiTheme="majorBidi" w:cstheme="majorBidi"/>
          <w:sz w:val="24"/>
          <w:szCs w:val="24"/>
        </w:rPr>
        <w:t xml:space="preserve"> uses the sublime as part of a larger critique of postmodern ideology, positing the effect produced as no longer sustainable for our ideological experimentation in its failure to resolve Bret’s personal crises. </w:t>
      </w:r>
      <w:r w:rsidRPr="00505CF0">
        <w:rPr>
          <w:rFonts w:asciiTheme="majorBidi" w:hAnsiTheme="majorBidi" w:cstheme="majorBidi"/>
          <w:i/>
          <w:iCs/>
          <w:sz w:val="24"/>
          <w:szCs w:val="24"/>
        </w:rPr>
        <w:t>Lunar Park</w:t>
      </w:r>
      <w:r w:rsidRPr="00505CF0">
        <w:rPr>
          <w:rFonts w:asciiTheme="majorBidi" w:hAnsiTheme="majorBidi" w:cstheme="majorBidi"/>
          <w:sz w:val="24"/>
          <w:szCs w:val="24"/>
        </w:rPr>
        <w:t xml:space="preserve"> poses questions of the postmodern, though the answer is merely a fragmented suggestion that something must change, that the generations to come will otherwise become lost to us. In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the sublime is used to criticise the ideology of the postmodern and to suggest an emergent post-postmodern desire, </w:t>
      </w:r>
      <w:proofErr w:type="gramStart"/>
      <w:r w:rsidRPr="00505CF0">
        <w:rPr>
          <w:rFonts w:asciiTheme="majorBidi" w:hAnsiTheme="majorBidi" w:cstheme="majorBidi"/>
          <w:sz w:val="24"/>
          <w:szCs w:val="24"/>
        </w:rPr>
        <w:t xml:space="preserve">yet  </w:t>
      </w:r>
      <w:r w:rsidR="00FA0008">
        <w:rPr>
          <w:rFonts w:asciiTheme="majorBidi" w:hAnsiTheme="majorBidi" w:cstheme="majorBidi"/>
          <w:sz w:val="24"/>
          <w:szCs w:val="24"/>
        </w:rPr>
        <w:t>such</w:t>
      </w:r>
      <w:proofErr w:type="gramEnd"/>
      <w:r w:rsidR="00FA0008">
        <w:rPr>
          <w:rFonts w:asciiTheme="majorBidi" w:hAnsiTheme="majorBidi" w:cstheme="majorBidi"/>
          <w:sz w:val="24"/>
          <w:szCs w:val="24"/>
        </w:rPr>
        <w:t xml:space="preserve"> </w:t>
      </w:r>
      <w:r w:rsidRPr="00505CF0">
        <w:rPr>
          <w:rFonts w:asciiTheme="majorBidi" w:hAnsiTheme="majorBidi" w:cstheme="majorBidi"/>
          <w:sz w:val="24"/>
          <w:szCs w:val="24"/>
        </w:rPr>
        <w:t>use</w:t>
      </w:r>
      <w:r w:rsidR="00FA0008">
        <w:rPr>
          <w:rFonts w:asciiTheme="majorBidi" w:hAnsiTheme="majorBidi" w:cstheme="majorBidi"/>
          <w:sz w:val="24"/>
          <w:szCs w:val="24"/>
        </w:rPr>
        <w:t>s</w:t>
      </w:r>
      <w:r w:rsidRPr="00505CF0">
        <w:rPr>
          <w:rFonts w:asciiTheme="majorBidi" w:hAnsiTheme="majorBidi" w:cstheme="majorBidi"/>
          <w:sz w:val="24"/>
          <w:szCs w:val="24"/>
        </w:rPr>
        <w:t xml:space="preserve"> also suggest a certain failure of the postmodern to contain the sublime – or rather, that the sublime cannot be reconciled with the precepts of the postmodern; the postmodern permits no greater Truth into which the sense of self may expand when confronted with the sublime</w:t>
      </w:r>
      <w:r w:rsidR="00644B42">
        <w:rPr>
          <w:rFonts w:asciiTheme="majorBidi" w:hAnsiTheme="majorBidi" w:cstheme="majorBidi"/>
          <w:sz w:val="24"/>
          <w:szCs w:val="24"/>
        </w:rPr>
        <w:t>, and the only possible resolution is that of collapse</w:t>
      </w:r>
      <w:r w:rsidRPr="00505CF0">
        <w:rPr>
          <w:rFonts w:asciiTheme="majorBidi" w:hAnsiTheme="majorBidi" w:cstheme="majorBidi"/>
          <w:sz w:val="24"/>
          <w:szCs w:val="24"/>
        </w:rPr>
        <w:t xml:space="preserve">. </w:t>
      </w:r>
      <w:r w:rsidRPr="00505CF0">
        <w:rPr>
          <w:rFonts w:asciiTheme="majorBidi" w:hAnsiTheme="majorBidi" w:cstheme="majorBidi"/>
          <w:sz w:val="24"/>
          <w:szCs w:val="24"/>
        </w:rPr>
        <w:tab/>
      </w:r>
    </w:p>
    <w:p w14:paraId="31CC79E4" w14:textId="77777777"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Increasingly, the traditional forms of the sublime are represented as in some manner problematised, or under threat.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demonstrates the inability of postmodern ideology to confront the sublime, yet the sublime continues to be represented as threatened too within metamodern Gothic literature, as observable in </w:t>
      </w:r>
      <w:r w:rsidRPr="00505CF0">
        <w:rPr>
          <w:rFonts w:asciiTheme="majorBidi" w:hAnsiTheme="majorBidi" w:cstheme="majorBidi"/>
          <w:i/>
          <w:sz w:val="24"/>
          <w:szCs w:val="24"/>
        </w:rPr>
        <w:t>S</w:t>
      </w:r>
      <w:r w:rsidRPr="00505CF0">
        <w:rPr>
          <w:rFonts w:asciiTheme="majorBidi" w:hAnsiTheme="majorBidi" w:cstheme="majorBidi"/>
          <w:sz w:val="24"/>
          <w:szCs w:val="24"/>
        </w:rPr>
        <w:t xml:space="preserve">, by Doug Dorst and J.J. Abrams. </w:t>
      </w:r>
    </w:p>
    <w:p w14:paraId="0C6D00DD" w14:textId="7417E830"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i/>
          <w:iCs/>
          <w:sz w:val="24"/>
          <w:szCs w:val="24"/>
        </w:rPr>
        <w:t>S</w:t>
      </w:r>
      <w:r w:rsidRPr="00505CF0">
        <w:rPr>
          <w:rFonts w:asciiTheme="majorBidi" w:hAnsiTheme="majorBidi" w:cstheme="majorBidi"/>
          <w:sz w:val="24"/>
          <w:szCs w:val="24"/>
        </w:rPr>
        <w:t xml:space="preserve"> centres on the search for unifying meaning within fictional author’s V.M. Straka’s eclectic </w:t>
      </w:r>
      <w:r w:rsidRPr="00505CF0">
        <w:rPr>
          <w:rFonts w:asciiTheme="majorBidi" w:hAnsiTheme="majorBidi" w:cstheme="majorBidi"/>
          <w:i/>
          <w:iCs/>
          <w:sz w:val="24"/>
          <w:szCs w:val="24"/>
        </w:rPr>
        <w:t>oeuvre</w:t>
      </w:r>
      <w:r w:rsidRPr="00505CF0">
        <w:rPr>
          <w:rFonts w:asciiTheme="majorBidi" w:hAnsiTheme="majorBidi" w:cstheme="majorBidi"/>
          <w:sz w:val="24"/>
          <w:szCs w:val="24"/>
        </w:rPr>
        <w:t xml:space="preserve">. Inside the black sleeve of </w:t>
      </w:r>
      <w:r w:rsidRPr="00505CF0">
        <w:rPr>
          <w:rFonts w:asciiTheme="majorBidi" w:hAnsiTheme="majorBidi" w:cstheme="majorBidi"/>
          <w:i/>
          <w:iCs/>
          <w:sz w:val="24"/>
          <w:szCs w:val="24"/>
        </w:rPr>
        <w:t xml:space="preserve">S </w:t>
      </w:r>
      <w:r w:rsidRPr="00505CF0">
        <w:rPr>
          <w:rFonts w:asciiTheme="majorBidi" w:hAnsiTheme="majorBidi" w:cstheme="majorBidi"/>
          <w:sz w:val="24"/>
          <w:szCs w:val="24"/>
        </w:rPr>
        <w:t xml:space="preserve">the reader finds a heavily annotated copy of Straka’s </w:t>
      </w:r>
      <w:r w:rsidRPr="00505CF0">
        <w:rPr>
          <w:rFonts w:asciiTheme="majorBidi" w:hAnsiTheme="majorBidi" w:cstheme="majorBidi"/>
          <w:i/>
          <w:iCs/>
          <w:sz w:val="24"/>
          <w:szCs w:val="24"/>
        </w:rPr>
        <w:t xml:space="preserve">Ship of Theseus </w:t>
      </w:r>
      <w:r w:rsidRPr="00505CF0">
        <w:rPr>
          <w:rFonts w:asciiTheme="majorBidi" w:hAnsiTheme="majorBidi" w:cstheme="majorBidi"/>
          <w:iCs/>
          <w:sz w:val="24"/>
          <w:szCs w:val="24"/>
        </w:rPr>
        <w:t>filled with the conversation</w:t>
      </w:r>
      <w:r w:rsidR="00644B42">
        <w:rPr>
          <w:rFonts w:asciiTheme="majorBidi" w:hAnsiTheme="majorBidi" w:cstheme="majorBidi"/>
          <w:iCs/>
          <w:sz w:val="24"/>
          <w:szCs w:val="24"/>
        </w:rPr>
        <w:t>s</w:t>
      </w:r>
      <w:r w:rsidRPr="00505CF0">
        <w:rPr>
          <w:rFonts w:asciiTheme="majorBidi" w:hAnsiTheme="majorBidi" w:cstheme="majorBidi"/>
          <w:iCs/>
          <w:sz w:val="24"/>
          <w:szCs w:val="24"/>
        </w:rPr>
        <w:t xml:space="preserve"> of </w:t>
      </w:r>
      <w:r w:rsidRPr="00505CF0">
        <w:rPr>
          <w:rFonts w:asciiTheme="majorBidi" w:hAnsiTheme="majorBidi" w:cstheme="majorBidi"/>
          <w:sz w:val="24"/>
          <w:szCs w:val="24"/>
        </w:rPr>
        <w:t xml:space="preserve">Jen and Eric, an undergraduate student and a disgraced postgraduate student respectively, who annotate then pass the book back and forth in a collaborative attempt to decode the intent of the novel from within the marginalia. The mystery they reveal is that of a shadow society of writers known as ‘The S’ and their cult-war with ‘The New S,’ a group of corporate spies determined to stop the original ‘S’. The </w:t>
      </w:r>
      <w:r w:rsidRPr="00505CF0">
        <w:rPr>
          <w:rFonts w:asciiTheme="majorBidi" w:hAnsiTheme="majorBidi" w:cstheme="majorBidi"/>
          <w:i/>
          <w:iCs/>
          <w:sz w:val="24"/>
          <w:szCs w:val="24"/>
        </w:rPr>
        <w:t xml:space="preserve">Ship of Theseus </w:t>
      </w:r>
      <w:r w:rsidRPr="00505CF0">
        <w:rPr>
          <w:rFonts w:asciiTheme="majorBidi" w:hAnsiTheme="majorBidi" w:cstheme="majorBidi"/>
          <w:sz w:val="24"/>
          <w:szCs w:val="24"/>
        </w:rPr>
        <w:t xml:space="preserve">narrative itself, not the marginalia story that surrounds it, follows a man named only ‘S.’ as he is shanghaied onto a ship filled with grotesque muted sailors for unknown purposes. These sailors are presented as cultists devoted to their vessel and its unknown mission. Not only are the cultists devoted to their ship, but when the ship is destroyed in a cataclysm at sea, they are later seen to be resurrected along with it. Never explicitly named, this ghost ship of re-animated, undead denizens also adheres to the motif of the Gothic ruin, while transposing it into a mobile setting: it is a derelict place, anachronistic to the time period of the text, warped and torn with supernatural denizens and secrets kept within it. </w:t>
      </w:r>
      <w:r w:rsidRPr="00505CF0">
        <w:rPr>
          <w:rFonts w:asciiTheme="majorBidi" w:hAnsiTheme="majorBidi" w:cstheme="majorBidi"/>
          <w:i/>
          <w:iCs/>
          <w:sz w:val="24"/>
          <w:szCs w:val="24"/>
        </w:rPr>
        <w:t xml:space="preserve">S </w:t>
      </w:r>
      <w:r w:rsidRPr="00505CF0">
        <w:rPr>
          <w:rFonts w:asciiTheme="majorBidi" w:hAnsiTheme="majorBidi" w:cstheme="majorBidi"/>
          <w:sz w:val="24"/>
          <w:szCs w:val="24"/>
        </w:rPr>
        <w:t>presents the ship as a constantly degenerating and partially renewing construct, a ‘mad assemblage of misfit masts and decks and hatches and portholes and scuppers and bulwarks and bowsprit and wheel and rudder and sails […].’</w:t>
      </w:r>
      <w:r w:rsidRPr="00505CF0">
        <w:rPr>
          <w:rStyle w:val="FootnoteReference"/>
          <w:rFonts w:asciiTheme="majorBidi" w:hAnsiTheme="majorBidi" w:cstheme="majorBidi"/>
          <w:sz w:val="24"/>
          <w:szCs w:val="24"/>
        </w:rPr>
        <w:footnoteReference w:id="590"/>
      </w:r>
      <w:r w:rsidRPr="00505CF0">
        <w:rPr>
          <w:rFonts w:asciiTheme="majorBidi" w:hAnsiTheme="majorBidi" w:cstheme="majorBidi"/>
          <w:sz w:val="24"/>
          <w:szCs w:val="24"/>
        </w:rPr>
        <w:t xml:space="preserve"> It is a ‘horrible thing,’</w:t>
      </w:r>
      <w:r w:rsidRPr="00505CF0">
        <w:rPr>
          <w:rStyle w:val="FootnoteReference"/>
          <w:rFonts w:asciiTheme="majorBidi" w:hAnsiTheme="majorBidi" w:cstheme="majorBidi"/>
          <w:sz w:val="24"/>
          <w:szCs w:val="24"/>
        </w:rPr>
        <w:footnoteReference w:id="591"/>
      </w:r>
      <w:r w:rsidRPr="00505CF0">
        <w:rPr>
          <w:rFonts w:asciiTheme="majorBidi" w:hAnsiTheme="majorBidi" w:cstheme="majorBidi"/>
          <w:sz w:val="24"/>
          <w:szCs w:val="24"/>
        </w:rPr>
        <w:t xml:space="preserve"> as S. describes, with a crew devoted bodily to its maintenance. Each sailor takes shifts at a secret task beneath the deck and this is shown to physically ‘drain’ them.</w:t>
      </w:r>
      <w:r w:rsidRPr="00505CF0">
        <w:rPr>
          <w:rStyle w:val="FootnoteReference"/>
          <w:rFonts w:asciiTheme="majorBidi" w:hAnsiTheme="majorBidi" w:cstheme="majorBidi"/>
          <w:sz w:val="24"/>
          <w:szCs w:val="24"/>
        </w:rPr>
        <w:footnoteReference w:id="592"/>
      </w:r>
      <w:r w:rsidRPr="00505CF0">
        <w:rPr>
          <w:rFonts w:asciiTheme="majorBidi" w:hAnsiTheme="majorBidi" w:cstheme="majorBidi"/>
          <w:sz w:val="24"/>
          <w:szCs w:val="24"/>
        </w:rPr>
        <w:t xml:space="preserve"> It is not a castle or an abbey, but a ship; able to travel across water and through time, and which inhabits a seemingly supernatural body of water as evidenced by the shock of the ship’s captain when Vévoda’s airplanes force entry into that space.</w:t>
      </w:r>
      <w:r w:rsidRPr="00505CF0">
        <w:rPr>
          <w:rStyle w:val="FootnoteReference"/>
          <w:rFonts w:asciiTheme="majorBidi" w:hAnsiTheme="majorBidi" w:cstheme="majorBidi"/>
          <w:sz w:val="24"/>
          <w:szCs w:val="24"/>
        </w:rPr>
        <w:footnoteReference w:id="593"/>
      </w:r>
    </w:p>
    <w:p w14:paraId="4CC6DA61" w14:textId="573F696A"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i/>
          <w:iCs/>
          <w:sz w:val="24"/>
          <w:szCs w:val="24"/>
        </w:rPr>
        <w:t xml:space="preserve">S, </w:t>
      </w:r>
      <w:r w:rsidRPr="00505CF0">
        <w:rPr>
          <w:rFonts w:asciiTheme="majorBidi" w:hAnsiTheme="majorBidi" w:cstheme="majorBidi"/>
          <w:iCs/>
          <w:sz w:val="24"/>
          <w:szCs w:val="24"/>
        </w:rPr>
        <w:t xml:space="preserve">admittedly somewhat loosely, can be seen to follow certain </w:t>
      </w:r>
      <w:r w:rsidRPr="00505CF0">
        <w:rPr>
          <w:rFonts w:asciiTheme="majorBidi" w:hAnsiTheme="majorBidi" w:cstheme="majorBidi"/>
          <w:sz w:val="24"/>
          <w:szCs w:val="24"/>
        </w:rPr>
        <w:t>genre tropes of the haunted house story, though challenging such conventions in a manner that provides the postmodern ironic pole on the metamodern oscillating pendulum. The site of the haunting is the ghost ship traveling within a supernatural, previously inaccessible ocean, but the actual haunted (or indeed haunt</w:t>
      </w:r>
      <w:r w:rsidRPr="00505CF0">
        <w:rPr>
          <w:rFonts w:asciiTheme="majorBidi" w:hAnsiTheme="majorBidi" w:cstheme="majorBidi"/>
          <w:i/>
          <w:sz w:val="24"/>
          <w:szCs w:val="24"/>
        </w:rPr>
        <w:t>ing</w:t>
      </w:r>
      <w:r w:rsidRPr="00505CF0">
        <w:rPr>
          <w:rFonts w:asciiTheme="majorBidi" w:hAnsiTheme="majorBidi" w:cstheme="majorBidi"/>
          <w:sz w:val="24"/>
          <w:szCs w:val="24"/>
        </w:rPr>
        <w:t>) figure is that of S. himself. Not only in the main narrative is S. haunted by repetitive figures representative of his past, his shameful decisions and his love interest Sola, but the tale of his life becomes that of a ghostly origin story in which he becomes, as the text states, ‘a man whose physical presence is intangible, but whose influence on the world – on its boundaries and its resources, its agonies and aspirations – is anything but.’</w:t>
      </w:r>
      <w:r w:rsidRPr="00505CF0">
        <w:rPr>
          <w:rStyle w:val="FootnoteReference"/>
          <w:rFonts w:asciiTheme="majorBidi" w:hAnsiTheme="majorBidi" w:cstheme="majorBidi"/>
          <w:sz w:val="24"/>
          <w:szCs w:val="24"/>
        </w:rPr>
        <w:footnoteReference w:id="594"/>
      </w:r>
      <w:r w:rsidRPr="00505CF0">
        <w:rPr>
          <w:rFonts w:asciiTheme="majorBidi" w:hAnsiTheme="majorBidi" w:cstheme="majorBidi"/>
          <w:sz w:val="24"/>
          <w:szCs w:val="24"/>
        </w:rPr>
        <w:t xml:space="preserve"> S. (d</w:t>
      </w:r>
      <w:proofErr w:type="gramStart"/>
      <w:r w:rsidRPr="00505CF0">
        <w:rPr>
          <w:rFonts w:asciiTheme="majorBidi" w:hAnsiTheme="majorBidi" w:cstheme="majorBidi"/>
          <w:sz w:val="24"/>
          <w:szCs w:val="24"/>
        </w:rPr>
        <w:t>)evolves</w:t>
      </w:r>
      <w:proofErr w:type="gramEnd"/>
      <w:r w:rsidRPr="00505CF0">
        <w:rPr>
          <w:rFonts w:asciiTheme="majorBidi" w:hAnsiTheme="majorBidi" w:cstheme="majorBidi"/>
          <w:sz w:val="24"/>
          <w:szCs w:val="24"/>
        </w:rPr>
        <w:t xml:space="preserve"> into an avenging presence in the novel following his initiation into the cultish crew’s ranks. The chapter titled ‘Interlude’ follows his own forced lip-sewing ceremony, in which various agents of Vévoda, the book’s main antagonist, across different time periods are hunted down and assassinated.</w:t>
      </w:r>
      <w:r w:rsidR="006568AC">
        <w:rPr>
          <w:rStyle w:val="FootnoteReference"/>
          <w:rFonts w:asciiTheme="majorBidi" w:hAnsiTheme="majorBidi" w:cstheme="majorBidi"/>
          <w:sz w:val="24"/>
          <w:szCs w:val="24"/>
        </w:rPr>
        <w:footnoteReference w:id="595"/>
      </w:r>
      <w:r w:rsidRPr="00505CF0">
        <w:rPr>
          <w:rFonts w:asciiTheme="majorBidi" w:hAnsiTheme="majorBidi" w:cstheme="majorBidi"/>
          <w:sz w:val="24"/>
          <w:szCs w:val="24"/>
        </w:rPr>
        <w:t xml:space="preserve"> S. becomes a ghostly apparition, able to appear seemingly anywhere and kill his enemies, </w:t>
      </w:r>
      <w:r w:rsidR="00B1497F">
        <w:rPr>
          <w:rFonts w:asciiTheme="majorBidi" w:hAnsiTheme="majorBidi" w:cstheme="majorBidi"/>
          <w:sz w:val="24"/>
          <w:szCs w:val="24"/>
        </w:rPr>
        <w:t xml:space="preserve">the sinister agents of antagonist </w:t>
      </w:r>
      <w:r w:rsidR="00B1497F" w:rsidRPr="00505CF0">
        <w:rPr>
          <w:rFonts w:asciiTheme="majorBidi" w:eastAsia="SimSun" w:hAnsiTheme="majorBidi" w:cstheme="majorBidi"/>
          <w:sz w:val="24"/>
          <w:szCs w:val="24"/>
        </w:rPr>
        <w:t>Vévoda</w:t>
      </w:r>
      <w:r w:rsidR="00B1497F">
        <w:rPr>
          <w:rFonts w:asciiTheme="majorBidi" w:eastAsia="SimSun" w:hAnsiTheme="majorBidi" w:cstheme="majorBidi"/>
          <w:sz w:val="24"/>
          <w:szCs w:val="24"/>
        </w:rPr>
        <w:t>,</w:t>
      </w:r>
      <w:r w:rsidR="00B1497F">
        <w:rPr>
          <w:rFonts w:asciiTheme="majorBidi" w:hAnsiTheme="majorBidi" w:cstheme="majorBidi"/>
          <w:sz w:val="24"/>
          <w:szCs w:val="24"/>
        </w:rPr>
        <w:t xml:space="preserve"> </w:t>
      </w:r>
      <w:r w:rsidRPr="00505CF0">
        <w:rPr>
          <w:rFonts w:asciiTheme="majorBidi" w:hAnsiTheme="majorBidi" w:cstheme="majorBidi"/>
          <w:sz w:val="24"/>
          <w:szCs w:val="24"/>
        </w:rPr>
        <w:t>leaving only a trademark crumpled page of ‘some madman’s tale’</w:t>
      </w:r>
      <w:r w:rsidRPr="00505CF0">
        <w:rPr>
          <w:rStyle w:val="FootnoteReference"/>
          <w:rFonts w:asciiTheme="majorBidi" w:hAnsiTheme="majorBidi" w:cstheme="majorBidi"/>
          <w:sz w:val="24"/>
          <w:szCs w:val="24"/>
        </w:rPr>
        <w:footnoteReference w:id="596"/>
      </w:r>
      <w:r w:rsidRPr="00505CF0">
        <w:rPr>
          <w:rFonts w:asciiTheme="majorBidi" w:hAnsiTheme="majorBidi" w:cstheme="majorBidi"/>
          <w:sz w:val="24"/>
          <w:szCs w:val="24"/>
        </w:rPr>
        <w:t xml:space="preserve"> on the bodies as a calling card. He is a timeless figure that emerges from the archaic ship (the representation of the past) to disrupt the machinations of the present. In this way, </w:t>
      </w:r>
      <w:r w:rsidRPr="00505CF0">
        <w:rPr>
          <w:rFonts w:asciiTheme="majorBidi" w:hAnsiTheme="majorBidi" w:cstheme="majorBidi"/>
          <w:i/>
          <w:iCs/>
          <w:sz w:val="24"/>
          <w:szCs w:val="24"/>
        </w:rPr>
        <w:t xml:space="preserve">S </w:t>
      </w:r>
      <w:r w:rsidRPr="00505CF0">
        <w:rPr>
          <w:rFonts w:asciiTheme="majorBidi" w:hAnsiTheme="majorBidi" w:cstheme="majorBidi"/>
          <w:sz w:val="24"/>
          <w:szCs w:val="24"/>
        </w:rPr>
        <w:t xml:space="preserve">comes to reveal its true narrative, namely that of a ghost story but one filtered through </w:t>
      </w:r>
      <w:r w:rsidR="002E3CE9">
        <w:rPr>
          <w:rFonts w:asciiTheme="majorBidi" w:hAnsiTheme="majorBidi" w:cstheme="majorBidi"/>
          <w:sz w:val="24"/>
          <w:szCs w:val="24"/>
        </w:rPr>
        <w:t>p</w:t>
      </w:r>
      <w:r w:rsidRPr="00505CF0">
        <w:rPr>
          <w:rFonts w:asciiTheme="majorBidi" w:hAnsiTheme="majorBidi" w:cstheme="majorBidi"/>
          <w:sz w:val="24"/>
          <w:szCs w:val="24"/>
        </w:rPr>
        <w:t xml:space="preserve">ostmodern metafictional experimentation. It is a ghost story told from the perspective of the ghost, not the victims who must discover the ghost’s origins and motive in order to end the haunting, as has become the archetypical monomyth of contemporary horror. </w:t>
      </w:r>
    </w:p>
    <w:p w14:paraId="03B488A5" w14:textId="77777777" w:rsidR="00C111D3" w:rsidRPr="00505CF0" w:rsidRDefault="00C111D3" w:rsidP="004C3EE0">
      <w:pPr>
        <w:spacing w:line="480" w:lineRule="auto"/>
        <w:ind w:firstLine="720"/>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Dorst and Abrams explore the sublime in an attempt to move beyond both the postmodern inability to process such, and the more Classical unobtainability of Kant’s formulation. In </w:t>
      </w:r>
      <w:r w:rsidRPr="00505CF0">
        <w:rPr>
          <w:rFonts w:asciiTheme="majorBidi" w:eastAsia="SimSun" w:hAnsiTheme="majorBidi" w:cstheme="majorBidi"/>
          <w:i/>
          <w:iCs/>
          <w:sz w:val="24"/>
          <w:szCs w:val="24"/>
        </w:rPr>
        <w:t xml:space="preserve">S, </w:t>
      </w:r>
      <w:r w:rsidRPr="00505CF0">
        <w:rPr>
          <w:rFonts w:asciiTheme="majorBidi" w:eastAsia="SimSun" w:hAnsiTheme="majorBidi" w:cstheme="majorBidi"/>
          <w:sz w:val="24"/>
          <w:szCs w:val="24"/>
        </w:rPr>
        <w:t>the sublime chiefly manifests through the use of Vévoda’s new super-weapon and ‘the black, greasy substance’</w:t>
      </w:r>
      <w:r w:rsidRPr="00505CF0">
        <w:rPr>
          <w:rStyle w:val="FootnoteReference"/>
          <w:rFonts w:asciiTheme="majorBidi" w:eastAsia="SimSun" w:hAnsiTheme="majorBidi" w:cstheme="majorBidi"/>
          <w:sz w:val="24"/>
          <w:szCs w:val="24"/>
        </w:rPr>
        <w:footnoteReference w:id="597"/>
      </w:r>
      <w:r w:rsidRPr="00505CF0">
        <w:rPr>
          <w:rFonts w:asciiTheme="majorBidi" w:eastAsia="SimSun" w:hAnsiTheme="majorBidi" w:cstheme="majorBidi"/>
          <w:sz w:val="24"/>
          <w:szCs w:val="24"/>
        </w:rPr>
        <w:t xml:space="preserve"> left in its wake. Vévoda, the main antagonist of the novel, rises to wealth and power through the creation of a super weapon that obliterates everything that it is deployed against. What it leaves behind, the by-product of the extreme destruction, is described mostly as a ‘substance.’ This is a black, ink-like tar that corrodes whatever it touches, yet is also able to be converted into a wine (albeit a flammable vintage that stains the tongue of any who drink it.) This weapon, dubbed a ‘Black Vine,’ is extracted from a specific source of the natural sublime. The primary ingredient is discovered to be mined from a range of mountains on a private island, mountains which are decapitated in the process, a ‘false mesa’ created on the summit with ‘an open pit’ dug into it, ‘with men and machines hacking out the hill’s innards.’</w:t>
      </w:r>
      <w:r w:rsidRPr="00505CF0">
        <w:rPr>
          <w:rStyle w:val="FootnoteReference"/>
          <w:rFonts w:asciiTheme="majorBidi" w:eastAsia="SimSun" w:hAnsiTheme="majorBidi" w:cstheme="majorBidi"/>
          <w:sz w:val="24"/>
          <w:szCs w:val="24"/>
        </w:rPr>
        <w:footnoteReference w:id="598"/>
      </w:r>
      <w:r w:rsidRPr="00505CF0">
        <w:rPr>
          <w:rFonts w:asciiTheme="majorBidi" w:eastAsia="SimSun" w:hAnsiTheme="majorBidi" w:cstheme="majorBidi"/>
          <w:sz w:val="24"/>
          <w:szCs w:val="24"/>
        </w:rPr>
        <w:t xml:space="preserve"> It is this mining process which is seen to destroy, or to defame, the source of sublime inspiration, but the use of the Black Vine itself is specifically linked to the destruction of social myth and history. </w:t>
      </w:r>
    </w:p>
    <w:p w14:paraId="3FEAC768" w14:textId="77777777" w:rsidR="00C111D3" w:rsidRPr="00505CF0" w:rsidRDefault="00C111D3" w:rsidP="004C3EE0">
      <w:pPr>
        <w:jc w:val="both"/>
        <w:rPr>
          <w:rFonts w:asciiTheme="majorBidi" w:eastAsia="SimSun" w:hAnsiTheme="majorBidi" w:cstheme="majorBidi"/>
          <w:sz w:val="24"/>
          <w:szCs w:val="24"/>
        </w:rPr>
      </w:pPr>
    </w:p>
    <w:p w14:paraId="2CF0B3BA" w14:textId="109914C8" w:rsidR="00C111D3" w:rsidRPr="00505CF0" w:rsidRDefault="00765FC9" w:rsidP="004C3EE0">
      <w:pPr>
        <w:ind w:left="737" w:right="737" w:firstLine="703"/>
        <w:jc w:val="both"/>
        <w:rPr>
          <w:rFonts w:asciiTheme="majorBidi" w:eastAsia="SimSun" w:hAnsiTheme="majorBidi" w:cstheme="majorBidi"/>
          <w:sz w:val="24"/>
          <w:szCs w:val="24"/>
        </w:rPr>
      </w:pPr>
      <w:r>
        <w:rPr>
          <w:rFonts w:asciiTheme="majorBidi" w:eastAsia="SimSun" w:hAnsiTheme="majorBidi" w:cstheme="majorBidi"/>
          <w:sz w:val="24"/>
          <w:szCs w:val="24"/>
        </w:rPr>
        <w:t>[</w:t>
      </w:r>
      <w:r w:rsidR="00C111D3" w:rsidRPr="00505CF0">
        <w:rPr>
          <w:rFonts w:asciiTheme="majorBidi" w:eastAsia="SimSun" w:hAnsiTheme="majorBidi" w:cstheme="majorBidi"/>
          <w:sz w:val="24"/>
          <w:szCs w:val="24"/>
        </w:rPr>
        <w:t xml:space="preserve">As a consequence of unleashing a Black Vine] individuals and communities are wiped clean. </w:t>
      </w:r>
      <w:proofErr w:type="gramStart"/>
      <w:r w:rsidR="00C111D3" w:rsidRPr="00505CF0">
        <w:rPr>
          <w:rFonts w:asciiTheme="majorBidi" w:eastAsia="SimSun" w:hAnsiTheme="majorBidi" w:cstheme="majorBidi"/>
          <w:sz w:val="24"/>
          <w:szCs w:val="24"/>
        </w:rPr>
        <w:t>Traditions and histories, myths […] all gone.</w:t>
      </w:r>
      <w:proofErr w:type="gramEnd"/>
      <w:r w:rsidR="00C111D3" w:rsidRPr="00505CF0">
        <w:rPr>
          <w:rFonts w:asciiTheme="majorBidi" w:eastAsia="SimSun" w:hAnsiTheme="majorBidi" w:cstheme="majorBidi"/>
          <w:sz w:val="24"/>
          <w:szCs w:val="24"/>
        </w:rPr>
        <w:t xml:space="preserve"> </w:t>
      </w:r>
    </w:p>
    <w:p w14:paraId="292BC355" w14:textId="77777777" w:rsidR="00C111D3" w:rsidRPr="00505CF0" w:rsidRDefault="00C111D3" w:rsidP="004C3EE0">
      <w:pPr>
        <w:ind w:left="737" w:right="737" w:firstLine="703"/>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To drink the black stuff is to drink what has been lost. </w:t>
      </w:r>
    </w:p>
    <w:p w14:paraId="0EF168C7" w14:textId="77777777" w:rsidR="00C111D3" w:rsidRPr="00505CF0" w:rsidRDefault="00C111D3" w:rsidP="004C3EE0">
      <w:pPr>
        <w:ind w:left="737" w:right="737" w:firstLine="703"/>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To hold it in a barrel, S. imagines, is to imprison the vital; to cellar that bottle is to warehouse the sublime. </w:t>
      </w:r>
    </w:p>
    <w:p w14:paraId="5E4D460D" w14:textId="77777777" w:rsidR="00C111D3" w:rsidRPr="00505CF0" w:rsidRDefault="00C111D3" w:rsidP="004C3EE0">
      <w:pPr>
        <w:ind w:left="737" w:right="737" w:firstLine="703"/>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To launch a Black Vine is to take all the churning fury of the lost and use it to render other people, in some other place, equally lost. </w:t>
      </w:r>
      <w:r w:rsidRPr="00505CF0">
        <w:rPr>
          <w:rStyle w:val="FootnoteReference"/>
          <w:rFonts w:asciiTheme="majorBidi" w:eastAsia="SimSun" w:hAnsiTheme="majorBidi" w:cstheme="majorBidi"/>
          <w:sz w:val="24"/>
          <w:szCs w:val="24"/>
        </w:rPr>
        <w:footnoteReference w:id="599"/>
      </w:r>
    </w:p>
    <w:p w14:paraId="55853D8F" w14:textId="77777777" w:rsidR="00C111D3" w:rsidRPr="00505CF0" w:rsidRDefault="00C111D3" w:rsidP="004C3EE0">
      <w:pPr>
        <w:jc w:val="both"/>
        <w:rPr>
          <w:rFonts w:asciiTheme="majorBidi" w:eastAsia="SimSun" w:hAnsiTheme="majorBidi" w:cstheme="majorBidi"/>
          <w:sz w:val="24"/>
          <w:szCs w:val="24"/>
        </w:rPr>
      </w:pPr>
    </w:p>
    <w:p w14:paraId="739772CF" w14:textId="6140B198" w:rsidR="00C111D3" w:rsidRPr="00505CF0" w:rsidRDefault="00C111D3" w:rsidP="004C3EE0">
      <w:pPr>
        <w:spacing w:line="480" w:lineRule="auto"/>
        <w:jc w:val="both"/>
        <w:rPr>
          <w:rFonts w:asciiTheme="majorBidi" w:eastAsia="SimSun" w:hAnsiTheme="majorBidi" w:cstheme="majorBidi"/>
          <w:sz w:val="24"/>
          <w:szCs w:val="24"/>
        </w:rPr>
      </w:pPr>
      <w:r w:rsidRPr="00505CF0">
        <w:rPr>
          <w:rFonts w:asciiTheme="majorBidi" w:eastAsia="SimSun" w:hAnsiTheme="majorBidi" w:cstheme="majorBidi"/>
          <w:i/>
          <w:iCs/>
          <w:sz w:val="24"/>
          <w:szCs w:val="24"/>
        </w:rPr>
        <w:t xml:space="preserve">S </w:t>
      </w:r>
      <w:r w:rsidRPr="00505CF0">
        <w:rPr>
          <w:rFonts w:asciiTheme="majorBidi" w:eastAsia="SimSun" w:hAnsiTheme="majorBidi" w:cstheme="majorBidi"/>
          <w:sz w:val="24"/>
          <w:szCs w:val="24"/>
        </w:rPr>
        <w:t>suggests the idea of a metamodern sublime, or rather, a return to the grandeur of nature, the Romantic sublime and the insignificance it inspires, but with a knowledge that it has been, or is in the process of being</w:t>
      </w:r>
      <w:r w:rsidR="00EE7840">
        <w:rPr>
          <w:rFonts w:asciiTheme="majorBidi" w:eastAsia="SimSun" w:hAnsiTheme="majorBidi" w:cstheme="majorBidi"/>
          <w:sz w:val="24"/>
          <w:szCs w:val="24"/>
        </w:rPr>
        <w:t>,</w:t>
      </w:r>
      <w:r w:rsidRPr="00505CF0">
        <w:rPr>
          <w:rFonts w:asciiTheme="majorBidi" w:eastAsia="SimSun" w:hAnsiTheme="majorBidi" w:cstheme="majorBidi"/>
          <w:sz w:val="24"/>
          <w:szCs w:val="24"/>
        </w:rPr>
        <w:t xml:space="preserve"> destroyed. This is an eco-conscious sublime, perhaps, or a neo-romantic sublime that links to that metamodern structure of feeling which finds its ‘clearest expression in an emergent neo-romantic sensibility.’</w:t>
      </w:r>
      <w:r w:rsidRPr="00505CF0">
        <w:rPr>
          <w:rStyle w:val="FootnoteReference"/>
          <w:rFonts w:asciiTheme="majorBidi" w:eastAsia="SimSun" w:hAnsiTheme="majorBidi" w:cstheme="majorBidi"/>
          <w:sz w:val="24"/>
          <w:szCs w:val="24"/>
        </w:rPr>
        <w:footnoteReference w:id="600"/>
      </w:r>
    </w:p>
    <w:p w14:paraId="141C6391" w14:textId="68566884"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eastAsia="SimSun" w:hAnsiTheme="majorBidi" w:cstheme="majorBidi"/>
          <w:sz w:val="24"/>
          <w:szCs w:val="24"/>
        </w:rPr>
        <w:t>As Vermeulen and van den Akker state, metamodern artists, despite any differences in genre or mode, each employ ‘tropes of mysticism, estrangement, and alienation to signify potential alternatives’ and make a ‘conscious decision to attempt, in spite of those alternatives’, ‘untenableness.’</w:t>
      </w:r>
      <w:r w:rsidRPr="00505CF0">
        <w:rPr>
          <w:rStyle w:val="FootnoteReference"/>
          <w:rFonts w:asciiTheme="majorBidi" w:eastAsia="SimSun" w:hAnsiTheme="majorBidi" w:cstheme="majorBidi"/>
          <w:sz w:val="24"/>
          <w:szCs w:val="24"/>
        </w:rPr>
        <w:footnoteReference w:id="601"/>
      </w:r>
      <w:r w:rsidRPr="00505CF0">
        <w:rPr>
          <w:rFonts w:asciiTheme="majorBidi" w:eastAsia="SimSun" w:hAnsiTheme="majorBidi" w:cstheme="majorBidi"/>
          <w:sz w:val="24"/>
          <w:szCs w:val="24"/>
        </w:rPr>
        <w:t xml:space="preserve"> It is this alternative that these </w:t>
      </w:r>
      <w:r w:rsidR="00EE7840">
        <w:rPr>
          <w:rFonts w:asciiTheme="majorBidi" w:eastAsia="SimSun" w:hAnsiTheme="majorBidi" w:cstheme="majorBidi"/>
          <w:sz w:val="24"/>
          <w:szCs w:val="24"/>
        </w:rPr>
        <w:t>two</w:t>
      </w:r>
      <w:r w:rsidRPr="00505CF0">
        <w:rPr>
          <w:rFonts w:asciiTheme="majorBidi" w:eastAsia="SimSun" w:hAnsiTheme="majorBidi" w:cstheme="majorBidi"/>
          <w:sz w:val="24"/>
          <w:szCs w:val="24"/>
        </w:rPr>
        <w:t xml:space="preserve"> texts search for, and which </w:t>
      </w:r>
      <w:r w:rsidRPr="00FE7EAF">
        <w:rPr>
          <w:rFonts w:asciiTheme="majorBidi" w:eastAsia="SimSun" w:hAnsiTheme="majorBidi" w:cstheme="majorBidi"/>
          <w:i/>
          <w:sz w:val="24"/>
          <w:szCs w:val="24"/>
        </w:rPr>
        <w:t>S</w:t>
      </w:r>
      <w:r w:rsidRPr="00505CF0">
        <w:rPr>
          <w:rFonts w:asciiTheme="majorBidi" w:eastAsia="SimSun" w:hAnsiTheme="majorBidi" w:cstheme="majorBidi"/>
          <w:sz w:val="24"/>
          <w:szCs w:val="24"/>
        </w:rPr>
        <w:t xml:space="preserve"> finds suggestions of through the depiction of Vévoda’s ‘black stuff.’ It causes </w:t>
      </w:r>
      <w:proofErr w:type="gramStart"/>
      <w:r w:rsidRPr="00505CF0">
        <w:rPr>
          <w:rFonts w:asciiTheme="majorBidi" w:eastAsia="SimSun" w:hAnsiTheme="majorBidi" w:cstheme="majorBidi"/>
          <w:sz w:val="24"/>
          <w:szCs w:val="24"/>
        </w:rPr>
        <w:t>fear,</w:t>
      </w:r>
      <w:proofErr w:type="gramEnd"/>
      <w:r w:rsidRPr="00505CF0">
        <w:rPr>
          <w:rFonts w:asciiTheme="majorBidi" w:eastAsia="SimSun" w:hAnsiTheme="majorBidi" w:cstheme="majorBidi"/>
          <w:sz w:val="24"/>
          <w:szCs w:val="24"/>
        </w:rPr>
        <w:t xml:space="preserve"> it forces those who witness it to lose their countries, their stories, to become estranged and alienated and creates an impression of awe upon those who are witness to its effects. In an environment of shrinking, or destroyed, natural sublime elements, where the ‘ecosystem is severely disrupted,’</w:t>
      </w:r>
      <w:r w:rsidRPr="00505CF0">
        <w:rPr>
          <w:rStyle w:val="FootnoteReference"/>
          <w:rFonts w:asciiTheme="majorBidi" w:eastAsia="SimSun" w:hAnsiTheme="majorBidi" w:cstheme="majorBidi"/>
          <w:sz w:val="24"/>
          <w:szCs w:val="24"/>
        </w:rPr>
        <w:footnoteReference w:id="602"/>
      </w:r>
      <w:r w:rsidRPr="00505CF0">
        <w:rPr>
          <w:rFonts w:asciiTheme="majorBidi" w:eastAsia="SimSun" w:hAnsiTheme="majorBidi" w:cstheme="majorBidi"/>
          <w:sz w:val="24"/>
          <w:szCs w:val="24"/>
        </w:rPr>
        <w:t xml:space="preserve"> </w:t>
      </w:r>
      <w:r w:rsidRPr="00505CF0">
        <w:rPr>
          <w:rFonts w:asciiTheme="majorBidi" w:eastAsia="SimSun" w:hAnsiTheme="majorBidi" w:cstheme="majorBidi"/>
          <w:i/>
          <w:iCs/>
          <w:sz w:val="24"/>
          <w:szCs w:val="24"/>
        </w:rPr>
        <w:t xml:space="preserve">S </w:t>
      </w:r>
      <w:r w:rsidRPr="00505CF0">
        <w:rPr>
          <w:rFonts w:asciiTheme="majorBidi" w:eastAsia="SimSun" w:hAnsiTheme="majorBidi" w:cstheme="majorBidi"/>
          <w:sz w:val="24"/>
          <w:szCs w:val="24"/>
        </w:rPr>
        <w:t xml:space="preserve">asks if we must turn to this as a new source of that sublime feeling; should we look to the aftermath of the destruction itself, the black stuff left in the wake of a black vine, to experience this sublime feeling? Can we look to the human destruction of the sublime and historical and still receive the same experience as the sublime elements that have been destroyed? </w:t>
      </w:r>
      <w:r w:rsidRPr="00505CF0">
        <w:rPr>
          <w:rFonts w:asciiTheme="majorBidi" w:eastAsia="SimSun" w:hAnsiTheme="majorBidi" w:cstheme="majorBidi"/>
          <w:i/>
          <w:iCs/>
          <w:sz w:val="24"/>
          <w:szCs w:val="24"/>
        </w:rPr>
        <w:t xml:space="preserve">S </w:t>
      </w:r>
      <w:r w:rsidRPr="00505CF0">
        <w:rPr>
          <w:rFonts w:asciiTheme="majorBidi" w:eastAsia="SimSun" w:hAnsiTheme="majorBidi" w:cstheme="majorBidi"/>
          <w:sz w:val="24"/>
          <w:szCs w:val="24"/>
        </w:rPr>
        <w:t>explores this idea of an eco-concerned sublime, a humanized sublime, setting this within the Gothic context that previously supported such ideological questioning.</w:t>
      </w:r>
    </w:p>
    <w:p w14:paraId="2024689A" w14:textId="3B2D87A2" w:rsidR="00C111D3" w:rsidRPr="00505CF0" w:rsidRDefault="00C111D3" w:rsidP="004C3EE0">
      <w:pPr>
        <w:spacing w:line="480" w:lineRule="auto"/>
        <w:ind w:firstLine="720"/>
        <w:jc w:val="both"/>
        <w:rPr>
          <w:rFonts w:asciiTheme="majorBidi" w:eastAsia="SimSun" w:hAnsiTheme="majorBidi" w:cstheme="majorBidi"/>
          <w:sz w:val="24"/>
          <w:szCs w:val="24"/>
        </w:rPr>
      </w:pPr>
      <w:r w:rsidRPr="00505CF0">
        <w:rPr>
          <w:rFonts w:asciiTheme="majorBidi" w:hAnsiTheme="majorBidi" w:cstheme="majorBidi"/>
          <w:sz w:val="24"/>
          <w:szCs w:val="24"/>
        </w:rPr>
        <w:t xml:space="preserve">While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problematises the sublime within the postmodern, and </w:t>
      </w:r>
      <w:r w:rsidRPr="00505CF0">
        <w:rPr>
          <w:rFonts w:asciiTheme="majorBidi" w:hAnsiTheme="majorBidi" w:cstheme="majorBidi"/>
          <w:i/>
          <w:sz w:val="24"/>
          <w:szCs w:val="24"/>
        </w:rPr>
        <w:t xml:space="preserve">S </w:t>
      </w:r>
      <w:r w:rsidRPr="00505CF0">
        <w:rPr>
          <w:rFonts w:asciiTheme="majorBidi" w:hAnsiTheme="majorBidi" w:cstheme="majorBidi"/>
          <w:sz w:val="24"/>
          <w:szCs w:val="24"/>
        </w:rPr>
        <w:t xml:space="preserve">suggests the destruction of the traditional sites of the sublime in the metamodern, Mark Z Danielewski’s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attempts to discover new sites of the sublime in the post-postmodern metamodern era. Problematising the timeline of the metamodern somewhat (published, as it was, in 2000, one year before the generally agreed-upon end of the true postmodern), </w:t>
      </w:r>
      <w:r w:rsidRPr="00505CF0">
        <w:rPr>
          <w:rFonts w:asciiTheme="majorBidi" w:hAnsiTheme="majorBidi" w:cstheme="majorBidi"/>
          <w:i/>
          <w:sz w:val="24"/>
          <w:szCs w:val="24"/>
        </w:rPr>
        <w:t xml:space="preserve">House of Leaves </w:t>
      </w:r>
      <w:r w:rsidRPr="00505CF0">
        <w:rPr>
          <w:rFonts w:asciiTheme="majorBidi" w:hAnsiTheme="majorBidi" w:cstheme="majorBidi"/>
          <w:sz w:val="24"/>
          <w:szCs w:val="24"/>
        </w:rPr>
        <w:t xml:space="preserve">conforms to certain patterns of the metamodern while also experimenting with the sublime. </w:t>
      </w:r>
      <w:r w:rsidRPr="00505CF0">
        <w:rPr>
          <w:rFonts w:asciiTheme="majorBidi" w:eastAsia="SimSun" w:hAnsiTheme="majorBidi" w:cstheme="majorBidi"/>
          <w:sz w:val="24"/>
          <w:szCs w:val="24"/>
        </w:rPr>
        <w:t xml:space="preserve">Mark Z Danielewski’s </w:t>
      </w:r>
      <w:r w:rsidRPr="00505CF0">
        <w:rPr>
          <w:rFonts w:asciiTheme="majorBidi" w:eastAsia="SimSun" w:hAnsiTheme="majorBidi" w:cstheme="majorBidi"/>
          <w:i/>
          <w:sz w:val="24"/>
          <w:szCs w:val="24"/>
        </w:rPr>
        <w:t>House of Leaves</w:t>
      </w:r>
      <w:r w:rsidRPr="00505CF0">
        <w:rPr>
          <w:rStyle w:val="FootnoteReference"/>
          <w:rFonts w:asciiTheme="majorBidi" w:eastAsia="SimSun" w:hAnsiTheme="majorBidi" w:cstheme="majorBidi"/>
          <w:sz w:val="24"/>
          <w:szCs w:val="24"/>
        </w:rPr>
        <w:footnoteReference w:id="603"/>
      </w:r>
      <w:r w:rsidRPr="00505CF0">
        <w:rPr>
          <w:rFonts w:asciiTheme="majorBidi" w:eastAsia="SimSun" w:hAnsiTheme="majorBidi" w:cstheme="majorBidi"/>
          <w:i/>
          <w:sz w:val="24"/>
          <w:szCs w:val="24"/>
        </w:rPr>
        <w:t xml:space="preserve"> </w:t>
      </w:r>
      <w:r w:rsidRPr="00505CF0">
        <w:rPr>
          <w:rFonts w:asciiTheme="majorBidi" w:eastAsia="SimSun" w:hAnsiTheme="majorBidi" w:cstheme="majorBidi"/>
          <w:sz w:val="24"/>
          <w:szCs w:val="24"/>
        </w:rPr>
        <w:t xml:space="preserve">(simply put and heavily reduced) follows the nested story of the Navidson family as they move into a new home on Ash Tree Lane. Soon after, Will Navidson discovers a series of impossible, endless, labyrinthine hallways somehow contained within the house, and the plot then follows his attempts to catalogue and explore the hallways. In </w:t>
      </w:r>
      <w:r w:rsidRPr="00505CF0">
        <w:rPr>
          <w:rFonts w:asciiTheme="majorBidi" w:eastAsia="SimSun" w:hAnsiTheme="majorBidi" w:cstheme="majorBidi"/>
          <w:i/>
          <w:iCs/>
          <w:sz w:val="24"/>
          <w:szCs w:val="24"/>
        </w:rPr>
        <w:t>House of Leaves</w:t>
      </w:r>
      <w:r w:rsidRPr="00505CF0">
        <w:rPr>
          <w:rFonts w:asciiTheme="majorBidi" w:eastAsia="SimSun" w:hAnsiTheme="majorBidi" w:cstheme="majorBidi"/>
          <w:sz w:val="24"/>
          <w:szCs w:val="24"/>
        </w:rPr>
        <w:t>,</w:t>
      </w:r>
      <w:r w:rsidRPr="00505CF0">
        <w:rPr>
          <w:rFonts w:asciiTheme="majorBidi" w:eastAsia="SimSun" w:hAnsiTheme="majorBidi" w:cstheme="majorBidi"/>
          <w:i/>
          <w:iCs/>
          <w:sz w:val="24"/>
          <w:szCs w:val="24"/>
        </w:rPr>
        <w:t xml:space="preserve"> </w:t>
      </w:r>
      <w:r w:rsidR="00EE7840">
        <w:rPr>
          <w:rFonts w:asciiTheme="majorBidi" w:eastAsia="SimSun" w:hAnsiTheme="majorBidi" w:cstheme="majorBidi"/>
          <w:sz w:val="24"/>
          <w:szCs w:val="24"/>
        </w:rPr>
        <w:t>the</w:t>
      </w:r>
      <w:r w:rsidRPr="00505CF0">
        <w:rPr>
          <w:rFonts w:asciiTheme="majorBidi" w:eastAsia="SimSun" w:hAnsiTheme="majorBidi" w:cstheme="majorBidi"/>
          <w:sz w:val="24"/>
          <w:szCs w:val="24"/>
        </w:rPr>
        <w:t xml:space="preserve"> sublime is experienced </w:t>
      </w:r>
      <w:r w:rsidR="00EE7840">
        <w:rPr>
          <w:rFonts w:asciiTheme="majorBidi" w:eastAsia="SimSun" w:hAnsiTheme="majorBidi" w:cstheme="majorBidi"/>
          <w:sz w:val="24"/>
          <w:szCs w:val="24"/>
        </w:rPr>
        <w:t>through</w:t>
      </w:r>
      <w:r w:rsidRPr="00505CF0">
        <w:rPr>
          <w:rFonts w:asciiTheme="majorBidi" w:eastAsia="SimSun" w:hAnsiTheme="majorBidi" w:cstheme="majorBidi"/>
          <w:sz w:val="24"/>
          <w:szCs w:val="24"/>
        </w:rPr>
        <w:t xml:space="preserve"> Navidson’s confrontation with these hallways, the ‘strange passageway[s]’</w:t>
      </w:r>
      <w:r w:rsidRPr="00505CF0">
        <w:rPr>
          <w:rStyle w:val="FootnoteReference"/>
          <w:rFonts w:asciiTheme="majorBidi" w:eastAsia="SimSun" w:hAnsiTheme="majorBidi" w:cstheme="majorBidi"/>
          <w:sz w:val="24"/>
          <w:szCs w:val="24"/>
        </w:rPr>
        <w:footnoteReference w:id="604"/>
      </w:r>
      <w:r w:rsidRPr="00505CF0">
        <w:rPr>
          <w:rFonts w:asciiTheme="majorBidi" w:eastAsia="SimSun" w:hAnsiTheme="majorBidi" w:cstheme="majorBidi"/>
          <w:sz w:val="24"/>
          <w:szCs w:val="24"/>
        </w:rPr>
        <w:t xml:space="preserve"> or ‘narrow black hallway[s],’</w:t>
      </w:r>
      <w:r w:rsidRPr="00505CF0">
        <w:rPr>
          <w:rStyle w:val="FootnoteReference"/>
          <w:rFonts w:asciiTheme="majorBidi" w:eastAsia="SimSun" w:hAnsiTheme="majorBidi" w:cstheme="majorBidi"/>
          <w:sz w:val="24"/>
          <w:szCs w:val="24"/>
        </w:rPr>
        <w:footnoteReference w:id="605"/>
      </w:r>
      <w:r w:rsidRPr="00505CF0">
        <w:rPr>
          <w:rFonts w:asciiTheme="majorBidi" w:eastAsia="SimSun" w:hAnsiTheme="majorBidi" w:cstheme="majorBidi"/>
          <w:sz w:val="24"/>
          <w:szCs w:val="24"/>
        </w:rPr>
        <w:t xml:space="preserve"> filled with an ‘invariant […] oily darkness’ which disorientates and confuses the explorer, denying all categorisation.</w:t>
      </w:r>
      <w:r w:rsidRPr="00505CF0">
        <w:rPr>
          <w:rStyle w:val="FootnoteReference"/>
          <w:rFonts w:asciiTheme="majorBidi" w:eastAsia="SimSun" w:hAnsiTheme="majorBidi" w:cstheme="majorBidi"/>
          <w:sz w:val="24"/>
          <w:szCs w:val="24"/>
        </w:rPr>
        <w:footnoteReference w:id="606"/>
      </w:r>
      <w:r w:rsidRPr="00505CF0">
        <w:rPr>
          <w:rFonts w:asciiTheme="majorBidi" w:eastAsia="SimSun" w:hAnsiTheme="majorBidi" w:cstheme="majorBidi"/>
          <w:sz w:val="24"/>
          <w:szCs w:val="24"/>
        </w:rPr>
        <w:t xml:space="preserve"> Danielewski uses this space to explore an idea of the Kantian, or negative, sublime, subverted by an adherence to the manmade as catalyst as opposed to the supremely natural. The hallways are a space that replicate the hallways of traditional ‘built’ houses, although those twisting and shifting halls could have never have been so</w:t>
      </w:r>
      <w:r w:rsidR="00EE7840">
        <w:rPr>
          <w:rFonts w:asciiTheme="majorBidi" w:eastAsia="SimSun" w:hAnsiTheme="majorBidi" w:cstheme="majorBidi"/>
          <w:sz w:val="24"/>
          <w:szCs w:val="24"/>
        </w:rPr>
        <w:t xml:space="preserve"> constructed</w:t>
      </w:r>
      <w:r w:rsidRPr="00505CF0">
        <w:rPr>
          <w:rFonts w:asciiTheme="majorBidi" w:eastAsia="SimSun" w:hAnsiTheme="majorBidi" w:cstheme="majorBidi"/>
          <w:sz w:val="24"/>
          <w:szCs w:val="24"/>
        </w:rPr>
        <w:t>. The dark corridors present an uncanny sublime by creating a space which is both familiar and unfamiliarly autonomous, yet which still brings the feelings of terror and awe to the fore. The hallways ‘growl,’</w:t>
      </w:r>
      <w:r w:rsidRPr="00505CF0">
        <w:rPr>
          <w:rStyle w:val="FootnoteReference"/>
          <w:rFonts w:asciiTheme="majorBidi" w:eastAsia="SimSun" w:hAnsiTheme="majorBidi" w:cstheme="majorBidi"/>
          <w:sz w:val="24"/>
          <w:szCs w:val="24"/>
        </w:rPr>
        <w:footnoteReference w:id="607"/>
      </w:r>
      <w:r w:rsidRPr="00505CF0">
        <w:rPr>
          <w:rFonts w:asciiTheme="majorBidi" w:eastAsia="SimSun" w:hAnsiTheme="majorBidi" w:cstheme="majorBidi"/>
          <w:sz w:val="24"/>
          <w:szCs w:val="24"/>
        </w:rPr>
        <w:t xml:space="preserve"> shift, and are seen to actively pursue the explorers, but are always still presented as hallways, inanimate at times, but somewhat familiar throughout.</w:t>
      </w:r>
      <w:r w:rsidRPr="00505CF0">
        <w:rPr>
          <w:rStyle w:val="FootnoteReference"/>
          <w:rFonts w:asciiTheme="majorBidi" w:eastAsia="SimSun" w:hAnsiTheme="majorBidi" w:cstheme="majorBidi"/>
          <w:sz w:val="24"/>
          <w:szCs w:val="24"/>
        </w:rPr>
        <w:footnoteReference w:id="608"/>
      </w:r>
      <w:r w:rsidRPr="00505CF0">
        <w:rPr>
          <w:rFonts w:asciiTheme="majorBidi" w:eastAsia="SimSun" w:hAnsiTheme="majorBidi" w:cstheme="majorBidi"/>
          <w:sz w:val="24"/>
          <w:szCs w:val="24"/>
        </w:rPr>
        <w:t xml:space="preserve"> Mishra’s previous description of Gothic as troping the sublime as the ‘unthinkable, the unnameable, and the unspeakable’,</w:t>
      </w:r>
      <w:r w:rsidRPr="00505CF0">
        <w:rPr>
          <w:rStyle w:val="FootnoteReference"/>
          <w:rFonts w:asciiTheme="majorBidi" w:eastAsia="SimSun" w:hAnsiTheme="majorBidi" w:cstheme="majorBidi"/>
          <w:sz w:val="24"/>
          <w:szCs w:val="24"/>
        </w:rPr>
        <w:footnoteReference w:id="609"/>
      </w:r>
      <w:r w:rsidRPr="00505CF0">
        <w:rPr>
          <w:rFonts w:asciiTheme="majorBidi" w:eastAsia="SimSun" w:hAnsiTheme="majorBidi" w:cstheme="majorBidi"/>
          <w:sz w:val="24"/>
          <w:szCs w:val="24"/>
        </w:rPr>
        <w:t xml:space="preserve"> </w:t>
      </w:r>
      <w:r w:rsidR="00EE7840">
        <w:rPr>
          <w:rFonts w:asciiTheme="majorBidi" w:eastAsia="SimSun" w:hAnsiTheme="majorBidi" w:cstheme="majorBidi"/>
          <w:sz w:val="24"/>
          <w:szCs w:val="24"/>
        </w:rPr>
        <w:t>can be applied</w:t>
      </w:r>
      <w:r w:rsidRPr="00505CF0">
        <w:rPr>
          <w:rFonts w:asciiTheme="majorBidi" w:eastAsia="SimSun" w:hAnsiTheme="majorBidi" w:cstheme="majorBidi"/>
          <w:sz w:val="24"/>
          <w:szCs w:val="24"/>
        </w:rPr>
        <w:t xml:space="preserve"> to the unmappable hallways, which begin to present as somewhat uncanny; they are simultaneously autonomous and lifeless, familiar and unfamiliar, </w:t>
      </w:r>
      <w:r w:rsidRPr="00505CF0">
        <w:rPr>
          <w:rFonts w:asciiTheme="majorBidi" w:eastAsia="SimSun" w:hAnsiTheme="majorBidi" w:cstheme="majorBidi"/>
          <w:i/>
          <w:iCs/>
          <w:sz w:val="24"/>
          <w:szCs w:val="24"/>
        </w:rPr>
        <w:t>heimlich</w:t>
      </w:r>
      <w:r w:rsidRPr="00505CF0">
        <w:rPr>
          <w:rFonts w:asciiTheme="majorBidi" w:eastAsia="SimSun" w:hAnsiTheme="majorBidi" w:cstheme="majorBidi"/>
          <w:sz w:val="24"/>
          <w:szCs w:val="24"/>
        </w:rPr>
        <w:t xml:space="preserve"> and </w:t>
      </w:r>
      <w:r w:rsidRPr="00505CF0">
        <w:rPr>
          <w:rFonts w:asciiTheme="majorBidi" w:eastAsia="SimSun" w:hAnsiTheme="majorBidi" w:cstheme="majorBidi"/>
          <w:i/>
          <w:iCs/>
          <w:sz w:val="24"/>
          <w:szCs w:val="24"/>
        </w:rPr>
        <w:t>unheimlich</w:t>
      </w:r>
      <w:r w:rsidRPr="00505CF0">
        <w:rPr>
          <w:rFonts w:asciiTheme="majorBidi" w:eastAsia="SimSun" w:hAnsiTheme="majorBidi" w:cstheme="majorBidi"/>
          <w:sz w:val="24"/>
          <w:szCs w:val="24"/>
        </w:rPr>
        <w:t xml:space="preserve"> </w:t>
      </w:r>
      <w:proofErr w:type="gramStart"/>
      <w:r w:rsidR="00EE7840">
        <w:rPr>
          <w:rFonts w:asciiTheme="majorBidi" w:eastAsia="SimSun" w:hAnsiTheme="majorBidi" w:cstheme="majorBidi"/>
          <w:sz w:val="24"/>
          <w:szCs w:val="24"/>
        </w:rPr>
        <w:t xml:space="preserve">– </w:t>
      </w:r>
      <w:r w:rsidRPr="00505CF0">
        <w:rPr>
          <w:rFonts w:asciiTheme="majorBidi" w:eastAsia="SimSun" w:hAnsiTheme="majorBidi" w:cstheme="majorBidi"/>
          <w:sz w:val="24"/>
          <w:szCs w:val="24"/>
        </w:rPr>
        <w:t xml:space="preserve"> uncanny</w:t>
      </w:r>
      <w:proofErr w:type="gramEnd"/>
      <w:r w:rsidRPr="00505CF0">
        <w:rPr>
          <w:rFonts w:asciiTheme="majorBidi" w:eastAsia="SimSun" w:hAnsiTheme="majorBidi" w:cstheme="majorBidi"/>
          <w:sz w:val="24"/>
          <w:szCs w:val="24"/>
        </w:rPr>
        <w:t>. Here Danielewski presents these seemingly familiar halls as unfamiliar and cold, as existing where they cannot possibly exist,</w:t>
      </w:r>
      <w:r w:rsidRPr="00505CF0">
        <w:rPr>
          <w:rStyle w:val="FootnoteReference"/>
          <w:rFonts w:asciiTheme="majorBidi" w:eastAsia="SimSun" w:hAnsiTheme="majorBidi" w:cstheme="majorBidi"/>
          <w:sz w:val="24"/>
          <w:szCs w:val="24"/>
        </w:rPr>
        <w:footnoteReference w:id="610"/>
      </w:r>
      <w:r w:rsidRPr="00505CF0">
        <w:rPr>
          <w:rFonts w:asciiTheme="majorBidi" w:eastAsia="SimSun" w:hAnsiTheme="majorBidi" w:cstheme="majorBidi"/>
          <w:sz w:val="24"/>
          <w:szCs w:val="24"/>
        </w:rPr>
        <w:t xml:space="preserve"> often transforming into an enormity of scale which dwarfs Navidson (the ‘Great Hall’ discovered in the house purportedly has a height of ‘at least five hundred feet’).</w:t>
      </w:r>
      <w:r w:rsidRPr="00505CF0">
        <w:rPr>
          <w:rStyle w:val="FootnoteReference"/>
          <w:rFonts w:asciiTheme="majorBidi" w:eastAsia="SimSun" w:hAnsiTheme="majorBidi" w:cstheme="majorBidi"/>
          <w:sz w:val="24"/>
          <w:szCs w:val="24"/>
        </w:rPr>
        <w:footnoteReference w:id="611"/>
      </w:r>
      <w:r w:rsidRPr="00505CF0">
        <w:rPr>
          <w:rFonts w:asciiTheme="majorBidi" w:eastAsia="SimSun" w:hAnsiTheme="majorBidi" w:cstheme="majorBidi"/>
          <w:sz w:val="24"/>
          <w:szCs w:val="24"/>
        </w:rPr>
        <w:t xml:space="preserve"> He, and the other explorers, </w:t>
      </w:r>
      <w:proofErr w:type="gramStart"/>
      <w:r w:rsidR="00EE7840">
        <w:rPr>
          <w:rFonts w:asciiTheme="majorBidi" w:eastAsia="SimSun" w:hAnsiTheme="majorBidi" w:cstheme="majorBidi"/>
          <w:sz w:val="24"/>
          <w:szCs w:val="24"/>
        </w:rPr>
        <w:t>express</w:t>
      </w:r>
      <w:proofErr w:type="gramEnd"/>
      <w:r w:rsidRPr="00505CF0">
        <w:rPr>
          <w:rFonts w:asciiTheme="majorBidi" w:eastAsia="SimSun" w:hAnsiTheme="majorBidi" w:cstheme="majorBidi"/>
          <w:sz w:val="24"/>
          <w:szCs w:val="24"/>
        </w:rPr>
        <w:t xml:space="preserve"> </w:t>
      </w:r>
      <w:r w:rsidR="00EE7840">
        <w:rPr>
          <w:rFonts w:asciiTheme="majorBidi" w:eastAsia="SimSun" w:hAnsiTheme="majorBidi" w:cstheme="majorBidi"/>
          <w:sz w:val="24"/>
          <w:szCs w:val="24"/>
        </w:rPr>
        <w:t>a</w:t>
      </w:r>
      <w:r w:rsidRPr="00505CF0">
        <w:rPr>
          <w:rFonts w:asciiTheme="majorBidi" w:eastAsia="SimSun" w:hAnsiTheme="majorBidi" w:cstheme="majorBidi"/>
          <w:sz w:val="24"/>
          <w:szCs w:val="24"/>
        </w:rPr>
        <w:t xml:space="preserve"> sense of insignificance before the halls, but also the desire to conquer, to explore, to understand, and in so doing, gain transcendence. As Zampanò surmises, ‘only knowledge illuminates that bottomless place’.</w:t>
      </w:r>
      <w:r w:rsidRPr="00505CF0">
        <w:rPr>
          <w:rStyle w:val="FootnoteReference"/>
          <w:rFonts w:asciiTheme="majorBidi" w:eastAsia="SimSun" w:hAnsiTheme="majorBidi" w:cstheme="majorBidi"/>
          <w:sz w:val="24"/>
          <w:szCs w:val="24"/>
        </w:rPr>
        <w:footnoteReference w:id="612"/>
      </w:r>
      <w:r w:rsidRPr="00505CF0">
        <w:rPr>
          <w:rFonts w:asciiTheme="majorBidi" w:eastAsia="SimSun" w:hAnsiTheme="majorBidi" w:cstheme="majorBidi"/>
          <w:sz w:val="24"/>
          <w:szCs w:val="24"/>
        </w:rPr>
        <w:t xml:space="preserve"> They wish to gain something conclusive by conquering this uncanny sublime, desperately searching for a return to a Burkean sublime in which the mind is expanded by the experience, the self is improved, yet inevitably failing and experiencing a fracturing of the self – a move evidence</w:t>
      </w:r>
      <w:r w:rsidR="00EE7840">
        <w:rPr>
          <w:rFonts w:asciiTheme="majorBidi" w:eastAsia="SimSun" w:hAnsiTheme="majorBidi" w:cstheme="majorBidi"/>
          <w:sz w:val="24"/>
          <w:szCs w:val="24"/>
        </w:rPr>
        <w:t>d</w:t>
      </w:r>
      <w:r w:rsidRPr="00505CF0">
        <w:rPr>
          <w:rFonts w:asciiTheme="majorBidi" w:eastAsia="SimSun" w:hAnsiTheme="majorBidi" w:cstheme="majorBidi"/>
          <w:sz w:val="24"/>
          <w:szCs w:val="24"/>
        </w:rPr>
        <w:t xml:space="preserve"> in the fragmentation of the text across the surface of the pages.</w:t>
      </w:r>
      <w:r w:rsidRPr="00505CF0">
        <w:rPr>
          <w:rStyle w:val="FootnoteReference"/>
          <w:rFonts w:asciiTheme="majorBidi" w:eastAsia="SimSun" w:hAnsiTheme="majorBidi" w:cstheme="majorBidi"/>
          <w:sz w:val="24"/>
          <w:szCs w:val="24"/>
        </w:rPr>
        <w:footnoteReference w:id="613"/>
      </w:r>
      <w:r w:rsidRPr="00505CF0">
        <w:rPr>
          <w:rFonts w:asciiTheme="majorBidi" w:eastAsia="SimSun" w:hAnsiTheme="majorBidi" w:cstheme="majorBidi"/>
          <w:sz w:val="24"/>
          <w:szCs w:val="24"/>
        </w:rPr>
        <w:t xml:space="preserve"> Indeed, the challenging typography of the text could be said to also reflect Zampanò’s attempts to record the experience of the halls, only for the blind critic to fail in this attempt and lapse into delivering a fractured representation of the narrative as his ‘discourse itself breaks down’, his ‘reason struggl[ing] with imagination for ascendency: what can be grasped is not equivalent to what is meaningful.’</w:t>
      </w:r>
      <w:r w:rsidRPr="00505CF0">
        <w:rPr>
          <w:rStyle w:val="FootnoteReference"/>
          <w:rFonts w:asciiTheme="majorBidi" w:eastAsia="SimSun" w:hAnsiTheme="majorBidi" w:cstheme="majorBidi"/>
          <w:sz w:val="24"/>
          <w:szCs w:val="24"/>
        </w:rPr>
        <w:footnoteReference w:id="614"/>
      </w:r>
    </w:p>
    <w:p w14:paraId="2FCD94E4" w14:textId="230C6E5D" w:rsidR="00C111D3" w:rsidRPr="00505CF0" w:rsidRDefault="00C111D3" w:rsidP="004C3EE0">
      <w:pPr>
        <w:spacing w:line="480" w:lineRule="auto"/>
        <w:ind w:firstLine="720"/>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Whether Navidson or in fact the reader, the explorers of </w:t>
      </w:r>
      <w:r w:rsidRPr="00505CF0">
        <w:rPr>
          <w:rFonts w:asciiTheme="majorBidi" w:eastAsia="SimSun" w:hAnsiTheme="majorBidi" w:cstheme="majorBidi"/>
          <w:i/>
          <w:sz w:val="24"/>
          <w:szCs w:val="24"/>
        </w:rPr>
        <w:t>House of Leaves</w:t>
      </w:r>
      <w:r w:rsidRPr="00505CF0">
        <w:rPr>
          <w:rFonts w:asciiTheme="majorBidi" w:eastAsia="SimSun" w:hAnsiTheme="majorBidi" w:cstheme="majorBidi"/>
          <w:sz w:val="24"/>
          <w:szCs w:val="24"/>
        </w:rPr>
        <w:t xml:space="preserve"> obsessively return time and again to the halls, seeking to tame, to understand, while knowing that there is never anything new to be discovered in that ‘absurd Rorschach test’ of a place.</w:t>
      </w:r>
      <w:r w:rsidRPr="00505CF0">
        <w:rPr>
          <w:rStyle w:val="FootnoteReference"/>
          <w:rFonts w:asciiTheme="majorBidi" w:eastAsia="SimSun" w:hAnsiTheme="majorBidi" w:cstheme="majorBidi"/>
          <w:sz w:val="24"/>
          <w:szCs w:val="24"/>
        </w:rPr>
        <w:footnoteReference w:id="615"/>
      </w:r>
      <w:r w:rsidRPr="00505CF0">
        <w:rPr>
          <w:rFonts w:asciiTheme="majorBidi" w:eastAsia="SimSun" w:hAnsiTheme="majorBidi" w:cstheme="majorBidi"/>
          <w:sz w:val="24"/>
          <w:szCs w:val="24"/>
        </w:rPr>
        <w:t xml:space="preserve"> Within that labyrinth progress is impossible. It is a metamodern duality and multiplicity of polar desires that Danielewski offers, instead. It constitutes a yearning for progress, for movement, for understanding and the desire to keep experiencing that sublime, though from within an environment that never escapes from its essentially man-made aesthetic. The reader oscillates in their desire for the sublime, swinging between unknowing and understanding, awe and fear, desire and terror. </w:t>
      </w:r>
      <w:r w:rsidRPr="00505CF0">
        <w:rPr>
          <w:rFonts w:asciiTheme="majorBidi" w:eastAsia="SimSun" w:hAnsiTheme="majorBidi" w:cstheme="majorBidi"/>
          <w:i/>
          <w:iCs/>
          <w:sz w:val="24"/>
          <w:szCs w:val="24"/>
        </w:rPr>
        <w:t xml:space="preserve">House of Leaves </w:t>
      </w:r>
      <w:r w:rsidRPr="00505CF0">
        <w:rPr>
          <w:rFonts w:asciiTheme="majorBidi" w:eastAsia="SimSun" w:hAnsiTheme="majorBidi" w:cstheme="majorBidi"/>
          <w:sz w:val="24"/>
          <w:szCs w:val="24"/>
        </w:rPr>
        <w:t xml:space="preserve">demonstrates a metamodern yearning to regain, experience, or even </w:t>
      </w:r>
      <w:r w:rsidRPr="00FE7EAF">
        <w:rPr>
          <w:rFonts w:asciiTheme="majorBidi" w:eastAsia="SimSun" w:hAnsiTheme="majorBidi" w:cstheme="majorBidi"/>
          <w:i/>
          <w:sz w:val="24"/>
          <w:szCs w:val="24"/>
        </w:rPr>
        <w:t>find</w:t>
      </w:r>
      <w:r w:rsidRPr="00505CF0">
        <w:rPr>
          <w:rFonts w:asciiTheme="majorBidi" w:eastAsia="SimSun" w:hAnsiTheme="majorBidi" w:cstheme="majorBidi"/>
          <w:sz w:val="24"/>
          <w:szCs w:val="24"/>
        </w:rPr>
        <w:t xml:space="preserve"> that feeling of the sublime within a human-made Gothic environment which eschews the natural.</w:t>
      </w:r>
      <w:r w:rsidR="00DD5BBD">
        <w:rPr>
          <w:rStyle w:val="FootnoteReference"/>
          <w:rFonts w:asciiTheme="majorBidi" w:eastAsia="SimSun" w:hAnsiTheme="majorBidi" w:cstheme="majorBidi"/>
          <w:sz w:val="24"/>
          <w:szCs w:val="24"/>
        </w:rPr>
        <w:footnoteReference w:id="616"/>
      </w:r>
    </w:p>
    <w:p w14:paraId="7CD5CA76" w14:textId="410F5A75" w:rsidR="00C111D3" w:rsidRDefault="00C111D3" w:rsidP="004C3EE0">
      <w:pPr>
        <w:spacing w:line="480" w:lineRule="auto"/>
        <w:ind w:firstLine="720"/>
        <w:jc w:val="both"/>
        <w:rPr>
          <w:rFonts w:asciiTheme="majorBidi" w:eastAsia="SimSun" w:hAnsiTheme="majorBidi" w:cstheme="majorBidi"/>
          <w:sz w:val="24"/>
          <w:szCs w:val="24"/>
        </w:rPr>
      </w:pPr>
      <w:r w:rsidRPr="00505CF0">
        <w:rPr>
          <w:rFonts w:asciiTheme="majorBidi" w:eastAsia="SimSun" w:hAnsiTheme="majorBidi" w:cstheme="majorBidi"/>
          <w:i/>
          <w:sz w:val="24"/>
          <w:szCs w:val="24"/>
        </w:rPr>
        <w:t>Lunar Park</w:t>
      </w:r>
      <w:r w:rsidRPr="00505CF0">
        <w:rPr>
          <w:rFonts w:asciiTheme="majorBidi" w:eastAsia="SimSun" w:hAnsiTheme="majorBidi" w:cstheme="majorBidi"/>
          <w:sz w:val="24"/>
          <w:szCs w:val="24"/>
        </w:rPr>
        <w:t xml:space="preserve"> suggests that the sublime cannot function within a postmodern environment, much to the detriment of those involved, and </w:t>
      </w:r>
      <w:r w:rsidRPr="00505CF0">
        <w:rPr>
          <w:rFonts w:asciiTheme="majorBidi" w:eastAsia="SimSun" w:hAnsiTheme="majorBidi" w:cstheme="majorBidi"/>
          <w:i/>
          <w:sz w:val="24"/>
          <w:szCs w:val="24"/>
        </w:rPr>
        <w:t xml:space="preserve">S </w:t>
      </w:r>
      <w:r w:rsidRPr="00505CF0">
        <w:rPr>
          <w:rFonts w:asciiTheme="majorBidi" w:eastAsia="SimSun" w:hAnsiTheme="majorBidi" w:cstheme="majorBidi"/>
          <w:sz w:val="24"/>
          <w:szCs w:val="24"/>
        </w:rPr>
        <w:t xml:space="preserve">foregrounds a need for new sites of sublime in the wake of ecological threat, while </w:t>
      </w:r>
      <w:r w:rsidRPr="00505CF0">
        <w:rPr>
          <w:rFonts w:asciiTheme="majorBidi" w:eastAsia="SimSun" w:hAnsiTheme="majorBidi" w:cstheme="majorBidi"/>
          <w:i/>
          <w:sz w:val="24"/>
          <w:szCs w:val="24"/>
        </w:rPr>
        <w:t>House of Leaves</w:t>
      </w:r>
      <w:r w:rsidRPr="00505CF0">
        <w:rPr>
          <w:rFonts w:asciiTheme="majorBidi" w:eastAsia="SimSun" w:hAnsiTheme="majorBidi" w:cstheme="majorBidi"/>
          <w:sz w:val="24"/>
          <w:szCs w:val="24"/>
        </w:rPr>
        <w:t xml:space="preserve"> attempts to find a new way in which to discover the sublime, namely perhaps in the warped workings of the human-made. </w:t>
      </w:r>
      <w:r w:rsidR="00337D7F">
        <w:rPr>
          <w:rFonts w:asciiTheme="majorBidi" w:eastAsia="SimSun" w:hAnsiTheme="majorBidi" w:cstheme="majorBidi"/>
          <w:sz w:val="24"/>
          <w:szCs w:val="24"/>
        </w:rPr>
        <w:t>T</w:t>
      </w:r>
      <w:r w:rsidRPr="00505CF0">
        <w:rPr>
          <w:rFonts w:asciiTheme="majorBidi" w:eastAsia="SimSun" w:hAnsiTheme="majorBidi" w:cstheme="majorBidi"/>
          <w:sz w:val="24"/>
          <w:szCs w:val="24"/>
        </w:rPr>
        <w:t xml:space="preserve">wenty-first century Gothic </w:t>
      </w:r>
      <w:r w:rsidR="00337D7F">
        <w:rPr>
          <w:rFonts w:asciiTheme="majorBidi" w:eastAsia="SimSun" w:hAnsiTheme="majorBidi" w:cstheme="majorBidi"/>
          <w:sz w:val="24"/>
          <w:szCs w:val="24"/>
        </w:rPr>
        <w:t>literature, it seems,</w:t>
      </w:r>
      <w:r w:rsidRPr="00505CF0">
        <w:rPr>
          <w:rFonts w:asciiTheme="majorBidi" w:eastAsia="SimSun" w:hAnsiTheme="majorBidi" w:cstheme="majorBidi"/>
          <w:sz w:val="24"/>
          <w:szCs w:val="24"/>
        </w:rPr>
        <w:t xml:space="preserve"> seeks to explore new means of obtaining a sublime reaction in a manner that speaks to Metamodern urge for progress beyond the postmodern nihilism and depthlessness, positing the sublime as a means by which a certain depthiness or simply something more than the postmodern can be possibly experienced, though always through an anxious awareness that such sites which could ellicit a sublime reaction are under threat. As such, an increasing amount of such texts attempt to explore the ways in which a post-romantic sublime may be forced from other, alternate sources – such as the sublime explored in </w:t>
      </w:r>
      <w:r w:rsidRPr="00505CF0">
        <w:rPr>
          <w:rFonts w:asciiTheme="majorBidi" w:eastAsia="SimSun" w:hAnsiTheme="majorBidi" w:cstheme="majorBidi"/>
          <w:i/>
          <w:sz w:val="24"/>
          <w:szCs w:val="24"/>
        </w:rPr>
        <w:t>S</w:t>
      </w:r>
      <w:r w:rsidRPr="00505CF0">
        <w:rPr>
          <w:rFonts w:asciiTheme="majorBidi" w:eastAsia="SimSun" w:hAnsiTheme="majorBidi" w:cstheme="majorBidi"/>
          <w:sz w:val="24"/>
          <w:szCs w:val="24"/>
        </w:rPr>
        <w:t xml:space="preserve"> which attempts to position the destruction wrought by human industrial desires as that which can inspire just such a feeling. Finally, and briefly, in </w:t>
      </w:r>
      <w:r w:rsidRPr="00505CF0">
        <w:rPr>
          <w:rFonts w:asciiTheme="majorBidi" w:eastAsia="SimSun" w:hAnsiTheme="majorBidi" w:cstheme="majorBidi"/>
          <w:i/>
          <w:sz w:val="24"/>
          <w:szCs w:val="24"/>
        </w:rPr>
        <w:t>Glister</w:t>
      </w:r>
      <w:r w:rsidRPr="00505CF0">
        <w:rPr>
          <w:rFonts w:asciiTheme="majorBidi" w:eastAsia="SimSun" w:hAnsiTheme="majorBidi" w:cstheme="majorBidi"/>
          <w:sz w:val="24"/>
          <w:szCs w:val="24"/>
        </w:rPr>
        <w:t xml:space="preserve"> we again see such experimentations with the sublime in the natural environs of Homeland that have become warped and mutated by the chemical factory that dominates the town’s financial and personal history:</w:t>
      </w:r>
    </w:p>
    <w:p w14:paraId="42B0B306" w14:textId="77777777" w:rsidR="00337D7F" w:rsidRPr="00505CF0" w:rsidRDefault="00337D7F" w:rsidP="00FE7EAF">
      <w:pPr>
        <w:spacing w:line="240" w:lineRule="auto"/>
        <w:ind w:firstLine="720"/>
        <w:jc w:val="both"/>
        <w:rPr>
          <w:rFonts w:asciiTheme="majorBidi" w:eastAsia="SimSun" w:hAnsiTheme="majorBidi" w:cstheme="majorBidi"/>
          <w:sz w:val="24"/>
          <w:szCs w:val="24"/>
        </w:rPr>
      </w:pPr>
    </w:p>
    <w:p w14:paraId="30C516B1" w14:textId="77777777" w:rsidR="00C111D3" w:rsidRPr="00505CF0" w:rsidRDefault="00C111D3" w:rsidP="004C3EE0">
      <w:pPr>
        <w:ind w:left="737" w:right="737"/>
        <w:jc w:val="both"/>
        <w:rPr>
          <w:rFonts w:asciiTheme="majorBidi" w:eastAsia="SimSun" w:hAnsiTheme="majorBidi" w:cstheme="majorBidi"/>
          <w:sz w:val="24"/>
          <w:szCs w:val="24"/>
        </w:rPr>
      </w:pPr>
      <w:r w:rsidRPr="00505CF0">
        <w:rPr>
          <w:rFonts w:asciiTheme="majorBidi" w:eastAsia="SimSun" w:hAnsiTheme="majorBidi" w:cstheme="majorBidi"/>
          <w:sz w:val="24"/>
          <w:szCs w:val="24"/>
        </w:rPr>
        <w:t>The trees [near the edge of town], though still live, were strangely black, a black that didn’t look like charring or the result of drought, but rather suggested that the trees were veined with a dark, poisoned sap, black, but with a trace of livid green in the essence of it, a green that was bitter and primordial, like wormwood, or gall.</w:t>
      </w:r>
      <w:r w:rsidRPr="00505CF0">
        <w:rPr>
          <w:rStyle w:val="FootnoteReference"/>
          <w:rFonts w:asciiTheme="majorBidi" w:eastAsia="SimSun" w:hAnsiTheme="majorBidi" w:cstheme="majorBidi"/>
          <w:sz w:val="24"/>
          <w:szCs w:val="24"/>
        </w:rPr>
        <w:footnoteReference w:id="617"/>
      </w:r>
      <w:r w:rsidRPr="00505CF0">
        <w:rPr>
          <w:rFonts w:asciiTheme="majorBidi" w:eastAsia="SimSun" w:hAnsiTheme="majorBidi" w:cstheme="majorBidi"/>
          <w:sz w:val="24"/>
          <w:szCs w:val="24"/>
        </w:rPr>
        <w:t xml:space="preserve"> </w:t>
      </w:r>
    </w:p>
    <w:p w14:paraId="140447AA" w14:textId="77777777" w:rsidR="00C111D3" w:rsidRPr="00505CF0" w:rsidRDefault="00C111D3" w:rsidP="004C3EE0">
      <w:pPr>
        <w:spacing w:line="480" w:lineRule="auto"/>
        <w:jc w:val="both"/>
        <w:rPr>
          <w:rFonts w:asciiTheme="majorBidi" w:eastAsia="SimSun" w:hAnsiTheme="majorBidi" w:cstheme="majorBidi"/>
          <w:sz w:val="24"/>
          <w:szCs w:val="24"/>
        </w:rPr>
      </w:pPr>
    </w:p>
    <w:p w14:paraId="033E038D" w14:textId="53E06151" w:rsidR="00C111D3" w:rsidRPr="00505CF0" w:rsidRDefault="00C111D3" w:rsidP="004C3EE0">
      <w:pPr>
        <w:spacing w:line="480" w:lineRule="auto"/>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Morrison’s description of the trees of the ‘poison wood’ demonstrates, in a manner reminiscent of Vévoda’s Black Stuff in </w:t>
      </w:r>
      <w:r w:rsidRPr="00505CF0">
        <w:rPr>
          <w:rFonts w:asciiTheme="majorBidi" w:eastAsia="SimSun" w:hAnsiTheme="majorBidi" w:cstheme="majorBidi"/>
          <w:i/>
          <w:sz w:val="24"/>
          <w:szCs w:val="24"/>
        </w:rPr>
        <w:t>S</w:t>
      </w:r>
      <w:r w:rsidRPr="00505CF0">
        <w:rPr>
          <w:rFonts w:asciiTheme="majorBidi" w:eastAsia="SimSun" w:hAnsiTheme="majorBidi" w:cstheme="majorBidi"/>
          <w:sz w:val="24"/>
          <w:szCs w:val="24"/>
        </w:rPr>
        <w:t>, the defamation and destruction of the natural, here reduced to vividly sickly trees and (later in the text) descriptions of ‘mooncalfs,’</w:t>
      </w:r>
      <w:r w:rsidRPr="00505CF0">
        <w:rPr>
          <w:rStyle w:val="FootnoteReference"/>
          <w:rFonts w:asciiTheme="majorBidi" w:eastAsia="SimSun" w:hAnsiTheme="majorBidi" w:cstheme="majorBidi"/>
          <w:sz w:val="24"/>
          <w:szCs w:val="24"/>
        </w:rPr>
        <w:footnoteReference w:id="618"/>
      </w:r>
      <w:r w:rsidRPr="00505CF0">
        <w:rPr>
          <w:rFonts w:asciiTheme="majorBidi" w:eastAsia="SimSun" w:hAnsiTheme="majorBidi" w:cstheme="majorBidi"/>
          <w:sz w:val="24"/>
          <w:szCs w:val="24"/>
        </w:rPr>
        <w:t xml:space="preserve"> ‘anonymous offal,’</w:t>
      </w:r>
      <w:r w:rsidRPr="00505CF0">
        <w:rPr>
          <w:rStyle w:val="FootnoteReference"/>
          <w:rFonts w:asciiTheme="majorBidi" w:eastAsia="SimSun" w:hAnsiTheme="majorBidi" w:cstheme="majorBidi"/>
          <w:sz w:val="24"/>
          <w:szCs w:val="24"/>
        </w:rPr>
        <w:footnoteReference w:id="619"/>
      </w:r>
      <w:r w:rsidRPr="00505CF0">
        <w:rPr>
          <w:rFonts w:asciiTheme="majorBidi" w:eastAsia="SimSun" w:hAnsiTheme="majorBidi" w:cstheme="majorBidi"/>
          <w:sz w:val="24"/>
          <w:szCs w:val="24"/>
        </w:rPr>
        <w:t xml:space="preserve"> and the other warped creatures mutated and affected by the plant long after it has ceased to function. I</w:t>
      </w:r>
      <w:r w:rsidR="00337D7F">
        <w:rPr>
          <w:rFonts w:asciiTheme="majorBidi" w:eastAsia="SimSun" w:hAnsiTheme="majorBidi" w:cstheme="majorBidi"/>
          <w:sz w:val="24"/>
          <w:szCs w:val="24"/>
        </w:rPr>
        <w:t>n place of these natural triggers</w:t>
      </w:r>
      <w:r w:rsidRPr="00505CF0">
        <w:rPr>
          <w:rFonts w:asciiTheme="majorBidi" w:eastAsia="SimSun" w:hAnsiTheme="majorBidi" w:cstheme="majorBidi"/>
          <w:sz w:val="24"/>
          <w:szCs w:val="24"/>
        </w:rPr>
        <w:t xml:space="preserve">, the sublime is </w:t>
      </w:r>
      <w:r w:rsidR="00337D7F">
        <w:rPr>
          <w:rFonts w:asciiTheme="majorBidi" w:eastAsia="SimSun" w:hAnsiTheme="majorBidi" w:cstheme="majorBidi"/>
          <w:sz w:val="24"/>
          <w:szCs w:val="24"/>
        </w:rPr>
        <w:t xml:space="preserve">instead </w:t>
      </w:r>
      <w:r w:rsidRPr="00505CF0">
        <w:rPr>
          <w:rFonts w:asciiTheme="majorBidi" w:eastAsia="SimSun" w:hAnsiTheme="majorBidi" w:cstheme="majorBidi"/>
          <w:sz w:val="24"/>
          <w:szCs w:val="24"/>
        </w:rPr>
        <w:t>experienced by Morrison as he discovers the body of the first of the Moth Man’s victims, Mark Wilkinson, an experience which forces Morrison to lose a sense of self and purpose, forgetting momentarily ‘who he was.’</w:t>
      </w:r>
      <w:r w:rsidRPr="00505CF0">
        <w:rPr>
          <w:rStyle w:val="FootnoteReference"/>
          <w:rFonts w:asciiTheme="majorBidi" w:eastAsia="SimSun" w:hAnsiTheme="majorBidi" w:cstheme="majorBidi"/>
          <w:sz w:val="24"/>
          <w:szCs w:val="24"/>
        </w:rPr>
        <w:footnoteReference w:id="620"/>
      </w:r>
      <w:r w:rsidRPr="00505CF0">
        <w:rPr>
          <w:rFonts w:asciiTheme="majorBidi" w:eastAsia="SimSun" w:hAnsiTheme="majorBidi" w:cstheme="majorBidi"/>
          <w:sz w:val="24"/>
          <w:szCs w:val="24"/>
        </w:rPr>
        <w:t xml:space="preserve"> </w:t>
      </w:r>
      <w:r w:rsidR="00337D7F">
        <w:rPr>
          <w:rFonts w:asciiTheme="majorBidi" w:eastAsia="SimSun" w:hAnsiTheme="majorBidi" w:cstheme="majorBidi"/>
          <w:sz w:val="24"/>
          <w:szCs w:val="24"/>
        </w:rPr>
        <w:t>A</w:t>
      </w:r>
      <w:r w:rsidRPr="00505CF0">
        <w:rPr>
          <w:rFonts w:asciiTheme="majorBidi" w:eastAsia="SimSun" w:hAnsiTheme="majorBidi" w:cstheme="majorBidi"/>
          <w:sz w:val="24"/>
          <w:szCs w:val="24"/>
        </w:rPr>
        <w:t>s Morrison himself attests, ‘he came to a total standstill in his mind and in his nerves and in his blood, suddenly drained of energy and will, captivated by the horror and, at the same time – and this was what transfixed him – by the sense that there was some meaning in all this.’</w:t>
      </w:r>
      <w:r w:rsidRPr="00505CF0">
        <w:rPr>
          <w:rStyle w:val="FootnoteReference"/>
          <w:rFonts w:asciiTheme="majorBidi" w:eastAsia="SimSun" w:hAnsiTheme="majorBidi" w:cstheme="majorBidi"/>
          <w:sz w:val="24"/>
          <w:szCs w:val="24"/>
        </w:rPr>
        <w:footnoteReference w:id="621"/>
      </w:r>
      <w:r w:rsidRPr="00505CF0">
        <w:rPr>
          <w:rFonts w:asciiTheme="majorBidi" w:eastAsia="SimSun" w:hAnsiTheme="majorBidi" w:cstheme="majorBidi"/>
          <w:sz w:val="24"/>
          <w:szCs w:val="24"/>
        </w:rPr>
        <w:t xml:space="preserve"> The structure produced by the arrangement of the boy’s body produces an observable terror in Morrison, alongside something approaching awe as he attempts to decipher the scene. Ultimately, though, Morrison’s sense of self fails to swell in confrontation with this scene and he </w:t>
      </w:r>
      <w:proofErr w:type="gramStart"/>
      <w:r w:rsidRPr="00505CF0">
        <w:rPr>
          <w:rFonts w:asciiTheme="majorBidi" w:eastAsia="SimSun" w:hAnsiTheme="majorBidi" w:cstheme="majorBidi"/>
          <w:sz w:val="24"/>
          <w:szCs w:val="24"/>
        </w:rPr>
        <w:t xml:space="preserve">becomes </w:t>
      </w:r>
      <w:r w:rsidR="00337D7F">
        <w:rPr>
          <w:rFonts w:asciiTheme="majorBidi" w:eastAsia="SimSun" w:hAnsiTheme="majorBidi" w:cstheme="majorBidi"/>
          <w:sz w:val="24"/>
          <w:szCs w:val="24"/>
        </w:rPr>
        <w:t xml:space="preserve"> intimately</w:t>
      </w:r>
      <w:proofErr w:type="gramEnd"/>
      <w:r w:rsidRPr="00505CF0">
        <w:rPr>
          <w:rFonts w:asciiTheme="majorBidi" w:eastAsia="SimSun" w:hAnsiTheme="majorBidi" w:cstheme="majorBidi"/>
          <w:sz w:val="24"/>
          <w:szCs w:val="24"/>
        </w:rPr>
        <w:t xml:space="preserve"> aware of the shortcomings of his sense of identity:</w:t>
      </w:r>
    </w:p>
    <w:p w14:paraId="7D1AF3F0" w14:textId="77777777" w:rsidR="00C111D3" w:rsidRPr="00505CF0" w:rsidRDefault="00C111D3" w:rsidP="004C3EE0">
      <w:pPr>
        <w:jc w:val="both"/>
        <w:rPr>
          <w:rFonts w:asciiTheme="majorBidi" w:eastAsia="SimSun" w:hAnsiTheme="majorBidi" w:cstheme="majorBidi"/>
          <w:sz w:val="24"/>
          <w:szCs w:val="24"/>
        </w:rPr>
      </w:pPr>
    </w:p>
    <w:p w14:paraId="0E0D357B" w14:textId="77777777" w:rsidR="00C111D3" w:rsidRPr="00505CF0" w:rsidRDefault="00C111D3" w:rsidP="004C3EE0">
      <w:pPr>
        <w:ind w:left="737" w:right="737"/>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And it was then that John Morrison understood, with a sudden and brutal clarity, that he wasn’t a real policeman after all […] He could already feel some brittle structure crumbling in his mind and, as he stood staring at this sacrificed child, everything he had hoped for […] collapsed like a bad wedding cake. […] it was </w:t>
      </w:r>
      <w:proofErr w:type="gramStart"/>
      <w:r w:rsidRPr="00505CF0">
        <w:rPr>
          <w:rFonts w:asciiTheme="majorBidi" w:eastAsia="SimSun" w:hAnsiTheme="majorBidi" w:cstheme="majorBidi"/>
          <w:sz w:val="24"/>
          <w:szCs w:val="24"/>
        </w:rPr>
        <w:t>this chain</w:t>
      </w:r>
      <w:proofErr w:type="gramEnd"/>
      <w:r w:rsidRPr="00505CF0">
        <w:rPr>
          <w:rFonts w:asciiTheme="majorBidi" w:eastAsia="SimSun" w:hAnsiTheme="majorBidi" w:cstheme="majorBidi"/>
          <w:sz w:val="24"/>
          <w:szCs w:val="24"/>
        </w:rPr>
        <w:t xml:space="preserve"> of thought, this sense he had of something collapsing in his mind that wrong-footed him. […] At that moment, in his confusion and terror and the horrible emptiness of it all, what he had done seemed not so much the best as the </w:t>
      </w:r>
      <w:r w:rsidRPr="00505CF0">
        <w:rPr>
          <w:rFonts w:asciiTheme="majorBidi" w:eastAsia="SimSun" w:hAnsiTheme="majorBidi" w:cstheme="majorBidi"/>
          <w:i/>
          <w:sz w:val="24"/>
          <w:szCs w:val="24"/>
        </w:rPr>
        <w:t>only</w:t>
      </w:r>
      <w:r w:rsidRPr="00505CF0">
        <w:rPr>
          <w:rFonts w:asciiTheme="majorBidi" w:eastAsia="SimSun" w:hAnsiTheme="majorBidi" w:cstheme="majorBidi"/>
          <w:sz w:val="24"/>
          <w:szCs w:val="24"/>
        </w:rPr>
        <w:t xml:space="preserve"> thing to do, his one possible escape. He has just realised that he was too tender a soul, too soft a man to see through the work he had chosen.</w:t>
      </w:r>
      <w:r w:rsidRPr="00505CF0">
        <w:rPr>
          <w:rStyle w:val="FootnoteReference"/>
          <w:rFonts w:asciiTheme="majorBidi" w:eastAsia="SimSun" w:hAnsiTheme="majorBidi" w:cstheme="majorBidi"/>
          <w:sz w:val="24"/>
          <w:szCs w:val="24"/>
        </w:rPr>
        <w:footnoteReference w:id="622"/>
      </w:r>
      <w:r w:rsidRPr="00505CF0">
        <w:rPr>
          <w:rFonts w:asciiTheme="majorBidi" w:eastAsia="SimSun" w:hAnsiTheme="majorBidi" w:cstheme="majorBidi"/>
          <w:sz w:val="24"/>
          <w:szCs w:val="24"/>
        </w:rPr>
        <w:t xml:space="preserve"> </w:t>
      </w:r>
    </w:p>
    <w:p w14:paraId="2BC95A78" w14:textId="77777777" w:rsidR="00C111D3" w:rsidRPr="00505CF0" w:rsidRDefault="00C111D3" w:rsidP="004C3EE0">
      <w:pPr>
        <w:spacing w:line="480" w:lineRule="auto"/>
        <w:jc w:val="both"/>
        <w:rPr>
          <w:rFonts w:asciiTheme="majorBidi" w:eastAsia="SimSun" w:hAnsiTheme="majorBidi" w:cstheme="majorBidi"/>
          <w:sz w:val="24"/>
          <w:szCs w:val="24"/>
        </w:rPr>
      </w:pPr>
    </w:p>
    <w:p w14:paraId="66A07C91" w14:textId="7CB25BFC" w:rsidR="00C111D3" w:rsidRPr="00505CF0" w:rsidRDefault="00C111D3" w:rsidP="004C3EE0">
      <w:pPr>
        <w:spacing w:line="480" w:lineRule="auto"/>
        <w:jc w:val="both"/>
        <w:rPr>
          <w:rFonts w:asciiTheme="majorBidi" w:eastAsia="SimSun" w:hAnsiTheme="majorBidi" w:cstheme="majorBidi"/>
          <w:sz w:val="24"/>
          <w:szCs w:val="24"/>
        </w:rPr>
      </w:pPr>
      <w:r w:rsidRPr="00505CF0">
        <w:rPr>
          <w:rFonts w:asciiTheme="majorBidi" w:eastAsia="SimSun" w:hAnsiTheme="majorBidi" w:cstheme="majorBidi"/>
          <w:sz w:val="24"/>
          <w:szCs w:val="24"/>
        </w:rPr>
        <w:t xml:space="preserve">Morrison’s reaction to the terrors of </w:t>
      </w:r>
      <w:r w:rsidR="00A93269">
        <w:rPr>
          <w:rFonts w:asciiTheme="majorBidi" w:eastAsia="SimSun" w:hAnsiTheme="majorBidi" w:cstheme="majorBidi"/>
          <w:sz w:val="24"/>
          <w:szCs w:val="24"/>
        </w:rPr>
        <w:t>hu</w:t>
      </w:r>
      <w:r w:rsidRPr="00505CF0">
        <w:rPr>
          <w:rFonts w:asciiTheme="majorBidi" w:eastAsia="SimSun" w:hAnsiTheme="majorBidi" w:cstheme="majorBidi"/>
          <w:sz w:val="24"/>
          <w:szCs w:val="24"/>
        </w:rPr>
        <w:t>man</w:t>
      </w:r>
      <w:r w:rsidR="00A93269">
        <w:rPr>
          <w:rFonts w:asciiTheme="majorBidi" w:eastAsia="SimSun" w:hAnsiTheme="majorBidi" w:cstheme="majorBidi"/>
          <w:sz w:val="24"/>
          <w:szCs w:val="24"/>
        </w:rPr>
        <w:t>ity’s actions</w:t>
      </w:r>
      <w:r w:rsidRPr="00505CF0">
        <w:rPr>
          <w:rFonts w:asciiTheme="majorBidi" w:eastAsia="SimSun" w:hAnsiTheme="majorBidi" w:cstheme="majorBidi"/>
          <w:sz w:val="24"/>
          <w:szCs w:val="24"/>
        </w:rPr>
        <w:t xml:space="preserve"> is that of the sublime, in which human barbarity causes a terror and awe which threatens identity, whether the self is able to swell and encompass the terror or, as Morrison does, break entirely in confrontation with it and be forced to recognise one’s own self-illusions, as Mishra states:</w:t>
      </w:r>
    </w:p>
    <w:p w14:paraId="35D7B1C0" w14:textId="77777777" w:rsidR="00C111D3" w:rsidRPr="00505CF0" w:rsidRDefault="00C111D3" w:rsidP="004C3EE0">
      <w:pPr>
        <w:spacing w:line="480" w:lineRule="auto"/>
        <w:jc w:val="both"/>
        <w:rPr>
          <w:rFonts w:asciiTheme="majorBidi" w:eastAsia="SimSun" w:hAnsiTheme="majorBidi" w:cstheme="majorBidi"/>
          <w:sz w:val="24"/>
          <w:szCs w:val="24"/>
        </w:rPr>
      </w:pPr>
    </w:p>
    <w:p w14:paraId="2ECADBE2"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The Gothic </w:t>
      </w:r>
      <w:proofErr w:type="gramStart"/>
      <w:r w:rsidRPr="00505CF0">
        <w:rPr>
          <w:rFonts w:asciiTheme="majorBidi" w:hAnsiTheme="majorBidi" w:cstheme="majorBidi"/>
          <w:sz w:val="24"/>
          <w:szCs w:val="24"/>
        </w:rPr>
        <w:t>sublime,</w:t>
      </w:r>
      <w:proofErr w:type="gramEnd"/>
      <w:r w:rsidRPr="00505CF0">
        <w:rPr>
          <w:rFonts w:asciiTheme="majorBidi" w:hAnsiTheme="majorBidi" w:cstheme="majorBidi"/>
          <w:sz w:val="24"/>
          <w:szCs w:val="24"/>
        </w:rPr>
        <w:t xml:space="preserve"> is in many ways the voice from the crypt that questions the power of reason […] and destabilizes the centrality of the go in Kant’s formulation. It is the voice that wishes to write the narrative of the gap, the infinitesimal lapse, in which reason for the moment gives way to chaos as mind embraces the full terror of the sublime. The Gothic narrative is to be located at that indeterminate moment of the near-abyss where the subject says, I am my own abyss, and is faced with a horrifying image of its own lack of totality. Where the romantic version of this narrative re-establishes a totality as the ego under the security of reason embraces the magnificence of the storm or holocaust, the Gothic subject has none of the capacities of the supremely confident, overpowering (though often insecure) Romantic Ego.</w:t>
      </w:r>
      <w:r w:rsidRPr="00505CF0">
        <w:rPr>
          <w:rStyle w:val="FootnoteReference"/>
          <w:rFonts w:asciiTheme="majorBidi" w:hAnsiTheme="majorBidi" w:cstheme="majorBidi"/>
          <w:sz w:val="24"/>
          <w:szCs w:val="24"/>
        </w:rPr>
        <w:footnoteReference w:id="623"/>
      </w:r>
    </w:p>
    <w:p w14:paraId="37622B5E" w14:textId="77777777" w:rsidR="00C111D3" w:rsidRPr="00505CF0" w:rsidRDefault="00C111D3" w:rsidP="004C3EE0">
      <w:pPr>
        <w:spacing w:line="480" w:lineRule="auto"/>
        <w:jc w:val="both"/>
        <w:rPr>
          <w:rFonts w:asciiTheme="majorBidi" w:eastAsia="SimSun" w:hAnsiTheme="majorBidi" w:cstheme="majorBidi"/>
          <w:sz w:val="24"/>
          <w:szCs w:val="24"/>
        </w:rPr>
      </w:pPr>
    </w:p>
    <w:p w14:paraId="4C268CD0" w14:textId="43F8383F" w:rsidR="00C111D3" w:rsidRDefault="00C111D3" w:rsidP="004C3EE0">
      <w:pPr>
        <w:spacing w:line="480" w:lineRule="auto"/>
        <w:jc w:val="both"/>
        <w:rPr>
          <w:rFonts w:asciiTheme="majorBidi" w:eastAsia="SimSun" w:hAnsiTheme="majorBidi" w:cstheme="majorBidi"/>
          <w:sz w:val="24"/>
          <w:szCs w:val="24"/>
        </w:rPr>
      </w:pPr>
      <w:r w:rsidRPr="00505CF0">
        <w:rPr>
          <w:rFonts w:asciiTheme="majorBidi" w:eastAsia="SimSun" w:hAnsiTheme="majorBidi" w:cstheme="majorBidi"/>
          <w:sz w:val="24"/>
          <w:szCs w:val="24"/>
        </w:rPr>
        <w:t>The sublime aids an understanding of the self, whether through acceptance or failure, growth or collapse.</w:t>
      </w:r>
      <w:r w:rsidR="00701E5C">
        <w:rPr>
          <w:rStyle w:val="FootnoteReference"/>
          <w:rFonts w:asciiTheme="majorBidi" w:eastAsia="SimSun" w:hAnsiTheme="majorBidi" w:cstheme="majorBidi"/>
          <w:sz w:val="24"/>
          <w:szCs w:val="24"/>
        </w:rPr>
        <w:footnoteReference w:id="624"/>
      </w:r>
      <w:r w:rsidRPr="00505CF0">
        <w:rPr>
          <w:rFonts w:asciiTheme="majorBidi" w:eastAsia="SimSun" w:hAnsiTheme="majorBidi" w:cstheme="majorBidi"/>
          <w:sz w:val="24"/>
          <w:szCs w:val="24"/>
        </w:rPr>
        <w:t xml:space="preserve"> Mishra’s arguments, formed at the tail end of the postmodern era, are as valid to this particular philosophical trope now as when written, the abyss of the self still an evident trope of the Gothic ‘hero’ in the metamodern exemplars of the genre: Navidson’s inability to conquer his halls; Ellis’s over-riding narcissism; Morrison’s collapse in recognition of his too-gentle soul; S.’s movement into the ghost that avenges the sublime; Father Bernard’s recognition of the lack of God in </w:t>
      </w:r>
      <w:r w:rsidRPr="00505CF0">
        <w:rPr>
          <w:rFonts w:asciiTheme="majorBidi" w:eastAsia="SimSun" w:hAnsiTheme="majorBidi" w:cstheme="majorBidi"/>
          <w:i/>
          <w:sz w:val="24"/>
          <w:szCs w:val="24"/>
        </w:rPr>
        <w:t>The Loney</w:t>
      </w:r>
      <w:r w:rsidRPr="00505CF0">
        <w:rPr>
          <w:rFonts w:asciiTheme="majorBidi" w:eastAsia="SimSun" w:hAnsiTheme="majorBidi" w:cstheme="majorBidi"/>
          <w:sz w:val="24"/>
          <w:szCs w:val="24"/>
        </w:rPr>
        <w:t xml:space="preserve">. Contemporary Gothic attempts an exploration of the sublime that continues to present the subject with the abyss of the self, though now coupled with the simultaneous search for new stimuli able to act as a catalyst for the sublime given the cultural and ecological denial of such elements as could </w:t>
      </w:r>
      <w:r w:rsidR="00701E5C" w:rsidRPr="00505CF0">
        <w:rPr>
          <w:rFonts w:asciiTheme="majorBidi" w:eastAsia="SimSun" w:hAnsiTheme="majorBidi" w:cstheme="majorBidi"/>
          <w:sz w:val="24"/>
          <w:szCs w:val="24"/>
        </w:rPr>
        <w:t>elicit</w:t>
      </w:r>
      <w:r w:rsidRPr="00505CF0">
        <w:rPr>
          <w:rFonts w:asciiTheme="majorBidi" w:eastAsia="SimSun" w:hAnsiTheme="majorBidi" w:cstheme="majorBidi"/>
          <w:sz w:val="24"/>
          <w:szCs w:val="24"/>
        </w:rPr>
        <w:t xml:space="preserve"> the sublime reaction.</w:t>
      </w:r>
      <w:r w:rsidRPr="00505CF0">
        <w:rPr>
          <w:rStyle w:val="FootnoteReference"/>
          <w:rFonts w:asciiTheme="majorBidi" w:eastAsia="SimSun" w:hAnsiTheme="majorBidi" w:cstheme="majorBidi"/>
          <w:sz w:val="24"/>
          <w:szCs w:val="24"/>
        </w:rPr>
        <w:footnoteReference w:id="625"/>
      </w:r>
      <w:r w:rsidRPr="00505CF0">
        <w:rPr>
          <w:rFonts w:asciiTheme="majorBidi" w:eastAsia="SimSun" w:hAnsiTheme="majorBidi" w:cstheme="majorBidi"/>
          <w:sz w:val="24"/>
          <w:szCs w:val="24"/>
        </w:rPr>
        <w:t xml:space="preserve"> The metamodern sublime is the search for the artefacts able to trigger the effects that may expand or expunge the self, a new sublime experimentation attempting to find the sources in a world in which these are increasingly fleeting, regardless of the resolution to such an encounter. </w:t>
      </w:r>
    </w:p>
    <w:p w14:paraId="48CF22A6" w14:textId="77777777" w:rsidR="00B9022C" w:rsidRDefault="00B9022C" w:rsidP="004C3EE0">
      <w:pPr>
        <w:spacing w:line="480" w:lineRule="auto"/>
        <w:jc w:val="both"/>
        <w:rPr>
          <w:rFonts w:asciiTheme="majorBidi" w:eastAsia="SimSun" w:hAnsiTheme="majorBidi" w:cstheme="majorBidi"/>
          <w:sz w:val="24"/>
          <w:szCs w:val="24"/>
        </w:rPr>
      </w:pPr>
    </w:p>
    <w:p w14:paraId="4D7125E7" w14:textId="77777777" w:rsidR="00B9022C" w:rsidRPr="00505CF0" w:rsidRDefault="00B9022C" w:rsidP="004C3EE0">
      <w:pPr>
        <w:spacing w:line="480" w:lineRule="auto"/>
        <w:jc w:val="both"/>
        <w:rPr>
          <w:rFonts w:asciiTheme="majorBidi" w:eastAsia="SimSun" w:hAnsiTheme="majorBidi" w:cstheme="majorBidi"/>
          <w:sz w:val="24"/>
          <w:szCs w:val="24"/>
        </w:rPr>
      </w:pPr>
    </w:p>
    <w:p w14:paraId="498598A9" w14:textId="77777777" w:rsidR="00C111D3" w:rsidRPr="00FE7EAF" w:rsidRDefault="00C111D3" w:rsidP="004C3EE0">
      <w:pPr>
        <w:spacing w:line="480" w:lineRule="auto"/>
        <w:jc w:val="both"/>
        <w:rPr>
          <w:rFonts w:asciiTheme="majorBidi" w:hAnsiTheme="majorBidi" w:cstheme="majorBidi"/>
          <w:b/>
          <w:sz w:val="28"/>
          <w:szCs w:val="28"/>
        </w:rPr>
      </w:pPr>
      <w:r w:rsidRPr="00FE7EAF">
        <w:rPr>
          <w:rFonts w:asciiTheme="majorBidi" w:hAnsiTheme="majorBidi" w:cstheme="majorBidi"/>
          <w:b/>
          <w:sz w:val="28"/>
          <w:szCs w:val="28"/>
        </w:rPr>
        <w:t>4.</w:t>
      </w:r>
      <w:r w:rsidRPr="00A93269">
        <w:rPr>
          <w:rFonts w:asciiTheme="majorBidi" w:hAnsiTheme="majorBidi" w:cstheme="majorBidi"/>
          <w:b/>
          <w:sz w:val="28"/>
          <w:szCs w:val="28"/>
        </w:rPr>
        <w:tab/>
      </w:r>
      <w:r w:rsidRPr="00FE7EAF">
        <w:rPr>
          <w:rFonts w:asciiTheme="majorBidi" w:hAnsiTheme="majorBidi" w:cstheme="majorBidi"/>
          <w:b/>
          <w:sz w:val="28"/>
          <w:szCs w:val="28"/>
        </w:rPr>
        <w:t>Conclusion</w:t>
      </w:r>
      <w:r w:rsidRPr="00FE7EAF">
        <w:rPr>
          <w:rStyle w:val="FootnoteReference"/>
          <w:rFonts w:asciiTheme="majorBidi" w:hAnsiTheme="majorBidi" w:cstheme="majorBidi"/>
          <w:b/>
          <w:sz w:val="28"/>
          <w:szCs w:val="28"/>
        </w:rPr>
        <w:footnoteReference w:id="626"/>
      </w:r>
    </w:p>
    <w:p w14:paraId="253E708D" w14:textId="77777777" w:rsidR="00C111D3" w:rsidRPr="00505CF0" w:rsidRDefault="00C111D3" w:rsidP="004C3EE0">
      <w:pPr>
        <w:spacing w:line="480" w:lineRule="auto"/>
        <w:jc w:val="both"/>
        <w:rPr>
          <w:rFonts w:asciiTheme="majorBidi" w:hAnsiTheme="majorBidi" w:cstheme="majorBidi"/>
          <w:b/>
          <w:sz w:val="24"/>
          <w:szCs w:val="24"/>
          <w:u w:val="single"/>
        </w:rPr>
      </w:pPr>
    </w:p>
    <w:p w14:paraId="20E4CC24" w14:textId="0E256A7A" w:rsidR="006405B7" w:rsidRDefault="00C111D3" w:rsidP="006405B7">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Gothic, as the genre that has </w:t>
      </w:r>
      <w:proofErr w:type="gramStart"/>
      <w:r w:rsidRPr="00505CF0">
        <w:rPr>
          <w:rFonts w:asciiTheme="majorBidi" w:hAnsiTheme="majorBidi" w:cstheme="majorBidi"/>
          <w:sz w:val="24"/>
          <w:szCs w:val="24"/>
        </w:rPr>
        <w:t>‘always been</w:t>
      </w:r>
      <w:proofErr w:type="gramEnd"/>
      <w:r w:rsidRPr="00505CF0">
        <w:rPr>
          <w:rFonts w:asciiTheme="majorBidi" w:hAnsiTheme="majorBidi" w:cstheme="majorBidi"/>
          <w:sz w:val="24"/>
          <w:szCs w:val="24"/>
        </w:rPr>
        <w:t xml:space="preserve"> a barometer of the anxieties plaguing a certain culture at a particular moment in history,’</w:t>
      </w:r>
      <w:r w:rsidRPr="00505CF0">
        <w:rPr>
          <w:rStyle w:val="FootnoteReference"/>
          <w:rFonts w:asciiTheme="majorBidi" w:hAnsiTheme="majorBidi" w:cstheme="majorBidi"/>
          <w:sz w:val="24"/>
          <w:szCs w:val="24"/>
        </w:rPr>
        <w:footnoteReference w:id="627"/>
      </w:r>
      <w:r w:rsidRPr="00505CF0">
        <w:rPr>
          <w:rFonts w:asciiTheme="majorBidi" w:hAnsiTheme="majorBidi" w:cstheme="majorBidi"/>
          <w:sz w:val="24"/>
          <w:szCs w:val="24"/>
        </w:rPr>
        <w:t xml:space="preserve"> is a fundamentally apt mode for metamodern experimentation, and for specifically exploring post-postmodernity. Paternal anxiety, a well-founded Gothic concern, becomes a prescient metaphoric site for the struggle for freedom from the ‘paternal’ postmodern impulse, while the found manuscript trope allows a metafictional self-analysis that establishes the Gothic motif of the text, while suggesting a need for change. The genre contains an inherent pastiche and irony, providing room for the postmodern pole, yet through ideas of enlightenment via the sublime, which I have focused on here, it can suggest a modern enthusiasm as the counter swing. And, of course, a metamodern sincerity is seemingly inherent within the Gothic as a form</w:t>
      </w:r>
      <w:r w:rsidR="00A93269">
        <w:rPr>
          <w:rFonts w:asciiTheme="majorBidi" w:hAnsiTheme="majorBidi" w:cstheme="majorBidi"/>
          <w:sz w:val="24"/>
          <w:szCs w:val="24"/>
        </w:rPr>
        <w:t>:</w:t>
      </w:r>
      <w:r w:rsidRPr="00505CF0">
        <w:rPr>
          <w:rFonts w:asciiTheme="majorBidi" w:hAnsiTheme="majorBidi" w:cstheme="majorBidi"/>
          <w:sz w:val="24"/>
          <w:szCs w:val="24"/>
        </w:rPr>
        <w:t xml:space="preserve"> Even though it is just a mad tale about an impossible tentacle-dragon god, we still feel fear when it rams the ship. Even though we always know he was the heir to the castle, we rejoice when he reclaims his birth-right. Even though the sublime has been defamed, destroyed or devalued, we still yearn for that terror and awe, for that pain and pleasure that can propel us towards enlightenment. It is through the Gothic that we, as readers, can explore our yearning and desire for movement, swinging in that pit upon that metamodern pendulum. Each metamodern Gothic text oscillates between postmodern ironic deconstruction and modern enthusiasm for reason and utopian ideals, between the sublime and the subpar, between hope and despair, sincerity and cynicism, never lingering at either, before being dragged back by the haunting presence of the other.</w:t>
      </w:r>
    </w:p>
    <w:p w14:paraId="165EF0E7" w14:textId="77777777" w:rsidR="006405B7" w:rsidRDefault="006405B7">
      <w:pPr>
        <w:spacing w:line="240" w:lineRule="auto"/>
        <w:rPr>
          <w:rFonts w:asciiTheme="majorBidi" w:hAnsiTheme="majorBidi" w:cstheme="majorBidi"/>
          <w:sz w:val="24"/>
          <w:szCs w:val="24"/>
        </w:rPr>
      </w:pPr>
      <w:r>
        <w:rPr>
          <w:rFonts w:asciiTheme="majorBidi" w:hAnsiTheme="majorBidi" w:cstheme="majorBidi"/>
          <w:sz w:val="24"/>
          <w:szCs w:val="24"/>
        </w:rPr>
        <w:br w:type="page"/>
      </w:r>
    </w:p>
    <w:p w14:paraId="39DEA7EC" w14:textId="77777777" w:rsidR="006405B7" w:rsidRDefault="006405B7" w:rsidP="006405B7">
      <w:pPr>
        <w:spacing w:line="480" w:lineRule="auto"/>
        <w:jc w:val="both"/>
        <w:rPr>
          <w:rFonts w:asciiTheme="majorBidi" w:hAnsiTheme="majorBidi" w:cstheme="majorBidi"/>
          <w:i/>
          <w:iCs/>
          <w:sz w:val="24"/>
          <w:szCs w:val="24"/>
        </w:rPr>
      </w:pPr>
    </w:p>
    <w:p w14:paraId="0EC48961" w14:textId="77777777" w:rsidR="006405B7" w:rsidRDefault="006405B7">
      <w:pPr>
        <w:spacing w:line="240" w:lineRule="auto"/>
        <w:rPr>
          <w:rFonts w:asciiTheme="majorBidi" w:hAnsiTheme="majorBidi" w:cstheme="majorBidi"/>
          <w:i/>
          <w:iCs/>
          <w:sz w:val="24"/>
          <w:szCs w:val="24"/>
        </w:rPr>
      </w:pPr>
      <w:r>
        <w:rPr>
          <w:rFonts w:asciiTheme="majorBidi" w:hAnsiTheme="majorBidi" w:cstheme="majorBidi"/>
          <w:i/>
          <w:iCs/>
          <w:sz w:val="24"/>
          <w:szCs w:val="24"/>
        </w:rPr>
        <w:br w:type="page"/>
      </w:r>
    </w:p>
    <w:p w14:paraId="07EFE430" w14:textId="77777777" w:rsidR="006405B7" w:rsidRDefault="006405B7" w:rsidP="006405B7">
      <w:pPr>
        <w:spacing w:line="480" w:lineRule="auto"/>
        <w:jc w:val="center"/>
        <w:rPr>
          <w:rFonts w:asciiTheme="majorBidi" w:hAnsiTheme="majorBidi" w:cstheme="majorBidi"/>
          <w:i/>
          <w:iCs/>
          <w:sz w:val="24"/>
          <w:szCs w:val="24"/>
        </w:rPr>
      </w:pPr>
    </w:p>
    <w:p w14:paraId="1911C9B3" w14:textId="77777777" w:rsidR="006405B7" w:rsidRDefault="006405B7" w:rsidP="006405B7">
      <w:pPr>
        <w:spacing w:line="480" w:lineRule="auto"/>
        <w:jc w:val="center"/>
        <w:rPr>
          <w:rFonts w:asciiTheme="majorBidi" w:hAnsiTheme="majorBidi" w:cstheme="majorBidi"/>
          <w:i/>
          <w:iCs/>
          <w:sz w:val="24"/>
          <w:szCs w:val="24"/>
        </w:rPr>
      </w:pPr>
    </w:p>
    <w:p w14:paraId="5A739DB6" w14:textId="77777777" w:rsidR="006405B7" w:rsidRDefault="006405B7" w:rsidP="006405B7">
      <w:pPr>
        <w:spacing w:line="480" w:lineRule="auto"/>
        <w:jc w:val="center"/>
        <w:rPr>
          <w:rFonts w:asciiTheme="majorBidi" w:hAnsiTheme="majorBidi" w:cstheme="majorBidi"/>
          <w:i/>
          <w:iCs/>
          <w:sz w:val="24"/>
          <w:szCs w:val="24"/>
        </w:rPr>
      </w:pPr>
    </w:p>
    <w:p w14:paraId="2076261C" w14:textId="77777777" w:rsidR="006405B7" w:rsidRDefault="006405B7" w:rsidP="006405B7">
      <w:pPr>
        <w:spacing w:line="480" w:lineRule="auto"/>
        <w:jc w:val="center"/>
        <w:rPr>
          <w:rFonts w:asciiTheme="majorBidi" w:hAnsiTheme="majorBidi" w:cstheme="majorBidi"/>
          <w:i/>
          <w:iCs/>
          <w:sz w:val="24"/>
          <w:szCs w:val="24"/>
        </w:rPr>
      </w:pPr>
    </w:p>
    <w:p w14:paraId="6FA0D596" w14:textId="77777777" w:rsidR="006405B7" w:rsidRDefault="006405B7" w:rsidP="006405B7">
      <w:pPr>
        <w:spacing w:line="480" w:lineRule="auto"/>
        <w:jc w:val="center"/>
        <w:rPr>
          <w:rFonts w:asciiTheme="majorBidi" w:hAnsiTheme="majorBidi" w:cstheme="majorBidi"/>
          <w:i/>
          <w:iCs/>
          <w:sz w:val="24"/>
          <w:szCs w:val="24"/>
        </w:rPr>
      </w:pPr>
    </w:p>
    <w:p w14:paraId="082EDE65" w14:textId="77777777" w:rsidR="006405B7" w:rsidRDefault="006405B7" w:rsidP="006405B7">
      <w:pPr>
        <w:spacing w:line="480" w:lineRule="auto"/>
        <w:jc w:val="center"/>
        <w:rPr>
          <w:rFonts w:asciiTheme="majorBidi" w:hAnsiTheme="majorBidi" w:cstheme="majorBidi"/>
          <w:i/>
          <w:iCs/>
          <w:sz w:val="24"/>
          <w:szCs w:val="24"/>
        </w:rPr>
      </w:pPr>
    </w:p>
    <w:p w14:paraId="091688C2" w14:textId="77777777" w:rsidR="006405B7" w:rsidRDefault="006405B7" w:rsidP="006405B7">
      <w:pPr>
        <w:spacing w:line="480" w:lineRule="auto"/>
        <w:jc w:val="center"/>
        <w:rPr>
          <w:rFonts w:asciiTheme="majorBidi" w:hAnsiTheme="majorBidi" w:cstheme="majorBidi"/>
          <w:i/>
          <w:iCs/>
          <w:sz w:val="24"/>
          <w:szCs w:val="24"/>
        </w:rPr>
      </w:pPr>
    </w:p>
    <w:p w14:paraId="40893991" w14:textId="77777777" w:rsidR="006405B7" w:rsidRDefault="006405B7" w:rsidP="006405B7">
      <w:pPr>
        <w:spacing w:line="480" w:lineRule="auto"/>
        <w:jc w:val="center"/>
        <w:rPr>
          <w:rFonts w:asciiTheme="majorBidi" w:hAnsiTheme="majorBidi" w:cstheme="majorBidi"/>
          <w:i/>
          <w:iCs/>
          <w:sz w:val="24"/>
          <w:szCs w:val="24"/>
        </w:rPr>
      </w:pPr>
    </w:p>
    <w:p w14:paraId="6B724744" w14:textId="77777777" w:rsidR="006405B7" w:rsidRDefault="006405B7" w:rsidP="006405B7">
      <w:pPr>
        <w:spacing w:line="480" w:lineRule="auto"/>
        <w:jc w:val="center"/>
        <w:rPr>
          <w:rFonts w:asciiTheme="majorBidi" w:hAnsiTheme="majorBidi" w:cstheme="majorBidi"/>
          <w:i/>
          <w:iCs/>
          <w:sz w:val="24"/>
          <w:szCs w:val="24"/>
        </w:rPr>
      </w:pPr>
    </w:p>
    <w:p w14:paraId="1A24E282" w14:textId="77777777" w:rsidR="006405B7" w:rsidRDefault="006405B7" w:rsidP="006405B7">
      <w:pPr>
        <w:spacing w:line="480" w:lineRule="auto"/>
        <w:jc w:val="center"/>
        <w:rPr>
          <w:rFonts w:asciiTheme="majorBidi" w:hAnsiTheme="majorBidi" w:cstheme="majorBidi"/>
          <w:i/>
          <w:iCs/>
          <w:sz w:val="24"/>
          <w:szCs w:val="24"/>
        </w:rPr>
      </w:pPr>
    </w:p>
    <w:p w14:paraId="141250CC" w14:textId="77777777" w:rsidR="006405B7" w:rsidRDefault="006405B7" w:rsidP="006405B7">
      <w:pPr>
        <w:spacing w:line="480" w:lineRule="auto"/>
        <w:jc w:val="center"/>
        <w:rPr>
          <w:rFonts w:asciiTheme="majorBidi" w:hAnsiTheme="majorBidi" w:cstheme="majorBidi"/>
          <w:i/>
          <w:iCs/>
          <w:sz w:val="24"/>
          <w:szCs w:val="24"/>
        </w:rPr>
      </w:pPr>
    </w:p>
    <w:p w14:paraId="1DB26519" w14:textId="77777777" w:rsidR="006405B7" w:rsidRDefault="006405B7" w:rsidP="006405B7">
      <w:pPr>
        <w:spacing w:line="480" w:lineRule="auto"/>
        <w:jc w:val="center"/>
        <w:rPr>
          <w:rFonts w:asciiTheme="majorBidi" w:hAnsiTheme="majorBidi" w:cstheme="majorBidi"/>
          <w:i/>
          <w:iCs/>
          <w:sz w:val="24"/>
          <w:szCs w:val="24"/>
        </w:rPr>
      </w:pPr>
    </w:p>
    <w:p w14:paraId="5FDD3264" w14:textId="77777777" w:rsidR="006405B7" w:rsidRDefault="006405B7" w:rsidP="006405B7">
      <w:pPr>
        <w:spacing w:line="480" w:lineRule="auto"/>
        <w:jc w:val="center"/>
        <w:rPr>
          <w:rFonts w:asciiTheme="majorBidi" w:hAnsiTheme="majorBidi" w:cstheme="majorBidi"/>
          <w:i/>
          <w:iCs/>
          <w:sz w:val="24"/>
          <w:szCs w:val="24"/>
        </w:rPr>
      </w:pPr>
    </w:p>
    <w:p w14:paraId="43E31D04" w14:textId="77777777" w:rsidR="006405B7" w:rsidRDefault="006405B7" w:rsidP="006405B7">
      <w:pPr>
        <w:spacing w:line="480" w:lineRule="auto"/>
        <w:jc w:val="center"/>
        <w:rPr>
          <w:rFonts w:asciiTheme="majorBidi" w:hAnsiTheme="majorBidi" w:cstheme="majorBidi"/>
          <w:i/>
          <w:iCs/>
          <w:sz w:val="24"/>
          <w:szCs w:val="24"/>
        </w:rPr>
      </w:pPr>
    </w:p>
    <w:p w14:paraId="7ADCF180" w14:textId="77777777" w:rsidR="006405B7" w:rsidRDefault="006405B7" w:rsidP="006405B7">
      <w:pPr>
        <w:spacing w:line="480" w:lineRule="auto"/>
        <w:jc w:val="center"/>
        <w:rPr>
          <w:rFonts w:asciiTheme="majorBidi" w:hAnsiTheme="majorBidi" w:cstheme="majorBidi"/>
          <w:i/>
          <w:iCs/>
          <w:sz w:val="24"/>
          <w:szCs w:val="24"/>
        </w:rPr>
      </w:pPr>
    </w:p>
    <w:p w14:paraId="0929AD8B" w14:textId="77777777" w:rsidR="006405B7" w:rsidRDefault="006405B7" w:rsidP="006405B7">
      <w:pPr>
        <w:spacing w:line="480" w:lineRule="auto"/>
        <w:jc w:val="center"/>
        <w:rPr>
          <w:rFonts w:asciiTheme="majorBidi" w:hAnsiTheme="majorBidi" w:cstheme="majorBidi"/>
          <w:i/>
          <w:iCs/>
          <w:sz w:val="24"/>
          <w:szCs w:val="24"/>
        </w:rPr>
      </w:pPr>
    </w:p>
    <w:p w14:paraId="1EF37282" w14:textId="77777777" w:rsidR="006405B7" w:rsidRDefault="006405B7" w:rsidP="006405B7">
      <w:pPr>
        <w:spacing w:line="480" w:lineRule="auto"/>
        <w:jc w:val="center"/>
        <w:rPr>
          <w:rFonts w:asciiTheme="majorBidi" w:hAnsiTheme="majorBidi" w:cstheme="majorBidi"/>
          <w:i/>
          <w:iCs/>
          <w:sz w:val="24"/>
          <w:szCs w:val="24"/>
        </w:rPr>
      </w:pPr>
    </w:p>
    <w:p w14:paraId="7C7CA3DD" w14:textId="77777777" w:rsidR="006405B7" w:rsidRDefault="006405B7" w:rsidP="006405B7">
      <w:pPr>
        <w:spacing w:line="480" w:lineRule="auto"/>
        <w:jc w:val="center"/>
        <w:rPr>
          <w:rFonts w:asciiTheme="majorBidi" w:hAnsiTheme="majorBidi" w:cstheme="majorBidi"/>
          <w:i/>
          <w:iCs/>
          <w:sz w:val="24"/>
          <w:szCs w:val="24"/>
        </w:rPr>
      </w:pPr>
    </w:p>
    <w:p w14:paraId="54A74FCB" w14:textId="77777777" w:rsidR="006405B7" w:rsidRDefault="006405B7" w:rsidP="006405B7">
      <w:pPr>
        <w:spacing w:line="480" w:lineRule="auto"/>
        <w:jc w:val="center"/>
        <w:rPr>
          <w:rFonts w:asciiTheme="majorBidi" w:hAnsiTheme="majorBidi" w:cstheme="majorBidi"/>
          <w:i/>
          <w:iCs/>
          <w:sz w:val="24"/>
          <w:szCs w:val="24"/>
        </w:rPr>
      </w:pPr>
    </w:p>
    <w:p w14:paraId="31ACF7FD" w14:textId="77777777" w:rsidR="006405B7" w:rsidRDefault="006405B7" w:rsidP="006405B7">
      <w:pPr>
        <w:spacing w:line="480" w:lineRule="auto"/>
        <w:jc w:val="center"/>
        <w:rPr>
          <w:rFonts w:asciiTheme="majorBidi" w:hAnsiTheme="majorBidi" w:cstheme="majorBidi"/>
          <w:i/>
          <w:iCs/>
          <w:sz w:val="24"/>
          <w:szCs w:val="24"/>
        </w:rPr>
      </w:pPr>
    </w:p>
    <w:p w14:paraId="53B26533" w14:textId="77777777" w:rsidR="006405B7" w:rsidRDefault="006405B7" w:rsidP="006405B7">
      <w:pPr>
        <w:spacing w:line="480" w:lineRule="auto"/>
        <w:jc w:val="center"/>
        <w:rPr>
          <w:rFonts w:asciiTheme="majorBidi" w:hAnsiTheme="majorBidi" w:cstheme="majorBidi"/>
          <w:i/>
          <w:iCs/>
          <w:sz w:val="24"/>
          <w:szCs w:val="24"/>
        </w:rPr>
      </w:pPr>
    </w:p>
    <w:p w14:paraId="7DE12985" w14:textId="77777777" w:rsidR="006405B7" w:rsidRDefault="006405B7" w:rsidP="006405B7">
      <w:pPr>
        <w:spacing w:line="480" w:lineRule="auto"/>
        <w:jc w:val="center"/>
        <w:rPr>
          <w:rFonts w:asciiTheme="majorBidi" w:hAnsiTheme="majorBidi" w:cstheme="majorBidi"/>
          <w:i/>
          <w:iCs/>
          <w:sz w:val="24"/>
          <w:szCs w:val="24"/>
        </w:rPr>
      </w:pPr>
    </w:p>
    <w:p w14:paraId="4202C4E8" w14:textId="77777777" w:rsidR="006405B7" w:rsidRDefault="006405B7" w:rsidP="006405B7">
      <w:pPr>
        <w:spacing w:line="480" w:lineRule="auto"/>
        <w:jc w:val="center"/>
        <w:rPr>
          <w:rFonts w:asciiTheme="majorBidi" w:hAnsiTheme="majorBidi" w:cstheme="majorBidi"/>
          <w:i/>
          <w:iCs/>
          <w:sz w:val="24"/>
          <w:szCs w:val="24"/>
        </w:rPr>
      </w:pPr>
    </w:p>
    <w:p w14:paraId="69C3F87D" w14:textId="77777777" w:rsidR="006405B7" w:rsidRDefault="006405B7" w:rsidP="006405B7">
      <w:pPr>
        <w:spacing w:line="480" w:lineRule="auto"/>
        <w:jc w:val="center"/>
        <w:rPr>
          <w:rFonts w:asciiTheme="majorBidi" w:hAnsiTheme="majorBidi" w:cstheme="majorBidi"/>
          <w:i/>
          <w:iCs/>
          <w:sz w:val="24"/>
          <w:szCs w:val="24"/>
        </w:rPr>
      </w:pPr>
    </w:p>
    <w:p w14:paraId="3B92DCC8" w14:textId="77777777" w:rsidR="00DD4FA2" w:rsidRDefault="00C30008" w:rsidP="006405B7">
      <w:pPr>
        <w:spacing w:line="480" w:lineRule="auto"/>
        <w:jc w:val="center"/>
        <w:rPr>
          <w:rFonts w:asciiTheme="majorBidi" w:hAnsiTheme="majorBidi" w:cstheme="majorBidi"/>
          <w:i/>
          <w:iCs/>
          <w:sz w:val="24"/>
          <w:szCs w:val="24"/>
        </w:rPr>
        <w:sectPr w:rsidR="00DD4FA2" w:rsidSect="00FE7EAF">
          <w:footnotePr>
            <w:numRestart w:val="eachSect"/>
          </w:footnotePr>
          <w:pgSz w:w="11906" w:h="16838"/>
          <w:pgMar w:top="1440" w:right="1440" w:bottom="1440" w:left="1440" w:header="708" w:footer="708" w:gutter="0"/>
          <w:pgNumType w:fmt="numberInDash"/>
          <w:cols w:space="708"/>
          <w:titlePg/>
          <w:docGrid w:linePitch="360"/>
        </w:sectPr>
      </w:pPr>
      <w:r w:rsidRPr="00C30008">
        <w:rPr>
          <w:rFonts w:asciiTheme="majorBidi" w:hAnsiTheme="majorBidi" w:cstheme="majorBidi"/>
          <w:i/>
          <w:iCs/>
          <w:sz w:val="24"/>
          <w:szCs w:val="24"/>
        </w:rPr>
        <w:t>(This page left intentionally blank)</w:t>
      </w:r>
    </w:p>
    <w:p w14:paraId="47F6C4F4" w14:textId="6A9A4696" w:rsidR="006405B7" w:rsidRDefault="006405B7" w:rsidP="006405B7">
      <w:pPr>
        <w:spacing w:line="480" w:lineRule="auto"/>
        <w:jc w:val="center"/>
        <w:rPr>
          <w:rFonts w:asciiTheme="majorBidi" w:hAnsiTheme="majorBidi" w:cstheme="majorBidi"/>
          <w:i/>
          <w:iCs/>
          <w:sz w:val="24"/>
          <w:szCs w:val="24"/>
        </w:rPr>
      </w:pPr>
    </w:p>
    <w:p w14:paraId="02EB7A39" w14:textId="77777777" w:rsidR="006405B7" w:rsidRDefault="006405B7">
      <w:pPr>
        <w:spacing w:line="240" w:lineRule="auto"/>
        <w:rPr>
          <w:rFonts w:asciiTheme="majorBidi" w:hAnsiTheme="majorBidi" w:cstheme="majorBidi"/>
          <w:i/>
          <w:iCs/>
          <w:sz w:val="24"/>
          <w:szCs w:val="24"/>
        </w:rPr>
      </w:pPr>
      <w:r>
        <w:rPr>
          <w:rFonts w:asciiTheme="majorBidi" w:hAnsiTheme="majorBidi" w:cstheme="majorBidi"/>
          <w:i/>
          <w:iCs/>
          <w:sz w:val="24"/>
          <w:szCs w:val="24"/>
        </w:rPr>
        <w:br w:type="page"/>
      </w:r>
    </w:p>
    <w:p w14:paraId="09091551" w14:textId="3D3D00FB" w:rsidR="009F32A6" w:rsidRPr="00505CF0" w:rsidRDefault="009F32A6" w:rsidP="00B9022C">
      <w:pPr>
        <w:jc w:val="center"/>
        <w:rPr>
          <w:rFonts w:asciiTheme="majorBidi" w:hAnsiTheme="majorBidi" w:cstheme="majorBidi"/>
          <w:sz w:val="36"/>
          <w:szCs w:val="36"/>
        </w:rPr>
      </w:pPr>
      <w:r w:rsidRPr="009F32A6">
        <w:rPr>
          <w:rFonts w:asciiTheme="majorBidi" w:hAnsiTheme="majorBidi" w:cstheme="majorBidi"/>
          <w:sz w:val="44"/>
          <w:szCs w:val="36"/>
        </w:rPr>
        <w:t>C</w:t>
      </w:r>
      <w:r w:rsidRPr="009F32A6">
        <w:rPr>
          <w:rFonts w:asciiTheme="majorBidi" w:hAnsiTheme="majorBidi" w:cstheme="majorBidi"/>
          <w:sz w:val="32"/>
          <w:szCs w:val="36"/>
        </w:rPr>
        <w:t>HAPTER</w:t>
      </w:r>
      <w:r>
        <w:rPr>
          <w:rFonts w:asciiTheme="majorBidi" w:hAnsiTheme="majorBidi" w:cstheme="majorBidi"/>
          <w:sz w:val="36"/>
          <w:szCs w:val="36"/>
        </w:rPr>
        <w:t xml:space="preserve"> </w:t>
      </w:r>
      <w:r w:rsidRPr="009F32A6">
        <w:rPr>
          <w:rFonts w:asciiTheme="majorBidi" w:hAnsiTheme="majorBidi" w:cstheme="majorBidi"/>
          <w:sz w:val="44"/>
          <w:szCs w:val="36"/>
        </w:rPr>
        <w:t>IV</w:t>
      </w:r>
      <w:r>
        <w:rPr>
          <w:rFonts w:asciiTheme="majorBidi" w:hAnsiTheme="majorBidi" w:cstheme="majorBidi"/>
          <w:sz w:val="36"/>
          <w:szCs w:val="36"/>
        </w:rPr>
        <w:t xml:space="preserve"> </w:t>
      </w:r>
      <w:r>
        <w:rPr>
          <w:rFonts w:asciiTheme="majorBidi" w:eastAsia="Times New Roman" w:hAnsiTheme="majorBidi" w:cstheme="majorBidi"/>
          <w:sz w:val="44"/>
          <w:szCs w:val="36"/>
          <w:lang w:eastAsia="en-US"/>
        </w:rPr>
        <w:t>– S</w:t>
      </w:r>
      <w:r w:rsidRPr="009F32A6">
        <w:rPr>
          <w:rFonts w:asciiTheme="majorBidi" w:eastAsia="Times New Roman" w:hAnsiTheme="majorBidi" w:cstheme="majorBidi"/>
          <w:sz w:val="32"/>
          <w:szCs w:val="36"/>
          <w:lang w:eastAsia="en-US"/>
        </w:rPr>
        <w:t>OUTHWARD</w:t>
      </w:r>
      <w:r>
        <w:rPr>
          <w:rFonts w:asciiTheme="majorBidi" w:eastAsia="Times New Roman" w:hAnsiTheme="majorBidi" w:cstheme="majorBidi"/>
          <w:sz w:val="44"/>
          <w:szCs w:val="36"/>
          <w:lang w:eastAsia="en-US"/>
        </w:rPr>
        <w:t xml:space="preserve"> V</w:t>
      </w:r>
      <w:r w:rsidRPr="009F32A6">
        <w:rPr>
          <w:rFonts w:asciiTheme="majorBidi" w:eastAsia="Times New Roman" w:hAnsiTheme="majorBidi" w:cstheme="majorBidi"/>
          <w:sz w:val="32"/>
          <w:szCs w:val="36"/>
          <w:lang w:eastAsia="en-US"/>
        </w:rPr>
        <w:t>S</w:t>
      </w:r>
      <w:r>
        <w:rPr>
          <w:rFonts w:asciiTheme="majorBidi" w:eastAsia="Times New Roman" w:hAnsiTheme="majorBidi" w:cstheme="majorBidi"/>
          <w:sz w:val="44"/>
          <w:szCs w:val="36"/>
          <w:lang w:eastAsia="en-US"/>
        </w:rPr>
        <w:t xml:space="preserve"> S</w:t>
      </w:r>
      <w:r w:rsidRPr="009F32A6">
        <w:rPr>
          <w:rFonts w:asciiTheme="majorBidi" w:eastAsia="Times New Roman" w:hAnsiTheme="majorBidi" w:cstheme="majorBidi"/>
          <w:sz w:val="32"/>
          <w:szCs w:val="36"/>
          <w:lang w:eastAsia="en-US"/>
        </w:rPr>
        <w:t>OUTHWARD</w:t>
      </w:r>
    </w:p>
    <w:p w14:paraId="61018A0D" w14:textId="2C6BE897" w:rsidR="00087184" w:rsidRPr="00505CF0" w:rsidRDefault="00087184" w:rsidP="004C3EE0">
      <w:pPr>
        <w:jc w:val="both"/>
        <w:rPr>
          <w:rFonts w:asciiTheme="majorBidi" w:hAnsiTheme="majorBidi" w:cstheme="majorBidi"/>
          <w:sz w:val="36"/>
          <w:szCs w:val="36"/>
        </w:rPr>
      </w:pPr>
    </w:p>
    <w:p w14:paraId="42C6C1B8" w14:textId="38BF3D96" w:rsidR="00087184" w:rsidRDefault="00087184" w:rsidP="004C3EE0">
      <w:pPr>
        <w:jc w:val="both"/>
        <w:rPr>
          <w:rFonts w:asciiTheme="majorBidi" w:hAnsiTheme="majorBidi" w:cstheme="majorBidi"/>
          <w:sz w:val="24"/>
          <w:szCs w:val="24"/>
        </w:rPr>
      </w:pPr>
    </w:p>
    <w:p w14:paraId="495342C7" w14:textId="77777777" w:rsidR="009A03C7" w:rsidRDefault="009A03C7" w:rsidP="004C3EE0">
      <w:pPr>
        <w:jc w:val="both"/>
        <w:rPr>
          <w:rFonts w:asciiTheme="majorBidi" w:hAnsiTheme="majorBidi" w:cstheme="majorBidi"/>
          <w:sz w:val="24"/>
          <w:szCs w:val="24"/>
        </w:rPr>
      </w:pPr>
    </w:p>
    <w:p w14:paraId="1A35B5CB" w14:textId="77777777" w:rsidR="009A03C7" w:rsidRDefault="009A03C7" w:rsidP="004C3EE0">
      <w:pPr>
        <w:jc w:val="both"/>
        <w:rPr>
          <w:rFonts w:asciiTheme="majorBidi" w:hAnsiTheme="majorBidi" w:cstheme="majorBidi"/>
          <w:sz w:val="24"/>
          <w:szCs w:val="24"/>
        </w:rPr>
      </w:pPr>
    </w:p>
    <w:p w14:paraId="198BFCFF" w14:textId="77777777" w:rsidR="009A03C7" w:rsidRDefault="009A03C7" w:rsidP="004C3EE0">
      <w:pPr>
        <w:jc w:val="both"/>
        <w:rPr>
          <w:rFonts w:asciiTheme="majorBidi" w:hAnsiTheme="majorBidi" w:cstheme="majorBidi"/>
          <w:sz w:val="24"/>
          <w:szCs w:val="24"/>
        </w:rPr>
      </w:pPr>
    </w:p>
    <w:p w14:paraId="2A758AB8" w14:textId="77777777" w:rsidR="009A03C7" w:rsidRDefault="009A03C7" w:rsidP="004C3EE0">
      <w:pPr>
        <w:jc w:val="both"/>
        <w:rPr>
          <w:rFonts w:asciiTheme="majorBidi" w:hAnsiTheme="majorBidi" w:cstheme="majorBidi"/>
          <w:sz w:val="24"/>
          <w:szCs w:val="24"/>
        </w:rPr>
      </w:pPr>
    </w:p>
    <w:p w14:paraId="7A5784A4" w14:textId="77777777" w:rsidR="009A03C7" w:rsidRDefault="009A03C7" w:rsidP="004C3EE0">
      <w:pPr>
        <w:jc w:val="both"/>
        <w:rPr>
          <w:rFonts w:asciiTheme="majorBidi" w:hAnsiTheme="majorBidi" w:cstheme="majorBidi"/>
          <w:sz w:val="24"/>
          <w:szCs w:val="24"/>
        </w:rPr>
      </w:pPr>
    </w:p>
    <w:p w14:paraId="2FA059EE" w14:textId="77777777" w:rsidR="009A03C7" w:rsidRDefault="009A03C7" w:rsidP="004C3EE0">
      <w:pPr>
        <w:jc w:val="both"/>
        <w:rPr>
          <w:rFonts w:asciiTheme="majorBidi" w:hAnsiTheme="majorBidi" w:cstheme="majorBidi"/>
          <w:sz w:val="24"/>
          <w:szCs w:val="24"/>
        </w:rPr>
      </w:pPr>
    </w:p>
    <w:p w14:paraId="35A6C1D9" w14:textId="77777777" w:rsidR="009A03C7" w:rsidRDefault="009A03C7" w:rsidP="004C3EE0">
      <w:pPr>
        <w:jc w:val="both"/>
        <w:rPr>
          <w:rFonts w:asciiTheme="majorBidi" w:hAnsiTheme="majorBidi" w:cstheme="majorBidi"/>
          <w:sz w:val="24"/>
          <w:szCs w:val="24"/>
        </w:rPr>
      </w:pPr>
    </w:p>
    <w:p w14:paraId="5967791F" w14:textId="77777777" w:rsidR="009A03C7" w:rsidRDefault="009A03C7" w:rsidP="004C3EE0">
      <w:pPr>
        <w:jc w:val="both"/>
        <w:rPr>
          <w:rFonts w:asciiTheme="majorBidi" w:hAnsiTheme="majorBidi" w:cstheme="majorBidi"/>
          <w:sz w:val="24"/>
          <w:szCs w:val="24"/>
        </w:rPr>
      </w:pPr>
    </w:p>
    <w:p w14:paraId="719E8B8D" w14:textId="77777777" w:rsidR="009A03C7" w:rsidRDefault="009A03C7" w:rsidP="004C3EE0">
      <w:pPr>
        <w:jc w:val="both"/>
        <w:rPr>
          <w:rFonts w:asciiTheme="majorBidi" w:hAnsiTheme="majorBidi" w:cstheme="majorBidi"/>
          <w:sz w:val="24"/>
          <w:szCs w:val="24"/>
        </w:rPr>
      </w:pPr>
    </w:p>
    <w:p w14:paraId="1BAA862D" w14:textId="77777777" w:rsidR="00C30008" w:rsidRDefault="00C30008" w:rsidP="004C3EE0">
      <w:pPr>
        <w:jc w:val="both"/>
        <w:rPr>
          <w:rFonts w:asciiTheme="majorBidi" w:hAnsiTheme="majorBidi" w:cstheme="majorBidi"/>
          <w:sz w:val="24"/>
          <w:szCs w:val="24"/>
        </w:rPr>
      </w:pPr>
    </w:p>
    <w:p w14:paraId="77EA284A" w14:textId="0AA8F5EA" w:rsidR="00C30008" w:rsidRDefault="00C30008" w:rsidP="009A03C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So we come at last to the gem amongst these undiscovered papers – Southward’s earliest (unpublished) work on metafiction. This critic need not remind his reader of the importance and malign effects of the genre over the past century, forced, as it was, to be the only form of creative production publishable under the Southwardian regime. </w:t>
      </w:r>
      <w:r w:rsidR="009A03C7">
        <w:rPr>
          <w:rFonts w:asciiTheme="majorBidi" w:hAnsiTheme="majorBidi" w:cstheme="majorBidi"/>
          <w:sz w:val="24"/>
          <w:szCs w:val="24"/>
        </w:rPr>
        <w:t xml:space="preserve">Nevertheless, it should prove of great interest to scholars that Southward here proposes a categorical separation and dissection of his beloved form, suggesting here two distinct sub-genres of metafiction: The Romantic and the Burlesque, the latter of which we have come to accept as the only acceptable method of publication despite, as will be shown, Southward’s own desire to seemingly </w:t>
      </w:r>
      <w:r w:rsidR="009A03C7">
        <w:rPr>
          <w:rFonts w:asciiTheme="majorBidi" w:hAnsiTheme="majorBidi" w:cstheme="majorBidi"/>
          <w:i/>
          <w:iCs/>
          <w:sz w:val="24"/>
          <w:szCs w:val="24"/>
        </w:rPr>
        <w:t>abandon this mode entirely!</w:t>
      </w:r>
    </w:p>
    <w:p w14:paraId="0EEEC2DD" w14:textId="4B02E68B" w:rsidR="009A03C7" w:rsidRDefault="009A03C7" w:rsidP="009A03C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A clear pet project of Southward, this chapter does provide an important pre-history of metafiction, an endeavour never seen until this point, though with Southward’s own bias clear throughout. A far from comprehensive list, but an interesting one nonetheless, I’m sure scholars will agree. The chapter begins with a discussion of the now nefarious mode, before a lengthy history (Southward’s so-called </w:t>
      </w:r>
      <w:r>
        <w:rPr>
          <w:rFonts w:asciiTheme="majorBidi" w:hAnsiTheme="majorBidi" w:cstheme="majorBidi"/>
          <w:i/>
          <w:iCs/>
          <w:sz w:val="24"/>
          <w:szCs w:val="24"/>
        </w:rPr>
        <w:t>Dark History</w:t>
      </w:r>
      <w:r>
        <w:rPr>
          <w:rFonts w:asciiTheme="majorBidi" w:hAnsiTheme="majorBidi" w:cstheme="majorBidi"/>
          <w:sz w:val="24"/>
          <w:szCs w:val="24"/>
        </w:rPr>
        <w:t>) of the form up until the early 21</w:t>
      </w:r>
      <w:r w:rsidRPr="009A03C7">
        <w:rPr>
          <w:rFonts w:asciiTheme="majorBidi" w:hAnsiTheme="majorBidi" w:cstheme="majorBidi"/>
          <w:sz w:val="24"/>
          <w:szCs w:val="24"/>
          <w:vertAlign w:val="superscript"/>
        </w:rPr>
        <w:t>st</w:t>
      </w:r>
      <w:r>
        <w:rPr>
          <w:rFonts w:asciiTheme="majorBidi" w:hAnsiTheme="majorBidi" w:cstheme="majorBidi"/>
          <w:sz w:val="24"/>
          <w:szCs w:val="24"/>
        </w:rPr>
        <w:t xml:space="preserve"> century and an analysis of certain contemporary examples of metafictional literature.</w:t>
      </w:r>
    </w:p>
    <w:p w14:paraId="1E98124D" w14:textId="5D0DD4F4" w:rsidR="009A03C7" w:rsidRPr="009A03C7" w:rsidRDefault="00D35560" w:rsidP="00D35560">
      <w:pPr>
        <w:spacing w:line="480" w:lineRule="auto"/>
        <w:jc w:val="right"/>
        <w:rPr>
          <w:rFonts w:asciiTheme="majorBidi" w:hAnsiTheme="majorBidi" w:cstheme="majorBidi"/>
          <w:sz w:val="24"/>
          <w:szCs w:val="24"/>
        </w:rPr>
      </w:pPr>
      <w:r w:rsidRPr="00505CF0">
        <w:rPr>
          <w:rFonts w:asciiTheme="majorBidi" w:eastAsia="Times New Roman" w:hAnsiTheme="majorBidi" w:cstheme="majorBidi"/>
          <w:sz w:val="32"/>
          <w:szCs w:val="32"/>
          <w:lang w:eastAsia="en-US"/>
        </w:rPr>
        <w:t>A</w:t>
      </w:r>
      <w:r w:rsidRPr="00505CF0">
        <w:rPr>
          <w:rFonts w:asciiTheme="majorBidi" w:eastAsia="Times New Roman" w:hAnsiTheme="majorBidi" w:cstheme="majorBidi"/>
          <w:sz w:val="24"/>
          <w:szCs w:val="24"/>
          <w:lang w:eastAsia="en-US"/>
        </w:rPr>
        <w:t>RCOT</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C.</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O</w:t>
      </w:r>
      <w:r w:rsidRPr="00505CF0">
        <w:rPr>
          <w:rFonts w:asciiTheme="majorBidi" w:eastAsia="Times New Roman" w:hAnsiTheme="majorBidi" w:cstheme="majorBidi"/>
          <w:sz w:val="24"/>
          <w:szCs w:val="24"/>
          <w:lang w:eastAsia="en-US"/>
        </w:rPr>
        <w:t>SBEORN</w:t>
      </w:r>
    </w:p>
    <w:p w14:paraId="473C1E79" w14:textId="77777777" w:rsidR="00C111D3" w:rsidRPr="00505CF0" w:rsidRDefault="00C111D3" w:rsidP="009A03C7">
      <w:pPr>
        <w:spacing w:line="480" w:lineRule="auto"/>
        <w:jc w:val="both"/>
        <w:rPr>
          <w:rFonts w:asciiTheme="majorBidi" w:hAnsiTheme="majorBidi" w:cstheme="majorBidi"/>
          <w:b/>
          <w:sz w:val="32"/>
          <w:szCs w:val="32"/>
          <w:u w:val="single"/>
        </w:rPr>
      </w:pPr>
    </w:p>
    <w:p w14:paraId="15E6B275" w14:textId="77777777" w:rsidR="00784DB4" w:rsidRPr="00505CF0" w:rsidRDefault="00784DB4">
      <w:pPr>
        <w:spacing w:line="240" w:lineRule="auto"/>
        <w:rPr>
          <w:rFonts w:asciiTheme="majorBidi" w:hAnsiTheme="majorBidi" w:cstheme="majorBidi"/>
          <w:b/>
          <w:sz w:val="32"/>
          <w:szCs w:val="32"/>
          <w:u w:val="single"/>
        </w:rPr>
      </w:pPr>
      <w:r w:rsidRPr="00505CF0">
        <w:rPr>
          <w:rFonts w:asciiTheme="majorBidi" w:hAnsiTheme="majorBidi" w:cstheme="majorBidi"/>
          <w:b/>
          <w:sz w:val="32"/>
          <w:szCs w:val="32"/>
          <w:u w:val="single"/>
        </w:rPr>
        <w:br w:type="page"/>
      </w:r>
    </w:p>
    <w:p w14:paraId="6869D1E9" w14:textId="2CC79ED1" w:rsidR="00C111D3" w:rsidRPr="00E37E3E" w:rsidRDefault="00E37E3E" w:rsidP="00E37E3E">
      <w:pPr>
        <w:jc w:val="center"/>
        <w:rPr>
          <w:rFonts w:asciiTheme="majorBidi" w:hAnsiTheme="majorBidi" w:cstheme="majorBidi"/>
          <w:b/>
          <w:sz w:val="32"/>
          <w:szCs w:val="32"/>
        </w:rPr>
      </w:pPr>
      <w:r w:rsidRPr="00E37E3E">
        <w:rPr>
          <w:rFonts w:asciiTheme="majorBidi" w:hAnsiTheme="majorBidi" w:cstheme="majorBidi"/>
          <w:b/>
          <w:sz w:val="36"/>
          <w:szCs w:val="36"/>
        </w:rPr>
        <w:t>T</w:t>
      </w:r>
      <w:r w:rsidRPr="00E37E3E">
        <w:rPr>
          <w:rFonts w:asciiTheme="majorBidi" w:hAnsiTheme="majorBidi" w:cstheme="majorBidi"/>
          <w:b/>
          <w:sz w:val="28"/>
          <w:szCs w:val="28"/>
        </w:rPr>
        <w:t xml:space="preserve">HE </w:t>
      </w:r>
      <w:r w:rsidRPr="00E37E3E">
        <w:rPr>
          <w:rFonts w:asciiTheme="majorBidi" w:hAnsiTheme="majorBidi" w:cstheme="majorBidi"/>
          <w:b/>
          <w:sz w:val="36"/>
          <w:szCs w:val="36"/>
        </w:rPr>
        <w:t>D</w:t>
      </w:r>
      <w:r w:rsidRPr="00E37E3E">
        <w:rPr>
          <w:rFonts w:asciiTheme="majorBidi" w:hAnsiTheme="majorBidi" w:cstheme="majorBidi"/>
          <w:b/>
          <w:sz w:val="28"/>
          <w:szCs w:val="28"/>
        </w:rPr>
        <w:t xml:space="preserve">ARK </w:t>
      </w:r>
      <w:r w:rsidRPr="00E37E3E">
        <w:rPr>
          <w:rFonts w:asciiTheme="majorBidi" w:hAnsiTheme="majorBidi" w:cstheme="majorBidi"/>
          <w:b/>
          <w:sz w:val="36"/>
          <w:szCs w:val="36"/>
        </w:rPr>
        <w:t>H</w:t>
      </w:r>
      <w:r w:rsidRPr="00E37E3E">
        <w:rPr>
          <w:rFonts w:asciiTheme="majorBidi" w:hAnsiTheme="majorBidi" w:cstheme="majorBidi"/>
          <w:b/>
          <w:sz w:val="28"/>
          <w:szCs w:val="28"/>
        </w:rPr>
        <w:t xml:space="preserve">ISTORY OF THE </w:t>
      </w:r>
      <w:r w:rsidRPr="00E37E3E">
        <w:rPr>
          <w:rFonts w:asciiTheme="majorBidi" w:hAnsiTheme="majorBidi" w:cstheme="majorBidi"/>
          <w:b/>
          <w:sz w:val="36"/>
          <w:szCs w:val="36"/>
        </w:rPr>
        <w:t>N</w:t>
      </w:r>
      <w:r w:rsidRPr="00E37E3E">
        <w:rPr>
          <w:rFonts w:asciiTheme="majorBidi" w:hAnsiTheme="majorBidi" w:cstheme="majorBidi"/>
          <w:b/>
          <w:sz w:val="28"/>
          <w:szCs w:val="28"/>
        </w:rPr>
        <w:t xml:space="preserve">OVEL; </w:t>
      </w:r>
      <w:r w:rsidRPr="00E37E3E">
        <w:rPr>
          <w:rFonts w:asciiTheme="majorBidi" w:hAnsiTheme="majorBidi" w:cstheme="majorBidi"/>
          <w:b/>
          <w:sz w:val="36"/>
          <w:szCs w:val="36"/>
        </w:rPr>
        <w:t>A</w:t>
      </w:r>
      <w:r w:rsidRPr="00E37E3E">
        <w:rPr>
          <w:rFonts w:asciiTheme="majorBidi" w:hAnsiTheme="majorBidi" w:cstheme="majorBidi"/>
          <w:b/>
          <w:sz w:val="28"/>
          <w:szCs w:val="28"/>
        </w:rPr>
        <w:t xml:space="preserve">N </w:t>
      </w:r>
      <w:r w:rsidRPr="00E37E3E">
        <w:rPr>
          <w:rFonts w:asciiTheme="majorBidi" w:hAnsiTheme="majorBidi" w:cstheme="majorBidi"/>
          <w:b/>
          <w:sz w:val="36"/>
          <w:szCs w:val="36"/>
        </w:rPr>
        <w:t>E</w:t>
      </w:r>
      <w:r w:rsidRPr="00E37E3E">
        <w:rPr>
          <w:rFonts w:asciiTheme="majorBidi" w:hAnsiTheme="majorBidi" w:cstheme="majorBidi"/>
          <w:b/>
          <w:sz w:val="28"/>
          <w:szCs w:val="28"/>
        </w:rPr>
        <w:t xml:space="preserve">XPLORATION OF THE </w:t>
      </w:r>
      <w:r w:rsidRPr="00E37E3E">
        <w:rPr>
          <w:rFonts w:asciiTheme="majorBidi" w:hAnsiTheme="majorBidi" w:cstheme="majorBidi"/>
          <w:b/>
          <w:sz w:val="36"/>
          <w:szCs w:val="36"/>
        </w:rPr>
        <w:t>M</w:t>
      </w:r>
      <w:r w:rsidRPr="00E37E3E">
        <w:rPr>
          <w:rFonts w:asciiTheme="majorBidi" w:hAnsiTheme="majorBidi" w:cstheme="majorBidi"/>
          <w:b/>
          <w:sz w:val="28"/>
          <w:szCs w:val="28"/>
        </w:rPr>
        <w:t xml:space="preserve">ETAFICTIONAL </w:t>
      </w:r>
      <w:r w:rsidRPr="00E37E3E">
        <w:rPr>
          <w:rFonts w:asciiTheme="majorBidi" w:hAnsiTheme="majorBidi" w:cstheme="majorBidi"/>
          <w:b/>
          <w:sz w:val="36"/>
          <w:szCs w:val="36"/>
        </w:rPr>
        <w:t>I</w:t>
      </w:r>
      <w:r w:rsidRPr="00E37E3E">
        <w:rPr>
          <w:rFonts w:asciiTheme="majorBidi" w:hAnsiTheme="majorBidi" w:cstheme="majorBidi"/>
          <w:b/>
          <w:sz w:val="28"/>
          <w:szCs w:val="28"/>
        </w:rPr>
        <w:t xml:space="preserve">MPERATIVE IN </w:t>
      </w:r>
      <w:r w:rsidRPr="00E37E3E">
        <w:rPr>
          <w:rFonts w:asciiTheme="majorBidi" w:hAnsiTheme="majorBidi" w:cstheme="majorBidi"/>
          <w:b/>
          <w:sz w:val="36"/>
          <w:szCs w:val="36"/>
        </w:rPr>
        <w:t>L</w:t>
      </w:r>
      <w:r w:rsidRPr="00E37E3E">
        <w:rPr>
          <w:rFonts w:asciiTheme="majorBidi" w:hAnsiTheme="majorBidi" w:cstheme="majorBidi"/>
          <w:b/>
          <w:sz w:val="28"/>
          <w:szCs w:val="28"/>
        </w:rPr>
        <w:t>ITERATURE</w:t>
      </w:r>
      <w:r w:rsidR="00C111D3" w:rsidRPr="00E37E3E">
        <w:rPr>
          <w:rStyle w:val="FootnoteReference"/>
          <w:rFonts w:asciiTheme="majorBidi" w:hAnsiTheme="majorBidi" w:cstheme="majorBidi"/>
          <w:b/>
          <w:sz w:val="32"/>
          <w:szCs w:val="32"/>
        </w:rPr>
        <w:footnoteReference w:id="628"/>
      </w:r>
    </w:p>
    <w:p w14:paraId="3EA6BC33" w14:textId="00673C0D" w:rsidR="00C111D3" w:rsidRDefault="00C111D3" w:rsidP="004C3EE0">
      <w:pPr>
        <w:jc w:val="both"/>
        <w:rPr>
          <w:rFonts w:asciiTheme="majorBidi" w:hAnsiTheme="majorBidi" w:cstheme="majorBidi"/>
          <w:b/>
          <w:u w:val="single"/>
        </w:rPr>
      </w:pPr>
    </w:p>
    <w:p w14:paraId="0C3E468C" w14:textId="77777777" w:rsidR="00E37E3E" w:rsidRPr="00505CF0" w:rsidRDefault="00E37E3E" w:rsidP="004C3EE0">
      <w:pPr>
        <w:jc w:val="both"/>
        <w:rPr>
          <w:rFonts w:asciiTheme="majorBidi" w:hAnsiTheme="majorBidi" w:cstheme="majorBidi"/>
          <w:b/>
          <w:u w:val="single"/>
        </w:rPr>
      </w:pPr>
    </w:p>
    <w:p w14:paraId="1377713A" w14:textId="70FC3A42" w:rsidR="007F76EF" w:rsidRPr="00505CF0" w:rsidRDefault="007F76EF" w:rsidP="004C3EE0">
      <w:pPr>
        <w:jc w:val="both"/>
        <w:rPr>
          <w:rFonts w:asciiTheme="majorBidi" w:hAnsiTheme="majorBidi" w:cstheme="majorBidi"/>
          <w:b/>
          <w:u w:val="single"/>
        </w:rPr>
      </w:pPr>
    </w:p>
    <w:p w14:paraId="1D8EC13A" w14:textId="77777777" w:rsidR="00C111D3" w:rsidRPr="00505CF0" w:rsidRDefault="00C111D3" w:rsidP="004C3EE0">
      <w:pPr>
        <w:jc w:val="both"/>
        <w:rPr>
          <w:rFonts w:asciiTheme="majorBidi" w:hAnsiTheme="majorBidi" w:cstheme="majorBidi"/>
          <w:b/>
          <w:sz w:val="32"/>
          <w:szCs w:val="32"/>
        </w:rPr>
      </w:pPr>
      <w:r w:rsidRPr="00505CF0">
        <w:rPr>
          <w:rFonts w:asciiTheme="majorBidi" w:hAnsiTheme="majorBidi" w:cstheme="majorBidi"/>
          <w:b/>
          <w:sz w:val="32"/>
          <w:szCs w:val="32"/>
        </w:rPr>
        <w:t xml:space="preserve">1. </w:t>
      </w:r>
      <w:r w:rsidRPr="00505CF0">
        <w:rPr>
          <w:rFonts w:asciiTheme="majorBidi" w:hAnsiTheme="majorBidi" w:cstheme="majorBidi"/>
          <w:b/>
          <w:sz w:val="32"/>
          <w:szCs w:val="32"/>
        </w:rPr>
        <w:tab/>
        <w:t>Metafictional Post-Postmodern Post-Mortem</w:t>
      </w:r>
    </w:p>
    <w:p w14:paraId="0897999A" w14:textId="77777777" w:rsidR="00C111D3" w:rsidRPr="00505CF0" w:rsidRDefault="00C111D3" w:rsidP="004C3EE0">
      <w:pPr>
        <w:jc w:val="both"/>
        <w:rPr>
          <w:rFonts w:asciiTheme="majorBidi" w:hAnsiTheme="majorBidi" w:cstheme="majorBidi"/>
          <w:b/>
          <w:u w:val="single"/>
        </w:rPr>
      </w:pPr>
    </w:p>
    <w:p w14:paraId="3AEC6005" w14:textId="77777777" w:rsidR="00C111D3" w:rsidRPr="00505CF0" w:rsidRDefault="00C111D3" w:rsidP="004C3EE0">
      <w:pPr>
        <w:jc w:val="both"/>
        <w:rPr>
          <w:rFonts w:asciiTheme="majorBidi" w:hAnsiTheme="majorBidi" w:cstheme="majorBidi"/>
          <w:b/>
          <w:u w:val="single"/>
        </w:rPr>
      </w:pPr>
    </w:p>
    <w:p w14:paraId="192C66B4" w14:textId="77777777" w:rsidR="00C111D3" w:rsidRPr="00505CF0" w:rsidRDefault="00C111D3" w:rsidP="00756A48">
      <w:pPr>
        <w:jc w:val="right"/>
        <w:rPr>
          <w:rFonts w:asciiTheme="majorBidi" w:hAnsiTheme="majorBidi" w:cstheme="majorBidi"/>
          <w:i/>
          <w:sz w:val="24"/>
          <w:szCs w:val="24"/>
        </w:rPr>
      </w:pPr>
      <w:r w:rsidRPr="00505CF0">
        <w:rPr>
          <w:rFonts w:asciiTheme="majorBidi" w:hAnsiTheme="majorBidi" w:cstheme="majorBidi"/>
          <w:i/>
          <w:sz w:val="24"/>
          <w:szCs w:val="24"/>
        </w:rPr>
        <w:t>Metafiction, for its time, was nothing more than a poignant hybrid of its own theoretical foe, realism: if realism called it like it saw it, metafiction simply called it as it saw itself seeing itself see it.</w:t>
      </w:r>
    </w:p>
    <w:p w14:paraId="576CB46C" w14:textId="77777777" w:rsidR="00C111D3" w:rsidRPr="00505CF0" w:rsidRDefault="00C111D3" w:rsidP="00756A48">
      <w:pPr>
        <w:jc w:val="right"/>
        <w:rPr>
          <w:rFonts w:asciiTheme="majorBidi" w:hAnsiTheme="majorBidi" w:cstheme="majorBidi"/>
          <w:i/>
          <w:sz w:val="24"/>
          <w:szCs w:val="24"/>
        </w:rPr>
      </w:pPr>
      <w:r w:rsidRPr="00505CF0">
        <w:rPr>
          <w:rFonts w:asciiTheme="majorBidi" w:hAnsiTheme="majorBidi" w:cstheme="majorBidi"/>
          <w:i/>
          <w:sz w:val="24"/>
          <w:szCs w:val="24"/>
        </w:rPr>
        <w:t>-David Foster Wallace-</w:t>
      </w:r>
      <w:r w:rsidRPr="00505CF0">
        <w:rPr>
          <w:rStyle w:val="FootnoteReference"/>
          <w:rFonts w:asciiTheme="majorBidi" w:hAnsiTheme="majorBidi" w:cstheme="majorBidi"/>
          <w:i/>
          <w:sz w:val="24"/>
          <w:szCs w:val="24"/>
        </w:rPr>
        <w:footnoteReference w:id="629"/>
      </w:r>
    </w:p>
    <w:p w14:paraId="00527372" w14:textId="77777777" w:rsidR="00C111D3" w:rsidRPr="00505CF0" w:rsidRDefault="00C111D3" w:rsidP="00756A48">
      <w:pPr>
        <w:jc w:val="right"/>
        <w:rPr>
          <w:rFonts w:asciiTheme="majorBidi" w:hAnsiTheme="majorBidi" w:cstheme="majorBidi"/>
          <w:i/>
          <w:sz w:val="24"/>
          <w:szCs w:val="24"/>
        </w:rPr>
      </w:pPr>
    </w:p>
    <w:p w14:paraId="76239894" w14:textId="77777777" w:rsidR="00C111D3" w:rsidRPr="00505CF0" w:rsidRDefault="00C111D3" w:rsidP="00756A48">
      <w:pPr>
        <w:jc w:val="right"/>
        <w:rPr>
          <w:rFonts w:asciiTheme="majorBidi" w:hAnsiTheme="majorBidi" w:cstheme="majorBidi"/>
          <w:i/>
          <w:sz w:val="24"/>
          <w:szCs w:val="24"/>
        </w:rPr>
      </w:pPr>
      <w:r w:rsidRPr="00505CF0">
        <w:rPr>
          <w:rFonts w:asciiTheme="majorBidi" w:hAnsiTheme="majorBidi" w:cstheme="majorBidi"/>
          <w:i/>
          <w:sz w:val="24"/>
          <w:szCs w:val="24"/>
        </w:rPr>
        <w:t>He wants to lock me into this violence, to ensure I will never talk. I can feel the locks, clicking shut. I get up […] hoping for an unseen plot twist to get me out of here.</w:t>
      </w:r>
    </w:p>
    <w:p w14:paraId="4EA16080" w14:textId="41042A20" w:rsidR="00C111D3" w:rsidRPr="00505CF0" w:rsidRDefault="00C111D3" w:rsidP="00756A48">
      <w:pPr>
        <w:jc w:val="right"/>
        <w:rPr>
          <w:rFonts w:asciiTheme="majorBidi" w:hAnsiTheme="majorBidi" w:cstheme="majorBidi"/>
          <w:i/>
          <w:sz w:val="24"/>
          <w:szCs w:val="24"/>
        </w:rPr>
      </w:pPr>
      <w:r w:rsidRPr="00505CF0">
        <w:rPr>
          <w:rFonts w:asciiTheme="majorBidi" w:hAnsiTheme="majorBidi" w:cstheme="majorBidi"/>
          <w:i/>
          <w:sz w:val="24"/>
          <w:szCs w:val="24"/>
        </w:rPr>
        <w:t>-David Mitchel</w:t>
      </w:r>
      <w:r w:rsidR="00756A48">
        <w:rPr>
          <w:rFonts w:asciiTheme="majorBidi" w:hAnsiTheme="majorBidi" w:cstheme="majorBidi"/>
          <w:i/>
          <w:sz w:val="24"/>
          <w:szCs w:val="24"/>
        </w:rPr>
        <w:t>l</w:t>
      </w:r>
      <w:r w:rsidRPr="00505CF0">
        <w:rPr>
          <w:rFonts w:asciiTheme="majorBidi" w:hAnsiTheme="majorBidi" w:cstheme="majorBidi"/>
          <w:i/>
          <w:sz w:val="24"/>
          <w:szCs w:val="24"/>
        </w:rPr>
        <w:t>-</w:t>
      </w:r>
      <w:r w:rsidRPr="00505CF0">
        <w:rPr>
          <w:rStyle w:val="FootnoteReference"/>
          <w:rFonts w:asciiTheme="majorBidi" w:hAnsiTheme="majorBidi" w:cstheme="majorBidi"/>
          <w:i/>
          <w:sz w:val="24"/>
          <w:szCs w:val="24"/>
        </w:rPr>
        <w:footnoteReference w:id="630"/>
      </w:r>
    </w:p>
    <w:p w14:paraId="1FFFE498" w14:textId="77777777" w:rsidR="00C111D3" w:rsidRPr="00505CF0" w:rsidRDefault="00C111D3" w:rsidP="004C3EE0">
      <w:pPr>
        <w:jc w:val="both"/>
        <w:rPr>
          <w:rFonts w:asciiTheme="majorBidi" w:hAnsiTheme="majorBidi" w:cstheme="majorBidi"/>
          <w:i/>
          <w:sz w:val="24"/>
          <w:szCs w:val="24"/>
        </w:rPr>
      </w:pPr>
    </w:p>
    <w:p w14:paraId="36F169BF" w14:textId="77777777" w:rsidR="00C111D3" w:rsidRPr="00505CF0" w:rsidRDefault="00C111D3" w:rsidP="004C3EE0">
      <w:pPr>
        <w:jc w:val="both"/>
        <w:rPr>
          <w:rFonts w:asciiTheme="majorBidi" w:hAnsiTheme="majorBidi" w:cstheme="majorBidi"/>
          <w:sz w:val="24"/>
          <w:szCs w:val="24"/>
        </w:rPr>
      </w:pPr>
    </w:p>
    <w:p w14:paraId="667285A6" w14:textId="37A7CFC5" w:rsidR="00C111D3" w:rsidRPr="00505CF0" w:rsidRDefault="00C111D3" w:rsidP="00756A48">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Metafiction, the ‘theory and practice of self-conscious fiction,’</w:t>
      </w:r>
      <w:r w:rsidRPr="00505CF0">
        <w:rPr>
          <w:rStyle w:val="FootnoteReference"/>
          <w:rFonts w:asciiTheme="majorBidi" w:hAnsiTheme="majorBidi" w:cstheme="majorBidi"/>
          <w:sz w:val="24"/>
          <w:szCs w:val="24"/>
        </w:rPr>
        <w:footnoteReference w:id="631"/>
      </w:r>
      <w:r w:rsidR="00756A48">
        <w:rPr>
          <w:rFonts w:asciiTheme="majorBidi" w:hAnsiTheme="majorBidi" w:cstheme="majorBidi"/>
          <w:sz w:val="24"/>
          <w:szCs w:val="24"/>
        </w:rPr>
        <w:t xml:space="preserve"> is currently undergoing something of a slow and drawn out-</w:t>
      </w:r>
      <w:r w:rsidRPr="00505CF0">
        <w:rPr>
          <w:rFonts w:asciiTheme="majorBidi" w:hAnsiTheme="majorBidi" w:cstheme="majorBidi"/>
          <w:sz w:val="24"/>
          <w:szCs w:val="24"/>
        </w:rPr>
        <w:t xml:space="preserve">death. Certainly, there has been no significant criticism on the topic since the beginning of the </w:t>
      </w:r>
      <w:r w:rsidR="00756A48">
        <w:rPr>
          <w:rFonts w:asciiTheme="majorBidi" w:hAnsiTheme="majorBidi" w:cstheme="majorBidi"/>
          <w:sz w:val="24"/>
          <w:szCs w:val="24"/>
        </w:rPr>
        <w:t>1990s</w:t>
      </w:r>
      <w:r w:rsidRPr="00505CF0">
        <w:rPr>
          <w:rFonts w:asciiTheme="majorBidi" w:hAnsiTheme="majorBidi" w:cstheme="majorBidi"/>
          <w:sz w:val="24"/>
          <w:szCs w:val="24"/>
        </w:rPr>
        <w:t xml:space="preserve">, despite the overwhelming prevalence of metafictional practices evident in </w:t>
      </w:r>
      <w:r w:rsidR="00DB5001">
        <w:rPr>
          <w:rFonts w:asciiTheme="majorBidi" w:hAnsiTheme="majorBidi" w:cstheme="majorBidi"/>
          <w:sz w:val="24"/>
          <w:szCs w:val="24"/>
        </w:rPr>
        <w:t>such current literary productio</w:t>
      </w:r>
      <w:r w:rsidR="0072237D">
        <w:rPr>
          <w:rFonts w:asciiTheme="majorBidi" w:hAnsiTheme="majorBidi" w:cstheme="majorBidi"/>
          <w:sz w:val="24"/>
          <w:szCs w:val="24"/>
        </w:rPr>
        <w:t>n</w:t>
      </w:r>
      <w:r w:rsidR="00DB5001">
        <w:rPr>
          <w:rFonts w:asciiTheme="majorBidi" w:hAnsiTheme="majorBidi" w:cstheme="majorBidi"/>
          <w:sz w:val="24"/>
          <w:szCs w:val="24"/>
        </w:rPr>
        <w:t>s</w:t>
      </w:r>
      <w:r w:rsidRPr="00505CF0">
        <w:rPr>
          <w:rFonts w:asciiTheme="majorBidi" w:hAnsiTheme="majorBidi" w:cstheme="majorBidi"/>
          <w:sz w:val="24"/>
          <w:szCs w:val="24"/>
        </w:rPr>
        <w:t xml:space="preserve"> as </w:t>
      </w:r>
      <w:r w:rsidRPr="00505CF0">
        <w:rPr>
          <w:rFonts w:asciiTheme="majorBidi" w:hAnsiTheme="majorBidi" w:cstheme="majorBidi"/>
          <w:i/>
          <w:sz w:val="24"/>
          <w:szCs w:val="24"/>
        </w:rPr>
        <w:t xml:space="preserve">S, Gould’s Book of Fish, The Fifty-Year Sword, Bats of the Republic, </w:t>
      </w:r>
      <w:r w:rsidRPr="00505CF0">
        <w:rPr>
          <w:rFonts w:asciiTheme="majorBidi" w:hAnsiTheme="majorBidi" w:cstheme="majorBidi"/>
          <w:sz w:val="24"/>
          <w:szCs w:val="24"/>
        </w:rPr>
        <w:t>and</w:t>
      </w:r>
      <w:r w:rsidRPr="00505CF0">
        <w:rPr>
          <w:rFonts w:asciiTheme="majorBidi" w:hAnsiTheme="majorBidi" w:cstheme="majorBidi"/>
          <w:i/>
          <w:sz w:val="24"/>
          <w:szCs w:val="24"/>
        </w:rPr>
        <w:t xml:space="preserve"> Horrorstör</w:t>
      </w:r>
      <w:r w:rsidRPr="00505CF0">
        <w:rPr>
          <w:rFonts w:asciiTheme="majorBidi" w:hAnsiTheme="majorBidi" w:cstheme="majorBidi"/>
          <w:sz w:val="24"/>
          <w:szCs w:val="24"/>
        </w:rPr>
        <w:t xml:space="preserve"> (among myriad others). How to properly </w:t>
      </w:r>
      <w:r w:rsidR="009133A6">
        <w:rPr>
          <w:rFonts w:asciiTheme="majorBidi" w:hAnsiTheme="majorBidi" w:cstheme="majorBidi"/>
          <w:sz w:val="24"/>
          <w:szCs w:val="24"/>
        </w:rPr>
        <w:t>explain</w:t>
      </w:r>
      <w:r w:rsidRPr="00505CF0">
        <w:rPr>
          <w:rFonts w:asciiTheme="majorBidi" w:hAnsiTheme="majorBidi" w:cstheme="majorBidi"/>
          <w:sz w:val="24"/>
          <w:szCs w:val="24"/>
        </w:rPr>
        <w:t xml:space="preserve"> this decline in critical analysis, then, especially with the current explosion of awareness of the term?</w:t>
      </w:r>
      <w:r w:rsidRPr="00505CF0">
        <w:rPr>
          <w:rStyle w:val="FootnoteReference"/>
          <w:rFonts w:asciiTheme="majorBidi" w:hAnsiTheme="majorBidi" w:cstheme="majorBidi"/>
          <w:sz w:val="24"/>
          <w:szCs w:val="24"/>
        </w:rPr>
        <w:footnoteReference w:id="632"/>
      </w:r>
      <w:r w:rsidRPr="00505CF0">
        <w:rPr>
          <w:rFonts w:asciiTheme="majorBidi" w:hAnsiTheme="majorBidi" w:cstheme="majorBidi"/>
          <w:sz w:val="24"/>
          <w:szCs w:val="24"/>
        </w:rPr>
        <w:t xml:space="preserve"> In order to address this, we shall here examine metafiction as a whole, exploring the dark hidden history of the novel, in order to establish a critical background of the critiquing form before examining post-postmodern examples of the genre. The aim here is not to give a complete and exhaustive analysis of every text and ideological development in this long-standing tradition, with a canon that can be said to reach back to </w:t>
      </w:r>
      <w:r w:rsidRPr="00505CF0">
        <w:rPr>
          <w:rFonts w:asciiTheme="majorBidi" w:hAnsiTheme="majorBidi" w:cstheme="majorBidi"/>
          <w:i/>
          <w:sz w:val="24"/>
          <w:szCs w:val="24"/>
        </w:rPr>
        <w:t>The Canterbury Tales</w:t>
      </w:r>
      <w:r w:rsidRPr="00505CF0">
        <w:rPr>
          <w:rFonts w:asciiTheme="majorBidi" w:hAnsiTheme="majorBidi" w:cstheme="majorBidi"/>
          <w:sz w:val="24"/>
          <w:szCs w:val="24"/>
        </w:rPr>
        <w:t xml:space="preserve">. For that, we have our </w:t>
      </w:r>
      <w:r w:rsidR="0060139B">
        <w:rPr>
          <w:rFonts w:asciiTheme="majorBidi" w:hAnsiTheme="majorBidi" w:cstheme="majorBidi"/>
          <w:sz w:val="24"/>
          <w:szCs w:val="24"/>
        </w:rPr>
        <w:t xml:space="preserve">Patricia </w:t>
      </w:r>
      <w:r w:rsidRPr="00505CF0">
        <w:rPr>
          <w:rFonts w:asciiTheme="majorBidi" w:hAnsiTheme="majorBidi" w:cstheme="majorBidi"/>
          <w:sz w:val="24"/>
          <w:szCs w:val="24"/>
        </w:rPr>
        <w:t xml:space="preserve">Waugh and </w:t>
      </w:r>
      <w:r w:rsidR="0060139B">
        <w:rPr>
          <w:rFonts w:asciiTheme="majorBidi" w:hAnsiTheme="majorBidi" w:cstheme="majorBidi"/>
          <w:sz w:val="24"/>
          <w:szCs w:val="24"/>
        </w:rPr>
        <w:t xml:space="preserve">Mark </w:t>
      </w:r>
      <w:r w:rsidRPr="00505CF0">
        <w:rPr>
          <w:rFonts w:asciiTheme="majorBidi" w:hAnsiTheme="majorBidi" w:cstheme="majorBidi"/>
          <w:sz w:val="24"/>
          <w:szCs w:val="24"/>
        </w:rPr>
        <w:t xml:space="preserve">Currie. Rather, here shall be provided an over-arching, more general context of the form and its developments as a basis and precursor to the discussion of contemporary developments in a largely disregarded field: a eulogy to the seemingly departed mode, or, </w:t>
      </w:r>
      <w:r w:rsidR="00756A48">
        <w:rPr>
          <w:rFonts w:asciiTheme="majorBidi" w:hAnsiTheme="majorBidi" w:cstheme="majorBidi"/>
          <w:sz w:val="24"/>
          <w:szCs w:val="24"/>
        </w:rPr>
        <w:t>a post-p</w:t>
      </w:r>
      <w:r w:rsidRPr="00505CF0">
        <w:rPr>
          <w:rFonts w:asciiTheme="majorBidi" w:hAnsiTheme="majorBidi" w:cstheme="majorBidi"/>
          <w:sz w:val="24"/>
          <w:szCs w:val="24"/>
        </w:rPr>
        <w:t>ostmodern post-mortem, if you will. First though, it would be prudent to properly outline metafiction.</w:t>
      </w:r>
    </w:p>
    <w:p w14:paraId="527E1329" w14:textId="45D19FB0" w:rsidR="00C111D3" w:rsidRPr="00505CF0" w:rsidRDefault="00CA1D1D" w:rsidP="00756A48">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w:t>
      </w:r>
      <w:r w:rsidR="00C111D3" w:rsidRPr="00505CF0">
        <w:rPr>
          <w:rFonts w:asciiTheme="majorBidi" w:hAnsiTheme="majorBidi" w:cstheme="majorBidi"/>
          <w:sz w:val="24"/>
          <w:szCs w:val="24"/>
        </w:rPr>
        <w:t>ccording to Wallace</w:t>
      </w:r>
      <w:r>
        <w:rPr>
          <w:rFonts w:asciiTheme="majorBidi" w:hAnsiTheme="majorBidi" w:cstheme="majorBidi"/>
          <w:sz w:val="24"/>
          <w:szCs w:val="24"/>
        </w:rPr>
        <w:t xml:space="preserve">, and as quoted in the epigraph to this </w:t>
      </w:r>
      <w:proofErr w:type="gramStart"/>
      <w:r>
        <w:rPr>
          <w:rFonts w:asciiTheme="majorBidi" w:hAnsiTheme="majorBidi" w:cstheme="majorBidi"/>
          <w:sz w:val="24"/>
          <w:szCs w:val="24"/>
        </w:rPr>
        <w:t xml:space="preserve">essay </w:t>
      </w:r>
      <w:r w:rsidR="00C111D3" w:rsidRPr="00505CF0">
        <w:rPr>
          <w:rFonts w:asciiTheme="majorBidi" w:hAnsiTheme="majorBidi" w:cstheme="majorBidi"/>
          <w:sz w:val="24"/>
          <w:szCs w:val="24"/>
        </w:rPr>
        <w:t>,</w:t>
      </w:r>
      <w:proofErr w:type="gramEnd"/>
      <w:r w:rsidR="00C111D3" w:rsidRPr="00505CF0">
        <w:rPr>
          <w:rFonts w:asciiTheme="majorBidi" w:hAnsiTheme="majorBidi" w:cstheme="majorBidi"/>
          <w:sz w:val="24"/>
          <w:szCs w:val="24"/>
        </w:rPr>
        <w:t xml:space="preserve"> </w:t>
      </w:r>
      <w:r>
        <w:rPr>
          <w:rFonts w:asciiTheme="majorBidi" w:hAnsiTheme="majorBidi" w:cstheme="majorBidi"/>
          <w:sz w:val="24"/>
          <w:szCs w:val="24"/>
        </w:rPr>
        <w:t xml:space="preserve">metafiction </w:t>
      </w:r>
      <w:r w:rsidR="00C111D3" w:rsidRPr="00505CF0">
        <w:rPr>
          <w:rFonts w:asciiTheme="majorBidi" w:hAnsiTheme="majorBidi" w:cstheme="majorBidi"/>
          <w:sz w:val="24"/>
          <w:szCs w:val="24"/>
        </w:rPr>
        <w:t xml:space="preserve">was a branch of deconstructive anti-realist theory with no greater goal than the ridicule of the realist mode in fiction. </w:t>
      </w:r>
      <w:proofErr w:type="gramStart"/>
      <w:r w:rsidR="00C111D3" w:rsidRPr="00505CF0">
        <w:rPr>
          <w:rFonts w:asciiTheme="majorBidi" w:hAnsiTheme="majorBidi" w:cstheme="majorBidi"/>
          <w:sz w:val="24"/>
          <w:szCs w:val="24"/>
        </w:rPr>
        <w:t>A damning account of the apparently ‘high-cultural postmodern genre,’</w:t>
      </w:r>
      <w:r w:rsidR="00C111D3" w:rsidRPr="00505CF0">
        <w:rPr>
          <w:rStyle w:val="FootnoteReference"/>
          <w:rFonts w:asciiTheme="majorBidi" w:hAnsiTheme="majorBidi" w:cstheme="majorBidi"/>
          <w:sz w:val="24"/>
          <w:szCs w:val="24"/>
        </w:rPr>
        <w:footnoteReference w:id="633"/>
      </w:r>
      <w:r w:rsidR="00C111D3" w:rsidRPr="00505CF0">
        <w:rPr>
          <w:rFonts w:asciiTheme="majorBidi" w:hAnsiTheme="majorBidi" w:cstheme="majorBidi"/>
          <w:sz w:val="24"/>
          <w:szCs w:val="24"/>
        </w:rPr>
        <w:t xml:space="preserve"> by Wallace here, but by no means a solitary one.</w:t>
      </w:r>
      <w:proofErr w:type="gramEnd"/>
      <w:r w:rsidR="00C111D3" w:rsidRPr="00505CF0">
        <w:rPr>
          <w:rFonts w:asciiTheme="majorBidi" w:hAnsiTheme="majorBidi" w:cstheme="majorBidi"/>
          <w:sz w:val="24"/>
          <w:szCs w:val="24"/>
        </w:rPr>
        <w:t xml:space="preserve"> </w:t>
      </w:r>
      <w:r>
        <w:rPr>
          <w:rFonts w:asciiTheme="majorBidi" w:hAnsiTheme="majorBidi" w:cstheme="majorBidi"/>
          <w:sz w:val="24"/>
          <w:szCs w:val="24"/>
        </w:rPr>
        <w:t xml:space="preserve">Metafiction </w:t>
      </w:r>
      <w:r w:rsidR="00756A48">
        <w:rPr>
          <w:rFonts w:asciiTheme="majorBidi" w:hAnsiTheme="majorBidi" w:cstheme="majorBidi"/>
          <w:sz w:val="24"/>
          <w:szCs w:val="24"/>
        </w:rPr>
        <w:t>is l</w:t>
      </w:r>
      <w:r w:rsidR="00C111D3" w:rsidRPr="00505CF0">
        <w:rPr>
          <w:rFonts w:asciiTheme="majorBidi" w:hAnsiTheme="majorBidi" w:cstheme="majorBidi"/>
          <w:sz w:val="24"/>
          <w:szCs w:val="24"/>
        </w:rPr>
        <w:t>inked to both the ‘crisis,’ and the ‘death’ of the novel, and as Patricia Waugh highlights, critics have tended to see metafictional literary behaviour as ‘a form of self-indulgence and decadence characteristic of the exhaustion of any art form or genre.’</w:t>
      </w:r>
      <w:r w:rsidR="00C111D3" w:rsidRPr="00505CF0">
        <w:rPr>
          <w:rStyle w:val="FootnoteReference"/>
          <w:rFonts w:asciiTheme="majorBidi" w:hAnsiTheme="majorBidi" w:cstheme="majorBidi"/>
          <w:sz w:val="24"/>
          <w:szCs w:val="24"/>
        </w:rPr>
        <w:footnoteReference w:id="634"/>
      </w:r>
      <w:r w:rsidR="00C111D3" w:rsidRPr="00505CF0">
        <w:rPr>
          <w:rFonts w:asciiTheme="majorBidi" w:hAnsiTheme="majorBidi" w:cstheme="majorBidi"/>
          <w:sz w:val="24"/>
          <w:szCs w:val="24"/>
        </w:rPr>
        <w:t xml:space="preserve">  Metafiction, the apparent nemesis of realism, </w:t>
      </w:r>
      <w:r w:rsidR="00D3742F">
        <w:rPr>
          <w:rFonts w:asciiTheme="majorBidi" w:hAnsiTheme="majorBidi" w:cstheme="majorBidi"/>
          <w:sz w:val="24"/>
          <w:szCs w:val="24"/>
        </w:rPr>
        <w:t>receives</w:t>
      </w:r>
      <w:r w:rsidR="00D3742F" w:rsidRPr="00505CF0">
        <w:rPr>
          <w:rFonts w:asciiTheme="majorBidi" w:hAnsiTheme="majorBidi" w:cstheme="majorBidi"/>
          <w:sz w:val="24"/>
          <w:szCs w:val="24"/>
        </w:rPr>
        <w:t xml:space="preserve"> </w:t>
      </w:r>
      <w:r w:rsidR="00C111D3" w:rsidRPr="00505CF0">
        <w:rPr>
          <w:rFonts w:asciiTheme="majorBidi" w:hAnsiTheme="majorBidi" w:cstheme="majorBidi"/>
          <w:sz w:val="24"/>
          <w:szCs w:val="24"/>
        </w:rPr>
        <w:t>this disdain as a paranoid response to the claims of writers and critics for whom the rejection of realism forms the first of a series of stepping stones on the path to the rejection of the novel form entirely.</w:t>
      </w:r>
      <w:r w:rsidR="00C111D3" w:rsidRPr="00505CF0">
        <w:rPr>
          <w:rStyle w:val="FootnoteReference"/>
          <w:rFonts w:asciiTheme="majorBidi" w:hAnsiTheme="majorBidi" w:cstheme="majorBidi"/>
          <w:sz w:val="24"/>
          <w:szCs w:val="24"/>
        </w:rPr>
        <w:footnoteReference w:id="635"/>
      </w:r>
      <w:r w:rsidR="00C111D3" w:rsidRPr="00505CF0">
        <w:rPr>
          <w:rFonts w:asciiTheme="majorBidi" w:hAnsiTheme="majorBidi" w:cstheme="majorBidi"/>
          <w:sz w:val="24"/>
          <w:szCs w:val="24"/>
        </w:rPr>
        <w:t xml:space="preserve"> Metafiction seems the apparent end of all novelistic creation as we know it. Naturally, then, </w:t>
      </w:r>
      <w:r w:rsidR="00756A48">
        <w:rPr>
          <w:rFonts w:asciiTheme="majorBidi" w:hAnsiTheme="majorBidi" w:cstheme="majorBidi"/>
          <w:sz w:val="24"/>
          <w:szCs w:val="24"/>
        </w:rPr>
        <w:t xml:space="preserve">it is </w:t>
      </w:r>
      <w:r w:rsidR="00C111D3" w:rsidRPr="00505CF0">
        <w:rPr>
          <w:rFonts w:asciiTheme="majorBidi" w:hAnsiTheme="majorBidi" w:cstheme="majorBidi"/>
          <w:sz w:val="24"/>
          <w:szCs w:val="24"/>
        </w:rPr>
        <w:t>something to be abhorred, yet the questions remain</w:t>
      </w:r>
      <w:r w:rsidR="00DD5BBD">
        <w:rPr>
          <w:rStyle w:val="FootnoteReference"/>
          <w:rFonts w:asciiTheme="majorBidi" w:hAnsiTheme="majorBidi" w:cstheme="majorBidi"/>
          <w:sz w:val="24"/>
          <w:szCs w:val="24"/>
        </w:rPr>
        <w:footnoteReference w:id="636"/>
      </w:r>
      <w:r w:rsidR="00C111D3" w:rsidRPr="00505CF0">
        <w:rPr>
          <w:rFonts w:asciiTheme="majorBidi" w:hAnsiTheme="majorBidi" w:cstheme="majorBidi"/>
          <w:sz w:val="24"/>
          <w:szCs w:val="24"/>
        </w:rPr>
        <w:t xml:space="preserve"> , what precisely constitutes metafiction and why should these techniques </w:t>
      </w:r>
      <w:r w:rsidR="00756A48">
        <w:rPr>
          <w:rFonts w:asciiTheme="majorBidi" w:hAnsiTheme="majorBidi" w:cstheme="majorBidi"/>
          <w:sz w:val="24"/>
          <w:szCs w:val="24"/>
        </w:rPr>
        <w:t>e</w:t>
      </w:r>
      <w:r w:rsidR="00C111D3" w:rsidRPr="00505CF0">
        <w:rPr>
          <w:rFonts w:asciiTheme="majorBidi" w:hAnsiTheme="majorBidi" w:cstheme="majorBidi"/>
          <w:sz w:val="24"/>
          <w:szCs w:val="24"/>
        </w:rPr>
        <w:t>licit such a response, or, as Waugh herself puts it in the chapter title to her excellent analysis of the form, ‘What is metafiction and why are they saying such awful things about it?’</w:t>
      </w:r>
    </w:p>
    <w:p w14:paraId="49B1EE46" w14:textId="510A0B51" w:rsidR="00C111D3" w:rsidRPr="00505CF0" w:rsidRDefault="00C111D3" w:rsidP="00756A48">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Metafiction, as defined by the aforementioned Waugh, constitutes ‘fiction writing which self-consciously and systematically draws attention to its status as an artefact in order to pose questions about the relationship between fiction and reality.’</w:t>
      </w:r>
      <w:r w:rsidRPr="00505CF0">
        <w:rPr>
          <w:rStyle w:val="FootnoteReference"/>
          <w:rFonts w:asciiTheme="majorBidi" w:hAnsiTheme="majorBidi" w:cstheme="majorBidi"/>
          <w:sz w:val="24"/>
          <w:szCs w:val="24"/>
        </w:rPr>
        <w:footnoteReference w:id="637"/>
      </w:r>
      <w:r w:rsidRPr="00505CF0">
        <w:rPr>
          <w:rFonts w:asciiTheme="majorBidi" w:hAnsiTheme="majorBidi" w:cstheme="majorBidi"/>
          <w:sz w:val="24"/>
          <w:szCs w:val="24"/>
        </w:rPr>
        <w:t xml:space="preserve"> Metafiction is, then, a complex composite fictional mode comprised of a multitude of fictional techniques; a swiss-army knife of deconstructive practices employed specifically in order to ‘dramatise the boundary between fiction and criticism,’ and explicitly exhibit the ‘communication between author and reader.’</w:t>
      </w:r>
      <w:r w:rsidRPr="00505CF0">
        <w:rPr>
          <w:rStyle w:val="FootnoteReference"/>
          <w:rFonts w:asciiTheme="majorBidi" w:hAnsiTheme="majorBidi" w:cstheme="majorBidi"/>
          <w:sz w:val="24"/>
          <w:szCs w:val="24"/>
        </w:rPr>
        <w:footnoteReference w:id="638"/>
      </w:r>
      <w:r w:rsidRPr="00505CF0">
        <w:rPr>
          <w:rFonts w:asciiTheme="majorBidi" w:hAnsiTheme="majorBidi" w:cstheme="majorBidi"/>
          <w:sz w:val="24"/>
          <w:szCs w:val="24"/>
        </w:rPr>
        <w:t xml:space="preserve"> Whether mired in repeated reference to previous literary genres, subverting the core conventions of said genres in an attempt to displace the reader, or borrowing thematic and structural principles from other narrative forms, metafiction strives to emphasise the artificial, constructed nature of narrative or form.</w:t>
      </w:r>
      <w:r w:rsidRPr="00505CF0">
        <w:rPr>
          <w:rStyle w:val="FootnoteReference"/>
          <w:rFonts w:asciiTheme="majorBidi" w:hAnsiTheme="majorBidi" w:cstheme="majorBidi"/>
          <w:sz w:val="24"/>
          <w:szCs w:val="24"/>
        </w:rPr>
        <w:footnoteReference w:id="639"/>
      </w:r>
      <w:r w:rsidRPr="00505CF0">
        <w:rPr>
          <w:rFonts w:asciiTheme="majorBidi" w:hAnsiTheme="majorBidi" w:cstheme="majorBidi"/>
          <w:sz w:val="24"/>
          <w:szCs w:val="24"/>
        </w:rPr>
        <w:t xml:space="preserve"> In such ways, the metafictional novel draws the critical reception of the text into a more ‘meta-level of attention’</w:t>
      </w:r>
      <w:r w:rsidRPr="00505CF0">
        <w:rPr>
          <w:rStyle w:val="FootnoteReference"/>
          <w:rFonts w:asciiTheme="majorBidi" w:hAnsiTheme="majorBidi" w:cstheme="majorBidi"/>
          <w:sz w:val="24"/>
          <w:szCs w:val="24"/>
        </w:rPr>
        <w:footnoteReference w:id="640"/>
      </w:r>
      <w:r w:rsidR="00756A48">
        <w:rPr>
          <w:rFonts w:asciiTheme="majorBidi" w:hAnsiTheme="majorBidi" w:cstheme="majorBidi"/>
          <w:sz w:val="24"/>
          <w:szCs w:val="24"/>
        </w:rPr>
        <w:t xml:space="preserve"> with regard</w:t>
      </w:r>
      <w:r w:rsidRPr="00505CF0">
        <w:rPr>
          <w:rFonts w:asciiTheme="majorBidi" w:hAnsiTheme="majorBidi" w:cstheme="majorBidi"/>
          <w:sz w:val="24"/>
          <w:szCs w:val="24"/>
        </w:rPr>
        <w:t xml:space="preserve"> to recognition of the conventions, practices, and flaws of potentially no longer ideologically relevant generic conventions. Common metafictional conventions involve the breaking of the fourth wall, for want of a better metaphor, in which the text self-consciously forces the reader to recognise the constructed, or artefact</w:t>
      </w:r>
      <w:r w:rsidR="00756A48">
        <w:rPr>
          <w:rFonts w:asciiTheme="majorBidi" w:hAnsiTheme="majorBidi" w:cstheme="majorBidi"/>
          <w:sz w:val="24"/>
          <w:szCs w:val="24"/>
        </w:rPr>
        <w:t>ual</w:t>
      </w:r>
      <w:r w:rsidRPr="00505CF0">
        <w:rPr>
          <w:rFonts w:asciiTheme="majorBidi" w:hAnsiTheme="majorBidi" w:cstheme="majorBidi"/>
          <w:sz w:val="24"/>
          <w:szCs w:val="24"/>
        </w:rPr>
        <w:t xml:space="preserve">, nature of the object being engaged with. Techniques which produce this effect vary greatly, but a few </w:t>
      </w:r>
      <w:r w:rsidR="0060139B">
        <w:rPr>
          <w:rFonts w:asciiTheme="majorBidi" w:hAnsiTheme="majorBidi" w:cstheme="majorBidi"/>
          <w:sz w:val="24"/>
          <w:szCs w:val="24"/>
        </w:rPr>
        <w:t>more frequent</w:t>
      </w:r>
      <w:r w:rsidRPr="00505CF0">
        <w:rPr>
          <w:rFonts w:asciiTheme="majorBidi" w:hAnsiTheme="majorBidi" w:cstheme="majorBidi"/>
          <w:sz w:val="24"/>
          <w:szCs w:val="24"/>
        </w:rPr>
        <w:t xml:space="preserve"> examples are characters knowingly referring to their status as characters, as Christie Malry’s mother does in </w:t>
      </w:r>
      <w:r w:rsidR="00756A48">
        <w:rPr>
          <w:rFonts w:asciiTheme="majorBidi" w:hAnsiTheme="majorBidi" w:cstheme="majorBidi"/>
          <w:i/>
          <w:sz w:val="24"/>
          <w:szCs w:val="24"/>
        </w:rPr>
        <w:t>Christie Malry's Own Double E</w:t>
      </w:r>
      <w:r w:rsidRPr="00505CF0">
        <w:rPr>
          <w:rFonts w:asciiTheme="majorBidi" w:hAnsiTheme="majorBidi" w:cstheme="majorBidi"/>
          <w:i/>
          <w:sz w:val="24"/>
          <w:szCs w:val="24"/>
        </w:rPr>
        <w:t>ntry</w:t>
      </w:r>
      <w:r w:rsidRPr="00505CF0">
        <w:rPr>
          <w:rFonts w:asciiTheme="majorBidi" w:hAnsiTheme="majorBidi" w:cstheme="majorBidi"/>
          <w:sz w:val="24"/>
          <w:szCs w:val="24"/>
        </w:rPr>
        <w:t>, alluding to the conventions of the novel, as the main character of David Mitche</w:t>
      </w:r>
      <w:r w:rsidR="00756A48">
        <w:rPr>
          <w:rFonts w:asciiTheme="majorBidi" w:hAnsiTheme="majorBidi" w:cstheme="majorBidi"/>
          <w:sz w:val="24"/>
          <w:szCs w:val="24"/>
        </w:rPr>
        <w:t>l</w:t>
      </w:r>
      <w:r w:rsidRPr="00505CF0">
        <w:rPr>
          <w:rFonts w:asciiTheme="majorBidi" w:hAnsiTheme="majorBidi" w:cstheme="majorBidi"/>
          <w:sz w:val="24"/>
          <w:szCs w:val="24"/>
        </w:rPr>
        <w:t xml:space="preserve">l’s </w:t>
      </w:r>
      <w:r w:rsidRPr="00505CF0">
        <w:rPr>
          <w:rFonts w:asciiTheme="majorBidi" w:hAnsiTheme="majorBidi" w:cstheme="majorBidi"/>
          <w:i/>
          <w:sz w:val="24"/>
          <w:szCs w:val="24"/>
        </w:rPr>
        <w:t>Number9Dream</w:t>
      </w:r>
      <w:r w:rsidRPr="00505CF0">
        <w:rPr>
          <w:rFonts w:asciiTheme="majorBidi" w:hAnsiTheme="majorBidi" w:cstheme="majorBidi"/>
          <w:sz w:val="24"/>
          <w:szCs w:val="24"/>
        </w:rPr>
        <w:t xml:space="preserve"> can be seen to do in </w:t>
      </w:r>
      <w:r w:rsidR="00756A48">
        <w:rPr>
          <w:rFonts w:asciiTheme="majorBidi" w:hAnsiTheme="majorBidi" w:cstheme="majorBidi"/>
          <w:sz w:val="24"/>
          <w:szCs w:val="24"/>
        </w:rPr>
        <w:t>the quote</w:t>
      </w:r>
      <w:r w:rsidRPr="00505CF0">
        <w:rPr>
          <w:rFonts w:asciiTheme="majorBidi" w:hAnsiTheme="majorBidi" w:cstheme="majorBidi"/>
          <w:sz w:val="24"/>
          <w:szCs w:val="24"/>
        </w:rPr>
        <w:t xml:space="preserve"> </w:t>
      </w:r>
      <w:r w:rsidR="00756A48">
        <w:rPr>
          <w:rFonts w:asciiTheme="majorBidi" w:hAnsiTheme="majorBidi" w:cstheme="majorBidi"/>
          <w:sz w:val="24"/>
          <w:szCs w:val="24"/>
        </w:rPr>
        <w:t xml:space="preserve">preceding this essay, or </w:t>
      </w:r>
      <w:r w:rsidRPr="00505CF0">
        <w:rPr>
          <w:rFonts w:asciiTheme="majorBidi" w:hAnsiTheme="majorBidi" w:cstheme="majorBidi"/>
          <w:sz w:val="24"/>
          <w:szCs w:val="24"/>
        </w:rPr>
        <w:t xml:space="preserve">playing with the paratextual and print conventions of the novel form, such as in </w:t>
      </w:r>
      <w:r w:rsidRPr="00505CF0">
        <w:rPr>
          <w:rFonts w:asciiTheme="majorBidi" w:hAnsiTheme="majorBidi" w:cstheme="majorBidi"/>
          <w:i/>
          <w:sz w:val="24"/>
          <w:szCs w:val="24"/>
        </w:rPr>
        <w:t xml:space="preserve">House of Leaves, Bats of the Republic, </w:t>
      </w:r>
      <w:r w:rsidRPr="00505CF0">
        <w:rPr>
          <w:rFonts w:asciiTheme="majorBidi" w:hAnsiTheme="majorBidi" w:cstheme="majorBidi"/>
          <w:sz w:val="24"/>
          <w:szCs w:val="24"/>
        </w:rPr>
        <w:t xml:space="preserve">or indeed </w:t>
      </w:r>
      <w:r w:rsidRPr="00505CF0">
        <w:rPr>
          <w:rFonts w:asciiTheme="majorBidi" w:hAnsiTheme="majorBidi" w:cstheme="majorBidi"/>
          <w:i/>
          <w:sz w:val="24"/>
          <w:szCs w:val="24"/>
        </w:rPr>
        <w:t>Willie Master’s Lonesome Wife</w:t>
      </w:r>
      <w:r w:rsidRPr="00505CF0">
        <w:rPr>
          <w:rFonts w:asciiTheme="majorBidi" w:hAnsiTheme="majorBidi" w:cstheme="majorBidi"/>
          <w:sz w:val="24"/>
          <w:szCs w:val="24"/>
        </w:rPr>
        <w:t>, by William H. Gass, whose importance to the field of metafiction will become apparent in due course. Self-aware characters, novels which breach the rules of the novel, parody of genre conventions, direct authorial intervention, and direct reader engagement, these are all metafictional devices employed throughout the mode’s lengthy history – a history which I wish to elaborate upon now.</w:t>
      </w:r>
      <w:r w:rsidR="0060139B">
        <w:rPr>
          <w:rStyle w:val="FootnoteReference"/>
          <w:rFonts w:asciiTheme="majorBidi" w:hAnsiTheme="majorBidi" w:cstheme="majorBidi"/>
          <w:sz w:val="24"/>
          <w:szCs w:val="24"/>
        </w:rPr>
        <w:footnoteReference w:id="641"/>
      </w:r>
      <w:r w:rsidR="0060139B">
        <w:rPr>
          <w:rFonts w:asciiTheme="majorBidi" w:hAnsiTheme="majorBidi" w:cstheme="majorBidi"/>
          <w:sz w:val="24"/>
          <w:szCs w:val="24"/>
        </w:rPr>
        <w:t xml:space="preserve"> </w:t>
      </w:r>
    </w:p>
    <w:p w14:paraId="0B7D7C5E" w14:textId="77777777" w:rsidR="0094764F" w:rsidRPr="00505CF0" w:rsidRDefault="0094764F" w:rsidP="004C3EE0">
      <w:pPr>
        <w:spacing w:line="480" w:lineRule="auto"/>
        <w:jc w:val="both"/>
        <w:rPr>
          <w:rFonts w:asciiTheme="majorBidi" w:hAnsiTheme="majorBidi" w:cstheme="majorBidi"/>
        </w:rPr>
      </w:pPr>
    </w:p>
    <w:p w14:paraId="71E13A78" w14:textId="77777777" w:rsidR="00D3742F" w:rsidRDefault="00D3742F">
      <w:pPr>
        <w:spacing w:line="240" w:lineRule="auto"/>
        <w:rPr>
          <w:rFonts w:asciiTheme="majorBidi" w:hAnsiTheme="majorBidi" w:cstheme="majorBidi"/>
          <w:b/>
          <w:sz w:val="32"/>
          <w:szCs w:val="32"/>
        </w:rPr>
      </w:pPr>
      <w:r>
        <w:rPr>
          <w:rFonts w:asciiTheme="majorBidi" w:hAnsiTheme="majorBidi" w:cstheme="majorBidi"/>
          <w:b/>
          <w:sz w:val="32"/>
          <w:szCs w:val="32"/>
        </w:rPr>
        <w:br w:type="page"/>
      </w:r>
    </w:p>
    <w:p w14:paraId="37BCE105" w14:textId="546CED87" w:rsidR="00C111D3" w:rsidRPr="00505CF0" w:rsidRDefault="00C111D3" w:rsidP="004C3EE0">
      <w:pPr>
        <w:jc w:val="both"/>
        <w:rPr>
          <w:rFonts w:asciiTheme="majorBidi" w:hAnsiTheme="majorBidi" w:cstheme="majorBidi"/>
          <w:b/>
          <w:sz w:val="32"/>
          <w:szCs w:val="32"/>
        </w:rPr>
      </w:pPr>
      <w:r w:rsidRPr="00505CF0">
        <w:rPr>
          <w:rFonts w:asciiTheme="majorBidi" w:hAnsiTheme="majorBidi" w:cstheme="majorBidi"/>
          <w:b/>
          <w:sz w:val="32"/>
          <w:szCs w:val="32"/>
        </w:rPr>
        <w:t>2</w:t>
      </w:r>
      <w:r w:rsidR="00C6478B">
        <w:rPr>
          <w:rFonts w:asciiTheme="majorBidi" w:hAnsiTheme="majorBidi" w:cstheme="majorBidi"/>
          <w:b/>
          <w:sz w:val="32"/>
          <w:szCs w:val="32"/>
        </w:rPr>
        <w:t>.</w:t>
      </w:r>
      <w:r w:rsidRPr="00505CF0">
        <w:rPr>
          <w:rFonts w:asciiTheme="majorBidi" w:hAnsiTheme="majorBidi" w:cstheme="majorBidi"/>
          <w:b/>
          <w:sz w:val="32"/>
          <w:szCs w:val="32"/>
        </w:rPr>
        <w:tab/>
        <w:t>The Dark History of the Novel</w:t>
      </w:r>
      <w:r w:rsidR="00701E5C">
        <w:rPr>
          <w:rStyle w:val="FootnoteReference"/>
          <w:rFonts w:asciiTheme="majorBidi" w:hAnsiTheme="majorBidi" w:cstheme="majorBidi"/>
          <w:b/>
          <w:sz w:val="32"/>
          <w:szCs w:val="32"/>
        </w:rPr>
        <w:footnoteReference w:id="642"/>
      </w:r>
    </w:p>
    <w:p w14:paraId="64114F63" w14:textId="77777777" w:rsidR="00C111D3" w:rsidRDefault="00C111D3" w:rsidP="004C3EE0">
      <w:pPr>
        <w:jc w:val="both"/>
        <w:rPr>
          <w:rFonts w:asciiTheme="majorBidi" w:hAnsiTheme="majorBidi" w:cstheme="majorBidi"/>
          <w:b/>
        </w:rPr>
      </w:pPr>
    </w:p>
    <w:p w14:paraId="2322DCCD" w14:textId="77777777" w:rsidR="0094764F" w:rsidRPr="00505CF0" w:rsidRDefault="0094764F" w:rsidP="004C3EE0">
      <w:pPr>
        <w:jc w:val="both"/>
        <w:rPr>
          <w:rFonts w:asciiTheme="majorBidi" w:hAnsiTheme="majorBidi" w:cstheme="majorBidi"/>
          <w:b/>
        </w:rPr>
      </w:pPr>
    </w:p>
    <w:p w14:paraId="071F6940" w14:textId="77777777" w:rsidR="00C111D3" w:rsidRPr="00505CF0" w:rsidRDefault="00C111D3" w:rsidP="004C3EE0">
      <w:pPr>
        <w:jc w:val="both"/>
        <w:rPr>
          <w:rFonts w:asciiTheme="majorBidi" w:hAnsiTheme="majorBidi" w:cstheme="majorBidi"/>
          <w:b/>
        </w:rPr>
      </w:pPr>
    </w:p>
    <w:p w14:paraId="5B157F62" w14:textId="77777777" w:rsidR="00C111D3" w:rsidRPr="00505CF0" w:rsidRDefault="00C111D3" w:rsidP="004C3EE0">
      <w:pPr>
        <w:jc w:val="both"/>
        <w:rPr>
          <w:rFonts w:asciiTheme="majorBidi" w:hAnsiTheme="majorBidi" w:cstheme="majorBidi"/>
          <w:b/>
          <w:sz w:val="28"/>
          <w:szCs w:val="28"/>
        </w:rPr>
      </w:pPr>
      <w:r w:rsidRPr="00505CF0">
        <w:rPr>
          <w:rFonts w:asciiTheme="majorBidi" w:hAnsiTheme="majorBidi" w:cstheme="majorBidi"/>
          <w:b/>
          <w:sz w:val="28"/>
          <w:szCs w:val="28"/>
        </w:rPr>
        <w:t>2.1</w:t>
      </w:r>
      <w:r w:rsidRPr="00505CF0">
        <w:rPr>
          <w:rFonts w:asciiTheme="majorBidi" w:hAnsiTheme="majorBidi" w:cstheme="majorBidi"/>
          <w:b/>
          <w:sz w:val="28"/>
          <w:szCs w:val="28"/>
        </w:rPr>
        <w:tab/>
        <w:t>Pre-Modern Metafiction</w:t>
      </w:r>
    </w:p>
    <w:p w14:paraId="62C4C936" w14:textId="77777777" w:rsidR="00C111D3" w:rsidRPr="00505CF0" w:rsidRDefault="00C111D3" w:rsidP="004C3EE0">
      <w:pPr>
        <w:jc w:val="both"/>
        <w:rPr>
          <w:rFonts w:asciiTheme="majorBidi" w:hAnsiTheme="majorBidi" w:cstheme="majorBidi"/>
        </w:rPr>
      </w:pPr>
    </w:p>
    <w:p w14:paraId="32680B10" w14:textId="77777777" w:rsidR="00C111D3" w:rsidRPr="00505CF0" w:rsidRDefault="00C111D3" w:rsidP="004C3EE0">
      <w:pPr>
        <w:jc w:val="both"/>
        <w:rPr>
          <w:rFonts w:asciiTheme="majorBidi" w:hAnsiTheme="majorBidi" w:cstheme="majorBidi"/>
        </w:rPr>
      </w:pPr>
    </w:p>
    <w:p w14:paraId="5C7D349C" w14:textId="15E7F1EA" w:rsidR="00C111D3" w:rsidRPr="00505CF0" w:rsidRDefault="00C111D3" w:rsidP="00756A48">
      <w:pPr>
        <w:spacing w:line="480" w:lineRule="auto"/>
        <w:jc w:val="both"/>
        <w:rPr>
          <w:rFonts w:asciiTheme="majorBidi" w:hAnsiTheme="majorBidi" w:cstheme="majorBidi"/>
          <w:sz w:val="24"/>
          <w:szCs w:val="24"/>
        </w:rPr>
      </w:pPr>
      <w:r w:rsidRPr="00505CF0">
        <w:rPr>
          <w:rFonts w:asciiTheme="majorBidi" w:hAnsiTheme="majorBidi" w:cstheme="majorBidi"/>
        </w:rPr>
        <w:tab/>
      </w:r>
      <w:r w:rsidRPr="00505CF0">
        <w:rPr>
          <w:rFonts w:asciiTheme="majorBidi" w:hAnsiTheme="majorBidi" w:cstheme="majorBidi"/>
          <w:sz w:val="24"/>
          <w:szCs w:val="24"/>
        </w:rPr>
        <w:t>The techniques of metafiction have a retroactive history that can be seen to expand backwards to some of the earliest examples of fiction</w:t>
      </w:r>
      <w:r w:rsidR="0060139B">
        <w:rPr>
          <w:rFonts w:asciiTheme="majorBidi" w:hAnsiTheme="majorBidi" w:cstheme="majorBidi"/>
          <w:sz w:val="24"/>
          <w:szCs w:val="24"/>
        </w:rPr>
        <w:t xml:space="preserve"> from the UK, Europe, and America</w:t>
      </w:r>
      <w:r w:rsidRPr="00505CF0">
        <w:rPr>
          <w:rFonts w:asciiTheme="majorBidi" w:hAnsiTheme="majorBidi" w:cstheme="majorBidi"/>
          <w:sz w:val="24"/>
          <w:szCs w:val="24"/>
        </w:rPr>
        <w:t xml:space="preserve">. Of course, to retroactively apply the term ‘metafiction’ to such texts is often problematic – we may interpret certain works as </w:t>
      </w:r>
      <w:r w:rsidR="0060139B">
        <w:rPr>
          <w:rFonts w:asciiTheme="majorBidi" w:hAnsiTheme="majorBidi" w:cstheme="majorBidi"/>
          <w:sz w:val="24"/>
          <w:szCs w:val="24"/>
        </w:rPr>
        <w:t>ontologically destabilising</w:t>
      </w:r>
      <w:r w:rsidRPr="00505CF0">
        <w:rPr>
          <w:rFonts w:asciiTheme="majorBidi" w:hAnsiTheme="majorBidi" w:cstheme="majorBidi"/>
          <w:sz w:val="24"/>
          <w:szCs w:val="24"/>
        </w:rPr>
        <w:t xml:space="preserve">, but to suggest such as definitive authorial intent is somewhat presumptive on the part of the critic. Still, such examples do highlight the extended history of this form and so </w:t>
      </w:r>
      <w:r w:rsidR="00756A48">
        <w:rPr>
          <w:rFonts w:asciiTheme="majorBidi" w:hAnsiTheme="majorBidi" w:cstheme="majorBidi"/>
          <w:sz w:val="24"/>
          <w:szCs w:val="24"/>
        </w:rPr>
        <w:t>constitute</w:t>
      </w:r>
      <w:r w:rsidRPr="00505CF0">
        <w:rPr>
          <w:rFonts w:asciiTheme="majorBidi" w:hAnsiTheme="majorBidi" w:cstheme="majorBidi"/>
          <w:sz w:val="24"/>
          <w:szCs w:val="24"/>
        </w:rPr>
        <w:t xml:space="preserve"> an important </w:t>
      </w:r>
      <w:r w:rsidR="00D3742F">
        <w:rPr>
          <w:rFonts w:asciiTheme="majorBidi" w:hAnsiTheme="majorBidi" w:cstheme="majorBidi"/>
          <w:sz w:val="24"/>
          <w:szCs w:val="24"/>
        </w:rPr>
        <w:t>insight into</w:t>
      </w:r>
      <w:r w:rsidRPr="00505CF0">
        <w:rPr>
          <w:rFonts w:asciiTheme="majorBidi" w:hAnsiTheme="majorBidi" w:cstheme="majorBidi"/>
          <w:sz w:val="24"/>
          <w:szCs w:val="24"/>
        </w:rPr>
        <w:t xml:space="preserve"> this dark, overlooked history of literature.  </w:t>
      </w:r>
    </w:p>
    <w:p w14:paraId="4A582FAB" w14:textId="0F92204D"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 It seems rather apropos to begin this genesis of the metafictional mode with Genesis itself, that is to say, by signposting the </w:t>
      </w:r>
      <w:r w:rsidR="00756A48">
        <w:rPr>
          <w:rFonts w:asciiTheme="majorBidi" w:hAnsiTheme="majorBidi" w:cstheme="majorBidi"/>
          <w:sz w:val="24"/>
          <w:szCs w:val="24"/>
        </w:rPr>
        <w:t>Judeo-</w:t>
      </w:r>
      <w:r w:rsidRPr="00505CF0">
        <w:rPr>
          <w:rFonts w:asciiTheme="majorBidi" w:hAnsiTheme="majorBidi" w:cstheme="majorBidi"/>
          <w:sz w:val="24"/>
          <w:szCs w:val="24"/>
        </w:rPr>
        <w:t>Christian Bible as the first appearance of</w:t>
      </w:r>
      <w:r w:rsidR="00756A48">
        <w:rPr>
          <w:rFonts w:asciiTheme="majorBidi" w:hAnsiTheme="majorBidi" w:cstheme="majorBidi"/>
          <w:sz w:val="24"/>
          <w:szCs w:val="24"/>
        </w:rPr>
        <w:t>,</w:t>
      </w:r>
      <w:r w:rsidRPr="00505CF0">
        <w:rPr>
          <w:rFonts w:asciiTheme="majorBidi" w:hAnsiTheme="majorBidi" w:cstheme="majorBidi"/>
          <w:sz w:val="24"/>
          <w:szCs w:val="24"/>
        </w:rPr>
        <w:t xml:space="preserve"> at the very least</w:t>
      </w:r>
      <w:r w:rsidR="00756A48">
        <w:rPr>
          <w:rFonts w:asciiTheme="majorBidi" w:hAnsiTheme="majorBidi" w:cstheme="majorBidi"/>
          <w:sz w:val="24"/>
          <w:szCs w:val="24"/>
        </w:rPr>
        <w:t>,</w:t>
      </w:r>
      <w:r w:rsidRPr="00505CF0">
        <w:rPr>
          <w:rFonts w:asciiTheme="majorBidi" w:hAnsiTheme="majorBidi" w:cstheme="majorBidi"/>
          <w:sz w:val="24"/>
          <w:szCs w:val="24"/>
        </w:rPr>
        <w:t xml:space="preserve"> metafictional </w:t>
      </w:r>
      <w:r w:rsidRPr="00505CF0">
        <w:rPr>
          <w:rFonts w:asciiTheme="majorBidi" w:hAnsiTheme="majorBidi" w:cstheme="majorBidi"/>
          <w:i/>
          <w:sz w:val="24"/>
          <w:szCs w:val="24"/>
        </w:rPr>
        <w:t>devices</w:t>
      </w:r>
      <w:r w:rsidRPr="00505CF0">
        <w:rPr>
          <w:rFonts w:asciiTheme="majorBidi" w:hAnsiTheme="majorBidi" w:cstheme="majorBidi"/>
          <w:sz w:val="24"/>
          <w:szCs w:val="24"/>
        </w:rPr>
        <w:t xml:space="preserve"> if not intent, as argued by Stephen Pricke</w:t>
      </w:r>
      <w:r w:rsidR="00756A48">
        <w:rPr>
          <w:rFonts w:asciiTheme="majorBidi" w:hAnsiTheme="majorBidi" w:cstheme="majorBidi"/>
          <w:sz w:val="24"/>
          <w:szCs w:val="24"/>
        </w:rPr>
        <w:t>t</w:t>
      </w:r>
      <w:r w:rsidRPr="00505CF0">
        <w:rPr>
          <w:rFonts w:asciiTheme="majorBidi" w:hAnsiTheme="majorBidi" w:cstheme="majorBidi"/>
          <w:sz w:val="24"/>
          <w:szCs w:val="24"/>
        </w:rPr>
        <w:t xml:space="preserve">t and Robert Barnes: </w:t>
      </w:r>
    </w:p>
    <w:p w14:paraId="34299BA6" w14:textId="77777777" w:rsidR="00C111D3" w:rsidRPr="00505CF0" w:rsidRDefault="00C111D3" w:rsidP="004C3EE0">
      <w:pPr>
        <w:jc w:val="both"/>
        <w:rPr>
          <w:rFonts w:asciiTheme="majorBidi" w:hAnsiTheme="majorBidi" w:cstheme="majorBidi"/>
          <w:sz w:val="24"/>
          <w:szCs w:val="24"/>
        </w:rPr>
      </w:pPr>
    </w:p>
    <w:p w14:paraId="3B44F1B1"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the Bible is 'metafictional.' That is, it is a book about other books. The text makes constant and repeated reference to events or sayings in previous books, either to confirm their significance, or to reinterpret them as part of a new pattern.</w:t>
      </w:r>
      <w:r w:rsidRPr="00505CF0">
        <w:rPr>
          <w:rStyle w:val="FootnoteReference"/>
          <w:rFonts w:asciiTheme="majorBidi" w:hAnsiTheme="majorBidi" w:cstheme="majorBidi"/>
          <w:sz w:val="24"/>
          <w:szCs w:val="24"/>
        </w:rPr>
        <w:footnoteReference w:id="643"/>
      </w:r>
      <w:r w:rsidRPr="00505CF0">
        <w:rPr>
          <w:rFonts w:asciiTheme="majorBidi" w:hAnsiTheme="majorBidi" w:cstheme="majorBidi"/>
          <w:sz w:val="24"/>
          <w:szCs w:val="24"/>
        </w:rPr>
        <w:t xml:space="preserve"> </w:t>
      </w:r>
    </w:p>
    <w:p w14:paraId="5EF8EA97" w14:textId="77777777" w:rsidR="00C111D3" w:rsidRPr="00505CF0" w:rsidRDefault="00C111D3" w:rsidP="004C3EE0">
      <w:pPr>
        <w:jc w:val="both"/>
        <w:rPr>
          <w:rFonts w:asciiTheme="majorBidi" w:hAnsiTheme="majorBidi" w:cstheme="majorBidi"/>
          <w:sz w:val="24"/>
          <w:szCs w:val="24"/>
        </w:rPr>
      </w:pPr>
    </w:p>
    <w:p w14:paraId="0E4C9427" w14:textId="77777777" w:rsidR="00C111D3" w:rsidRPr="00505CF0" w:rsidRDefault="00C111D3" w:rsidP="004C3EE0">
      <w:pPr>
        <w:jc w:val="both"/>
        <w:rPr>
          <w:rFonts w:asciiTheme="majorBidi" w:hAnsiTheme="majorBidi" w:cstheme="majorBidi"/>
          <w:sz w:val="24"/>
          <w:szCs w:val="24"/>
        </w:rPr>
      </w:pPr>
    </w:p>
    <w:p w14:paraId="2ADC41DC" w14:textId="7E3862B7" w:rsidR="00C111D3" w:rsidRPr="00505CF0" w:rsidRDefault="00C111D3" w:rsidP="00756A48">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By referencing sec</w:t>
      </w:r>
      <w:r w:rsidR="00756A48">
        <w:rPr>
          <w:rFonts w:asciiTheme="majorBidi" w:hAnsiTheme="majorBidi" w:cstheme="majorBidi"/>
          <w:sz w:val="24"/>
          <w:szCs w:val="24"/>
        </w:rPr>
        <w:t xml:space="preserve">tions of itself, the Bible provides, in a very mild manner, </w:t>
      </w:r>
      <w:r w:rsidRPr="00505CF0">
        <w:rPr>
          <w:rFonts w:asciiTheme="majorBidi" w:hAnsiTheme="majorBidi" w:cstheme="majorBidi"/>
          <w:sz w:val="24"/>
          <w:szCs w:val="24"/>
        </w:rPr>
        <w:t xml:space="preserve">our first metafictional inkling in a move that would later be taken up and adapted as the self-intertextuality of such latter metafictional offerings as </w:t>
      </w:r>
      <w:r w:rsidRPr="00505CF0">
        <w:rPr>
          <w:rFonts w:asciiTheme="majorBidi" w:hAnsiTheme="majorBidi" w:cstheme="majorBidi"/>
          <w:i/>
          <w:sz w:val="24"/>
          <w:szCs w:val="24"/>
        </w:rPr>
        <w:t>Willie Master’s Lonesome Wife</w:t>
      </w:r>
      <w:r w:rsidRPr="00505CF0">
        <w:rPr>
          <w:rFonts w:asciiTheme="majorBidi" w:hAnsiTheme="majorBidi" w:cstheme="majorBidi"/>
          <w:sz w:val="24"/>
          <w:szCs w:val="24"/>
        </w:rPr>
        <w:t xml:space="preserve"> and </w:t>
      </w:r>
      <w:r w:rsidRPr="00505CF0">
        <w:rPr>
          <w:rFonts w:asciiTheme="majorBidi" w:hAnsiTheme="majorBidi" w:cstheme="majorBidi"/>
          <w:i/>
          <w:sz w:val="24"/>
          <w:szCs w:val="24"/>
        </w:rPr>
        <w:t xml:space="preserve">Slaughterhouse Five. </w:t>
      </w:r>
      <w:r w:rsidR="0060139B">
        <w:rPr>
          <w:rFonts w:asciiTheme="majorBidi" w:hAnsiTheme="majorBidi" w:cstheme="majorBidi"/>
          <w:sz w:val="24"/>
          <w:szCs w:val="24"/>
        </w:rPr>
        <w:t>M</w:t>
      </w:r>
      <w:r w:rsidRPr="00505CF0">
        <w:rPr>
          <w:rFonts w:asciiTheme="majorBidi" w:hAnsiTheme="majorBidi" w:cstheme="majorBidi"/>
          <w:sz w:val="24"/>
          <w:szCs w:val="24"/>
        </w:rPr>
        <w:t xml:space="preserve">uch later, we find another appearance of a metafictional device in Dante Alighieri’s </w:t>
      </w:r>
      <w:r w:rsidRPr="00505CF0">
        <w:rPr>
          <w:rFonts w:asciiTheme="majorBidi" w:hAnsiTheme="majorBidi" w:cstheme="majorBidi"/>
          <w:i/>
          <w:sz w:val="24"/>
          <w:szCs w:val="24"/>
        </w:rPr>
        <w:t>Divine Comedy</w:t>
      </w:r>
      <w:r w:rsidRPr="00505CF0">
        <w:rPr>
          <w:rFonts w:asciiTheme="majorBidi" w:hAnsiTheme="majorBidi" w:cstheme="majorBidi"/>
          <w:sz w:val="24"/>
          <w:szCs w:val="24"/>
        </w:rPr>
        <w:t xml:space="preserve"> (c.1320), which provides </w:t>
      </w:r>
      <w:r w:rsidR="0028417B">
        <w:rPr>
          <w:rFonts w:asciiTheme="majorBidi" w:hAnsiTheme="majorBidi" w:cstheme="majorBidi"/>
          <w:sz w:val="24"/>
          <w:szCs w:val="24"/>
        </w:rPr>
        <w:t>an early</w:t>
      </w:r>
      <w:r w:rsidRPr="00505CF0">
        <w:rPr>
          <w:rFonts w:asciiTheme="majorBidi" w:hAnsiTheme="majorBidi" w:cstheme="majorBidi"/>
          <w:sz w:val="24"/>
          <w:szCs w:val="24"/>
        </w:rPr>
        <w:t xml:space="preserve"> </w:t>
      </w:r>
      <w:r w:rsidR="00756A48">
        <w:rPr>
          <w:rFonts w:asciiTheme="majorBidi" w:hAnsiTheme="majorBidi" w:cstheme="majorBidi"/>
          <w:sz w:val="24"/>
          <w:szCs w:val="24"/>
        </w:rPr>
        <w:t>instance</w:t>
      </w:r>
      <w:r w:rsidRPr="00505CF0">
        <w:rPr>
          <w:rFonts w:asciiTheme="majorBidi" w:hAnsiTheme="majorBidi" w:cstheme="majorBidi"/>
          <w:sz w:val="24"/>
          <w:szCs w:val="24"/>
        </w:rPr>
        <w:t xml:space="preserve"> of the trope of the author within the text, being as it is written, narrated by, and starring Dante himself. Moving further forward in time</w:t>
      </w:r>
      <w:r w:rsidR="00D3742F">
        <w:rPr>
          <w:rFonts w:asciiTheme="majorBidi" w:hAnsiTheme="majorBidi" w:cstheme="majorBidi"/>
          <w:sz w:val="24"/>
          <w:szCs w:val="24"/>
        </w:rPr>
        <w:t xml:space="preserve"> again</w:t>
      </w:r>
      <w:r w:rsidRPr="00505CF0">
        <w:rPr>
          <w:rFonts w:asciiTheme="majorBidi" w:hAnsiTheme="majorBidi" w:cstheme="majorBidi"/>
          <w:sz w:val="24"/>
          <w:szCs w:val="24"/>
        </w:rPr>
        <w:t xml:space="preserve">, 1484 saw the publication of Chaucer’s </w:t>
      </w:r>
      <w:r w:rsidRPr="00505CF0">
        <w:rPr>
          <w:rFonts w:asciiTheme="majorBidi" w:hAnsiTheme="majorBidi" w:cstheme="majorBidi"/>
          <w:i/>
          <w:sz w:val="24"/>
          <w:szCs w:val="24"/>
        </w:rPr>
        <w:t>The Canterbury Tales</w:t>
      </w:r>
      <w:r w:rsidRPr="00505CF0">
        <w:rPr>
          <w:rFonts w:asciiTheme="majorBidi" w:hAnsiTheme="majorBidi" w:cstheme="majorBidi"/>
          <w:sz w:val="24"/>
          <w:szCs w:val="24"/>
        </w:rPr>
        <w:t xml:space="preserve">, and once more an artistic creation </w:t>
      </w:r>
      <w:r w:rsidR="00756A48">
        <w:rPr>
          <w:rFonts w:asciiTheme="majorBidi" w:hAnsiTheme="majorBidi" w:cstheme="majorBidi"/>
          <w:sz w:val="24"/>
          <w:szCs w:val="24"/>
        </w:rPr>
        <w:t>including</w:t>
      </w:r>
      <w:r w:rsidRPr="00505CF0">
        <w:rPr>
          <w:rFonts w:asciiTheme="majorBidi" w:hAnsiTheme="majorBidi" w:cstheme="majorBidi"/>
          <w:sz w:val="24"/>
          <w:szCs w:val="24"/>
        </w:rPr>
        <w:t xml:space="preserve"> the author-as-narrator figure. Chaucer’s text, too, foregrounds issues of authorial intent, as each of the pilgrim’s tales famously reflect</w:t>
      </w:r>
      <w:r w:rsidR="00756A48">
        <w:rPr>
          <w:rFonts w:asciiTheme="majorBidi" w:hAnsiTheme="majorBidi" w:cstheme="majorBidi"/>
          <w:sz w:val="24"/>
          <w:szCs w:val="24"/>
        </w:rPr>
        <w:t>s</w:t>
      </w:r>
      <w:r w:rsidRPr="00505CF0">
        <w:rPr>
          <w:rFonts w:asciiTheme="majorBidi" w:hAnsiTheme="majorBidi" w:cstheme="majorBidi"/>
          <w:sz w:val="24"/>
          <w:szCs w:val="24"/>
        </w:rPr>
        <w:t xml:space="preserve"> on their own experiences and desires as authors. Next, chronologically, Shakespeare’s </w:t>
      </w:r>
      <w:r w:rsidRPr="00505CF0">
        <w:rPr>
          <w:rFonts w:asciiTheme="majorBidi" w:hAnsiTheme="majorBidi" w:cstheme="majorBidi"/>
          <w:i/>
          <w:iCs/>
          <w:sz w:val="24"/>
          <w:szCs w:val="24"/>
        </w:rPr>
        <w:t>Hamlet</w:t>
      </w:r>
      <w:r w:rsidRPr="00505CF0">
        <w:rPr>
          <w:rFonts w:asciiTheme="majorBidi" w:hAnsiTheme="majorBidi" w:cstheme="majorBidi"/>
          <w:sz w:val="24"/>
          <w:szCs w:val="24"/>
        </w:rPr>
        <w:t xml:space="preserve">, c.1599, offers an early example of the </w:t>
      </w:r>
      <w:r w:rsidR="00756A48">
        <w:rPr>
          <w:rFonts w:asciiTheme="majorBidi" w:hAnsiTheme="majorBidi" w:cstheme="majorBidi"/>
          <w:sz w:val="24"/>
          <w:szCs w:val="24"/>
        </w:rPr>
        <w:t>play-within-a-play trope of lat</w:t>
      </w:r>
      <w:r w:rsidRPr="00505CF0">
        <w:rPr>
          <w:rFonts w:asciiTheme="majorBidi" w:hAnsiTheme="majorBidi" w:cstheme="majorBidi"/>
          <w:sz w:val="24"/>
          <w:szCs w:val="24"/>
        </w:rPr>
        <w:t xml:space="preserve">er metafictions which often revel in mise-en-abyme and nested narrative play (as also later seen in such texts as </w:t>
      </w:r>
      <w:r w:rsidRPr="00505CF0">
        <w:rPr>
          <w:rFonts w:asciiTheme="majorBidi" w:hAnsiTheme="majorBidi" w:cstheme="majorBidi"/>
          <w:i/>
          <w:iCs/>
          <w:sz w:val="24"/>
          <w:szCs w:val="24"/>
        </w:rPr>
        <w:t>The Arabian Nights.</w:t>
      </w:r>
      <w:r w:rsidRPr="00505CF0">
        <w:rPr>
          <w:rFonts w:asciiTheme="majorBidi" w:hAnsiTheme="majorBidi" w:cstheme="majorBidi"/>
          <w:sz w:val="24"/>
          <w:szCs w:val="24"/>
        </w:rPr>
        <w:t>)</w:t>
      </w:r>
      <w:r w:rsidRPr="00505CF0">
        <w:rPr>
          <w:rStyle w:val="FootnoteReference"/>
          <w:rFonts w:asciiTheme="majorBidi" w:hAnsiTheme="majorBidi" w:cstheme="majorBidi"/>
          <w:i/>
          <w:iCs/>
          <w:sz w:val="24"/>
          <w:szCs w:val="24"/>
        </w:rPr>
        <w:t xml:space="preserve"> </w:t>
      </w:r>
      <w:r w:rsidRPr="00756A48">
        <w:rPr>
          <w:rStyle w:val="FootnoteReference"/>
          <w:rFonts w:asciiTheme="majorBidi" w:hAnsiTheme="majorBidi" w:cstheme="majorBidi"/>
          <w:sz w:val="24"/>
          <w:szCs w:val="24"/>
        </w:rPr>
        <w:footnoteReference w:id="644"/>
      </w:r>
      <w:r w:rsidRPr="00756A48">
        <w:rPr>
          <w:rFonts w:asciiTheme="majorBidi" w:hAnsiTheme="majorBidi" w:cstheme="majorBidi"/>
          <w:sz w:val="24"/>
          <w:szCs w:val="24"/>
        </w:rPr>
        <w:t xml:space="preserve">  </w:t>
      </w:r>
    </w:p>
    <w:p w14:paraId="5ED75668" w14:textId="58F15EAE"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In 1605, though, the metafictional canon finds its first definitive literary production in Miguel de Cervantes’ </w:t>
      </w:r>
      <w:r w:rsidRPr="00505CF0">
        <w:rPr>
          <w:rFonts w:asciiTheme="majorBidi" w:hAnsiTheme="majorBidi" w:cstheme="majorBidi"/>
          <w:i/>
          <w:sz w:val="24"/>
          <w:szCs w:val="24"/>
        </w:rPr>
        <w:t>Don Quixote</w:t>
      </w:r>
      <w:r w:rsidRPr="00505CF0">
        <w:rPr>
          <w:rFonts w:asciiTheme="majorBidi" w:hAnsiTheme="majorBidi" w:cstheme="majorBidi"/>
          <w:i/>
          <w:iCs/>
          <w:sz w:val="24"/>
          <w:szCs w:val="24"/>
        </w:rPr>
        <w:t xml:space="preserve">, </w:t>
      </w:r>
      <w:r w:rsidRPr="00505CF0">
        <w:rPr>
          <w:rFonts w:asciiTheme="majorBidi" w:hAnsiTheme="majorBidi" w:cstheme="majorBidi"/>
          <w:sz w:val="24"/>
          <w:szCs w:val="24"/>
        </w:rPr>
        <w:t>which openly criticised the romance genre from within, highlighting the absurdity and naïve idealism of the genre’s literary conventions in a manner that spawned its own descriptor applicable to the tale</w:t>
      </w:r>
      <w:r w:rsidR="00D3742F">
        <w:rPr>
          <w:rFonts w:asciiTheme="majorBidi" w:hAnsiTheme="majorBidi" w:cstheme="majorBidi"/>
          <w:sz w:val="24"/>
          <w:szCs w:val="24"/>
        </w:rPr>
        <w:t xml:space="preserve"> </w:t>
      </w:r>
      <w:r w:rsidRPr="00505CF0">
        <w:rPr>
          <w:rFonts w:asciiTheme="majorBidi" w:hAnsiTheme="majorBidi" w:cstheme="majorBidi"/>
          <w:sz w:val="24"/>
          <w:szCs w:val="24"/>
        </w:rPr>
        <w:t xml:space="preserve">- quixotic. Moving ever forward to 1759, </w:t>
      </w:r>
      <w:r w:rsidRPr="00505CF0">
        <w:rPr>
          <w:rFonts w:asciiTheme="majorBidi" w:hAnsiTheme="majorBidi" w:cstheme="majorBidi"/>
          <w:i/>
          <w:iCs/>
          <w:sz w:val="24"/>
          <w:szCs w:val="24"/>
        </w:rPr>
        <w:t xml:space="preserve">The Life and </w:t>
      </w:r>
      <w:r w:rsidR="00756A48" w:rsidRPr="00505CF0">
        <w:rPr>
          <w:rFonts w:asciiTheme="majorBidi" w:hAnsiTheme="majorBidi" w:cstheme="majorBidi"/>
          <w:i/>
          <w:iCs/>
          <w:sz w:val="24"/>
          <w:szCs w:val="24"/>
        </w:rPr>
        <w:t>Opinions</w:t>
      </w:r>
      <w:r w:rsidRPr="00505CF0">
        <w:rPr>
          <w:rFonts w:asciiTheme="majorBidi" w:hAnsiTheme="majorBidi" w:cstheme="majorBidi"/>
          <w:i/>
          <w:iCs/>
          <w:sz w:val="24"/>
          <w:szCs w:val="24"/>
        </w:rPr>
        <w:t xml:space="preserve"> of Tristram Shandy, Gentleman</w:t>
      </w:r>
      <w:r w:rsidRPr="00505CF0">
        <w:rPr>
          <w:rFonts w:asciiTheme="majorBidi" w:hAnsiTheme="majorBidi" w:cstheme="majorBidi"/>
          <w:sz w:val="24"/>
          <w:szCs w:val="24"/>
        </w:rPr>
        <w:t xml:space="preserve"> by Laurence Sterne forms our second canonically</w:t>
      </w:r>
      <w:r w:rsidR="00756A48">
        <w:rPr>
          <w:rFonts w:asciiTheme="majorBidi" w:hAnsiTheme="majorBidi" w:cstheme="majorBidi"/>
          <w:sz w:val="24"/>
          <w:szCs w:val="24"/>
        </w:rPr>
        <w:t>, that is to say widely accepted as such,</w:t>
      </w:r>
      <w:r w:rsidRPr="00505CF0">
        <w:rPr>
          <w:rFonts w:asciiTheme="majorBidi" w:hAnsiTheme="majorBidi" w:cstheme="majorBidi"/>
          <w:sz w:val="24"/>
          <w:szCs w:val="24"/>
        </w:rPr>
        <w:t xml:space="preserve"> metafictional text, becoming, as Marie Stoie points out, at the same time an autobiography and a novel about writing a novel:</w:t>
      </w:r>
    </w:p>
    <w:p w14:paraId="061ACA8C" w14:textId="77777777" w:rsidR="00C111D3" w:rsidRPr="00505CF0" w:rsidRDefault="00C111D3" w:rsidP="004C3EE0">
      <w:pPr>
        <w:jc w:val="both"/>
        <w:rPr>
          <w:rFonts w:asciiTheme="majorBidi" w:hAnsiTheme="majorBidi" w:cstheme="majorBidi"/>
          <w:sz w:val="24"/>
          <w:szCs w:val="24"/>
        </w:rPr>
      </w:pPr>
    </w:p>
    <w:p w14:paraId="4CD90C83"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The conception of Tristram is the conception of the book, and by mentioning the creation of the world and the myth of Adam, Tristram indeed </w:t>
      </w:r>
      <w:proofErr w:type="gramStart"/>
      <w:r w:rsidRPr="00505CF0">
        <w:rPr>
          <w:rFonts w:asciiTheme="majorBidi" w:hAnsiTheme="majorBidi" w:cstheme="majorBidi"/>
          <w:sz w:val="24"/>
          <w:szCs w:val="24"/>
        </w:rPr>
        <w:t>confronts</w:t>
      </w:r>
      <w:proofErr w:type="gramEnd"/>
      <w:r w:rsidRPr="00505CF0">
        <w:rPr>
          <w:rFonts w:asciiTheme="majorBidi" w:hAnsiTheme="majorBidi" w:cstheme="majorBidi"/>
          <w:sz w:val="24"/>
          <w:szCs w:val="24"/>
        </w:rPr>
        <w:t xml:space="preserve"> us with the creation of a world: the creation of Tristram leads to the creation by Tristram of “Tristram Shandy.”</w:t>
      </w:r>
      <w:r w:rsidRPr="00505CF0">
        <w:rPr>
          <w:rStyle w:val="FootnoteReference"/>
          <w:rFonts w:asciiTheme="majorBidi" w:hAnsiTheme="majorBidi" w:cstheme="majorBidi"/>
          <w:sz w:val="24"/>
          <w:szCs w:val="24"/>
        </w:rPr>
        <w:footnoteReference w:id="645"/>
      </w:r>
    </w:p>
    <w:p w14:paraId="3DC1EB83" w14:textId="77777777" w:rsidR="00C111D3" w:rsidRPr="00505CF0" w:rsidRDefault="00C111D3" w:rsidP="004C3EE0">
      <w:pPr>
        <w:jc w:val="both"/>
        <w:rPr>
          <w:rFonts w:asciiTheme="majorBidi" w:hAnsiTheme="majorBidi" w:cstheme="majorBidi"/>
          <w:sz w:val="24"/>
          <w:szCs w:val="24"/>
        </w:rPr>
      </w:pPr>
    </w:p>
    <w:p w14:paraId="5374C5F9" w14:textId="77777777" w:rsidR="00C111D3" w:rsidRPr="00505CF0" w:rsidRDefault="00C111D3" w:rsidP="004C3EE0">
      <w:pPr>
        <w:jc w:val="both"/>
        <w:rPr>
          <w:rFonts w:asciiTheme="majorBidi" w:hAnsiTheme="majorBidi" w:cstheme="majorBidi"/>
          <w:sz w:val="24"/>
          <w:szCs w:val="24"/>
        </w:rPr>
      </w:pPr>
    </w:p>
    <w:p w14:paraId="41DBC2F0" w14:textId="50B7509A" w:rsidR="00C111D3" w:rsidRPr="00505CF0" w:rsidRDefault="00C111D3" w:rsidP="003F3142">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Of course, the metafictional device most significant to this history is that of the inf</w:t>
      </w:r>
      <w:r w:rsidR="003F3142">
        <w:rPr>
          <w:rFonts w:asciiTheme="majorBidi" w:hAnsiTheme="majorBidi" w:cstheme="majorBidi"/>
          <w:sz w:val="24"/>
          <w:szCs w:val="24"/>
        </w:rPr>
        <w:t>amous ‘black page,’ a page filled with a block of black ink rather than text.</w:t>
      </w:r>
      <w:r w:rsidRPr="00505CF0">
        <w:rPr>
          <w:rFonts w:asciiTheme="majorBidi" w:hAnsiTheme="majorBidi" w:cstheme="majorBidi"/>
          <w:sz w:val="24"/>
          <w:szCs w:val="24"/>
        </w:rPr>
        <w:t xml:space="preserve"> </w:t>
      </w:r>
      <w:r w:rsidR="003F3142">
        <w:rPr>
          <w:rFonts w:asciiTheme="majorBidi" w:hAnsiTheme="majorBidi" w:cstheme="majorBidi"/>
          <w:sz w:val="24"/>
          <w:szCs w:val="24"/>
        </w:rPr>
        <w:t>This, alon</w:t>
      </w:r>
      <w:r w:rsidRPr="00505CF0">
        <w:rPr>
          <w:rFonts w:asciiTheme="majorBidi" w:hAnsiTheme="majorBidi" w:cstheme="majorBidi"/>
          <w:sz w:val="24"/>
          <w:szCs w:val="24"/>
        </w:rPr>
        <w:t xml:space="preserve">gside certain marbled pages (which would otherwise appear only within the inner covers), </w:t>
      </w:r>
      <w:r w:rsidR="003F3142">
        <w:rPr>
          <w:rFonts w:asciiTheme="majorBidi" w:hAnsiTheme="majorBidi" w:cstheme="majorBidi"/>
          <w:sz w:val="24"/>
          <w:szCs w:val="24"/>
        </w:rPr>
        <w:t xml:space="preserve">serves </w:t>
      </w:r>
      <w:r w:rsidRPr="00505CF0">
        <w:rPr>
          <w:rFonts w:asciiTheme="majorBidi" w:hAnsiTheme="majorBidi" w:cstheme="majorBidi"/>
          <w:sz w:val="24"/>
          <w:szCs w:val="24"/>
        </w:rPr>
        <w:t>to foreground the artificial</w:t>
      </w:r>
      <w:r w:rsidR="00462677">
        <w:rPr>
          <w:rFonts w:asciiTheme="majorBidi" w:hAnsiTheme="majorBidi" w:cstheme="majorBidi"/>
          <w:sz w:val="24"/>
          <w:szCs w:val="24"/>
        </w:rPr>
        <w:t>ity</w:t>
      </w:r>
      <w:r w:rsidRPr="00505CF0">
        <w:rPr>
          <w:rFonts w:asciiTheme="majorBidi" w:hAnsiTheme="majorBidi" w:cstheme="majorBidi"/>
          <w:sz w:val="24"/>
          <w:szCs w:val="24"/>
        </w:rPr>
        <w:t xml:space="preserve"> of the reading experience, forcing the reader away from the narrative and back into a meta-analytical level in which they must confront the no</w:t>
      </w:r>
      <w:r w:rsidR="003F3142">
        <w:rPr>
          <w:rFonts w:asciiTheme="majorBidi" w:hAnsiTheme="majorBidi" w:cstheme="majorBidi"/>
          <w:sz w:val="24"/>
          <w:szCs w:val="24"/>
        </w:rPr>
        <w:t>n-standard textual presentation.</w:t>
      </w:r>
      <w:r w:rsidRPr="00505CF0">
        <w:rPr>
          <w:rFonts w:asciiTheme="majorBidi" w:hAnsiTheme="majorBidi" w:cstheme="majorBidi"/>
          <w:sz w:val="24"/>
          <w:szCs w:val="24"/>
        </w:rPr>
        <w:t xml:space="preserve"> </w:t>
      </w:r>
      <w:r w:rsidR="00462677" w:rsidRPr="00462677">
        <w:rPr>
          <w:rFonts w:asciiTheme="majorBidi" w:hAnsiTheme="majorBidi" w:cstheme="majorBidi"/>
          <w:sz w:val="24"/>
          <w:szCs w:val="24"/>
        </w:rPr>
        <w:t>The marbled page is usually taken to stand for the uniqueness of each reading experience</w:t>
      </w:r>
      <w:r w:rsidR="00462677">
        <w:rPr>
          <w:rFonts w:asciiTheme="majorBidi" w:hAnsiTheme="majorBidi" w:cstheme="majorBidi"/>
          <w:sz w:val="24"/>
          <w:szCs w:val="24"/>
        </w:rPr>
        <w:t xml:space="preserve">, </w:t>
      </w:r>
      <w:r w:rsidR="00462677" w:rsidRPr="00462677">
        <w:rPr>
          <w:rFonts w:asciiTheme="majorBidi" w:hAnsiTheme="majorBidi" w:cstheme="majorBidi"/>
          <w:sz w:val="24"/>
          <w:szCs w:val="24"/>
        </w:rPr>
        <w:t>as the page would be different in each printing</w:t>
      </w:r>
      <w:r w:rsidR="00462677">
        <w:rPr>
          <w:rFonts w:asciiTheme="majorBidi" w:hAnsiTheme="majorBidi" w:cstheme="majorBidi"/>
          <w:sz w:val="24"/>
          <w:szCs w:val="24"/>
        </w:rPr>
        <w:t xml:space="preserve">, and </w:t>
      </w:r>
      <w:r w:rsidRPr="00505CF0">
        <w:rPr>
          <w:rFonts w:asciiTheme="majorBidi" w:hAnsiTheme="majorBidi" w:cstheme="majorBidi"/>
          <w:sz w:val="24"/>
          <w:szCs w:val="24"/>
        </w:rPr>
        <w:t>– as Trist</w:t>
      </w:r>
      <w:r w:rsidR="003F3142">
        <w:rPr>
          <w:rFonts w:asciiTheme="majorBidi" w:hAnsiTheme="majorBidi" w:cstheme="majorBidi"/>
          <w:sz w:val="24"/>
          <w:szCs w:val="24"/>
        </w:rPr>
        <w:t>r</w:t>
      </w:r>
      <w:r w:rsidRPr="00505CF0">
        <w:rPr>
          <w:rFonts w:asciiTheme="majorBidi" w:hAnsiTheme="majorBidi" w:cstheme="majorBidi"/>
          <w:sz w:val="24"/>
          <w:szCs w:val="24"/>
        </w:rPr>
        <w:t xml:space="preserve">am himself intones – </w:t>
      </w:r>
      <w:r w:rsidR="00462677">
        <w:rPr>
          <w:rFonts w:asciiTheme="majorBidi" w:hAnsiTheme="majorBidi" w:cstheme="majorBidi"/>
          <w:sz w:val="24"/>
          <w:szCs w:val="24"/>
        </w:rPr>
        <w:t>is</w:t>
      </w:r>
      <w:r w:rsidRPr="00505CF0">
        <w:rPr>
          <w:rFonts w:asciiTheme="majorBidi" w:hAnsiTheme="majorBidi" w:cstheme="majorBidi"/>
          <w:sz w:val="24"/>
          <w:szCs w:val="24"/>
        </w:rPr>
        <w:t xml:space="preserve"> a</w:t>
      </w:r>
      <w:r w:rsidR="00462677">
        <w:rPr>
          <w:rFonts w:asciiTheme="majorBidi" w:hAnsiTheme="majorBidi" w:cstheme="majorBidi"/>
          <w:sz w:val="24"/>
          <w:szCs w:val="24"/>
        </w:rPr>
        <w:t>s an</w:t>
      </w:r>
      <w:r w:rsidRPr="00505CF0">
        <w:rPr>
          <w:rFonts w:asciiTheme="majorBidi" w:hAnsiTheme="majorBidi" w:cstheme="majorBidi"/>
          <w:sz w:val="24"/>
          <w:szCs w:val="24"/>
        </w:rPr>
        <w:t xml:space="preserve"> impenetrable a symbol as the black one, demonstrating that the world ‘with all its sagacity,’ still cannot comprehend or represent death.</w:t>
      </w:r>
      <w:r w:rsidRPr="00505CF0">
        <w:rPr>
          <w:rStyle w:val="FootnoteReference"/>
          <w:rFonts w:asciiTheme="majorBidi" w:hAnsiTheme="majorBidi" w:cstheme="majorBidi"/>
          <w:sz w:val="24"/>
          <w:szCs w:val="24"/>
        </w:rPr>
        <w:footnoteReference w:id="646"/>
      </w:r>
      <w:r w:rsidRPr="00505CF0">
        <w:rPr>
          <w:rFonts w:asciiTheme="majorBidi" w:hAnsiTheme="majorBidi" w:cstheme="majorBidi"/>
          <w:sz w:val="24"/>
          <w:szCs w:val="24"/>
        </w:rPr>
        <w:t xml:space="preserve"> </w:t>
      </w:r>
      <w:r w:rsidR="003F3142">
        <w:rPr>
          <w:rFonts w:asciiTheme="majorBidi" w:hAnsiTheme="majorBidi" w:cstheme="majorBidi"/>
          <w:sz w:val="24"/>
          <w:szCs w:val="24"/>
        </w:rPr>
        <w:t>This is a</w:t>
      </w:r>
      <w:r w:rsidRPr="00505CF0">
        <w:rPr>
          <w:rFonts w:asciiTheme="majorBidi" w:hAnsiTheme="majorBidi" w:cstheme="majorBidi"/>
          <w:sz w:val="24"/>
          <w:szCs w:val="24"/>
        </w:rPr>
        <w:t xml:space="preserve"> thematic concern which we will return to later in this history.</w:t>
      </w:r>
      <w:r w:rsidR="00DD5BBD">
        <w:rPr>
          <w:rStyle w:val="FootnoteReference"/>
          <w:rFonts w:asciiTheme="majorBidi" w:hAnsiTheme="majorBidi" w:cstheme="majorBidi"/>
          <w:sz w:val="24"/>
          <w:szCs w:val="24"/>
        </w:rPr>
        <w:footnoteReference w:id="647"/>
      </w:r>
      <w:r w:rsidRPr="00505CF0">
        <w:rPr>
          <w:rFonts w:asciiTheme="majorBidi" w:hAnsiTheme="majorBidi" w:cstheme="majorBidi"/>
          <w:sz w:val="24"/>
          <w:szCs w:val="24"/>
        </w:rPr>
        <w:t xml:space="preserve"> </w:t>
      </w:r>
    </w:p>
    <w:p w14:paraId="26D25718" w14:textId="128FFC04" w:rsidR="00C111D3" w:rsidRPr="00505CF0" w:rsidRDefault="00C111D3" w:rsidP="003F3142">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Pierre Choderlos de Laclos’ </w:t>
      </w:r>
      <w:r w:rsidRPr="00505CF0">
        <w:rPr>
          <w:rFonts w:asciiTheme="majorBidi" w:hAnsiTheme="majorBidi" w:cstheme="majorBidi"/>
          <w:i/>
          <w:iCs/>
          <w:sz w:val="24"/>
          <w:szCs w:val="24"/>
        </w:rPr>
        <w:t>Les Liaisons Dangereuses</w:t>
      </w:r>
      <w:r w:rsidRPr="00505CF0">
        <w:rPr>
          <w:rFonts w:asciiTheme="majorBidi" w:hAnsiTheme="majorBidi" w:cstheme="majorBidi"/>
          <w:sz w:val="24"/>
          <w:szCs w:val="24"/>
        </w:rPr>
        <w:t xml:space="preserve"> (1782) and Charles Maturin’s </w:t>
      </w:r>
      <w:r w:rsidRPr="00505CF0">
        <w:rPr>
          <w:rFonts w:asciiTheme="majorBidi" w:hAnsiTheme="majorBidi" w:cstheme="majorBidi"/>
          <w:i/>
          <w:iCs/>
          <w:sz w:val="24"/>
          <w:szCs w:val="24"/>
        </w:rPr>
        <w:t>Melmoth the Wanderer</w:t>
      </w:r>
      <w:r w:rsidRPr="00505CF0">
        <w:rPr>
          <w:rFonts w:asciiTheme="majorBidi" w:hAnsiTheme="majorBidi" w:cstheme="majorBidi"/>
          <w:sz w:val="24"/>
          <w:szCs w:val="24"/>
        </w:rPr>
        <w:t xml:space="preserve"> (1820) both play with conventions of the novel, with the former produced entirely in letters while the latter forms a </w:t>
      </w:r>
      <w:r w:rsidR="003F3142">
        <w:rPr>
          <w:rFonts w:asciiTheme="majorBidi" w:hAnsiTheme="majorBidi" w:cstheme="majorBidi"/>
          <w:sz w:val="24"/>
          <w:szCs w:val="24"/>
        </w:rPr>
        <w:t>series</w:t>
      </w:r>
      <w:r w:rsidRPr="00505CF0">
        <w:rPr>
          <w:rFonts w:asciiTheme="majorBidi" w:hAnsiTheme="majorBidi" w:cstheme="majorBidi"/>
          <w:sz w:val="24"/>
          <w:szCs w:val="24"/>
        </w:rPr>
        <w:t xml:space="preserve"> of nested narratives and stories, yet it is to James Hogg’s </w:t>
      </w:r>
      <w:r w:rsidRPr="00505CF0">
        <w:rPr>
          <w:rFonts w:asciiTheme="majorBidi" w:hAnsiTheme="majorBidi" w:cstheme="majorBidi"/>
          <w:i/>
          <w:iCs/>
          <w:sz w:val="24"/>
          <w:szCs w:val="24"/>
        </w:rPr>
        <w:t xml:space="preserve">The Private Memoirs and Confessions of a Justified Sinner </w:t>
      </w:r>
      <w:r w:rsidRPr="00505CF0">
        <w:rPr>
          <w:rFonts w:asciiTheme="majorBidi" w:hAnsiTheme="majorBidi" w:cstheme="majorBidi"/>
          <w:iCs/>
          <w:sz w:val="24"/>
          <w:szCs w:val="24"/>
        </w:rPr>
        <w:t>(1824)</w:t>
      </w:r>
      <w:r w:rsidRPr="00505CF0">
        <w:rPr>
          <w:rFonts w:asciiTheme="majorBidi" w:hAnsiTheme="majorBidi" w:cstheme="majorBidi"/>
          <w:sz w:val="24"/>
          <w:szCs w:val="24"/>
        </w:rPr>
        <w:t xml:space="preserve"> which we next turn to in our exploration of the metafictional</w:t>
      </w:r>
      <w:r w:rsidR="00462677">
        <w:rPr>
          <w:rFonts w:asciiTheme="majorBidi" w:hAnsiTheme="majorBidi" w:cstheme="majorBidi"/>
          <w:sz w:val="24"/>
          <w:szCs w:val="24"/>
        </w:rPr>
        <w:t>, rather than merely self-conscious,</w:t>
      </w:r>
      <w:r w:rsidRPr="00505CF0">
        <w:rPr>
          <w:rFonts w:asciiTheme="majorBidi" w:hAnsiTheme="majorBidi" w:cstheme="majorBidi"/>
          <w:sz w:val="24"/>
          <w:szCs w:val="24"/>
        </w:rPr>
        <w:t xml:space="preserve"> past. Here, Hogg problematises the production of texts through the discrepancy between the Editor of a tale and the Sinner’s tale itself, forming a specific friction between accounts. By involving Hogg himself in the editor’s narrative, explicitly signposting the textual nature of the artefact through the editor’s discussion of finding and naming it, and intertextually including a section of a separately printed article by Hogg, the text forms a convincingly proto-postmodern metafictional novel. </w:t>
      </w:r>
    </w:p>
    <w:p w14:paraId="6E63E864" w14:textId="25908317" w:rsidR="00C111D3" w:rsidRPr="00505CF0" w:rsidRDefault="00C111D3" w:rsidP="00C1124C">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The next text </w:t>
      </w:r>
      <w:r w:rsidR="00462677">
        <w:rPr>
          <w:rFonts w:asciiTheme="majorBidi" w:hAnsiTheme="majorBidi" w:cstheme="majorBidi"/>
          <w:sz w:val="24"/>
          <w:szCs w:val="24"/>
        </w:rPr>
        <w:t xml:space="preserve">significant to our metafictional history </w:t>
      </w:r>
      <w:r w:rsidRPr="00505CF0">
        <w:rPr>
          <w:rFonts w:asciiTheme="majorBidi" w:hAnsiTheme="majorBidi" w:cstheme="majorBidi"/>
          <w:sz w:val="24"/>
          <w:szCs w:val="24"/>
        </w:rPr>
        <w:t>to appear i</w:t>
      </w:r>
      <w:r w:rsidR="003F3142">
        <w:rPr>
          <w:rFonts w:asciiTheme="majorBidi" w:hAnsiTheme="majorBidi" w:cstheme="majorBidi"/>
          <w:sz w:val="24"/>
          <w:szCs w:val="24"/>
        </w:rPr>
        <w:t>n this period is that of Paul F</w:t>
      </w:r>
      <w:r w:rsidR="003F3142" w:rsidRPr="003F3142">
        <w:rPr>
          <w:rFonts w:asciiTheme="majorBidi" w:hAnsiTheme="majorBidi" w:cstheme="majorBidi"/>
          <w:sz w:val="24"/>
          <w:szCs w:val="24"/>
        </w:rPr>
        <w:t>é</w:t>
      </w:r>
      <w:r w:rsidRPr="00505CF0">
        <w:rPr>
          <w:rFonts w:asciiTheme="majorBidi" w:hAnsiTheme="majorBidi" w:cstheme="majorBidi"/>
          <w:sz w:val="24"/>
          <w:szCs w:val="24"/>
        </w:rPr>
        <w:t xml:space="preserve">val’s </w:t>
      </w:r>
      <w:r w:rsidRPr="00505CF0">
        <w:rPr>
          <w:rFonts w:asciiTheme="majorBidi" w:hAnsiTheme="majorBidi" w:cstheme="majorBidi"/>
          <w:i/>
          <w:iCs/>
          <w:sz w:val="24"/>
          <w:szCs w:val="24"/>
        </w:rPr>
        <w:t>Vampire City</w:t>
      </w:r>
      <w:r w:rsidRPr="00505CF0">
        <w:rPr>
          <w:rFonts w:asciiTheme="majorBidi" w:hAnsiTheme="majorBidi" w:cstheme="majorBidi"/>
          <w:sz w:val="24"/>
          <w:szCs w:val="24"/>
        </w:rPr>
        <w:t xml:space="preserve"> (1864), which</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presents as an early (if not the earliest) example of what would later be categorized by Linda Hutcheon as historiographic metafiction. </w:t>
      </w:r>
      <w:r w:rsidRPr="00505CF0">
        <w:rPr>
          <w:rFonts w:asciiTheme="majorBidi" w:hAnsiTheme="majorBidi" w:cstheme="majorBidi"/>
          <w:i/>
          <w:iCs/>
          <w:sz w:val="24"/>
          <w:szCs w:val="24"/>
        </w:rPr>
        <w:t>Vampire City</w:t>
      </w:r>
      <w:r w:rsidR="00C1124C">
        <w:rPr>
          <w:rFonts w:asciiTheme="majorBidi" w:hAnsiTheme="majorBidi" w:cstheme="majorBidi"/>
          <w:sz w:val="24"/>
          <w:szCs w:val="24"/>
        </w:rPr>
        <w:t xml:space="preserve"> fictionalises the life of Ann</w:t>
      </w:r>
      <w:r w:rsidRPr="00505CF0">
        <w:rPr>
          <w:rFonts w:asciiTheme="majorBidi" w:hAnsiTheme="majorBidi" w:cstheme="majorBidi"/>
          <w:sz w:val="24"/>
          <w:szCs w:val="24"/>
        </w:rPr>
        <w:t xml:space="preserve"> Radcliffe, </w:t>
      </w:r>
      <w:r w:rsidR="00C1124C">
        <w:rPr>
          <w:rFonts w:asciiTheme="majorBidi" w:hAnsiTheme="majorBidi" w:cstheme="majorBidi"/>
          <w:sz w:val="24"/>
          <w:szCs w:val="24"/>
        </w:rPr>
        <w:t xml:space="preserve">the </w:t>
      </w:r>
      <w:r w:rsidRPr="00505CF0">
        <w:rPr>
          <w:rFonts w:asciiTheme="majorBidi" w:hAnsiTheme="majorBidi" w:cstheme="majorBidi"/>
          <w:sz w:val="24"/>
          <w:szCs w:val="24"/>
        </w:rPr>
        <w:t xml:space="preserve">famous Gothic novelist, inventing a fantastical tale in which Radcliffe serves as the primary protagonist and vampire hunter. While somewhat absurd </w:t>
      </w:r>
      <w:r w:rsidR="00C1124C">
        <w:rPr>
          <w:rFonts w:asciiTheme="majorBidi" w:hAnsiTheme="majorBidi" w:cstheme="majorBidi"/>
          <w:sz w:val="24"/>
          <w:szCs w:val="24"/>
        </w:rPr>
        <w:t>a</w:t>
      </w:r>
      <w:r w:rsidRPr="00505CF0">
        <w:rPr>
          <w:rFonts w:asciiTheme="majorBidi" w:hAnsiTheme="majorBidi" w:cstheme="majorBidi"/>
          <w:sz w:val="24"/>
          <w:szCs w:val="24"/>
        </w:rPr>
        <w:t xml:space="preserve"> concept, the text is notable in its depiction of a factual historical figure and the attempt to fictionalise their life, the main premise of the historiographic metafictions of the latter centuries. </w:t>
      </w:r>
    </w:p>
    <w:p w14:paraId="09D738C5" w14:textId="385D0739" w:rsidR="00C111D3" w:rsidRPr="00505CF0" w:rsidRDefault="00C111D3" w:rsidP="00AA6537">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Finally,</w:t>
      </w:r>
      <w:r w:rsidR="0028417B">
        <w:rPr>
          <w:rFonts w:asciiTheme="majorBidi" w:hAnsiTheme="majorBidi" w:cstheme="majorBidi"/>
          <w:sz w:val="24"/>
          <w:szCs w:val="24"/>
        </w:rPr>
        <w:t xml:space="preserve"> in this particular section,</w:t>
      </w:r>
      <w:r w:rsidRPr="00505CF0">
        <w:rPr>
          <w:rFonts w:asciiTheme="majorBidi" w:hAnsiTheme="majorBidi" w:cstheme="majorBidi"/>
          <w:sz w:val="24"/>
          <w:szCs w:val="24"/>
        </w:rPr>
        <w:t xml:space="preserve"> 1891 saw the publication of </w:t>
      </w:r>
      <w:r w:rsidRPr="00505CF0">
        <w:rPr>
          <w:rFonts w:asciiTheme="majorBidi" w:hAnsiTheme="majorBidi" w:cstheme="majorBidi"/>
          <w:i/>
          <w:sz w:val="24"/>
          <w:szCs w:val="24"/>
        </w:rPr>
        <w:t xml:space="preserve">The Story of the Glittering Plain or The Land of Living Men </w:t>
      </w:r>
      <w:r w:rsidRPr="00505CF0">
        <w:rPr>
          <w:rFonts w:asciiTheme="majorBidi" w:hAnsiTheme="majorBidi" w:cstheme="majorBidi"/>
          <w:sz w:val="24"/>
          <w:szCs w:val="24"/>
        </w:rPr>
        <w:t>by William Morris, a text which, despite a distinct lack of critical attention</w:t>
      </w:r>
      <w:r w:rsidR="00042BD4">
        <w:rPr>
          <w:rStyle w:val="FootnoteReference"/>
          <w:rFonts w:asciiTheme="majorBidi" w:hAnsiTheme="majorBidi" w:cstheme="majorBidi"/>
          <w:sz w:val="24"/>
          <w:szCs w:val="24"/>
        </w:rPr>
        <w:footnoteReference w:id="648"/>
      </w:r>
      <w:r w:rsidRPr="00505CF0">
        <w:rPr>
          <w:rFonts w:asciiTheme="majorBidi" w:hAnsiTheme="majorBidi" w:cstheme="majorBidi"/>
          <w:sz w:val="24"/>
          <w:szCs w:val="24"/>
        </w:rPr>
        <w:t xml:space="preserve">, </w:t>
      </w:r>
      <w:r w:rsidR="00462677">
        <w:rPr>
          <w:rFonts w:asciiTheme="majorBidi" w:hAnsiTheme="majorBidi" w:cstheme="majorBidi"/>
          <w:sz w:val="24"/>
          <w:szCs w:val="24"/>
        </w:rPr>
        <w:t>also</w:t>
      </w:r>
      <w:r w:rsidRPr="00505CF0">
        <w:rPr>
          <w:rFonts w:asciiTheme="majorBidi" w:hAnsiTheme="majorBidi" w:cstheme="majorBidi"/>
          <w:sz w:val="24"/>
          <w:szCs w:val="24"/>
        </w:rPr>
        <w:t xml:space="preserve"> deserves recognition as </w:t>
      </w:r>
      <w:r w:rsidR="00C1124C">
        <w:rPr>
          <w:rFonts w:asciiTheme="majorBidi" w:hAnsiTheme="majorBidi" w:cstheme="majorBidi"/>
          <w:sz w:val="24"/>
          <w:szCs w:val="24"/>
        </w:rPr>
        <w:t>an example proto-</w:t>
      </w:r>
      <w:r w:rsidRPr="00505CF0">
        <w:rPr>
          <w:rFonts w:asciiTheme="majorBidi" w:hAnsiTheme="majorBidi" w:cstheme="majorBidi"/>
          <w:sz w:val="24"/>
          <w:szCs w:val="24"/>
        </w:rPr>
        <w:t>postmodern literature via the conjunction of both supernatural and fantasy elements</w:t>
      </w:r>
      <w:r w:rsidR="00C1124C">
        <w:rPr>
          <w:rFonts w:asciiTheme="majorBidi" w:hAnsiTheme="majorBidi" w:cstheme="majorBidi"/>
          <w:sz w:val="24"/>
          <w:szCs w:val="24"/>
        </w:rPr>
        <w:t xml:space="preserve"> in a typical postmodern genre-blending move</w:t>
      </w:r>
      <w:r w:rsidRPr="00505CF0">
        <w:rPr>
          <w:rFonts w:asciiTheme="majorBidi" w:hAnsiTheme="majorBidi" w:cstheme="majorBidi"/>
          <w:sz w:val="24"/>
          <w:szCs w:val="24"/>
        </w:rPr>
        <w:t xml:space="preserve">. More pertinent to this timeline, however, the text itself treats the typical chivalric romance genre in a metafictional manner, with the hero’s inevitably kidnapped spouse named only as The Hostage and taken to The Isle of Ransom where she awaits rescue. </w:t>
      </w:r>
      <w:r w:rsidRPr="00505CF0">
        <w:rPr>
          <w:rFonts w:asciiTheme="majorBidi" w:hAnsiTheme="majorBidi" w:cstheme="majorBidi"/>
          <w:i/>
          <w:sz w:val="24"/>
          <w:szCs w:val="24"/>
        </w:rPr>
        <w:t>The Story of the Glittering Pla</w:t>
      </w:r>
      <w:r w:rsidR="00C1124C">
        <w:rPr>
          <w:rFonts w:asciiTheme="majorBidi" w:hAnsiTheme="majorBidi" w:cstheme="majorBidi"/>
          <w:i/>
          <w:sz w:val="24"/>
          <w:szCs w:val="24"/>
        </w:rPr>
        <w:t>i</w:t>
      </w:r>
      <w:r w:rsidRPr="00505CF0">
        <w:rPr>
          <w:rFonts w:asciiTheme="majorBidi" w:hAnsiTheme="majorBidi" w:cstheme="majorBidi"/>
          <w:i/>
          <w:sz w:val="24"/>
          <w:szCs w:val="24"/>
        </w:rPr>
        <w:t>n</w:t>
      </w:r>
      <w:r w:rsidRPr="00505CF0">
        <w:rPr>
          <w:rFonts w:asciiTheme="majorBidi" w:hAnsiTheme="majorBidi" w:cstheme="majorBidi"/>
          <w:sz w:val="24"/>
          <w:szCs w:val="24"/>
        </w:rPr>
        <w:t xml:space="preserve"> signals the tropes of its own genre in a move that would later become an archetypical technique of the metafictional, seen in the novels of Auster, Ellis, and Pynchon</w:t>
      </w:r>
      <w:r w:rsidR="00C1124C">
        <w:rPr>
          <w:rFonts w:asciiTheme="majorBidi" w:hAnsiTheme="majorBidi" w:cstheme="majorBidi"/>
          <w:sz w:val="24"/>
          <w:szCs w:val="24"/>
        </w:rPr>
        <w:t>,</w:t>
      </w:r>
      <w:r w:rsidRPr="00505CF0">
        <w:rPr>
          <w:rFonts w:asciiTheme="majorBidi" w:hAnsiTheme="majorBidi" w:cstheme="majorBidi"/>
          <w:sz w:val="24"/>
          <w:szCs w:val="24"/>
        </w:rPr>
        <w:t xml:space="preserve"> to come in the </w:t>
      </w:r>
      <w:r w:rsidR="00C1124C">
        <w:rPr>
          <w:rFonts w:asciiTheme="majorBidi" w:hAnsiTheme="majorBidi" w:cstheme="majorBidi"/>
          <w:sz w:val="24"/>
          <w:szCs w:val="24"/>
        </w:rPr>
        <w:t>modern and p</w:t>
      </w:r>
      <w:r w:rsidRPr="00505CF0">
        <w:rPr>
          <w:rFonts w:asciiTheme="majorBidi" w:hAnsiTheme="majorBidi" w:cstheme="majorBidi"/>
          <w:sz w:val="24"/>
          <w:szCs w:val="24"/>
        </w:rPr>
        <w:t xml:space="preserve">ostmodern </w:t>
      </w:r>
      <w:r w:rsidR="00C1124C">
        <w:rPr>
          <w:rFonts w:asciiTheme="majorBidi" w:hAnsiTheme="majorBidi" w:cstheme="majorBidi"/>
          <w:sz w:val="24"/>
          <w:szCs w:val="24"/>
        </w:rPr>
        <w:t>e</w:t>
      </w:r>
      <w:r w:rsidR="00AA6537">
        <w:rPr>
          <w:rFonts w:asciiTheme="majorBidi" w:hAnsiTheme="majorBidi" w:cstheme="majorBidi"/>
          <w:sz w:val="24"/>
          <w:szCs w:val="24"/>
        </w:rPr>
        <w:t>r</w:t>
      </w:r>
      <w:r w:rsidR="00C1124C">
        <w:rPr>
          <w:rFonts w:asciiTheme="majorBidi" w:hAnsiTheme="majorBidi" w:cstheme="majorBidi"/>
          <w:sz w:val="24"/>
          <w:szCs w:val="24"/>
        </w:rPr>
        <w:t xml:space="preserve">as </w:t>
      </w:r>
      <w:r w:rsidRPr="00505CF0">
        <w:rPr>
          <w:rFonts w:asciiTheme="majorBidi" w:hAnsiTheme="majorBidi" w:cstheme="majorBidi"/>
          <w:sz w:val="24"/>
          <w:szCs w:val="24"/>
        </w:rPr>
        <w:t>that followed.</w:t>
      </w:r>
    </w:p>
    <w:p w14:paraId="7E999D35" w14:textId="77777777" w:rsidR="00AA6537" w:rsidRDefault="00AA6537" w:rsidP="004C3EE0">
      <w:pPr>
        <w:tabs>
          <w:tab w:val="left" w:pos="720"/>
          <w:tab w:val="left" w:pos="1440"/>
          <w:tab w:val="left" w:pos="2160"/>
          <w:tab w:val="left" w:pos="2880"/>
          <w:tab w:val="left" w:pos="3600"/>
          <w:tab w:val="left" w:pos="4320"/>
          <w:tab w:val="left" w:pos="5040"/>
          <w:tab w:val="left" w:pos="5760"/>
          <w:tab w:val="left" w:pos="6480"/>
          <w:tab w:val="left" w:pos="7200"/>
          <w:tab w:val="left" w:pos="7560"/>
        </w:tabs>
        <w:jc w:val="both"/>
        <w:rPr>
          <w:rFonts w:asciiTheme="majorBidi" w:hAnsiTheme="majorBidi" w:cstheme="majorBidi"/>
          <w:b/>
          <w:sz w:val="28"/>
          <w:szCs w:val="28"/>
        </w:rPr>
      </w:pPr>
    </w:p>
    <w:p w14:paraId="359A7CA6" w14:textId="77777777" w:rsidR="00B3764A" w:rsidRDefault="00B3764A" w:rsidP="004C3EE0">
      <w:pPr>
        <w:tabs>
          <w:tab w:val="left" w:pos="720"/>
          <w:tab w:val="left" w:pos="1440"/>
          <w:tab w:val="left" w:pos="2160"/>
          <w:tab w:val="left" w:pos="2880"/>
          <w:tab w:val="left" w:pos="3600"/>
          <w:tab w:val="left" w:pos="4320"/>
          <w:tab w:val="left" w:pos="5040"/>
          <w:tab w:val="left" w:pos="5760"/>
          <w:tab w:val="left" w:pos="6480"/>
          <w:tab w:val="left" w:pos="7200"/>
          <w:tab w:val="left" w:pos="7560"/>
        </w:tabs>
        <w:jc w:val="both"/>
        <w:rPr>
          <w:rFonts w:asciiTheme="majorBidi" w:hAnsiTheme="majorBidi" w:cstheme="majorBidi"/>
          <w:b/>
          <w:sz w:val="28"/>
          <w:szCs w:val="28"/>
        </w:rPr>
      </w:pPr>
    </w:p>
    <w:p w14:paraId="25C09290" w14:textId="77777777" w:rsidR="00C111D3" w:rsidRPr="00505CF0" w:rsidRDefault="00C111D3" w:rsidP="004C3EE0">
      <w:pPr>
        <w:tabs>
          <w:tab w:val="left" w:pos="720"/>
          <w:tab w:val="left" w:pos="1440"/>
          <w:tab w:val="left" w:pos="2160"/>
          <w:tab w:val="left" w:pos="2880"/>
          <w:tab w:val="left" w:pos="3600"/>
          <w:tab w:val="left" w:pos="4320"/>
          <w:tab w:val="left" w:pos="5040"/>
          <w:tab w:val="left" w:pos="5760"/>
          <w:tab w:val="left" w:pos="6480"/>
          <w:tab w:val="left" w:pos="7200"/>
          <w:tab w:val="left" w:pos="7560"/>
        </w:tabs>
        <w:jc w:val="both"/>
        <w:rPr>
          <w:rFonts w:asciiTheme="majorBidi" w:hAnsiTheme="majorBidi" w:cstheme="majorBidi"/>
          <w:b/>
          <w:sz w:val="28"/>
          <w:szCs w:val="28"/>
        </w:rPr>
      </w:pPr>
      <w:r w:rsidRPr="00505CF0">
        <w:rPr>
          <w:rFonts w:asciiTheme="majorBidi" w:hAnsiTheme="majorBidi" w:cstheme="majorBidi"/>
          <w:b/>
          <w:sz w:val="28"/>
          <w:szCs w:val="28"/>
        </w:rPr>
        <w:t>2.2</w:t>
      </w:r>
      <w:r w:rsidRPr="00505CF0">
        <w:rPr>
          <w:rFonts w:asciiTheme="majorBidi" w:hAnsiTheme="majorBidi" w:cstheme="majorBidi"/>
          <w:b/>
          <w:sz w:val="28"/>
          <w:szCs w:val="28"/>
        </w:rPr>
        <w:tab/>
        <w:t>Into Postmodern Metafiction: The Mode Recognised.</w:t>
      </w:r>
    </w:p>
    <w:p w14:paraId="67C37634" w14:textId="77777777" w:rsidR="00C111D3" w:rsidRPr="00505CF0" w:rsidRDefault="00C111D3" w:rsidP="004C3EE0">
      <w:pPr>
        <w:spacing w:line="480" w:lineRule="auto"/>
        <w:jc w:val="both"/>
        <w:rPr>
          <w:rFonts w:asciiTheme="majorBidi" w:hAnsiTheme="majorBidi" w:cstheme="majorBidi"/>
        </w:rPr>
      </w:pPr>
    </w:p>
    <w:p w14:paraId="509A8534" w14:textId="542FF5F9" w:rsidR="00C111D3" w:rsidRPr="00505CF0" w:rsidRDefault="00C111D3" w:rsidP="00F76A37">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While the modernist period tended to eschew metafictional practice, as modernism entered ‘that moment, from 1913 to the mid-1970s, when [it] began its retreat,’</w:t>
      </w:r>
      <w:r w:rsidRPr="00505CF0">
        <w:rPr>
          <w:rStyle w:val="FootnoteReference"/>
          <w:rFonts w:asciiTheme="majorBidi" w:hAnsiTheme="majorBidi" w:cstheme="majorBidi"/>
          <w:sz w:val="24"/>
          <w:szCs w:val="24"/>
        </w:rPr>
        <w:footnoteReference w:id="649"/>
      </w:r>
      <w:r w:rsidRPr="00505CF0">
        <w:rPr>
          <w:rFonts w:asciiTheme="majorBidi" w:hAnsiTheme="majorBidi" w:cstheme="majorBidi"/>
          <w:sz w:val="24"/>
          <w:szCs w:val="24"/>
        </w:rPr>
        <w:t xml:space="preserve"> it did see the production of the heralded supreme novel of the modernist movement – Joyce’s </w:t>
      </w:r>
      <w:r w:rsidRPr="00505CF0">
        <w:rPr>
          <w:rFonts w:asciiTheme="majorBidi" w:hAnsiTheme="majorBidi" w:cstheme="majorBidi"/>
          <w:i/>
          <w:iCs/>
          <w:sz w:val="24"/>
          <w:szCs w:val="24"/>
        </w:rPr>
        <w:t>Ulysses</w:t>
      </w:r>
      <w:r w:rsidR="00C816A3">
        <w:rPr>
          <w:rFonts w:asciiTheme="majorBidi" w:hAnsiTheme="majorBidi" w:cstheme="majorBidi"/>
          <w:i/>
          <w:iCs/>
          <w:sz w:val="24"/>
          <w:szCs w:val="24"/>
        </w:rPr>
        <w:t xml:space="preserve"> </w:t>
      </w:r>
      <w:r w:rsidR="00C816A3">
        <w:rPr>
          <w:rFonts w:asciiTheme="majorBidi" w:hAnsiTheme="majorBidi" w:cstheme="majorBidi"/>
          <w:iCs/>
          <w:sz w:val="24"/>
          <w:szCs w:val="24"/>
        </w:rPr>
        <w:t>(1922)</w:t>
      </w:r>
      <w:r w:rsidRPr="00505CF0">
        <w:rPr>
          <w:rFonts w:asciiTheme="majorBidi" w:hAnsiTheme="majorBidi" w:cstheme="majorBidi"/>
          <w:sz w:val="24"/>
          <w:szCs w:val="24"/>
        </w:rPr>
        <w:t>. Enough, at this point in literary history, has been written about the text that there is little need to elaborate much upon it, though it should be noted that Joyce’s text does en</w:t>
      </w:r>
      <w:r w:rsidR="00B3764A">
        <w:rPr>
          <w:rFonts w:asciiTheme="majorBidi" w:hAnsiTheme="majorBidi" w:cstheme="majorBidi"/>
          <w:sz w:val="24"/>
          <w:szCs w:val="24"/>
        </w:rPr>
        <w:t>gage in metafictional play, achieving a subversion of the then-traditional realist narrative technique</w:t>
      </w:r>
      <w:r w:rsidR="00C816A3">
        <w:rPr>
          <w:rFonts w:asciiTheme="majorBidi" w:hAnsiTheme="majorBidi" w:cstheme="majorBidi"/>
          <w:sz w:val="24"/>
          <w:szCs w:val="24"/>
        </w:rPr>
        <w:t>s</w:t>
      </w:r>
      <w:r w:rsidRPr="00505CF0">
        <w:rPr>
          <w:rFonts w:asciiTheme="majorBidi" w:hAnsiTheme="majorBidi" w:cstheme="majorBidi"/>
          <w:sz w:val="24"/>
          <w:szCs w:val="24"/>
        </w:rPr>
        <w:t>, though it too evidences conventional play in terms of inclusion of its myriad forms (prose, poetry, script, newspaper etc).</w:t>
      </w:r>
      <w:r w:rsidRPr="00505CF0">
        <w:rPr>
          <w:rStyle w:val="FootnoteReference"/>
          <w:rFonts w:asciiTheme="majorBidi" w:hAnsiTheme="majorBidi" w:cstheme="majorBidi"/>
          <w:sz w:val="24"/>
          <w:szCs w:val="24"/>
        </w:rPr>
        <w:footnoteReference w:id="650"/>
      </w:r>
      <w:r w:rsidRPr="00505CF0">
        <w:rPr>
          <w:rFonts w:asciiTheme="majorBidi" w:hAnsiTheme="majorBidi" w:cstheme="majorBidi"/>
          <w:sz w:val="24"/>
          <w:szCs w:val="24"/>
        </w:rPr>
        <w:t xml:space="preserve"> Less critically acclaimed, though no less vital, Miguel de Unamuno’s 1914 text </w:t>
      </w:r>
      <w:r w:rsidRPr="00505CF0">
        <w:rPr>
          <w:rFonts w:asciiTheme="majorBidi" w:hAnsiTheme="majorBidi" w:cstheme="majorBidi"/>
          <w:i/>
          <w:iCs/>
          <w:sz w:val="24"/>
          <w:szCs w:val="24"/>
        </w:rPr>
        <w:t xml:space="preserve">Niebla </w:t>
      </w:r>
      <w:r w:rsidR="00F76A37">
        <w:rPr>
          <w:rFonts w:asciiTheme="majorBidi" w:hAnsiTheme="majorBidi" w:cstheme="majorBidi"/>
          <w:sz w:val="24"/>
          <w:szCs w:val="24"/>
        </w:rPr>
        <w:t>(</w:t>
      </w:r>
      <w:r w:rsidR="0028417B">
        <w:rPr>
          <w:rFonts w:asciiTheme="majorBidi" w:hAnsiTheme="majorBidi" w:cstheme="majorBidi"/>
          <w:sz w:val="24"/>
          <w:szCs w:val="24"/>
        </w:rPr>
        <w:t>p</w:t>
      </w:r>
      <w:r w:rsidR="00F76A37">
        <w:rPr>
          <w:rFonts w:asciiTheme="majorBidi" w:hAnsiTheme="majorBidi" w:cstheme="majorBidi"/>
          <w:sz w:val="24"/>
          <w:szCs w:val="24"/>
        </w:rPr>
        <w:t>ublished in English as</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The Mist</w:t>
      </w:r>
      <w:r w:rsidRPr="00505CF0">
        <w:rPr>
          <w:rFonts w:asciiTheme="majorBidi" w:hAnsiTheme="majorBidi" w:cstheme="majorBidi"/>
          <w:sz w:val="24"/>
          <w:szCs w:val="24"/>
        </w:rPr>
        <w:t xml:space="preserve">) follows Augusto who, after being spurned by his wife-to-be, seeks out Unamuno himself, who reveals that he, Augusto, is a fictional character in a novel written by Unamuno. This instance of a character’s recognition of their status as fictional breaks the standard realist concord between text and reader, </w:t>
      </w:r>
      <w:r w:rsidR="003B6878">
        <w:rPr>
          <w:rFonts w:asciiTheme="majorBidi" w:hAnsiTheme="majorBidi" w:cstheme="majorBidi"/>
          <w:sz w:val="24"/>
          <w:szCs w:val="24"/>
        </w:rPr>
        <w:t xml:space="preserve">creating a metaleptic rift between narratological levels that </w:t>
      </w:r>
      <w:r w:rsidRPr="00505CF0">
        <w:rPr>
          <w:rFonts w:asciiTheme="majorBidi" w:hAnsiTheme="majorBidi" w:cstheme="majorBidi"/>
          <w:sz w:val="24"/>
          <w:szCs w:val="24"/>
        </w:rPr>
        <w:t>remind</w:t>
      </w:r>
      <w:r w:rsidR="003B6878">
        <w:rPr>
          <w:rFonts w:asciiTheme="majorBidi" w:hAnsiTheme="majorBidi" w:cstheme="majorBidi"/>
          <w:sz w:val="24"/>
          <w:szCs w:val="24"/>
        </w:rPr>
        <w:t>s</w:t>
      </w:r>
      <w:r w:rsidRPr="00505CF0">
        <w:rPr>
          <w:rFonts w:asciiTheme="majorBidi" w:hAnsiTheme="majorBidi" w:cstheme="majorBidi"/>
          <w:sz w:val="24"/>
          <w:szCs w:val="24"/>
        </w:rPr>
        <w:t xml:space="preserve"> the </w:t>
      </w:r>
      <w:r w:rsidR="003B6878">
        <w:rPr>
          <w:rFonts w:asciiTheme="majorBidi" w:hAnsiTheme="majorBidi" w:cstheme="majorBidi"/>
          <w:sz w:val="24"/>
          <w:szCs w:val="24"/>
        </w:rPr>
        <w:t>reader</w:t>
      </w:r>
      <w:r w:rsidRPr="00505CF0">
        <w:rPr>
          <w:rFonts w:asciiTheme="majorBidi" w:hAnsiTheme="majorBidi" w:cstheme="majorBidi"/>
          <w:sz w:val="24"/>
          <w:szCs w:val="24"/>
        </w:rPr>
        <w:t xml:space="preserve"> of their status as reader of a fictional construct; to paraphrase Julie Levinson, the creative process itself becomes the subject of this latter part of </w:t>
      </w:r>
      <w:r w:rsidRPr="00505CF0">
        <w:rPr>
          <w:rFonts w:asciiTheme="majorBidi" w:hAnsiTheme="majorBidi" w:cstheme="majorBidi"/>
          <w:i/>
          <w:iCs/>
          <w:sz w:val="24"/>
          <w:szCs w:val="24"/>
        </w:rPr>
        <w:t>The Mist</w:t>
      </w:r>
      <w:r w:rsidRPr="00505CF0">
        <w:rPr>
          <w:rFonts w:asciiTheme="majorBidi" w:hAnsiTheme="majorBidi" w:cstheme="majorBidi"/>
          <w:sz w:val="24"/>
          <w:szCs w:val="24"/>
        </w:rPr>
        <w:t>, presenting an absorbing, realist, tale in the form of Augusto’s romantic life, before then challenging the validity of our absorption in fictional constructs via the confrontation with the fictional/artefact nature of the representation.</w:t>
      </w:r>
      <w:r w:rsidRPr="00505CF0">
        <w:rPr>
          <w:rStyle w:val="FootnoteReference"/>
          <w:rFonts w:asciiTheme="majorBidi" w:hAnsiTheme="majorBidi" w:cstheme="majorBidi"/>
          <w:sz w:val="24"/>
          <w:szCs w:val="24"/>
        </w:rPr>
        <w:footnoteReference w:id="651"/>
      </w:r>
      <w:r w:rsidRPr="00505CF0">
        <w:rPr>
          <w:rFonts w:asciiTheme="majorBidi" w:hAnsiTheme="majorBidi" w:cstheme="majorBidi"/>
          <w:sz w:val="24"/>
          <w:szCs w:val="24"/>
        </w:rPr>
        <w:t xml:space="preserve"> H.P Lovecraft’s 1925 short story </w:t>
      </w:r>
      <w:r w:rsidR="00F76A37" w:rsidRPr="00F76A37">
        <w:rPr>
          <w:rFonts w:asciiTheme="majorBidi" w:hAnsiTheme="majorBidi" w:cstheme="majorBidi"/>
          <w:sz w:val="24"/>
          <w:szCs w:val="24"/>
        </w:rPr>
        <w:t>‘</w:t>
      </w:r>
      <w:r w:rsidRPr="00F76A37">
        <w:rPr>
          <w:rFonts w:asciiTheme="majorBidi" w:hAnsiTheme="majorBidi" w:cstheme="majorBidi"/>
          <w:sz w:val="24"/>
          <w:szCs w:val="24"/>
        </w:rPr>
        <w:t>The Unnamable</w:t>
      </w:r>
      <w:r w:rsidR="00F76A37" w:rsidRPr="00F76A37">
        <w:rPr>
          <w:rFonts w:asciiTheme="majorBidi" w:hAnsiTheme="majorBidi" w:cstheme="majorBidi"/>
          <w:sz w:val="24"/>
          <w:szCs w:val="24"/>
        </w:rPr>
        <w:t>’</w:t>
      </w:r>
      <w:r w:rsidRPr="00505CF0">
        <w:rPr>
          <w:rFonts w:asciiTheme="majorBidi" w:hAnsiTheme="majorBidi" w:cstheme="majorBidi"/>
          <w:sz w:val="24"/>
          <w:szCs w:val="24"/>
        </w:rPr>
        <w:t xml:space="preserve"> too plays with authorial representation, though doing so in order to seemingly foreground Lovecraft’s ow</w:t>
      </w:r>
      <w:r w:rsidR="00F76A37">
        <w:rPr>
          <w:rFonts w:asciiTheme="majorBidi" w:hAnsiTheme="majorBidi" w:cstheme="majorBidi"/>
          <w:sz w:val="24"/>
          <w:szCs w:val="24"/>
        </w:rPr>
        <w:t>n beliefs with regard</w:t>
      </w:r>
      <w:r w:rsidRPr="00505CF0">
        <w:rPr>
          <w:rFonts w:asciiTheme="majorBidi" w:hAnsiTheme="majorBidi" w:cstheme="majorBidi"/>
          <w:sz w:val="24"/>
          <w:szCs w:val="24"/>
        </w:rPr>
        <w:t xml:space="preserve"> to his particular literary productions:</w:t>
      </w:r>
    </w:p>
    <w:p w14:paraId="52F4ED56" w14:textId="77777777" w:rsidR="00C111D3" w:rsidRPr="00505CF0" w:rsidRDefault="00C111D3" w:rsidP="004C3EE0">
      <w:pPr>
        <w:jc w:val="both"/>
        <w:rPr>
          <w:rFonts w:asciiTheme="majorBidi" w:hAnsiTheme="majorBidi" w:cstheme="majorBidi"/>
          <w:sz w:val="24"/>
          <w:szCs w:val="24"/>
        </w:rPr>
      </w:pPr>
    </w:p>
    <w:p w14:paraId="1941E718" w14:textId="77777777" w:rsidR="00C111D3" w:rsidRPr="00505CF0" w:rsidRDefault="00C111D3" w:rsidP="004C3EE0">
      <w:pPr>
        <w:ind w:left="737" w:right="737"/>
        <w:jc w:val="both"/>
        <w:rPr>
          <w:rFonts w:asciiTheme="majorBidi" w:hAnsiTheme="majorBidi" w:cstheme="majorBidi"/>
          <w:sz w:val="24"/>
          <w:szCs w:val="24"/>
        </w:rPr>
      </w:pPr>
      <w:proofErr w:type="gramStart"/>
      <w:r w:rsidRPr="00505CF0">
        <w:rPr>
          <w:rFonts w:asciiTheme="majorBidi" w:hAnsiTheme="majorBidi" w:cstheme="majorBidi"/>
          <w:sz w:val="24"/>
          <w:szCs w:val="24"/>
        </w:rPr>
        <w:t>a</w:t>
      </w:r>
      <w:proofErr w:type="gramEnd"/>
      <w:r w:rsidRPr="00505CF0">
        <w:rPr>
          <w:rFonts w:asciiTheme="majorBidi" w:hAnsiTheme="majorBidi" w:cstheme="majorBidi"/>
          <w:sz w:val="24"/>
          <w:szCs w:val="24"/>
        </w:rPr>
        <w:t xml:space="preserve"> mind can find its greatest pleasure in escapes from the daily treadmill, and in original and dramatic recombinations of images usually thrown by habit and fatigue into the hackneyed patterns of actual existence […]</w:t>
      </w:r>
      <w:r w:rsidRPr="00505CF0">
        <w:rPr>
          <w:rStyle w:val="FootnoteReference"/>
          <w:rFonts w:asciiTheme="majorBidi" w:hAnsiTheme="majorBidi" w:cstheme="majorBidi"/>
          <w:sz w:val="24"/>
          <w:szCs w:val="24"/>
        </w:rPr>
        <w:footnoteReference w:id="652"/>
      </w:r>
    </w:p>
    <w:p w14:paraId="104B37F2" w14:textId="77777777" w:rsidR="00C111D3" w:rsidRPr="00505CF0" w:rsidRDefault="00C111D3" w:rsidP="004C3EE0">
      <w:pPr>
        <w:jc w:val="both"/>
        <w:rPr>
          <w:rFonts w:asciiTheme="majorBidi" w:hAnsiTheme="majorBidi" w:cstheme="majorBidi"/>
          <w:sz w:val="24"/>
          <w:szCs w:val="24"/>
        </w:rPr>
      </w:pPr>
    </w:p>
    <w:p w14:paraId="30AE098B" w14:textId="77777777" w:rsidR="00C111D3" w:rsidRPr="00505CF0" w:rsidRDefault="00C111D3" w:rsidP="004C3EE0">
      <w:pPr>
        <w:jc w:val="both"/>
        <w:rPr>
          <w:rFonts w:asciiTheme="majorBidi" w:hAnsiTheme="majorBidi" w:cstheme="majorBidi"/>
          <w:sz w:val="24"/>
          <w:szCs w:val="24"/>
        </w:rPr>
      </w:pPr>
    </w:p>
    <w:p w14:paraId="1FB0F00A" w14:textId="1AA5FEE5" w:rsidR="00C111D3" w:rsidRPr="00505CF0" w:rsidRDefault="00C111D3" w:rsidP="00665D8B">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text describes two friends, the narrator Carter and his friend Joel Manton and their experiences with the uncanny, though the narrator comes across as a clear stand</w:t>
      </w:r>
      <w:r w:rsidR="00665D8B">
        <w:rPr>
          <w:rFonts w:asciiTheme="majorBidi" w:hAnsiTheme="majorBidi" w:cstheme="majorBidi"/>
          <w:sz w:val="24"/>
          <w:szCs w:val="24"/>
        </w:rPr>
        <w:t>-</w:t>
      </w:r>
      <w:r w:rsidRPr="00505CF0">
        <w:rPr>
          <w:rFonts w:asciiTheme="majorBidi" w:hAnsiTheme="majorBidi" w:cstheme="majorBidi"/>
          <w:sz w:val="24"/>
          <w:szCs w:val="24"/>
        </w:rPr>
        <w:t xml:space="preserve">in for Lovecraft himself, as </w:t>
      </w:r>
      <w:r w:rsidR="00F76A37">
        <w:rPr>
          <w:rFonts w:asciiTheme="majorBidi" w:hAnsiTheme="majorBidi" w:cstheme="majorBidi"/>
          <w:sz w:val="24"/>
          <w:szCs w:val="24"/>
        </w:rPr>
        <w:t>the following extract shows</w:t>
      </w:r>
      <w:r w:rsidRPr="00505CF0">
        <w:rPr>
          <w:rFonts w:asciiTheme="majorBidi" w:hAnsiTheme="majorBidi" w:cstheme="majorBidi"/>
          <w:sz w:val="24"/>
          <w:szCs w:val="24"/>
        </w:rPr>
        <w:t>:</w:t>
      </w:r>
    </w:p>
    <w:p w14:paraId="61F5819A" w14:textId="77777777" w:rsidR="00C111D3" w:rsidRPr="00505CF0" w:rsidRDefault="00C111D3" w:rsidP="004C3EE0">
      <w:pPr>
        <w:jc w:val="both"/>
        <w:rPr>
          <w:rFonts w:asciiTheme="majorBidi" w:hAnsiTheme="majorBidi" w:cstheme="majorBidi"/>
          <w:sz w:val="24"/>
          <w:szCs w:val="24"/>
        </w:rPr>
      </w:pPr>
    </w:p>
    <w:p w14:paraId="2279E636"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Besides, [Manton] added, my constant talk about “unnamable” and “unmentionable” things was a very puerile device, quite in keeping with my lowly standing as an author. I was too fond of ending my stories with sights or sounds which paralysed my heroes’ faculties and left them without courage, words, or associations to tell what they had experienced. […] Especially did he object to my preoccupation with the mystical and the </w:t>
      </w:r>
      <w:proofErr w:type="gramStart"/>
      <w:r w:rsidRPr="00505CF0">
        <w:rPr>
          <w:rFonts w:asciiTheme="majorBidi" w:hAnsiTheme="majorBidi" w:cstheme="majorBidi"/>
          <w:sz w:val="24"/>
          <w:szCs w:val="24"/>
        </w:rPr>
        <w:t>unexplained.</w:t>
      </w:r>
      <w:proofErr w:type="gramEnd"/>
      <w:r w:rsidRPr="00505CF0">
        <w:rPr>
          <w:rFonts w:asciiTheme="majorBidi" w:hAnsiTheme="majorBidi" w:cstheme="majorBidi"/>
          <w:sz w:val="24"/>
          <w:szCs w:val="24"/>
        </w:rPr>
        <w:t xml:space="preserve"> […] how can it be absurd to suppose that deserted houses are full of queer sentient things, or that old graveyards teem with the terrible, unbodied intelligence of generations? And since spirit, in order to cause all the manifestations attributed to it, cannot be limited by any of the laws of matter; why is it extravagant to imagine psychically living dead things in shapes—or absences of shapes—which must for human spectators be utterly and appallingly “unnamable”?</w:t>
      </w:r>
      <w:r w:rsidRPr="00505CF0">
        <w:rPr>
          <w:rStyle w:val="FootnoteReference"/>
          <w:rFonts w:asciiTheme="majorBidi" w:hAnsiTheme="majorBidi" w:cstheme="majorBidi"/>
          <w:sz w:val="24"/>
          <w:szCs w:val="24"/>
        </w:rPr>
        <w:footnoteReference w:id="653"/>
      </w:r>
    </w:p>
    <w:p w14:paraId="3981635C" w14:textId="77777777" w:rsidR="00C111D3" w:rsidRPr="00505CF0" w:rsidRDefault="00C111D3" w:rsidP="004C3EE0">
      <w:pPr>
        <w:jc w:val="both"/>
        <w:rPr>
          <w:rFonts w:asciiTheme="majorBidi" w:hAnsiTheme="majorBidi" w:cstheme="majorBidi"/>
          <w:sz w:val="24"/>
          <w:szCs w:val="24"/>
        </w:rPr>
      </w:pPr>
    </w:p>
    <w:p w14:paraId="33CD8DAD" w14:textId="77777777" w:rsidR="00C111D3" w:rsidRPr="00505CF0" w:rsidRDefault="00C111D3" w:rsidP="004C3EE0">
      <w:pPr>
        <w:jc w:val="both"/>
        <w:rPr>
          <w:rFonts w:asciiTheme="majorBidi" w:hAnsiTheme="majorBidi" w:cstheme="majorBidi"/>
          <w:sz w:val="24"/>
          <w:szCs w:val="24"/>
        </w:rPr>
      </w:pPr>
    </w:p>
    <w:p w14:paraId="6FC0E3BC" w14:textId="3CB3C1A9" w:rsidR="00C111D3" w:rsidRPr="00505CF0" w:rsidRDefault="00C111D3" w:rsidP="00665D8B">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 clear link between Carter’s own works and those of Lovecraft himself appears,</w:t>
      </w:r>
      <w:r w:rsidR="00DD5BBD">
        <w:rPr>
          <w:rStyle w:val="FootnoteReference"/>
          <w:rFonts w:asciiTheme="majorBidi" w:hAnsiTheme="majorBidi" w:cstheme="majorBidi"/>
          <w:sz w:val="24"/>
          <w:szCs w:val="24"/>
        </w:rPr>
        <w:footnoteReference w:id="654"/>
      </w:r>
      <w:r w:rsidRPr="00505CF0">
        <w:rPr>
          <w:rFonts w:asciiTheme="majorBidi" w:hAnsiTheme="majorBidi" w:cstheme="majorBidi"/>
          <w:sz w:val="24"/>
          <w:szCs w:val="24"/>
        </w:rPr>
        <w:t xml:space="preserve"> the subsequent tale soon devolving into a similarly Lovecraftian story of ‘shapes of horror beyond all memory,’ ‘ultimate abomination[s],’ and ‘threshing’ unseen entities. Rather than question the validity of literary productions, as the conversation between Augusto and Unamuno does, Lovecraft places himself within his story here to enforce his literary ambitions in writing as a means of escaping the ‘daily treadmill’ through fantastic and terrifying literature – through confrontation with the Unnameable. Joyce again appears at this juncture, with </w:t>
      </w:r>
      <w:r w:rsidR="00665D8B">
        <w:rPr>
          <w:rFonts w:asciiTheme="majorBidi" w:hAnsiTheme="majorBidi" w:cstheme="majorBidi"/>
          <w:i/>
          <w:iCs/>
          <w:sz w:val="24"/>
          <w:szCs w:val="24"/>
        </w:rPr>
        <w:t>Finnegan</w:t>
      </w:r>
      <w:r w:rsidRPr="00505CF0">
        <w:rPr>
          <w:rFonts w:asciiTheme="majorBidi" w:hAnsiTheme="majorBidi" w:cstheme="majorBidi"/>
          <w:i/>
          <w:iCs/>
          <w:sz w:val="24"/>
          <w:szCs w:val="24"/>
        </w:rPr>
        <w:t xml:space="preserve">s Wake </w:t>
      </w:r>
      <w:r w:rsidRPr="00505CF0">
        <w:rPr>
          <w:rFonts w:asciiTheme="majorBidi" w:hAnsiTheme="majorBidi" w:cstheme="majorBidi"/>
          <w:sz w:val="24"/>
          <w:szCs w:val="24"/>
        </w:rPr>
        <w:t xml:space="preserve">(1939) subverting language expectation through the </w:t>
      </w:r>
      <w:r w:rsidR="00665D8B">
        <w:rPr>
          <w:rFonts w:asciiTheme="majorBidi" w:hAnsiTheme="majorBidi" w:cstheme="majorBidi"/>
          <w:sz w:val="24"/>
          <w:szCs w:val="24"/>
        </w:rPr>
        <w:t>creation of a seemingly nonsensical</w:t>
      </w:r>
      <w:r w:rsidRPr="00505CF0">
        <w:rPr>
          <w:rFonts w:asciiTheme="majorBidi" w:hAnsiTheme="majorBidi" w:cstheme="majorBidi"/>
          <w:sz w:val="24"/>
          <w:szCs w:val="24"/>
        </w:rPr>
        <w:t xml:space="preserve">, though in actuality highly referential, language that forces the reader into a constant cycle of repeated reading evocative of the texts own cyclical thematic treatment of repeating histories. Published the same year, and replicating the techniques of Unamuno somewhat, Flann O’Brien’s (or, Brian O’Nolan’s) </w:t>
      </w:r>
      <w:r w:rsidRPr="00505CF0">
        <w:rPr>
          <w:rFonts w:asciiTheme="majorBidi" w:hAnsiTheme="majorBidi" w:cstheme="majorBidi"/>
          <w:i/>
          <w:iCs/>
          <w:sz w:val="24"/>
          <w:szCs w:val="24"/>
        </w:rPr>
        <w:t>At Swim-Two-Birds</w:t>
      </w:r>
      <w:r w:rsidRPr="00505CF0">
        <w:rPr>
          <w:rFonts w:asciiTheme="majorBidi" w:hAnsiTheme="majorBidi" w:cstheme="majorBidi"/>
          <w:sz w:val="24"/>
          <w:szCs w:val="24"/>
        </w:rPr>
        <w:t xml:space="preserve"> too fictionalises an interaction between characters and author to the extent that Jorge Luis Borges described the text as a ‘verbal labyrinth,’</w:t>
      </w:r>
      <w:r w:rsidRPr="00505CF0">
        <w:rPr>
          <w:rStyle w:val="FootnoteReference"/>
          <w:rFonts w:asciiTheme="majorBidi" w:hAnsiTheme="majorBidi" w:cstheme="majorBidi"/>
          <w:sz w:val="24"/>
          <w:szCs w:val="24"/>
        </w:rPr>
        <w:footnoteReference w:id="655"/>
      </w:r>
      <w:r w:rsidRPr="00505CF0">
        <w:rPr>
          <w:rFonts w:asciiTheme="majorBidi" w:hAnsiTheme="majorBidi" w:cstheme="majorBidi"/>
          <w:sz w:val="24"/>
          <w:szCs w:val="24"/>
        </w:rPr>
        <w:t xml:space="preserve"> though in O’Brien’s text the interactions are more two-sided, rather than Unamuno’s clear argument, with characters and apparent author interacting as their respective frames begin to blur. 1939 also saw the first publication of Jorge Luis Borges</w:t>
      </w:r>
      <w:r w:rsidR="00665D8B">
        <w:rPr>
          <w:rFonts w:asciiTheme="majorBidi" w:hAnsiTheme="majorBidi" w:cstheme="majorBidi"/>
          <w:sz w:val="24"/>
          <w:szCs w:val="24"/>
        </w:rPr>
        <w:t>’s</w:t>
      </w:r>
      <w:r w:rsidRPr="00505CF0">
        <w:rPr>
          <w:rFonts w:asciiTheme="majorBidi" w:hAnsiTheme="majorBidi" w:cstheme="majorBidi"/>
          <w:sz w:val="24"/>
          <w:szCs w:val="24"/>
        </w:rPr>
        <w:t xml:space="preserve"> </w:t>
      </w:r>
      <w:r w:rsidR="00665D8B">
        <w:rPr>
          <w:rFonts w:asciiTheme="majorBidi" w:hAnsiTheme="majorBidi" w:cstheme="majorBidi"/>
          <w:sz w:val="24"/>
          <w:szCs w:val="24"/>
        </w:rPr>
        <w:t>‘</w:t>
      </w:r>
      <w:r w:rsidRPr="00665D8B">
        <w:rPr>
          <w:rFonts w:asciiTheme="majorBidi" w:hAnsiTheme="majorBidi" w:cstheme="majorBidi"/>
          <w:sz w:val="24"/>
          <w:szCs w:val="24"/>
        </w:rPr>
        <w:t>Pierre Menard, Author of Quixote,</w:t>
      </w:r>
      <w:r w:rsidR="00665D8B" w:rsidRPr="00665D8B">
        <w:rPr>
          <w:rFonts w:asciiTheme="majorBidi" w:hAnsiTheme="majorBidi" w:cstheme="majorBidi"/>
          <w:sz w:val="24"/>
          <w:szCs w:val="24"/>
        </w:rPr>
        <w:t>’</w:t>
      </w:r>
      <w:r w:rsidRPr="00505CF0">
        <w:rPr>
          <w:rFonts w:asciiTheme="majorBidi" w:hAnsiTheme="majorBidi" w:cstheme="majorBidi"/>
          <w:sz w:val="24"/>
          <w:szCs w:val="24"/>
        </w:rPr>
        <w:t xml:space="preserve"> which parodies academic textual analysis and review in a manner that raises questions of authorship and appropriation as Menard, the critic, comes to recreate Cervantes’ text. Such blurring between the genre</w:t>
      </w:r>
      <w:r w:rsidR="00665D8B">
        <w:rPr>
          <w:rFonts w:asciiTheme="majorBidi" w:hAnsiTheme="majorBidi" w:cstheme="majorBidi"/>
          <w:sz w:val="24"/>
          <w:szCs w:val="24"/>
        </w:rPr>
        <w:t xml:space="preserve">s of fiction and </w:t>
      </w:r>
      <w:r w:rsidR="003B6878">
        <w:rPr>
          <w:rFonts w:asciiTheme="majorBidi" w:hAnsiTheme="majorBidi" w:cstheme="majorBidi"/>
          <w:sz w:val="24"/>
          <w:szCs w:val="24"/>
        </w:rPr>
        <w:t>criticism</w:t>
      </w:r>
      <w:r w:rsidR="00665D8B">
        <w:rPr>
          <w:rFonts w:asciiTheme="majorBidi" w:hAnsiTheme="majorBidi" w:cstheme="majorBidi"/>
          <w:sz w:val="24"/>
          <w:szCs w:val="24"/>
        </w:rPr>
        <w:t xml:space="preserve"> </w:t>
      </w:r>
      <w:r w:rsidRPr="00505CF0">
        <w:rPr>
          <w:rFonts w:asciiTheme="majorBidi" w:hAnsiTheme="majorBidi" w:cstheme="majorBidi"/>
          <w:sz w:val="24"/>
          <w:szCs w:val="24"/>
        </w:rPr>
        <w:t xml:space="preserve">reaches both backwards and forwards within the timeline, appropriating elements of Hogg’s </w:t>
      </w:r>
      <w:r w:rsidRPr="00505CF0">
        <w:rPr>
          <w:rFonts w:asciiTheme="majorBidi" w:hAnsiTheme="majorBidi" w:cstheme="majorBidi"/>
          <w:i/>
          <w:iCs/>
          <w:sz w:val="24"/>
          <w:szCs w:val="24"/>
        </w:rPr>
        <w:t>Sinner</w:t>
      </w:r>
      <w:r w:rsidRPr="00505CF0">
        <w:rPr>
          <w:rFonts w:asciiTheme="majorBidi" w:hAnsiTheme="majorBidi" w:cstheme="majorBidi"/>
          <w:sz w:val="24"/>
          <w:szCs w:val="24"/>
        </w:rPr>
        <w:t xml:space="preserve"> in the internalisation o</w:t>
      </w:r>
      <w:r w:rsidR="00665D8B">
        <w:rPr>
          <w:rFonts w:asciiTheme="majorBidi" w:hAnsiTheme="majorBidi" w:cstheme="majorBidi"/>
          <w:sz w:val="24"/>
          <w:szCs w:val="24"/>
        </w:rPr>
        <w:t>f analysis and anticipating Nabo</w:t>
      </w:r>
      <w:r w:rsidRPr="00505CF0">
        <w:rPr>
          <w:rFonts w:asciiTheme="majorBidi" w:hAnsiTheme="majorBidi" w:cstheme="majorBidi"/>
          <w:sz w:val="24"/>
          <w:szCs w:val="24"/>
        </w:rPr>
        <w:t xml:space="preserve">kov’s </w:t>
      </w:r>
      <w:r w:rsidRPr="00505CF0">
        <w:rPr>
          <w:rFonts w:asciiTheme="majorBidi" w:hAnsiTheme="majorBidi" w:cstheme="majorBidi"/>
          <w:i/>
          <w:iCs/>
          <w:sz w:val="24"/>
          <w:szCs w:val="24"/>
        </w:rPr>
        <w:t xml:space="preserve">Pale Fire </w:t>
      </w:r>
      <w:r w:rsidRPr="00505CF0">
        <w:rPr>
          <w:rFonts w:asciiTheme="majorBidi" w:hAnsiTheme="majorBidi" w:cstheme="majorBidi"/>
          <w:sz w:val="24"/>
          <w:szCs w:val="24"/>
        </w:rPr>
        <w:t xml:space="preserve">and Danielewski’s </w:t>
      </w:r>
      <w:r w:rsidRPr="00505CF0">
        <w:rPr>
          <w:rFonts w:asciiTheme="majorBidi" w:hAnsiTheme="majorBidi" w:cstheme="majorBidi"/>
          <w:i/>
          <w:iCs/>
          <w:sz w:val="24"/>
          <w:szCs w:val="24"/>
        </w:rPr>
        <w:t>House of Leaves</w:t>
      </w:r>
      <w:r w:rsidRPr="00505CF0">
        <w:rPr>
          <w:rFonts w:asciiTheme="majorBidi" w:hAnsiTheme="majorBidi" w:cstheme="majorBidi"/>
          <w:sz w:val="24"/>
          <w:szCs w:val="24"/>
        </w:rPr>
        <w:t>, r</w:t>
      </w:r>
      <w:r w:rsidR="00665D8B">
        <w:rPr>
          <w:rFonts w:asciiTheme="majorBidi" w:hAnsiTheme="majorBidi" w:cstheme="majorBidi"/>
          <w:sz w:val="24"/>
          <w:szCs w:val="24"/>
        </w:rPr>
        <w:t>espectively. In 1956 William Go</w:t>
      </w:r>
      <w:r w:rsidRPr="00505CF0">
        <w:rPr>
          <w:rFonts w:asciiTheme="majorBidi" w:hAnsiTheme="majorBidi" w:cstheme="majorBidi"/>
          <w:sz w:val="24"/>
          <w:szCs w:val="24"/>
        </w:rPr>
        <w:t xml:space="preserve">lding, of </w:t>
      </w:r>
      <w:r w:rsidRPr="00505CF0">
        <w:rPr>
          <w:rFonts w:asciiTheme="majorBidi" w:hAnsiTheme="majorBidi" w:cstheme="majorBidi"/>
          <w:i/>
          <w:iCs/>
          <w:sz w:val="24"/>
          <w:szCs w:val="24"/>
        </w:rPr>
        <w:t>Lord of the Flies</w:t>
      </w:r>
      <w:r w:rsidRPr="00505CF0">
        <w:rPr>
          <w:rFonts w:asciiTheme="majorBidi" w:hAnsiTheme="majorBidi" w:cstheme="majorBidi"/>
          <w:sz w:val="24"/>
          <w:szCs w:val="24"/>
        </w:rPr>
        <w:t xml:space="preserve"> fame, published </w:t>
      </w:r>
      <w:r w:rsidRPr="00505CF0">
        <w:rPr>
          <w:rFonts w:asciiTheme="majorBidi" w:hAnsiTheme="majorBidi" w:cstheme="majorBidi"/>
          <w:i/>
          <w:iCs/>
          <w:sz w:val="24"/>
          <w:szCs w:val="24"/>
        </w:rPr>
        <w:t>Pincher Martin</w:t>
      </w:r>
      <w:r w:rsidRPr="00505CF0">
        <w:rPr>
          <w:rFonts w:asciiTheme="majorBidi" w:hAnsiTheme="majorBidi" w:cstheme="majorBidi"/>
          <w:sz w:val="24"/>
          <w:szCs w:val="24"/>
        </w:rPr>
        <w:t>, a text which attempts to represent insanity and sanity in equal measure and, in doing so, metafictionally deconstructs the realist novel</w:t>
      </w:r>
      <w:r w:rsidR="00665D8B">
        <w:rPr>
          <w:rFonts w:asciiTheme="majorBidi" w:hAnsiTheme="majorBidi" w:cstheme="majorBidi"/>
          <w:sz w:val="24"/>
          <w:szCs w:val="24"/>
        </w:rPr>
        <w:t>’s</w:t>
      </w:r>
      <w:r w:rsidRPr="00505CF0">
        <w:rPr>
          <w:rFonts w:asciiTheme="majorBidi" w:hAnsiTheme="majorBidi" w:cstheme="majorBidi"/>
          <w:sz w:val="24"/>
          <w:szCs w:val="24"/>
        </w:rPr>
        <w:t xml:space="preserve"> tropes of linear narrative, reliable </w:t>
      </w:r>
      <w:r w:rsidR="00665D8B">
        <w:rPr>
          <w:rFonts w:asciiTheme="majorBidi" w:hAnsiTheme="majorBidi" w:cstheme="majorBidi"/>
          <w:sz w:val="24"/>
          <w:szCs w:val="24"/>
        </w:rPr>
        <w:t>narrator</w:t>
      </w:r>
      <w:r w:rsidRPr="00505CF0">
        <w:rPr>
          <w:rFonts w:asciiTheme="majorBidi" w:hAnsiTheme="majorBidi" w:cstheme="majorBidi"/>
          <w:sz w:val="24"/>
          <w:szCs w:val="24"/>
        </w:rPr>
        <w:t xml:space="preserve">, clarity of action and typical character development. A tall order, but one gracefully achieved through Martin’s apparent death at the beginning of the novel, thus enabling a more spiritual conversation to arise as Martin’s temporarily ‘saved’ spirit reminisces on the sins of his past life while forcing a criticism of typically realist modes in their inability to represent insanity or death, akin to Sterne’s black page. The non-linear nature of the narrative </w:t>
      </w:r>
      <w:r w:rsidR="00665D8B">
        <w:rPr>
          <w:rFonts w:asciiTheme="majorBidi" w:hAnsiTheme="majorBidi" w:cstheme="majorBidi"/>
          <w:sz w:val="24"/>
          <w:szCs w:val="24"/>
        </w:rPr>
        <w:t>is a feature shared with</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Naked Lunch</w:t>
      </w:r>
      <w:r w:rsidRPr="00505CF0">
        <w:rPr>
          <w:rFonts w:asciiTheme="majorBidi" w:hAnsiTheme="majorBidi" w:cstheme="majorBidi"/>
          <w:sz w:val="24"/>
          <w:szCs w:val="24"/>
        </w:rPr>
        <w:t xml:space="preserve"> by William Burroughs (1959), a notorious text which seemingly too abandons plot and ‘coherent characterization,’ thus laying bare the literary devices of the traditional novel.</w:t>
      </w:r>
      <w:r w:rsidRPr="00505CF0">
        <w:rPr>
          <w:rStyle w:val="FootnoteReference"/>
          <w:rFonts w:asciiTheme="majorBidi" w:hAnsiTheme="majorBidi" w:cstheme="majorBidi"/>
          <w:sz w:val="24"/>
          <w:szCs w:val="24"/>
        </w:rPr>
        <w:footnoteReference w:id="656"/>
      </w:r>
      <w:r w:rsidRPr="00505CF0">
        <w:rPr>
          <w:rFonts w:asciiTheme="majorBidi" w:hAnsiTheme="majorBidi" w:cstheme="majorBidi"/>
          <w:sz w:val="24"/>
          <w:szCs w:val="24"/>
        </w:rPr>
        <w:t xml:space="preserve"> </w:t>
      </w:r>
    </w:p>
    <w:p w14:paraId="18D9F4EC" w14:textId="571937CD" w:rsidR="00C111D3" w:rsidRPr="00505CF0" w:rsidRDefault="00C111D3" w:rsidP="00665D8B">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As our history enters the 1960s, and the postmodern moment proper, metafictional experimentation and techniques reach their peak creative output, with the next three decades seeing the most recurrent production of metafictional novels of any previous time period. The first text to emerge in this period, and a definitive addition to the metafictional canon, is that of Vladimir </w:t>
      </w:r>
      <w:r w:rsidR="00665D8B">
        <w:rPr>
          <w:rFonts w:asciiTheme="majorBidi" w:hAnsiTheme="majorBidi" w:cstheme="majorBidi"/>
          <w:sz w:val="24"/>
          <w:szCs w:val="24"/>
        </w:rPr>
        <w:t>Nabokov's</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Pale Fire</w:t>
      </w:r>
      <w:r w:rsidRPr="00505CF0">
        <w:rPr>
          <w:rFonts w:asciiTheme="majorBidi" w:hAnsiTheme="majorBidi" w:cstheme="majorBidi"/>
          <w:sz w:val="24"/>
          <w:szCs w:val="24"/>
        </w:rPr>
        <w:t xml:space="preserve"> (1962), which presents initially as a scholarly publication of </w:t>
      </w:r>
      <w:r w:rsidR="00480936">
        <w:rPr>
          <w:rFonts w:asciiTheme="majorBidi" w:hAnsiTheme="majorBidi" w:cstheme="majorBidi"/>
          <w:sz w:val="24"/>
          <w:szCs w:val="24"/>
        </w:rPr>
        <w:t>the final poem of</w:t>
      </w:r>
      <w:r w:rsidRPr="00505CF0">
        <w:rPr>
          <w:rFonts w:asciiTheme="majorBidi" w:hAnsiTheme="majorBidi" w:cstheme="majorBidi"/>
          <w:sz w:val="24"/>
          <w:szCs w:val="24"/>
        </w:rPr>
        <w:t xml:space="preserve"> fictional poet – John Shade – composed by his self-appointed editor Charles Kinbote. The text predominantly features Kinbote’s own notes and analysis of the poem, however, and structurally subverts the traditional novel by presenting the ‘plot’ within the seeming analysis and footnotes to the poem. Spike Milligan’s </w:t>
      </w:r>
      <w:r w:rsidRPr="00505CF0">
        <w:rPr>
          <w:rFonts w:asciiTheme="majorBidi" w:hAnsiTheme="majorBidi" w:cstheme="majorBidi"/>
          <w:i/>
          <w:iCs/>
          <w:sz w:val="24"/>
          <w:szCs w:val="24"/>
        </w:rPr>
        <w:t>Puckoon</w:t>
      </w:r>
      <w:r w:rsidRPr="00505CF0">
        <w:rPr>
          <w:rFonts w:asciiTheme="majorBidi" w:hAnsiTheme="majorBidi" w:cstheme="majorBidi"/>
          <w:sz w:val="24"/>
          <w:szCs w:val="24"/>
        </w:rPr>
        <w:t xml:space="preserve">, published a year after </w:t>
      </w:r>
      <w:r w:rsidRPr="00505CF0">
        <w:rPr>
          <w:rFonts w:asciiTheme="majorBidi" w:hAnsiTheme="majorBidi" w:cstheme="majorBidi"/>
          <w:i/>
          <w:iCs/>
          <w:sz w:val="24"/>
          <w:szCs w:val="24"/>
        </w:rPr>
        <w:t>Pale Fire</w:t>
      </w:r>
      <w:r w:rsidR="00665D8B">
        <w:rPr>
          <w:rFonts w:asciiTheme="majorBidi" w:hAnsiTheme="majorBidi" w:cstheme="majorBidi"/>
          <w:i/>
          <w:iCs/>
          <w:sz w:val="24"/>
          <w:szCs w:val="24"/>
        </w:rPr>
        <w:t>,</w:t>
      </w:r>
      <w:r w:rsidRPr="00505CF0">
        <w:rPr>
          <w:rFonts w:asciiTheme="majorBidi" w:hAnsiTheme="majorBidi" w:cstheme="majorBidi"/>
          <w:sz w:val="24"/>
          <w:szCs w:val="24"/>
        </w:rPr>
        <w:t xml:space="preserve"> forces the reader to confront the fictional nature of the character, </w:t>
      </w:r>
      <w:r w:rsidR="00665D8B">
        <w:rPr>
          <w:rFonts w:asciiTheme="majorBidi" w:hAnsiTheme="majorBidi" w:cstheme="majorBidi"/>
          <w:sz w:val="24"/>
          <w:szCs w:val="24"/>
        </w:rPr>
        <w:t>à</w:t>
      </w:r>
      <w:r w:rsidRPr="00505CF0">
        <w:rPr>
          <w:rFonts w:asciiTheme="majorBidi" w:hAnsiTheme="majorBidi" w:cstheme="majorBidi"/>
          <w:sz w:val="24"/>
          <w:szCs w:val="24"/>
        </w:rPr>
        <w:t xml:space="preserve"> la Unamuno, with Dan Milligan, the ma</w:t>
      </w:r>
      <w:r w:rsidR="00665D8B">
        <w:rPr>
          <w:rFonts w:asciiTheme="majorBidi" w:hAnsiTheme="majorBidi" w:cstheme="majorBidi"/>
          <w:sz w:val="24"/>
          <w:szCs w:val="24"/>
        </w:rPr>
        <w:t>i</w:t>
      </w:r>
      <w:r w:rsidRPr="00505CF0">
        <w:rPr>
          <w:rFonts w:asciiTheme="majorBidi" w:hAnsiTheme="majorBidi" w:cstheme="majorBidi"/>
          <w:sz w:val="24"/>
          <w:szCs w:val="24"/>
        </w:rPr>
        <w:t xml:space="preserve">n character of the tale, speaking directly to the author at several points in the novel, yet the next major literary work of metafiction would not come until 1966 with the publication of Thomas Pynchon’s </w:t>
      </w:r>
      <w:r w:rsidRPr="00505CF0">
        <w:rPr>
          <w:rFonts w:asciiTheme="majorBidi" w:hAnsiTheme="majorBidi" w:cstheme="majorBidi"/>
          <w:i/>
          <w:iCs/>
          <w:sz w:val="24"/>
          <w:szCs w:val="24"/>
        </w:rPr>
        <w:t>The Crying of Lot 49</w:t>
      </w:r>
      <w:r w:rsidRPr="00505CF0">
        <w:rPr>
          <w:rFonts w:asciiTheme="majorBidi" w:hAnsiTheme="majorBidi" w:cstheme="majorBidi"/>
          <w:sz w:val="24"/>
          <w:szCs w:val="24"/>
        </w:rPr>
        <w:t>, which draws ‘a metafictional portrait of human</w:t>
      </w:r>
      <w:r w:rsidR="00665D8B">
        <w:rPr>
          <w:rFonts w:asciiTheme="majorBidi" w:hAnsiTheme="majorBidi" w:cstheme="majorBidi"/>
          <w:sz w:val="24"/>
          <w:szCs w:val="24"/>
        </w:rPr>
        <w:t xml:space="preserve"> </w:t>
      </w:r>
      <w:r w:rsidRPr="00505CF0">
        <w:rPr>
          <w:rFonts w:asciiTheme="majorBidi" w:hAnsiTheme="majorBidi" w:cstheme="majorBidi"/>
          <w:sz w:val="24"/>
          <w:szCs w:val="24"/>
        </w:rPr>
        <w:t>life as textually trapped in a universe where the categories imposed by those traditional paradigms start crumbling down.’</w:t>
      </w:r>
      <w:r w:rsidRPr="00505CF0">
        <w:rPr>
          <w:rStyle w:val="FootnoteReference"/>
          <w:rFonts w:asciiTheme="majorBidi" w:hAnsiTheme="majorBidi" w:cstheme="majorBidi"/>
          <w:sz w:val="24"/>
          <w:szCs w:val="24"/>
        </w:rPr>
        <w:footnoteReference w:id="657"/>
      </w:r>
      <w:r w:rsidRPr="00505CF0">
        <w:rPr>
          <w:rFonts w:asciiTheme="majorBidi" w:hAnsiTheme="majorBidi" w:cstheme="majorBidi"/>
          <w:sz w:val="24"/>
          <w:szCs w:val="24"/>
        </w:rPr>
        <w:t xml:space="preserve"> The text, as Borys Róg rightly highlights, can be read as a parody and metafictional deconstruction of the detective genre, in which protagonist Oedipa Ma</w:t>
      </w:r>
      <w:r w:rsidR="00665D8B">
        <w:rPr>
          <w:rFonts w:asciiTheme="majorBidi" w:hAnsiTheme="majorBidi" w:cstheme="majorBidi"/>
          <w:sz w:val="24"/>
          <w:szCs w:val="24"/>
        </w:rPr>
        <w:t>a</w:t>
      </w:r>
      <w:r w:rsidRPr="00505CF0">
        <w:rPr>
          <w:rFonts w:asciiTheme="majorBidi" w:hAnsiTheme="majorBidi" w:cstheme="majorBidi"/>
          <w:sz w:val="24"/>
          <w:szCs w:val="24"/>
        </w:rPr>
        <w:t xml:space="preserve">s must resolve the case of ‘lot 49,’ and the intentions of the Trystero </w:t>
      </w:r>
      <w:proofErr w:type="gramStart"/>
      <w:r w:rsidRPr="00505CF0">
        <w:rPr>
          <w:rFonts w:asciiTheme="majorBidi" w:hAnsiTheme="majorBidi" w:cstheme="majorBidi"/>
          <w:sz w:val="24"/>
          <w:szCs w:val="24"/>
        </w:rPr>
        <w:t>corporation</w:t>
      </w:r>
      <w:proofErr w:type="gramEnd"/>
      <w:r w:rsidRPr="00505CF0">
        <w:rPr>
          <w:rFonts w:asciiTheme="majorBidi" w:hAnsiTheme="majorBidi" w:cstheme="majorBidi"/>
          <w:sz w:val="24"/>
          <w:szCs w:val="24"/>
        </w:rPr>
        <w:t>, yet never succeeds in this endeavour:</w:t>
      </w:r>
    </w:p>
    <w:p w14:paraId="7C95BE46" w14:textId="77777777" w:rsidR="00C111D3" w:rsidRPr="00505CF0" w:rsidRDefault="00C111D3" w:rsidP="004C3EE0">
      <w:pPr>
        <w:ind w:left="737" w:right="737"/>
        <w:jc w:val="both"/>
        <w:rPr>
          <w:rFonts w:asciiTheme="majorBidi" w:hAnsiTheme="majorBidi" w:cstheme="majorBidi"/>
          <w:sz w:val="24"/>
          <w:szCs w:val="24"/>
        </w:rPr>
      </w:pPr>
    </w:p>
    <w:p w14:paraId="0EBABF1F" w14:textId="52D4D413" w:rsidR="00C111D3" w:rsidRPr="00505CF0" w:rsidRDefault="00C111D3" w:rsidP="00665D8B">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Oedipa steps into the auction house to finally resolve the case of the “lot 49” and the true face of Trystero, but we do not get the answer – the novel ends before the auction starts. At this highest point of uncertainty and chaos, </w:t>
      </w:r>
      <w:proofErr w:type="gramStart"/>
      <w:r w:rsidRPr="00505CF0">
        <w:rPr>
          <w:rFonts w:asciiTheme="majorBidi" w:hAnsiTheme="majorBidi" w:cstheme="majorBidi"/>
          <w:sz w:val="24"/>
          <w:szCs w:val="24"/>
        </w:rPr>
        <w:t>which was gradually growing throughout the plot, Pynchon exposes the way in which mechanisms borrowed from the structure of detective fiction can be manipulated</w:t>
      </w:r>
      <w:r w:rsidR="00665D8B">
        <w:rPr>
          <w:rFonts w:asciiTheme="majorBidi" w:hAnsiTheme="majorBidi" w:cstheme="majorBidi"/>
          <w:sz w:val="24"/>
          <w:szCs w:val="24"/>
        </w:rPr>
        <w:t>.</w:t>
      </w:r>
      <w:proofErr w:type="gramEnd"/>
      <w:r w:rsidR="00665D8B">
        <w:rPr>
          <w:rFonts w:asciiTheme="majorBidi" w:hAnsiTheme="majorBidi" w:cstheme="majorBidi"/>
          <w:sz w:val="24"/>
          <w:szCs w:val="24"/>
        </w:rPr>
        <w:t xml:space="preserve"> […] </w:t>
      </w:r>
      <w:r w:rsidRPr="00505CF0">
        <w:rPr>
          <w:rFonts w:asciiTheme="majorBidi" w:hAnsiTheme="majorBidi" w:cstheme="majorBidi"/>
          <w:sz w:val="24"/>
          <w:szCs w:val="24"/>
        </w:rPr>
        <w:t>Even if detective fiction may have</w:t>
      </w:r>
      <w:r w:rsidR="00665D8B">
        <w:rPr>
          <w:rFonts w:asciiTheme="majorBidi" w:hAnsiTheme="majorBidi" w:cstheme="majorBidi"/>
          <w:sz w:val="24"/>
          <w:szCs w:val="24"/>
        </w:rPr>
        <w:t xml:space="preserve"> </w:t>
      </w:r>
      <w:r w:rsidRPr="00505CF0">
        <w:rPr>
          <w:rFonts w:asciiTheme="majorBidi" w:hAnsiTheme="majorBidi" w:cstheme="majorBidi"/>
          <w:sz w:val="24"/>
          <w:szCs w:val="24"/>
        </w:rPr>
        <w:t>different, more or less fluctuating structures and methods of introducing complexities, they almost always end in a solution of the mystery. Such a thing does not occur in [</w:t>
      </w:r>
      <w:r w:rsidRPr="00505CF0">
        <w:rPr>
          <w:rFonts w:asciiTheme="majorBidi" w:hAnsiTheme="majorBidi" w:cstheme="majorBidi"/>
          <w:i/>
          <w:iCs/>
          <w:sz w:val="24"/>
          <w:szCs w:val="24"/>
        </w:rPr>
        <w:t>The</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Crying of Lot 49</w:t>
      </w:r>
      <w:r w:rsidRPr="00505CF0">
        <w:rPr>
          <w:rFonts w:asciiTheme="majorBidi" w:hAnsiTheme="majorBidi" w:cstheme="majorBidi"/>
          <w:sz w:val="24"/>
          <w:szCs w:val="24"/>
        </w:rPr>
        <w:t>, where mystery is the principal and triumphant element in the story.</w:t>
      </w:r>
      <w:r w:rsidRPr="00505CF0">
        <w:rPr>
          <w:rStyle w:val="FootnoteReference"/>
          <w:rFonts w:asciiTheme="majorBidi" w:hAnsiTheme="majorBidi" w:cstheme="majorBidi"/>
          <w:sz w:val="24"/>
          <w:szCs w:val="24"/>
        </w:rPr>
        <w:footnoteReference w:id="658"/>
      </w:r>
    </w:p>
    <w:p w14:paraId="2D42BE10" w14:textId="77777777" w:rsidR="00C111D3" w:rsidRPr="00505CF0" w:rsidRDefault="00C111D3" w:rsidP="004C3EE0">
      <w:pPr>
        <w:ind w:left="737" w:right="737"/>
        <w:jc w:val="both"/>
        <w:rPr>
          <w:rFonts w:asciiTheme="majorBidi" w:hAnsiTheme="majorBidi" w:cstheme="majorBidi"/>
          <w:sz w:val="24"/>
          <w:szCs w:val="24"/>
        </w:rPr>
      </w:pPr>
    </w:p>
    <w:p w14:paraId="74822F52" w14:textId="77777777" w:rsidR="00C111D3" w:rsidRPr="00505CF0" w:rsidRDefault="00C111D3" w:rsidP="004C3EE0">
      <w:pPr>
        <w:ind w:left="737" w:right="737"/>
        <w:jc w:val="both"/>
        <w:rPr>
          <w:rFonts w:asciiTheme="majorBidi" w:hAnsiTheme="majorBidi" w:cstheme="majorBidi"/>
          <w:sz w:val="24"/>
          <w:szCs w:val="24"/>
        </w:rPr>
      </w:pPr>
    </w:p>
    <w:p w14:paraId="415E4FE1" w14:textId="1FC97CF8"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Following this initial flourishing of the metafictional, in part inspired by the deconstructive and parodic techniques of the growing postmodern ideology, the first works of metafictional literary analysis begin to emerge, arguably the first of which is John Barth</w:t>
      </w:r>
      <w:r w:rsidR="00665D8B">
        <w:rPr>
          <w:rFonts w:asciiTheme="majorBidi" w:hAnsiTheme="majorBidi" w:cstheme="majorBidi"/>
          <w:sz w:val="24"/>
          <w:szCs w:val="24"/>
        </w:rPr>
        <w:t>’s</w:t>
      </w:r>
      <w:r w:rsidRPr="00505CF0">
        <w:rPr>
          <w:rFonts w:asciiTheme="majorBidi" w:hAnsiTheme="majorBidi" w:cstheme="majorBidi"/>
          <w:sz w:val="24"/>
          <w:szCs w:val="24"/>
        </w:rPr>
        <w:t xml:space="preserve"> ‘The Literature of Exhaustion,’ published in 1967. </w:t>
      </w:r>
      <w:r w:rsidR="003B6878">
        <w:rPr>
          <w:rFonts w:asciiTheme="majorBidi" w:hAnsiTheme="majorBidi" w:cstheme="majorBidi"/>
          <w:sz w:val="24"/>
          <w:szCs w:val="24"/>
        </w:rPr>
        <w:t>Barth refers</w:t>
      </w:r>
      <w:r w:rsidRPr="00505CF0">
        <w:rPr>
          <w:rFonts w:asciiTheme="majorBidi" w:hAnsiTheme="majorBidi" w:cstheme="majorBidi"/>
          <w:sz w:val="24"/>
          <w:szCs w:val="24"/>
        </w:rPr>
        <w:t xml:space="preserve"> to the ‘used-upness of certain forms or the felt exhaustion of certain possibilities’</w:t>
      </w:r>
      <w:r w:rsidRPr="00505CF0">
        <w:rPr>
          <w:rStyle w:val="FootnoteReference"/>
          <w:rFonts w:asciiTheme="majorBidi" w:hAnsiTheme="majorBidi" w:cstheme="majorBidi"/>
          <w:sz w:val="24"/>
          <w:szCs w:val="24"/>
        </w:rPr>
        <w:footnoteReference w:id="659"/>
      </w:r>
      <w:r w:rsidRPr="00505CF0">
        <w:rPr>
          <w:rFonts w:asciiTheme="majorBidi" w:hAnsiTheme="majorBidi" w:cstheme="majorBidi"/>
          <w:sz w:val="24"/>
          <w:szCs w:val="24"/>
        </w:rPr>
        <w:t xml:space="preserve"> in fiction, pointing specifically to Borges’s </w:t>
      </w:r>
      <w:r w:rsidRPr="00505CF0">
        <w:rPr>
          <w:rFonts w:asciiTheme="majorBidi" w:hAnsiTheme="majorBidi" w:cstheme="majorBidi"/>
          <w:i/>
          <w:iCs/>
          <w:sz w:val="24"/>
          <w:szCs w:val="24"/>
        </w:rPr>
        <w:t>Pierre Menard</w:t>
      </w:r>
      <w:r w:rsidRPr="00505CF0">
        <w:rPr>
          <w:rFonts w:asciiTheme="majorBidi" w:hAnsiTheme="majorBidi" w:cstheme="majorBidi"/>
          <w:sz w:val="24"/>
          <w:szCs w:val="24"/>
        </w:rPr>
        <w:t xml:space="preserve"> as an example of a new form of fiction attempting to deal with the ‘the difficulty, perhaps the unnecessity, of writing original works of literature,’</w:t>
      </w:r>
      <w:r w:rsidRPr="00505CF0">
        <w:rPr>
          <w:rStyle w:val="FootnoteReference"/>
          <w:rFonts w:asciiTheme="majorBidi" w:hAnsiTheme="majorBidi" w:cstheme="majorBidi"/>
          <w:sz w:val="24"/>
          <w:szCs w:val="24"/>
        </w:rPr>
        <w:footnoteReference w:id="660"/>
      </w:r>
      <w:r w:rsidRPr="00505CF0">
        <w:rPr>
          <w:rFonts w:asciiTheme="majorBidi" w:hAnsiTheme="majorBidi" w:cstheme="majorBidi"/>
          <w:sz w:val="24"/>
          <w:szCs w:val="24"/>
        </w:rPr>
        <w:t xml:space="preserve"> by confronting the ‘intellectual dead-end’</w:t>
      </w:r>
      <w:r w:rsidRPr="00505CF0">
        <w:rPr>
          <w:rStyle w:val="FootnoteReference"/>
          <w:rFonts w:asciiTheme="majorBidi" w:hAnsiTheme="majorBidi" w:cstheme="majorBidi"/>
          <w:sz w:val="24"/>
          <w:szCs w:val="24"/>
        </w:rPr>
        <w:footnoteReference w:id="661"/>
      </w:r>
      <w:r w:rsidRPr="00505CF0">
        <w:rPr>
          <w:rFonts w:asciiTheme="majorBidi" w:hAnsiTheme="majorBidi" w:cstheme="majorBidi"/>
          <w:sz w:val="24"/>
          <w:szCs w:val="24"/>
        </w:rPr>
        <w:t xml:space="preserve"> of current literary production which, by Barth’s estimation of the period, ‘has by this hour of the world just about shot its bolt.’</w:t>
      </w:r>
      <w:r w:rsidRPr="00505CF0">
        <w:rPr>
          <w:rStyle w:val="FootnoteReference"/>
          <w:rFonts w:asciiTheme="majorBidi" w:hAnsiTheme="majorBidi" w:cstheme="majorBidi"/>
          <w:sz w:val="24"/>
          <w:szCs w:val="24"/>
        </w:rPr>
        <w:footnoteReference w:id="662"/>
      </w:r>
      <w:r w:rsidRPr="00505CF0">
        <w:rPr>
          <w:rFonts w:asciiTheme="majorBidi" w:hAnsiTheme="majorBidi" w:cstheme="majorBidi"/>
          <w:sz w:val="24"/>
          <w:szCs w:val="24"/>
        </w:rPr>
        <w:t xml:space="preserve"> Barth </w:t>
      </w:r>
      <w:r w:rsidR="00480936">
        <w:rPr>
          <w:rFonts w:asciiTheme="majorBidi" w:hAnsiTheme="majorBidi" w:cstheme="majorBidi"/>
          <w:sz w:val="24"/>
          <w:szCs w:val="24"/>
        </w:rPr>
        <w:t xml:space="preserve">text </w:t>
      </w:r>
      <w:r w:rsidRPr="00505CF0">
        <w:rPr>
          <w:rFonts w:asciiTheme="majorBidi" w:hAnsiTheme="majorBidi" w:cstheme="majorBidi"/>
          <w:sz w:val="24"/>
          <w:szCs w:val="24"/>
        </w:rPr>
        <w:t>descri</w:t>
      </w:r>
      <w:r w:rsidR="00480936">
        <w:rPr>
          <w:rFonts w:asciiTheme="majorBidi" w:hAnsiTheme="majorBidi" w:cstheme="majorBidi"/>
          <w:sz w:val="24"/>
          <w:szCs w:val="24"/>
        </w:rPr>
        <w:t>bes</w:t>
      </w:r>
      <w:r w:rsidRPr="00505CF0">
        <w:rPr>
          <w:rFonts w:asciiTheme="majorBidi" w:hAnsiTheme="majorBidi" w:cstheme="majorBidi"/>
          <w:sz w:val="24"/>
          <w:szCs w:val="24"/>
        </w:rPr>
        <w:t xml:space="preserve"> novelists playing with the conventions of literature in an attempt to invigorate a form which has seemingly become stagnated, literature which actively rebels against the exhaustion of current literary production, through the creation of ‘novels which imitate the form of the Novel, by an author who imitates the role of Author,’</w:t>
      </w:r>
      <w:r w:rsidRPr="00505CF0">
        <w:rPr>
          <w:rStyle w:val="FootnoteReference"/>
          <w:rFonts w:asciiTheme="majorBidi" w:hAnsiTheme="majorBidi" w:cstheme="majorBidi"/>
          <w:sz w:val="24"/>
          <w:szCs w:val="24"/>
        </w:rPr>
        <w:footnoteReference w:id="663"/>
      </w:r>
      <w:r w:rsidR="00480936">
        <w:rPr>
          <w:rFonts w:asciiTheme="majorBidi" w:hAnsiTheme="majorBidi" w:cstheme="majorBidi"/>
          <w:sz w:val="24"/>
          <w:szCs w:val="24"/>
        </w:rPr>
        <w:t xml:space="preserve"> and</w:t>
      </w:r>
      <w:r w:rsidRPr="00505CF0">
        <w:rPr>
          <w:rFonts w:asciiTheme="majorBidi" w:hAnsiTheme="majorBidi" w:cstheme="majorBidi"/>
          <w:sz w:val="24"/>
          <w:szCs w:val="24"/>
        </w:rPr>
        <w:t xml:space="preserve"> serves as one </w:t>
      </w:r>
      <w:r w:rsidR="00665D8B">
        <w:rPr>
          <w:rFonts w:asciiTheme="majorBidi" w:hAnsiTheme="majorBidi" w:cstheme="majorBidi"/>
          <w:sz w:val="24"/>
          <w:szCs w:val="24"/>
        </w:rPr>
        <w:t xml:space="preserve">of </w:t>
      </w:r>
      <w:r w:rsidRPr="00505CF0">
        <w:rPr>
          <w:rFonts w:asciiTheme="majorBidi" w:hAnsiTheme="majorBidi" w:cstheme="majorBidi"/>
          <w:sz w:val="24"/>
          <w:szCs w:val="24"/>
        </w:rPr>
        <w:t xml:space="preserve">the first recognitions of the metafictional impulse </w:t>
      </w:r>
      <w:r w:rsidR="00480936">
        <w:rPr>
          <w:rFonts w:asciiTheme="majorBidi" w:hAnsiTheme="majorBidi" w:cstheme="majorBidi"/>
          <w:sz w:val="24"/>
          <w:szCs w:val="24"/>
        </w:rPr>
        <w:t>within contemporary writing.</w:t>
      </w:r>
      <w:r w:rsidRPr="00505CF0">
        <w:rPr>
          <w:rFonts w:asciiTheme="majorBidi" w:hAnsiTheme="majorBidi" w:cstheme="majorBidi"/>
          <w:sz w:val="24"/>
          <w:szCs w:val="24"/>
        </w:rPr>
        <w:t xml:space="preserve">. </w:t>
      </w:r>
    </w:p>
    <w:p w14:paraId="5A2B4493" w14:textId="5EB862A6" w:rsidR="00C111D3" w:rsidRPr="00505CF0" w:rsidRDefault="00C111D3" w:rsidP="00665D8B">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While ‘the literature of exhaustion,’ is Barth’s ‘chic’ title for the literature he attempts to describe, 1967 also saw another critical attempt to define and delineate this ‘new’ form of literature, with Robert Scholes offering up the nomenclature of ‘fabulations’ as the ideal term. </w:t>
      </w:r>
      <w:r w:rsidRPr="00505CF0">
        <w:rPr>
          <w:rFonts w:asciiTheme="majorBidi" w:hAnsiTheme="majorBidi" w:cstheme="majorBidi"/>
          <w:i/>
          <w:iCs/>
          <w:sz w:val="24"/>
          <w:szCs w:val="24"/>
        </w:rPr>
        <w:t>The Fabulators</w:t>
      </w:r>
      <w:r w:rsidRPr="00505CF0">
        <w:rPr>
          <w:rFonts w:asciiTheme="majorBidi" w:hAnsiTheme="majorBidi" w:cstheme="majorBidi"/>
          <w:sz w:val="24"/>
          <w:szCs w:val="24"/>
        </w:rPr>
        <w:t xml:space="preserve"> by Scholes is an earnest enough attempt at </w:t>
      </w:r>
      <w:r w:rsidR="00480936">
        <w:rPr>
          <w:rFonts w:asciiTheme="majorBidi" w:hAnsiTheme="majorBidi" w:cstheme="majorBidi"/>
          <w:sz w:val="24"/>
          <w:szCs w:val="24"/>
        </w:rPr>
        <w:t xml:space="preserve">the </w:t>
      </w:r>
      <w:r w:rsidRPr="00505CF0">
        <w:rPr>
          <w:rFonts w:asciiTheme="majorBidi" w:hAnsiTheme="majorBidi" w:cstheme="majorBidi"/>
          <w:sz w:val="24"/>
          <w:szCs w:val="24"/>
        </w:rPr>
        <w:t>categorization of metafictional practice, though he describes the term as ‘a gimmick, an attention-getter,’ but, rightly, ‘an honest attempt to find a wo</w:t>
      </w:r>
      <w:r w:rsidR="00665D8B">
        <w:rPr>
          <w:rFonts w:asciiTheme="majorBidi" w:hAnsiTheme="majorBidi" w:cstheme="majorBidi"/>
          <w:sz w:val="24"/>
          <w:szCs w:val="24"/>
        </w:rPr>
        <w:t>rd for something that needs one</w:t>
      </w:r>
      <w:r w:rsidRPr="00505CF0">
        <w:rPr>
          <w:rFonts w:asciiTheme="majorBidi" w:hAnsiTheme="majorBidi" w:cstheme="majorBidi"/>
          <w:sz w:val="24"/>
          <w:szCs w:val="24"/>
        </w:rPr>
        <w:t>’</w:t>
      </w:r>
      <w:r w:rsidR="00665D8B">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664"/>
      </w:r>
    </w:p>
    <w:p w14:paraId="48F2B370" w14:textId="77777777" w:rsidR="00C111D3" w:rsidRPr="00505CF0" w:rsidRDefault="00C111D3" w:rsidP="004C3EE0">
      <w:pPr>
        <w:ind w:firstLine="720"/>
        <w:jc w:val="both"/>
        <w:rPr>
          <w:rFonts w:asciiTheme="majorBidi" w:hAnsiTheme="majorBidi" w:cstheme="majorBidi"/>
          <w:sz w:val="24"/>
          <w:szCs w:val="24"/>
        </w:rPr>
      </w:pPr>
    </w:p>
    <w:p w14:paraId="21DAA914"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Fabulation, then, means a return to a more verbal kind of fiction. It also means a return to a more fictional kind. By this I mean a less realistic and more artistic kind of narrative: </w:t>
      </w:r>
      <w:proofErr w:type="gramStart"/>
      <w:r w:rsidRPr="00505CF0">
        <w:rPr>
          <w:rFonts w:asciiTheme="majorBidi" w:hAnsiTheme="majorBidi" w:cstheme="majorBidi"/>
          <w:sz w:val="24"/>
          <w:szCs w:val="24"/>
        </w:rPr>
        <w:t>more shapely</w:t>
      </w:r>
      <w:proofErr w:type="gramEnd"/>
      <w:r w:rsidRPr="00505CF0">
        <w:rPr>
          <w:rFonts w:asciiTheme="majorBidi" w:hAnsiTheme="majorBidi" w:cstheme="majorBidi"/>
          <w:sz w:val="24"/>
          <w:szCs w:val="24"/>
        </w:rPr>
        <w:t>, more evocative; more concerned with ideas and ideals, less concerned with things. I am not proposing here an airy program for the future of fiction. I am talking about what is going on all around us.</w:t>
      </w:r>
      <w:r w:rsidRPr="00505CF0">
        <w:rPr>
          <w:rStyle w:val="FootnoteReference"/>
          <w:rFonts w:asciiTheme="majorBidi" w:hAnsiTheme="majorBidi" w:cstheme="majorBidi"/>
          <w:sz w:val="24"/>
          <w:szCs w:val="24"/>
        </w:rPr>
        <w:footnoteReference w:id="665"/>
      </w:r>
    </w:p>
    <w:p w14:paraId="5C95327D" w14:textId="77777777" w:rsidR="00C111D3" w:rsidRPr="00505CF0" w:rsidRDefault="00C111D3" w:rsidP="004C3EE0">
      <w:pPr>
        <w:ind w:left="737" w:right="737"/>
        <w:jc w:val="both"/>
        <w:rPr>
          <w:rFonts w:asciiTheme="majorBidi" w:hAnsiTheme="majorBidi" w:cstheme="majorBidi"/>
          <w:sz w:val="24"/>
          <w:szCs w:val="24"/>
        </w:rPr>
      </w:pPr>
    </w:p>
    <w:p w14:paraId="62BED786" w14:textId="77777777" w:rsidR="00C111D3" w:rsidRPr="00505CF0" w:rsidRDefault="00C111D3" w:rsidP="004C3EE0">
      <w:pPr>
        <w:ind w:left="737" w:right="737"/>
        <w:jc w:val="both"/>
        <w:rPr>
          <w:rFonts w:asciiTheme="majorBidi" w:hAnsiTheme="majorBidi" w:cstheme="majorBidi"/>
          <w:sz w:val="24"/>
          <w:szCs w:val="24"/>
        </w:rPr>
      </w:pPr>
    </w:p>
    <w:p w14:paraId="4E5F2205" w14:textId="0FCBF8DC" w:rsidR="00C111D3" w:rsidRPr="00505CF0" w:rsidRDefault="00C111D3" w:rsidP="00665D8B">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Scholes’ ‘fabulators’ are those who parody the realist modes in a manner that brings to the fore questions of the nature of ideas and ideals, springing from ‘the collision between the philosophical and mythic perspectives on the meaning and value of existence, with their opposed dogmas of struggle and acquiescence.’</w:t>
      </w:r>
      <w:r w:rsidRPr="00505CF0">
        <w:rPr>
          <w:rStyle w:val="FootnoteReference"/>
          <w:rFonts w:asciiTheme="majorBidi" w:hAnsiTheme="majorBidi" w:cstheme="majorBidi"/>
          <w:sz w:val="24"/>
          <w:szCs w:val="24"/>
        </w:rPr>
        <w:footnoteReference w:id="666"/>
      </w:r>
      <w:r w:rsidRPr="00505CF0">
        <w:rPr>
          <w:rFonts w:asciiTheme="majorBidi" w:hAnsiTheme="majorBidi" w:cstheme="majorBidi"/>
          <w:sz w:val="24"/>
          <w:szCs w:val="24"/>
        </w:rPr>
        <w:t xml:space="preserve"> Interestingly, while Barth picks up on the need for metafictional modes as a reaction to society’s perceived </w:t>
      </w:r>
      <w:r w:rsidR="00665D8B">
        <w:rPr>
          <w:rFonts w:asciiTheme="majorBidi" w:hAnsiTheme="majorBidi" w:cstheme="majorBidi"/>
          <w:sz w:val="24"/>
          <w:szCs w:val="24"/>
        </w:rPr>
        <w:t>wish</w:t>
      </w:r>
      <w:r w:rsidRPr="00505CF0">
        <w:rPr>
          <w:rFonts w:asciiTheme="majorBidi" w:hAnsiTheme="majorBidi" w:cstheme="majorBidi"/>
          <w:sz w:val="24"/>
          <w:szCs w:val="24"/>
        </w:rPr>
        <w:t xml:space="preserve"> to avoid stagnation of form, Scholes highlights the more emotional, or philosophical, side to such experimentations, a dichotomy that will return time and again in the analysis of the metafictional: formal experimentation against humanist emotional expression.</w:t>
      </w:r>
    </w:p>
    <w:p w14:paraId="32A8FAB3" w14:textId="466A1C34" w:rsidR="00C111D3" w:rsidRPr="00505CF0" w:rsidRDefault="00C111D3" w:rsidP="00665D8B">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The following year, 1968, William H. Gass had both the short story collection </w:t>
      </w:r>
      <w:r w:rsidRPr="00505CF0">
        <w:rPr>
          <w:rFonts w:asciiTheme="majorBidi" w:hAnsiTheme="majorBidi" w:cstheme="majorBidi"/>
          <w:i/>
          <w:iCs/>
          <w:sz w:val="24"/>
          <w:szCs w:val="24"/>
        </w:rPr>
        <w:t>In the Heart of the Heart of the Country</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Willie Masters’ Lonesome Wife</w:t>
      </w:r>
      <w:r w:rsidRPr="00505CF0">
        <w:rPr>
          <w:rFonts w:asciiTheme="majorBidi" w:hAnsiTheme="majorBidi" w:cstheme="majorBidi"/>
          <w:sz w:val="24"/>
          <w:szCs w:val="24"/>
        </w:rPr>
        <w:t xml:space="preserve"> published, the latter of which pushed the boundaries of the current metafictional experimentation by being a self-aware novel; </w:t>
      </w:r>
      <w:r w:rsidR="00665D8B">
        <w:rPr>
          <w:rFonts w:asciiTheme="majorBidi" w:hAnsiTheme="majorBidi" w:cstheme="majorBidi"/>
          <w:sz w:val="24"/>
          <w:szCs w:val="24"/>
        </w:rPr>
        <w:t xml:space="preserve">it does </w:t>
      </w:r>
      <w:r w:rsidRPr="00505CF0">
        <w:rPr>
          <w:rFonts w:asciiTheme="majorBidi" w:hAnsiTheme="majorBidi" w:cstheme="majorBidi"/>
          <w:sz w:val="24"/>
          <w:szCs w:val="24"/>
        </w:rPr>
        <w:t xml:space="preserve">not </w:t>
      </w:r>
      <w:r w:rsidR="00665D8B">
        <w:rPr>
          <w:rFonts w:asciiTheme="majorBidi" w:hAnsiTheme="majorBidi" w:cstheme="majorBidi"/>
          <w:sz w:val="24"/>
          <w:szCs w:val="24"/>
        </w:rPr>
        <w:t xml:space="preserve">include </w:t>
      </w:r>
      <w:r w:rsidRPr="00505CF0">
        <w:rPr>
          <w:rFonts w:asciiTheme="majorBidi" w:hAnsiTheme="majorBidi" w:cstheme="majorBidi"/>
          <w:sz w:val="24"/>
          <w:szCs w:val="24"/>
        </w:rPr>
        <w:t xml:space="preserve">a self-aware character, but </w:t>
      </w:r>
      <w:r w:rsidR="00665D8B">
        <w:rPr>
          <w:rFonts w:asciiTheme="majorBidi" w:hAnsiTheme="majorBidi" w:cstheme="majorBidi"/>
          <w:sz w:val="24"/>
          <w:szCs w:val="24"/>
        </w:rPr>
        <w:t xml:space="preserve">is </w:t>
      </w:r>
      <w:r w:rsidRPr="00505CF0">
        <w:rPr>
          <w:rFonts w:asciiTheme="majorBidi" w:hAnsiTheme="majorBidi" w:cstheme="majorBidi"/>
          <w:sz w:val="24"/>
          <w:szCs w:val="24"/>
        </w:rPr>
        <w:t>a book that presents as a character, aware of the reader’s touch and gaze upon her – for it is definitively, and admittedly somewhat</w:t>
      </w:r>
      <w:r w:rsidR="003B6878">
        <w:rPr>
          <w:rFonts w:asciiTheme="majorBidi" w:hAnsiTheme="majorBidi" w:cstheme="majorBidi"/>
          <w:sz w:val="24"/>
          <w:szCs w:val="24"/>
        </w:rPr>
        <w:t xml:space="preserve"> problematically given the contemporary advancements in gender equality</w:t>
      </w:r>
      <w:r w:rsidRPr="00505CF0">
        <w:rPr>
          <w:rFonts w:asciiTheme="majorBidi" w:hAnsiTheme="majorBidi" w:cstheme="majorBidi"/>
          <w:sz w:val="24"/>
          <w:szCs w:val="24"/>
        </w:rPr>
        <w:t>, a female book – body and pages. The text plays with textual presentation, paratextual elements and photography in a manner that wholly parodies t</w:t>
      </w:r>
      <w:r w:rsidR="00665D8B">
        <w:rPr>
          <w:rFonts w:asciiTheme="majorBidi" w:hAnsiTheme="majorBidi" w:cstheme="majorBidi"/>
          <w:sz w:val="24"/>
          <w:szCs w:val="24"/>
        </w:rPr>
        <w:t>ypical formal novel conventions.</w:t>
      </w:r>
      <w:r w:rsidRPr="00505CF0">
        <w:rPr>
          <w:rFonts w:asciiTheme="majorBidi" w:hAnsiTheme="majorBidi" w:cstheme="majorBidi"/>
          <w:sz w:val="24"/>
          <w:szCs w:val="24"/>
        </w:rPr>
        <w:t xml:space="preserve"> </w:t>
      </w:r>
      <w:r w:rsidR="00665D8B">
        <w:rPr>
          <w:rFonts w:asciiTheme="majorBidi" w:hAnsiTheme="majorBidi" w:cstheme="majorBidi"/>
          <w:sz w:val="24"/>
          <w:szCs w:val="24"/>
        </w:rPr>
        <w:t>Y</w:t>
      </w:r>
      <w:r w:rsidRPr="00505CF0">
        <w:rPr>
          <w:rFonts w:asciiTheme="majorBidi" w:hAnsiTheme="majorBidi" w:cstheme="majorBidi"/>
          <w:sz w:val="24"/>
          <w:szCs w:val="24"/>
        </w:rPr>
        <w:t>et</w:t>
      </w:r>
      <w:r w:rsidR="00665D8B">
        <w:rPr>
          <w:rFonts w:asciiTheme="majorBidi" w:hAnsiTheme="majorBidi" w:cstheme="majorBidi"/>
          <w:sz w:val="24"/>
          <w:szCs w:val="24"/>
        </w:rPr>
        <w:t>,</w:t>
      </w:r>
      <w:r w:rsidRPr="00505CF0">
        <w:rPr>
          <w:rFonts w:asciiTheme="majorBidi" w:hAnsiTheme="majorBidi" w:cstheme="majorBidi"/>
          <w:sz w:val="24"/>
          <w:szCs w:val="24"/>
        </w:rPr>
        <w:t xml:space="preserve"> in a perfect fusion of Barth’s literature of exhaustion and Scholes’ fabulation, </w:t>
      </w:r>
      <w:r w:rsidR="00111C50">
        <w:rPr>
          <w:rFonts w:asciiTheme="majorBidi" w:hAnsiTheme="majorBidi" w:cstheme="majorBidi"/>
          <w:sz w:val="24"/>
          <w:szCs w:val="24"/>
        </w:rPr>
        <w:t xml:space="preserve">it </w:t>
      </w:r>
      <w:r w:rsidRPr="00505CF0">
        <w:rPr>
          <w:rFonts w:asciiTheme="majorBidi" w:hAnsiTheme="majorBidi" w:cstheme="majorBidi"/>
          <w:sz w:val="24"/>
          <w:szCs w:val="24"/>
        </w:rPr>
        <w:t xml:space="preserve">delivers an emotional impact underpinning the irony and play at the end of the novel that cements the text as a serious, and necessary, member of the literary metafictional canon. The same year saw the publication of Barth’s </w:t>
      </w:r>
      <w:r w:rsidRPr="00505CF0">
        <w:rPr>
          <w:rFonts w:asciiTheme="majorBidi" w:hAnsiTheme="majorBidi" w:cstheme="majorBidi"/>
          <w:i/>
          <w:iCs/>
          <w:sz w:val="24"/>
          <w:szCs w:val="24"/>
        </w:rPr>
        <w:t>Lost in the Funhouse</w:t>
      </w:r>
      <w:r w:rsidRPr="00505CF0">
        <w:rPr>
          <w:rFonts w:asciiTheme="majorBidi" w:hAnsiTheme="majorBidi" w:cstheme="majorBidi"/>
          <w:sz w:val="24"/>
          <w:szCs w:val="24"/>
        </w:rPr>
        <w:t xml:space="preserve">, a well-known literary metafiction in which Barth employs his previous theories of literature, presenting as a textual object to be cut out by the reader and formed into a Mobius strip, along with other stories which comment upon their production, in particular ‘Life-Story’ which, again, attempts to actively involve the reader in its production by asking them to fill in certain blank spaces. In 1969 the metafictional canon expanded significantly with the publication of four major metafictional works: B.S. Johnson’s </w:t>
      </w:r>
      <w:r w:rsidRPr="00505CF0">
        <w:rPr>
          <w:rFonts w:asciiTheme="majorBidi" w:hAnsiTheme="majorBidi" w:cstheme="majorBidi"/>
          <w:i/>
          <w:iCs/>
          <w:sz w:val="24"/>
          <w:szCs w:val="24"/>
        </w:rPr>
        <w:t>The Unfortunates</w:t>
      </w:r>
      <w:r w:rsidRPr="00505CF0">
        <w:rPr>
          <w:rFonts w:asciiTheme="majorBidi" w:hAnsiTheme="majorBidi" w:cstheme="majorBidi"/>
          <w:sz w:val="24"/>
          <w:szCs w:val="24"/>
        </w:rPr>
        <w:t xml:space="preserve">, Kurt Vonnegut’s </w:t>
      </w:r>
      <w:r w:rsidRPr="00505CF0">
        <w:rPr>
          <w:rFonts w:asciiTheme="majorBidi" w:hAnsiTheme="majorBidi" w:cstheme="majorBidi"/>
          <w:i/>
          <w:iCs/>
          <w:sz w:val="24"/>
          <w:szCs w:val="24"/>
        </w:rPr>
        <w:t>Slaughterhouse-Five</w:t>
      </w:r>
      <w:r w:rsidRPr="00505CF0">
        <w:rPr>
          <w:rFonts w:asciiTheme="majorBidi" w:hAnsiTheme="majorBidi" w:cstheme="majorBidi"/>
          <w:sz w:val="24"/>
          <w:szCs w:val="24"/>
        </w:rPr>
        <w:t xml:space="preserve">, John Fowles’ </w:t>
      </w:r>
      <w:r w:rsidRPr="00505CF0">
        <w:rPr>
          <w:rFonts w:asciiTheme="majorBidi" w:hAnsiTheme="majorBidi" w:cstheme="majorBidi"/>
          <w:i/>
          <w:iCs/>
          <w:sz w:val="24"/>
          <w:szCs w:val="24"/>
        </w:rPr>
        <w:t>The French Lieutenant’s Woman</w:t>
      </w:r>
      <w:r w:rsidRPr="00505CF0">
        <w:rPr>
          <w:rFonts w:asciiTheme="majorBidi" w:hAnsiTheme="majorBidi" w:cstheme="majorBidi"/>
          <w:sz w:val="24"/>
          <w:szCs w:val="24"/>
        </w:rPr>
        <w:t xml:space="preserve">, and </w:t>
      </w:r>
      <w:r w:rsidRPr="00505CF0">
        <w:rPr>
          <w:rFonts w:asciiTheme="majorBidi" w:hAnsiTheme="majorBidi" w:cstheme="majorBidi"/>
          <w:i/>
          <w:iCs/>
          <w:sz w:val="24"/>
          <w:szCs w:val="24"/>
        </w:rPr>
        <w:t xml:space="preserve">La Disparition </w:t>
      </w:r>
      <w:r w:rsidRPr="00505CF0">
        <w:rPr>
          <w:rFonts w:asciiTheme="majorBidi" w:hAnsiTheme="majorBidi" w:cstheme="majorBidi"/>
          <w:sz w:val="24"/>
          <w:szCs w:val="24"/>
        </w:rPr>
        <w:t xml:space="preserve">(or, </w:t>
      </w:r>
      <w:r w:rsidRPr="00505CF0">
        <w:rPr>
          <w:rFonts w:asciiTheme="majorBidi" w:hAnsiTheme="majorBidi" w:cstheme="majorBidi"/>
          <w:i/>
          <w:iCs/>
          <w:sz w:val="24"/>
          <w:szCs w:val="24"/>
        </w:rPr>
        <w:t>A Void</w:t>
      </w:r>
      <w:r w:rsidRPr="00505CF0">
        <w:rPr>
          <w:rFonts w:asciiTheme="majorBidi" w:hAnsiTheme="majorBidi" w:cstheme="majorBidi"/>
          <w:sz w:val="24"/>
          <w:szCs w:val="24"/>
        </w:rPr>
        <w:t xml:space="preserve">) by Georges Perec. </w:t>
      </w:r>
      <w:r w:rsidRPr="00505CF0">
        <w:rPr>
          <w:rFonts w:asciiTheme="majorBidi" w:hAnsiTheme="majorBidi" w:cstheme="majorBidi"/>
          <w:i/>
          <w:iCs/>
          <w:sz w:val="24"/>
          <w:szCs w:val="24"/>
        </w:rPr>
        <w:t>The Unfortunates</w:t>
      </w:r>
      <w:r w:rsidRPr="00505CF0">
        <w:rPr>
          <w:rFonts w:asciiTheme="majorBidi" w:hAnsiTheme="majorBidi" w:cstheme="majorBidi"/>
          <w:sz w:val="24"/>
          <w:szCs w:val="24"/>
        </w:rPr>
        <w:t xml:space="preserve"> foregrounds the artificiality of the novels construct</w:t>
      </w:r>
      <w:r w:rsidR="00480936">
        <w:rPr>
          <w:rFonts w:asciiTheme="majorBidi" w:hAnsiTheme="majorBidi" w:cstheme="majorBidi"/>
          <w:sz w:val="24"/>
          <w:szCs w:val="24"/>
        </w:rPr>
        <w:t>ion</w:t>
      </w:r>
      <w:r w:rsidRPr="00505CF0">
        <w:rPr>
          <w:rFonts w:asciiTheme="majorBidi" w:hAnsiTheme="majorBidi" w:cstheme="majorBidi"/>
          <w:sz w:val="24"/>
          <w:szCs w:val="24"/>
        </w:rPr>
        <w:t xml:space="preserve"> by presenting the reader with a selection of individually printed chapters which they are invited to shuffle into a random order before reading. Vonnegut’s seminal text, too, deconstructs assumptions of novel production through various metafictional means, the most prominent of which is the inclusion of what would ordinar</w:t>
      </w:r>
      <w:r w:rsidR="00111C50">
        <w:rPr>
          <w:rFonts w:asciiTheme="majorBidi" w:hAnsiTheme="majorBidi" w:cstheme="majorBidi"/>
          <w:sz w:val="24"/>
          <w:szCs w:val="24"/>
        </w:rPr>
        <w:t>il</w:t>
      </w:r>
      <w:r w:rsidRPr="00505CF0">
        <w:rPr>
          <w:rFonts w:asciiTheme="majorBidi" w:hAnsiTheme="majorBidi" w:cstheme="majorBidi"/>
          <w:sz w:val="24"/>
          <w:szCs w:val="24"/>
        </w:rPr>
        <w:t xml:space="preserve">y serve as </w:t>
      </w:r>
      <w:r w:rsidR="00954127">
        <w:rPr>
          <w:rFonts w:asciiTheme="majorBidi" w:hAnsiTheme="majorBidi" w:cstheme="majorBidi"/>
          <w:sz w:val="24"/>
          <w:szCs w:val="24"/>
        </w:rPr>
        <w:t xml:space="preserve">(what seems) </w:t>
      </w:r>
      <w:r w:rsidRPr="00505CF0">
        <w:rPr>
          <w:rFonts w:asciiTheme="majorBidi" w:hAnsiTheme="majorBidi" w:cstheme="majorBidi"/>
          <w:sz w:val="24"/>
          <w:szCs w:val="24"/>
        </w:rPr>
        <w:t>an authorial p</w:t>
      </w:r>
      <w:r w:rsidR="00111C50">
        <w:rPr>
          <w:rFonts w:asciiTheme="majorBidi" w:hAnsiTheme="majorBidi" w:cstheme="majorBidi"/>
          <w:sz w:val="24"/>
          <w:szCs w:val="24"/>
        </w:rPr>
        <w:t>reface to</w:t>
      </w:r>
      <w:r w:rsidRPr="00505CF0">
        <w:rPr>
          <w:rFonts w:asciiTheme="majorBidi" w:hAnsiTheme="majorBidi" w:cstheme="majorBidi"/>
          <w:sz w:val="24"/>
          <w:szCs w:val="24"/>
        </w:rPr>
        <w:t xml:space="preserve"> the </w:t>
      </w:r>
      <w:r w:rsidR="00111C50">
        <w:rPr>
          <w:rFonts w:asciiTheme="majorBidi" w:hAnsiTheme="majorBidi" w:cstheme="majorBidi"/>
          <w:sz w:val="24"/>
          <w:szCs w:val="24"/>
        </w:rPr>
        <w:t>novel</w:t>
      </w:r>
      <w:r w:rsidR="00480936">
        <w:rPr>
          <w:rFonts w:asciiTheme="majorBidi" w:hAnsiTheme="majorBidi" w:cstheme="majorBidi"/>
          <w:sz w:val="24"/>
          <w:szCs w:val="24"/>
        </w:rPr>
        <w:t xml:space="preserve"> about the processes of its conception,</w:t>
      </w:r>
      <w:r w:rsidR="00111C50">
        <w:rPr>
          <w:rFonts w:asciiTheme="majorBidi" w:hAnsiTheme="majorBidi" w:cstheme="majorBidi"/>
          <w:sz w:val="24"/>
          <w:szCs w:val="24"/>
        </w:rPr>
        <w:t xml:space="preserve"> </w:t>
      </w:r>
      <w:r w:rsidR="00480936">
        <w:rPr>
          <w:rFonts w:asciiTheme="majorBidi" w:hAnsiTheme="majorBidi" w:cstheme="majorBidi"/>
          <w:sz w:val="24"/>
          <w:szCs w:val="24"/>
        </w:rPr>
        <w:t xml:space="preserve">here </w:t>
      </w:r>
      <w:r w:rsidR="00111C50">
        <w:rPr>
          <w:rFonts w:asciiTheme="majorBidi" w:hAnsiTheme="majorBidi" w:cstheme="majorBidi"/>
          <w:sz w:val="24"/>
          <w:szCs w:val="24"/>
        </w:rPr>
        <w:t xml:space="preserve">delineated as the </w:t>
      </w:r>
      <w:r w:rsidRPr="00505CF0">
        <w:rPr>
          <w:rFonts w:asciiTheme="majorBidi" w:hAnsiTheme="majorBidi" w:cstheme="majorBidi"/>
          <w:sz w:val="24"/>
          <w:szCs w:val="24"/>
        </w:rPr>
        <w:t xml:space="preserve">first chapter of the novel, </w:t>
      </w:r>
      <w:r w:rsidR="00480936">
        <w:rPr>
          <w:rFonts w:asciiTheme="majorBidi" w:hAnsiTheme="majorBidi" w:cstheme="majorBidi"/>
          <w:sz w:val="24"/>
          <w:szCs w:val="24"/>
        </w:rPr>
        <w:t xml:space="preserve">thus </w:t>
      </w:r>
      <w:r w:rsidRPr="00505CF0">
        <w:rPr>
          <w:rFonts w:asciiTheme="majorBidi" w:hAnsiTheme="majorBidi" w:cstheme="majorBidi"/>
          <w:sz w:val="24"/>
          <w:szCs w:val="24"/>
        </w:rPr>
        <w:t xml:space="preserve">linking the production of a text with the content therein, and in doing so suggest the equal standing of that which surrounds a text and that which is contained within. </w:t>
      </w:r>
      <w:r w:rsidRPr="00505CF0">
        <w:rPr>
          <w:rFonts w:asciiTheme="majorBidi" w:hAnsiTheme="majorBidi" w:cstheme="majorBidi"/>
          <w:i/>
          <w:iCs/>
          <w:sz w:val="24"/>
          <w:szCs w:val="24"/>
        </w:rPr>
        <w:t>The French Lieutenant’s Woman</w:t>
      </w:r>
      <w:r w:rsidRPr="00505CF0">
        <w:rPr>
          <w:rFonts w:asciiTheme="majorBidi" w:hAnsiTheme="majorBidi" w:cstheme="majorBidi"/>
          <w:sz w:val="24"/>
          <w:szCs w:val="24"/>
        </w:rPr>
        <w:t xml:space="preserve"> distorts traditional narrative through the inclusion of multiple endings (a technique sadly frequently abandoned or relegated to the ‘Choose-Your-Own-Adventure’ genre of children’s books in the Twenty-First Century</w:t>
      </w:r>
      <w:r w:rsidR="00954127">
        <w:rPr>
          <w:rFonts w:asciiTheme="majorBidi" w:hAnsiTheme="majorBidi" w:cstheme="majorBidi"/>
          <w:sz w:val="24"/>
          <w:szCs w:val="24"/>
        </w:rPr>
        <w:t>, which have a history too long to adequately explore here</w:t>
      </w:r>
      <w:r w:rsidRPr="00505CF0">
        <w:rPr>
          <w:rFonts w:asciiTheme="majorBidi" w:hAnsiTheme="majorBidi" w:cstheme="majorBidi"/>
          <w:sz w:val="24"/>
          <w:szCs w:val="24"/>
        </w:rPr>
        <w:t xml:space="preserve">), while Perec’s </w:t>
      </w:r>
      <w:r w:rsidRPr="00505CF0">
        <w:rPr>
          <w:rFonts w:asciiTheme="majorBidi" w:hAnsiTheme="majorBidi" w:cstheme="majorBidi"/>
          <w:i/>
          <w:iCs/>
          <w:sz w:val="24"/>
          <w:szCs w:val="24"/>
        </w:rPr>
        <w:t>A Void</w:t>
      </w:r>
      <w:r w:rsidRPr="00505CF0">
        <w:rPr>
          <w:rFonts w:asciiTheme="majorBidi" w:hAnsiTheme="majorBidi" w:cstheme="majorBidi"/>
          <w:sz w:val="24"/>
          <w:szCs w:val="24"/>
        </w:rPr>
        <w:t xml:space="preserve"> is a literary triumph in its production, completely foregoing the use of the letter ‘E’ in both the original French and English translation by Gilbert Adair, a technique that is noticed by the characters within as an uncertain feeling that something has disappeared from their lives. </w:t>
      </w:r>
    </w:p>
    <w:p w14:paraId="17A6798D" w14:textId="6FC8C4D0"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In 1970 we reach one of the most significant moments in the history of metafiction, with Gass’s publication of ‘Philosop</w:t>
      </w:r>
      <w:r w:rsidR="00111C50">
        <w:rPr>
          <w:rFonts w:asciiTheme="majorBidi" w:hAnsiTheme="majorBidi" w:cstheme="majorBidi"/>
          <w:sz w:val="24"/>
          <w:szCs w:val="24"/>
        </w:rPr>
        <w:t xml:space="preserve">hy and the Form of Fiction’ </w:t>
      </w:r>
      <w:r w:rsidRPr="00505CF0">
        <w:rPr>
          <w:rFonts w:asciiTheme="majorBidi" w:hAnsiTheme="majorBidi" w:cstheme="majorBidi"/>
          <w:sz w:val="24"/>
          <w:szCs w:val="24"/>
        </w:rPr>
        <w:t xml:space="preserve">in his </w:t>
      </w:r>
      <w:r w:rsidRPr="00505CF0">
        <w:rPr>
          <w:rFonts w:asciiTheme="majorBidi" w:hAnsiTheme="majorBidi" w:cstheme="majorBidi"/>
          <w:i/>
          <w:iCs/>
          <w:sz w:val="24"/>
          <w:szCs w:val="24"/>
        </w:rPr>
        <w:t xml:space="preserve">Fiction and the Figures of Life, </w:t>
      </w:r>
      <w:r w:rsidR="00111C50">
        <w:rPr>
          <w:rFonts w:asciiTheme="majorBidi" w:hAnsiTheme="majorBidi" w:cstheme="majorBidi"/>
          <w:sz w:val="24"/>
          <w:szCs w:val="24"/>
        </w:rPr>
        <w:t>which includes</w:t>
      </w:r>
      <w:r w:rsidRPr="00505CF0">
        <w:rPr>
          <w:rFonts w:asciiTheme="majorBidi" w:hAnsiTheme="majorBidi" w:cstheme="majorBidi"/>
          <w:sz w:val="24"/>
          <w:szCs w:val="24"/>
        </w:rPr>
        <w:t xml:space="preserve"> the following significant description in which the field receives its name:</w:t>
      </w:r>
    </w:p>
    <w:p w14:paraId="6891C580" w14:textId="77777777" w:rsidR="00C111D3" w:rsidRPr="00505CF0" w:rsidRDefault="00C111D3" w:rsidP="004C3EE0">
      <w:pPr>
        <w:ind w:left="737" w:right="737"/>
        <w:jc w:val="both"/>
        <w:rPr>
          <w:rFonts w:asciiTheme="majorBidi" w:hAnsiTheme="majorBidi" w:cstheme="majorBidi"/>
          <w:sz w:val="24"/>
          <w:szCs w:val="24"/>
        </w:rPr>
      </w:pPr>
    </w:p>
    <w:p w14:paraId="3B52B0F1"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And then there is the monster of present-day metafictions. These are works which </w:t>
      </w:r>
      <w:proofErr w:type="gramStart"/>
      <w:r w:rsidRPr="00505CF0">
        <w:rPr>
          <w:rFonts w:asciiTheme="majorBidi" w:hAnsiTheme="majorBidi" w:cstheme="majorBidi"/>
          <w:sz w:val="24"/>
          <w:szCs w:val="24"/>
        </w:rPr>
        <w:t>contain,</w:t>
      </w:r>
      <w:proofErr w:type="gramEnd"/>
      <w:r w:rsidRPr="00505CF0">
        <w:rPr>
          <w:rFonts w:asciiTheme="majorBidi" w:hAnsiTheme="majorBidi" w:cstheme="majorBidi"/>
          <w:sz w:val="24"/>
          <w:szCs w:val="24"/>
        </w:rPr>
        <w:t xml:space="preserve"> one way or another, explanations and references to themselves. They are fictions about fiction; not in the obvious sense in which one of the characters is a writer, for that can be taken up in the traditional form. Rather metafictions are fictions in which the content of the work being structured is the structure of traditional fiction.</w:t>
      </w:r>
      <w:r w:rsidRPr="00505CF0">
        <w:rPr>
          <w:rStyle w:val="FootnoteReference"/>
          <w:rFonts w:asciiTheme="majorBidi" w:hAnsiTheme="majorBidi" w:cstheme="majorBidi"/>
          <w:sz w:val="24"/>
          <w:szCs w:val="24"/>
        </w:rPr>
        <w:footnoteReference w:id="667"/>
      </w:r>
    </w:p>
    <w:p w14:paraId="6E5AE78A" w14:textId="77777777" w:rsidR="00C111D3" w:rsidRPr="00505CF0" w:rsidRDefault="00C111D3" w:rsidP="004C3EE0">
      <w:pPr>
        <w:ind w:left="737" w:right="737"/>
        <w:jc w:val="both"/>
        <w:rPr>
          <w:rFonts w:asciiTheme="majorBidi" w:hAnsiTheme="majorBidi" w:cstheme="majorBidi"/>
          <w:sz w:val="24"/>
          <w:szCs w:val="24"/>
        </w:rPr>
      </w:pPr>
    </w:p>
    <w:p w14:paraId="307178BE" w14:textId="77777777" w:rsidR="00C111D3" w:rsidRPr="00505CF0" w:rsidRDefault="00C111D3" w:rsidP="004C3EE0">
      <w:pPr>
        <w:ind w:left="737" w:right="737"/>
        <w:jc w:val="both"/>
        <w:rPr>
          <w:rFonts w:asciiTheme="majorBidi" w:hAnsiTheme="majorBidi" w:cstheme="majorBidi"/>
          <w:sz w:val="24"/>
          <w:szCs w:val="24"/>
        </w:rPr>
      </w:pPr>
    </w:p>
    <w:p w14:paraId="0C31E22D" w14:textId="04335C2C"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Unfortunately for Scholes’ formulation, the nomenclature of metafiction proved infinitely more palatable a term than that of the fabulators, having its etymological roots in ‘meta,’ specifically us</w:t>
      </w:r>
      <w:r w:rsidR="00111C50">
        <w:rPr>
          <w:rFonts w:asciiTheme="majorBidi" w:hAnsiTheme="majorBidi" w:cstheme="majorBidi"/>
          <w:sz w:val="24"/>
          <w:szCs w:val="24"/>
        </w:rPr>
        <w:t>ed as a prefix in lieu of ‘self</w:t>
      </w:r>
      <w:r w:rsidRPr="00505CF0">
        <w:rPr>
          <w:rFonts w:asciiTheme="majorBidi" w:hAnsiTheme="majorBidi" w:cstheme="majorBidi"/>
          <w:sz w:val="24"/>
          <w:szCs w:val="24"/>
        </w:rPr>
        <w:t>’</w:t>
      </w:r>
      <w:r w:rsidR="00111C50">
        <w:rPr>
          <w:rFonts w:asciiTheme="majorBidi" w:hAnsiTheme="majorBidi" w:cstheme="majorBidi"/>
          <w:sz w:val="24"/>
          <w:szCs w:val="24"/>
        </w:rPr>
        <w:t>:</w:t>
      </w:r>
    </w:p>
    <w:p w14:paraId="70BE80F5" w14:textId="77777777" w:rsidR="00C111D3" w:rsidRPr="00505CF0" w:rsidRDefault="00C111D3" w:rsidP="004C3EE0">
      <w:pPr>
        <w:ind w:left="737" w:right="737"/>
        <w:jc w:val="both"/>
        <w:rPr>
          <w:rFonts w:asciiTheme="majorBidi" w:hAnsiTheme="majorBidi" w:cstheme="majorBidi"/>
          <w:sz w:val="24"/>
          <w:szCs w:val="24"/>
        </w:rPr>
      </w:pPr>
    </w:p>
    <w:p w14:paraId="57662213"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There are metatheorems in mathematics and logic, ethics has its linguistic oversoul, everywhere lingos to converse about lingos are being contrived, and the case is no different in the novel. I don't mean merely those drearily predictable pieces about writers who are writing about what they are writing, but those like some of the works of Borges, Barth, and Flann O'Brien, for example, in which the forms of fiction serve as the material upon which further forms can be imposed. Indeed, many of the so-called anti-novels are really metafictions.</w:t>
      </w:r>
      <w:r w:rsidRPr="00505CF0">
        <w:rPr>
          <w:rStyle w:val="FootnoteReference"/>
          <w:rFonts w:asciiTheme="majorBidi" w:hAnsiTheme="majorBidi" w:cstheme="majorBidi"/>
          <w:sz w:val="24"/>
          <w:szCs w:val="24"/>
        </w:rPr>
        <w:footnoteReference w:id="668"/>
      </w:r>
    </w:p>
    <w:p w14:paraId="04362279" w14:textId="77777777" w:rsidR="00C111D3" w:rsidRPr="00505CF0" w:rsidRDefault="00C111D3" w:rsidP="004C3EE0">
      <w:pPr>
        <w:ind w:left="737" w:right="737"/>
        <w:jc w:val="both"/>
        <w:rPr>
          <w:rFonts w:asciiTheme="majorBidi" w:hAnsiTheme="majorBidi" w:cstheme="majorBidi"/>
          <w:sz w:val="24"/>
          <w:szCs w:val="24"/>
        </w:rPr>
      </w:pPr>
    </w:p>
    <w:p w14:paraId="2BD54131" w14:textId="77777777" w:rsidR="00C111D3" w:rsidRPr="00505CF0" w:rsidRDefault="00C111D3" w:rsidP="004C3EE0">
      <w:pPr>
        <w:ind w:left="737" w:right="737"/>
        <w:jc w:val="both"/>
        <w:rPr>
          <w:rFonts w:asciiTheme="majorBidi" w:hAnsiTheme="majorBidi" w:cstheme="majorBidi"/>
          <w:sz w:val="24"/>
          <w:szCs w:val="24"/>
        </w:rPr>
      </w:pPr>
    </w:p>
    <w:p w14:paraId="2F32C859" w14:textId="4163BA28" w:rsidR="00C111D3" w:rsidRPr="00505CF0" w:rsidRDefault="00C111D3" w:rsidP="00111C5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In a staggering</w:t>
      </w:r>
      <w:r w:rsidR="00111C50">
        <w:rPr>
          <w:rFonts w:asciiTheme="majorBidi" w:hAnsiTheme="majorBidi" w:cstheme="majorBidi"/>
          <w:sz w:val="24"/>
          <w:szCs w:val="24"/>
        </w:rPr>
        <w:t>ly</w:t>
      </w:r>
      <w:r w:rsidRPr="00505CF0">
        <w:rPr>
          <w:rFonts w:asciiTheme="majorBidi" w:hAnsiTheme="majorBidi" w:cstheme="majorBidi"/>
          <w:sz w:val="24"/>
          <w:szCs w:val="24"/>
        </w:rPr>
        <w:t xml:space="preserve"> significant moment in the history of the mode, Gass coins the term metafiction, identifying it as the name for such fictions </w:t>
      </w:r>
      <w:r w:rsidR="00206AA2">
        <w:rPr>
          <w:rFonts w:asciiTheme="majorBidi" w:hAnsiTheme="majorBidi" w:cstheme="majorBidi"/>
          <w:sz w:val="24"/>
          <w:szCs w:val="24"/>
        </w:rPr>
        <w:t>in</w:t>
      </w:r>
      <w:r w:rsidRPr="00505CF0">
        <w:rPr>
          <w:rFonts w:asciiTheme="majorBidi" w:hAnsiTheme="majorBidi" w:cstheme="majorBidi"/>
          <w:sz w:val="24"/>
          <w:szCs w:val="24"/>
        </w:rPr>
        <w:t xml:space="preserve"> which forms of fiction directly impose upon other forms, which take the traditional structure of the novel as their content and subsequently subvert </w:t>
      </w:r>
      <w:r w:rsidR="00111C50">
        <w:rPr>
          <w:rFonts w:asciiTheme="majorBidi" w:hAnsiTheme="majorBidi" w:cstheme="majorBidi"/>
          <w:sz w:val="24"/>
          <w:szCs w:val="24"/>
        </w:rPr>
        <w:t>it</w:t>
      </w:r>
      <w:r w:rsidRPr="00505CF0">
        <w:rPr>
          <w:rFonts w:asciiTheme="majorBidi" w:hAnsiTheme="majorBidi" w:cstheme="majorBidi"/>
          <w:sz w:val="24"/>
          <w:szCs w:val="24"/>
        </w:rPr>
        <w:t>. Scholes, in the same year, deferred to Gass’</w:t>
      </w:r>
      <w:r w:rsidR="000D4694">
        <w:rPr>
          <w:rFonts w:asciiTheme="majorBidi" w:hAnsiTheme="majorBidi" w:cstheme="majorBidi"/>
          <w:sz w:val="24"/>
          <w:szCs w:val="24"/>
        </w:rPr>
        <w:t>s</w:t>
      </w:r>
      <w:r w:rsidRPr="00505CF0">
        <w:rPr>
          <w:rFonts w:asciiTheme="majorBidi" w:hAnsiTheme="majorBidi" w:cstheme="majorBidi"/>
          <w:sz w:val="24"/>
          <w:szCs w:val="24"/>
        </w:rPr>
        <w:t xml:space="preserve"> term, publishing an article further exploring metafictional techniques in the </w:t>
      </w:r>
      <w:proofErr w:type="gramStart"/>
      <w:r w:rsidRPr="00505CF0">
        <w:rPr>
          <w:rFonts w:asciiTheme="majorBidi" w:hAnsiTheme="majorBidi" w:cstheme="majorBidi"/>
          <w:sz w:val="24"/>
          <w:szCs w:val="24"/>
        </w:rPr>
        <w:t>Fall</w:t>
      </w:r>
      <w:proofErr w:type="gramEnd"/>
      <w:r w:rsidRPr="00505CF0">
        <w:rPr>
          <w:rFonts w:asciiTheme="majorBidi" w:hAnsiTheme="majorBidi" w:cstheme="majorBidi"/>
          <w:sz w:val="24"/>
          <w:szCs w:val="24"/>
        </w:rPr>
        <w:t xml:space="preserve"> issue of </w:t>
      </w:r>
      <w:r w:rsidRPr="00111C50">
        <w:rPr>
          <w:rFonts w:asciiTheme="majorBidi" w:hAnsiTheme="majorBidi" w:cstheme="majorBidi"/>
          <w:i/>
          <w:iCs/>
          <w:sz w:val="24"/>
          <w:szCs w:val="24"/>
        </w:rPr>
        <w:t>The Iowa Review</w:t>
      </w:r>
      <w:r w:rsidRPr="00505CF0">
        <w:rPr>
          <w:rFonts w:asciiTheme="majorBidi" w:hAnsiTheme="majorBidi" w:cstheme="majorBidi"/>
          <w:sz w:val="24"/>
          <w:szCs w:val="24"/>
        </w:rPr>
        <w:t xml:space="preserve"> and in which he outlines, once more, the dichotomy of formal vs ideological experimentation found within metafictional literature:</w:t>
      </w:r>
    </w:p>
    <w:p w14:paraId="4A3CC61D" w14:textId="77777777" w:rsidR="00C111D3" w:rsidRPr="00505CF0" w:rsidRDefault="00C111D3" w:rsidP="004C3EE0">
      <w:pPr>
        <w:ind w:left="737" w:right="737"/>
        <w:jc w:val="both"/>
        <w:rPr>
          <w:rFonts w:asciiTheme="majorBidi" w:hAnsiTheme="majorBidi" w:cstheme="majorBidi"/>
          <w:sz w:val="24"/>
          <w:szCs w:val="24"/>
        </w:rPr>
      </w:pPr>
    </w:p>
    <w:p w14:paraId="188920D4"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Barth and Barthelme are the chroniclers of our despair: despair over the exhausted forms of our thought and our existence. No wonder they laugh so much. Coover and Gass are reaching through form and behavior [sic] for some ultimate values, some true truth. No wonder they come on so strong. All four are working in that rarefied air of metafiction, trying to climb beyond Beckett and Borges, toward things that no critic – not even a metacritic, if there were such a thing – can discern.</w:t>
      </w:r>
      <w:r w:rsidRPr="00505CF0">
        <w:rPr>
          <w:rStyle w:val="FootnoteReference"/>
          <w:rFonts w:asciiTheme="majorBidi" w:hAnsiTheme="majorBidi" w:cstheme="majorBidi"/>
          <w:sz w:val="24"/>
          <w:szCs w:val="24"/>
        </w:rPr>
        <w:footnoteReference w:id="669"/>
      </w:r>
    </w:p>
    <w:p w14:paraId="5FBD13C5" w14:textId="77777777" w:rsidR="00C111D3" w:rsidRPr="00505CF0" w:rsidRDefault="00C111D3" w:rsidP="004C3EE0">
      <w:pPr>
        <w:spacing w:line="480" w:lineRule="auto"/>
        <w:jc w:val="both"/>
        <w:rPr>
          <w:rFonts w:asciiTheme="majorBidi" w:hAnsiTheme="majorBidi" w:cstheme="majorBidi"/>
          <w:sz w:val="24"/>
          <w:szCs w:val="24"/>
        </w:rPr>
      </w:pPr>
    </w:p>
    <w:p w14:paraId="73AC5397" w14:textId="7C829A95" w:rsidR="00C111D3" w:rsidRPr="00505CF0" w:rsidRDefault="00C111D3" w:rsidP="00111C5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The same year also saw Muriel Spark’s </w:t>
      </w:r>
      <w:r w:rsidRPr="00505CF0">
        <w:rPr>
          <w:rFonts w:asciiTheme="majorBidi" w:hAnsiTheme="majorBidi" w:cstheme="majorBidi"/>
          <w:i/>
          <w:iCs/>
          <w:sz w:val="24"/>
          <w:szCs w:val="24"/>
        </w:rPr>
        <w:t>The Driver’s Seat</w:t>
      </w:r>
      <w:r w:rsidR="00206AA2">
        <w:rPr>
          <w:rFonts w:asciiTheme="majorBidi" w:hAnsiTheme="majorBidi" w:cstheme="majorBidi"/>
          <w:i/>
          <w:iCs/>
          <w:sz w:val="24"/>
          <w:szCs w:val="24"/>
        </w:rPr>
        <w:t xml:space="preserve"> </w:t>
      </w:r>
      <w:r w:rsidR="00206AA2">
        <w:rPr>
          <w:rFonts w:asciiTheme="majorBidi" w:hAnsiTheme="majorBidi" w:cstheme="majorBidi"/>
          <w:iCs/>
          <w:sz w:val="24"/>
          <w:szCs w:val="24"/>
        </w:rPr>
        <w:t>published</w:t>
      </w:r>
      <w:r w:rsidR="00111C50">
        <w:rPr>
          <w:rFonts w:asciiTheme="majorBidi" w:hAnsiTheme="majorBidi" w:cstheme="majorBidi"/>
          <w:sz w:val="24"/>
          <w:szCs w:val="24"/>
        </w:rPr>
        <w:t>, a text which</w:t>
      </w:r>
      <w:r w:rsidRPr="00505CF0">
        <w:rPr>
          <w:rFonts w:asciiTheme="majorBidi" w:hAnsiTheme="majorBidi" w:cstheme="majorBidi"/>
          <w:sz w:val="24"/>
          <w:szCs w:val="24"/>
        </w:rPr>
        <w:t xml:space="preserve"> eschewed typical conventions of characterization and clarity of plot action, </w:t>
      </w:r>
      <w:r w:rsidR="00111C50">
        <w:rPr>
          <w:rFonts w:asciiTheme="majorBidi" w:hAnsiTheme="majorBidi" w:cstheme="majorBidi"/>
          <w:sz w:val="24"/>
          <w:szCs w:val="24"/>
        </w:rPr>
        <w:t>avoiding</w:t>
      </w:r>
      <w:r w:rsidRPr="00505CF0">
        <w:rPr>
          <w:rFonts w:asciiTheme="majorBidi" w:hAnsiTheme="majorBidi" w:cstheme="majorBidi"/>
          <w:sz w:val="24"/>
          <w:szCs w:val="24"/>
        </w:rPr>
        <w:t xml:space="preserve"> the traditions of the omniscient narrator </w:t>
      </w:r>
      <w:r w:rsidR="00111C50">
        <w:rPr>
          <w:rFonts w:asciiTheme="majorBidi" w:hAnsiTheme="majorBidi" w:cstheme="majorBidi"/>
          <w:sz w:val="24"/>
          <w:szCs w:val="24"/>
        </w:rPr>
        <w:t>as a means to provide</w:t>
      </w:r>
      <w:r w:rsidRPr="00505CF0">
        <w:rPr>
          <w:rFonts w:asciiTheme="majorBidi" w:hAnsiTheme="majorBidi" w:cstheme="majorBidi"/>
          <w:sz w:val="24"/>
          <w:szCs w:val="24"/>
        </w:rPr>
        <w:t xml:space="preserve"> insight into character motivation and problematized by the narratorial address to the reader: ‘Who knows her thoughts? Who can tell?’</w:t>
      </w:r>
      <w:r w:rsidRPr="00505CF0">
        <w:rPr>
          <w:rStyle w:val="FootnoteReference"/>
          <w:rFonts w:asciiTheme="majorBidi" w:hAnsiTheme="majorBidi" w:cstheme="majorBidi"/>
          <w:sz w:val="24"/>
          <w:szCs w:val="24"/>
        </w:rPr>
        <w:footnoteReference w:id="670"/>
      </w:r>
      <w:r w:rsidRPr="00505CF0">
        <w:rPr>
          <w:rFonts w:asciiTheme="majorBidi" w:hAnsiTheme="majorBidi" w:cstheme="majorBidi"/>
          <w:sz w:val="24"/>
          <w:szCs w:val="24"/>
        </w:rPr>
        <w:t xml:space="preserve"> John Gardner’s </w:t>
      </w:r>
      <w:r w:rsidRPr="00505CF0">
        <w:rPr>
          <w:rFonts w:asciiTheme="majorBidi" w:hAnsiTheme="majorBidi" w:cstheme="majorBidi"/>
          <w:i/>
          <w:iCs/>
          <w:sz w:val="24"/>
          <w:szCs w:val="24"/>
        </w:rPr>
        <w:t xml:space="preserve">Grendel </w:t>
      </w:r>
      <w:r w:rsidRPr="00505CF0">
        <w:rPr>
          <w:rFonts w:asciiTheme="majorBidi" w:hAnsiTheme="majorBidi" w:cstheme="majorBidi"/>
          <w:sz w:val="24"/>
          <w:szCs w:val="24"/>
        </w:rPr>
        <w:t>(1971) appears next, re-framing the narrative of Beowulf through the perspective of the initial epic’s antagonist – the titular Grendel. The text thus subverts narrative expectation, forcing the reader to confront their own</w:t>
      </w:r>
      <w:r w:rsidR="00206AA2">
        <w:rPr>
          <w:rFonts w:asciiTheme="majorBidi" w:hAnsiTheme="majorBidi" w:cstheme="majorBidi"/>
          <w:sz w:val="24"/>
          <w:szCs w:val="24"/>
        </w:rPr>
        <w:t xml:space="preserve"> narrative</w:t>
      </w:r>
      <w:r w:rsidRPr="00505CF0">
        <w:rPr>
          <w:rFonts w:asciiTheme="majorBidi" w:hAnsiTheme="majorBidi" w:cstheme="majorBidi"/>
          <w:sz w:val="24"/>
          <w:szCs w:val="24"/>
        </w:rPr>
        <w:t xml:space="preserve"> assumptions</w:t>
      </w:r>
      <w:proofErr w:type="gramStart"/>
      <w:r w:rsidR="00206AA2">
        <w:rPr>
          <w:rFonts w:asciiTheme="majorBidi" w:hAnsiTheme="majorBidi" w:cstheme="majorBidi"/>
          <w:sz w:val="24"/>
          <w:szCs w:val="24"/>
        </w:rPr>
        <w:t>,</w:t>
      </w:r>
      <w:r w:rsidRPr="00505CF0">
        <w:rPr>
          <w:rFonts w:asciiTheme="majorBidi" w:hAnsiTheme="majorBidi" w:cstheme="majorBidi"/>
          <w:sz w:val="24"/>
          <w:szCs w:val="24"/>
        </w:rPr>
        <w:t>specifically</w:t>
      </w:r>
      <w:proofErr w:type="gramEnd"/>
      <w:r w:rsidRPr="00505CF0">
        <w:rPr>
          <w:rFonts w:asciiTheme="majorBidi" w:hAnsiTheme="majorBidi" w:cstheme="majorBidi"/>
          <w:sz w:val="24"/>
          <w:szCs w:val="24"/>
        </w:rPr>
        <w:t xml:space="preserve"> how their judgement of textual characters is easily coloured by authorial representation and narrative manipulation. In 1973, another small flourishing of canonically significant texts occurs, with Pynchon’s </w:t>
      </w:r>
      <w:r w:rsidRPr="00505CF0">
        <w:rPr>
          <w:rFonts w:asciiTheme="majorBidi" w:hAnsiTheme="majorBidi" w:cstheme="majorBidi"/>
          <w:i/>
          <w:iCs/>
          <w:sz w:val="24"/>
          <w:szCs w:val="24"/>
        </w:rPr>
        <w:t>Gravity’s Rainbow</w:t>
      </w:r>
      <w:r w:rsidRPr="00505CF0">
        <w:rPr>
          <w:rFonts w:asciiTheme="majorBidi" w:hAnsiTheme="majorBidi" w:cstheme="majorBidi"/>
          <w:sz w:val="24"/>
          <w:szCs w:val="24"/>
        </w:rPr>
        <w:t xml:space="preserve"> and Vonnegut’s </w:t>
      </w:r>
      <w:r w:rsidRPr="00505CF0">
        <w:rPr>
          <w:rFonts w:asciiTheme="majorBidi" w:hAnsiTheme="majorBidi" w:cstheme="majorBidi"/>
          <w:i/>
          <w:iCs/>
          <w:sz w:val="24"/>
          <w:szCs w:val="24"/>
        </w:rPr>
        <w:t>Breakfast of Champions</w:t>
      </w:r>
      <w:r w:rsidRPr="00505CF0">
        <w:rPr>
          <w:rFonts w:asciiTheme="majorBidi" w:hAnsiTheme="majorBidi" w:cstheme="majorBidi"/>
          <w:sz w:val="24"/>
          <w:szCs w:val="24"/>
        </w:rPr>
        <w:t xml:space="preserve"> both seeing publication, alongside B.S Johnson’s </w:t>
      </w:r>
      <w:r w:rsidRPr="00505CF0">
        <w:rPr>
          <w:rFonts w:asciiTheme="majorBidi" w:hAnsiTheme="majorBidi" w:cstheme="majorBidi"/>
          <w:i/>
          <w:iCs/>
          <w:sz w:val="24"/>
          <w:szCs w:val="24"/>
        </w:rPr>
        <w:t>Christie Malry’s Own Double Entry</w:t>
      </w:r>
      <w:r w:rsidRPr="00505CF0">
        <w:rPr>
          <w:rFonts w:asciiTheme="majorBidi" w:hAnsiTheme="majorBidi" w:cstheme="majorBidi"/>
          <w:sz w:val="24"/>
          <w:szCs w:val="24"/>
        </w:rPr>
        <w:t xml:space="preserve">. </w:t>
      </w:r>
      <w:r w:rsidRPr="00505CF0">
        <w:rPr>
          <w:rFonts w:asciiTheme="majorBidi" w:hAnsiTheme="majorBidi" w:cstheme="majorBidi"/>
          <w:i/>
          <w:iCs/>
          <w:sz w:val="24"/>
          <w:szCs w:val="24"/>
        </w:rPr>
        <w:t>Gravity’s Rainbow</w:t>
      </w:r>
      <w:r w:rsidRPr="00505CF0">
        <w:rPr>
          <w:rFonts w:asciiTheme="majorBidi" w:hAnsiTheme="majorBidi" w:cstheme="majorBidi"/>
          <w:sz w:val="24"/>
          <w:szCs w:val="24"/>
        </w:rPr>
        <w:t xml:space="preserve"> is often </w:t>
      </w:r>
      <w:r w:rsidR="00111C50">
        <w:rPr>
          <w:rFonts w:asciiTheme="majorBidi" w:hAnsiTheme="majorBidi" w:cstheme="majorBidi"/>
          <w:sz w:val="24"/>
          <w:szCs w:val="24"/>
        </w:rPr>
        <w:t>describes</w:t>
      </w:r>
      <w:r w:rsidRPr="00505CF0">
        <w:rPr>
          <w:rFonts w:asciiTheme="majorBidi" w:hAnsiTheme="majorBidi" w:cstheme="majorBidi"/>
          <w:sz w:val="24"/>
          <w:szCs w:val="24"/>
        </w:rPr>
        <w:t xml:space="preserve"> as an example of historiographic metafiction, as it will later be titled, in which historical events are fictio</w:t>
      </w:r>
      <w:r w:rsidR="00111C50">
        <w:rPr>
          <w:rFonts w:asciiTheme="majorBidi" w:hAnsiTheme="majorBidi" w:cstheme="majorBidi"/>
          <w:sz w:val="24"/>
          <w:szCs w:val="24"/>
        </w:rPr>
        <w:t>nalised (and in doing so</w:t>
      </w:r>
      <w:r w:rsidRPr="00505CF0">
        <w:rPr>
          <w:rFonts w:asciiTheme="majorBidi" w:hAnsiTheme="majorBidi" w:cstheme="majorBidi"/>
          <w:sz w:val="24"/>
          <w:szCs w:val="24"/>
        </w:rPr>
        <w:t xml:space="preserve"> questions </w:t>
      </w:r>
      <w:r w:rsidR="00111C50">
        <w:rPr>
          <w:rFonts w:asciiTheme="majorBidi" w:hAnsiTheme="majorBidi" w:cstheme="majorBidi"/>
          <w:sz w:val="24"/>
          <w:szCs w:val="24"/>
        </w:rPr>
        <w:t xml:space="preserve">are raised </w:t>
      </w:r>
      <w:r w:rsidRPr="00505CF0">
        <w:rPr>
          <w:rFonts w:asciiTheme="majorBidi" w:hAnsiTheme="majorBidi" w:cstheme="majorBidi"/>
          <w:sz w:val="24"/>
          <w:szCs w:val="24"/>
        </w:rPr>
        <w:t xml:space="preserve">about the fictional nature of all historical accounts), while </w:t>
      </w:r>
      <w:r w:rsidRPr="00505CF0">
        <w:rPr>
          <w:rFonts w:asciiTheme="majorBidi" w:hAnsiTheme="majorBidi" w:cstheme="majorBidi"/>
          <w:i/>
          <w:iCs/>
          <w:sz w:val="24"/>
          <w:szCs w:val="24"/>
        </w:rPr>
        <w:t xml:space="preserve">Christie Malry </w:t>
      </w:r>
      <w:r w:rsidRPr="00505CF0">
        <w:rPr>
          <w:rFonts w:asciiTheme="majorBidi" w:hAnsiTheme="majorBidi" w:cstheme="majorBidi"/>
          <w:sz w:val="24"/>
          <w:szCs w:val="24"/>
        </w:rPr>
        <w:t>plays with textual presentation, experimenting with self-aware characters and the warped morality which literature may promote (Christie’s mother introduces herself to her son as mere</w:t>
      </w:r>
      <w:r w:rsidR="00111C50">
        <w:rPr>
          <w:rFonts w:asciiTheme="majorBidi" w:hAnsiTheme="majorBidi" w:cstheme="majorBidi"/>
          <w:sz w:val="24"/>
          <w:szCs w:val="24"/>
        </w:rPr>
        <w:t>ly a character, used to give a</w:t>
      </w:r>
      <w:r w:rsidRPr="00505CF0">
        <w:rPr>
          <w:rFonts w:asciiTheme="majorBidi" w:hAnsiTheme="majorBidi" w:cstheme="majorBidi"/>
          <w:sz w:val="24"/>
          <w:szCs w:val="24"/>
        </w:rPr>
        <w:t xml:space="preserve"> sympathetic background to Christie in order to assuaging his terrible acts later in the novel). </w:t>
      </w:r>
      <w:r w:rsidRPr="00505CF0">
        <w:rPr>
          <w:rFonts w:asciiTheme="majorBidi" w:hAnsiTheme="majorBidi" w:cstheme="majorBidi"/>
          <w:i/>
          <w:iCs/>
          <w:sz w:val="24"/>
          <w:szCs w:val="24"/>
        </w:rPr>
        <w:t>Breakfast of Champions</w:t>
      </w:r>
      <w:r w:rsidRPr="00505CF0">
        <w:rPr>
          <w:rFonts w:asciiTheme="majorBidi" w:hAnsiTheme="majorBidi" w:cstheme="majorBidi"/>
          <w:sz w:val="24"/>
          <w:szCs w:val="24"/>
        </w:rPr>
        <w:t xml:space="preserve"> is arguably Vonnegut’s masterpiece in terms of metafictional production, playing as it does with page presentation, self-aware characters, authorial inclusion and interaction, intertextual references to other of </w:t>
      </w:r>
      <w:r w:rsidR="00206AA2" w:rsidRPr="00505CF0">
        <w:rPr>
          <w:rFonts w:asciiTheme="majorBidi" w:hAnsiTheme="majorBidi" w:cstheme="majorBidi"/>
          <w:sz w:val="24"/>
          <w:szCs w:val="24"/>
        </w:rPr>
        <w:t>Vonnegut’s</w:t>
      </w:r>
      <w:r w:rsidRPr="00505CF0">
        <w:rPr>
          <w:rFonts w:asciiTheme="majorBidi" w:hAnsiTheme="majorBidi" w:cstheme="majorBidi"/>
          <w:sz w:val="24"/>
          <w:szCs w:val="24"/>
        </w:rPr>
        <w:t xml:space="preserve"> novels, and </w:t>
      </w:r>
      <w:r w:rsidR="00954127">
        <w:rPr>
          <w:rFonts w:asciiTheme="majorBidi" w:hAnsiTheme="majorBidi" w:cstheme="majorBidi"/>
          <w:sz w:val="24"/>
          <w:szCs w:val="24"/>
        </w:rPr>
        <w:t>repeated</w:t>
      </w:r>
      <w:r w:rsidRPr="00505CF0">
        <w:rPr>
          <w:rFonts w:asciiTheme="majorBidi" w:hAnsiTheme="majorBidi" w:cstheme="majorBidi"/>
          <w:sz w:val="24"/>
          <w:szCs w:val="24"/>
        </w:rPr>
        <w:t xml:space="preserve"> language </w:t>
      </w:r>
      <w:r w:rsidR="00954127">
        <w:rPr>
          <w:rFonts w:asciiTheme="majorBidi" w:hAnsiTheme="majorBidi" w:cstheme="majorBidi"/>
          <w:sz w:val="24"/>
          <w:szCs w:val="24"/>
        </w:rPr>
        <w:t>games</w:t>
      </w:r>
      <w:r w:rsidRPr="00505CF0">
        <w:rPr>
          <w:rFonts w:asciiTheme="majorBidi" w:hAnsiTheme="majorBidi" w:cstheme="majorBidi"/>
          <w:sz w:val="24"/>
          <w:szCs w:val="24"/>
        </w:rPr>
        <w:t xml:space="preserve"> to highlight the constructed nature of language and its application in literature. </w:t>
      </w:r>
    </w:p>
    <w:p w14:paraId="350FBEB1" w14:textId="39714835" w:rsidR="00C111D3" w:rsidRPr="00505CF0" w:rsidRDefault="00C111D3" w:rsidP="007347D7">
      <w:pPr>
        <w:spacing w:line="480" w:lineRule="auto"/>
        <w:jc w:val="both"/>
        <w:rPr>
          <w:rFonts w:asciiTheme="majorBidi" w:hAnsiTheme="majorBidi" w:cstheme="majorBidi"/>
          <w:color w:val="FF0000"/>
          <w:sz w:val="24"/>
          <w:szCs w:val="24"/>
        </w:rPr>
      </w:pPr>
      <w:r w:rsidRPr="00505CF0">
        <w:rPr>
          <w:rFonts w:asciiTheme="majorBidi" w:hAnsiTheme="majorBidi" w:cstheme="majorBidi"/>
          <w:sz w:val="24"/>
          <w:szCs w:val="24"/>
        </w:rPr>
        <w:tab/>
        <w:t xml:space="preserve">In the last year of the decade another canonical metafictional text emerged in the form of Italo Calvino’s 1979 </w:t>
      </w:r>
      <w:r w:rsidRPr="00505CF0">
        <w:rPr>
          <w:rFonts w:asciiTheme="majorBidi" w:hAnsiTheme="majorBidi" w:cstheme="majorBidi"/>
          <w:i/>
          <w:iCs/>
          <w:sz w:val="24"/>
          <w:szCs w:val="24"/>
        </w:rPr>
        <w:t xml:space="preserve">If </w:t>
      </w:r>
      <w:proofErr w:type="gramStart"/>
      <w:r w:rsidRPr="00505CF0">
        <w:rPr>
          <w:rFonts w:asciiTheme="majorBidi" w:hAnsiTheme="majorBidi" w:cstheme="majorBidi"/>
          <w:i/>
          <w:iCs/>
          <w:sz w:val="24"/>
          <w:szCs w:val="24"/>
        </w:rPr>
        <w:t>On A</w:t>
      </w:r>
      <w:proofErr w:type="gramEnd"/>
      <w:r w:rsidRPr="00505CF0">
        <w:rPr>
          <w:rFonts w:asciiTheme="majorBidi" w:hAnsiTheme="majorBidi" w:cstheme="majorBidi"/>
          <w:i/>
          <w:iCs/>
          <w:sz w:val="24"/>
          <w:szCs w:val="24"/>
        </w:rPr>
        <w:t xml:space="preserve"> Winter’s Night A Traveller</w:t>
      </w:r>
      <w:r w:rsidRPr="00505CF0">
        <w:rPr>
          <w:rFonts w:asciiTheme="majorBidi" w:hAnsiTheme="majorBidi" w:cstheme="majorBidi"/>
          <w:sz w:val="24"/>
          <w:szCs w:val="24"/>
        </w:rPr>
        <w:t xml:space="preserve">, a text which relishes in open-ended frames and analysing the reasons why a reader engages with literature at all. During the years between </w:t>
      </w:r>
      <w:r w:rsidRPr="00505CF0">
        <w:rPr>
          <w:rFonts w:asciiTheme="majorBidi" w:hAnsiTheme="majorBidi" w:cstheme="majorBidi"/>
          <w:i/>
          <w:iCs/>
          <w:sz w:val="24"/>
          <w:szCs w:val="24"/>
        </w:rPr>
        <w:t>Breakfast of Champions</w:t>
      </w:r>
      <w:r w:rsidRPr="00505CF0">
        <w:rPr>
          <w:rFonts w:asciiTheme="majorBidi" w:hAnsiTheme="majorBidi" w:cstheme="majorBidi"/>
          <w:sz w:val="24"/>
          <w:szCs w:val="24"/>
        </w:rPr>
        <w:t xml:space="preserve"> and this text, however, further significant studies of metafictional practice emerged: Robert Alter’s </w:t>
      </w:r>
      <w:r w:rsidRPr="00505CF0">
        <w:rPr>
          <w:rFonts w:asciiTheme="majorBidi" w:hAnsiTheme="majorBidi" w:cstheme="majorBidi"/>
          <w:i/>
          <w:iCs/>
          <w:sz w:val="24"/>
          <w:szCs w:val="24"/>
        </w:rPr>
        <w:t xml:space="preserve">Partial Magic </w:t>
      </w:r>
      <w:r w:rsidRPr="00505CF0">
        <w:rPr>
          <w:rFonts w:asciiTheme="majorBidi" w:hAnsiTheme="majorBidi" w:cstheme="majorBidi"/>
          <w:sz w:val="24"/>
          <w:szCs w:val="24"/>
        </w:rPr>
        <w:t xml:space="preserve">(1975) and Larry McCaffery’s </w:t>
      </w:r>
      <w:r w:rsidRPr="00505CF0">
        <w:rPr>
          <w:rFonts w:asciiTheme="majorBidi" w:hAnsiTheme="majorBidi" w:cstheme="majorBidi"/>
          <w:i/>
          <w:iCs/>
          <w:sz w:val="24"/>
          <w:szCs w:val="24"/>
        </w:rPr>
        <w:t xml:space="preserve">The Art of Metafiction </w:t>
      </w:r>
      <w:r w:rsidRPr="00505CF0">
        <w:rPr>
          <w:rFonts w:asciiTheme="majorBidi" w:hAnsiTheme="majorBidi" w:cstheme="majorBidi"/>
          <w:sz w:val="24"/>
          <w:szCs w:val="24"/>
        </w:rPr>
        <w:t>(1976). Robert Alter, first then, misses the coining of the metafictional term, instead referring to texts which are definitively metafictional in nature as ‘self-conscious’ novels throughout.</w:t>
      </w:r>
      <w:r w:rsidRPr="00505CF0">
        <w:rPr>
          <w:rStyle w:val="FootnoteReference"/>
          <w:rFonts w:asciiTheme="majorBidi" w:hAnsiTheme="majorBidi" w:cstheme="majorBidi"/>
          <w:sz w:val="24"/>
          <w:szCs w:val="24"/>
        </w:rPr>
        <w:footnoteReference w:id="671"/>
      </w:r>
      <w:r w:rsidRPr="00505CF0">
        <w:rPr>
          <w:rFonts w:asciiTheme="majorBidi" w:hAnsiTheme="majorBidi" w:cstheme="majorBidi"/>
          <w:sz w:val="24"/>
          <w:szCs w:val="24"/>
        </w:rPr>
        <w:t xml:space="preserve"> The work, though, does contribute significantly to the field despite this </w:t>
      </w:r>
      <w:r w:rsidR="007347D7">
        <w:rPr>
          <w:rFonts w:asciiTheme="majorBidi" w:hAnsiTheme="majorBidi" w:cstheme="majorBidi"/>
          <w:sz w:val="24"/>
          <w:szCs w:val="24"/>
        </w:rPr>
        <w:t>terminology</w:t>
      </w:r>
      <w:r w:rsidRPr="00505CF0">
        <w:rPr>
          <w:rFonts w:asciiTheme="majorBidi" w:hAnsiTheme="majorBidi" w:cstheme="majorBidi"/>
          <w:sz w:val="24"/>
          <w:szCs w:val="24"/>
        </w:rPr>
        <w:t>, examining the way in which self-conscious novels ‘flaunt 'naive' narrative devices, rescuing their usability by exposing their contrivance, working them into a highly patterned narration which reminds us that all representations of reality are, necessarily, stylizations.’</w:t>
      </w:r>
      <w:r w:rsidRPr="00505CF0">
        <w:rPr>
          <w:rStyle w:val="FootnoteReference"/>
          <w:rFonts w:asciiTheme="majorBidi" w:hAnsiTheme="majorBidi" w:cstheme="majorBidi"/>
          <w:sz w:val="24"/>
          <w:szCs w:val="24"/>
        </w:rPr>
        <w:footnoteReference w:id="672"/>
      </w:r>
      <w:r w:rsidRPr="00505CF0">
        <w:rPr>
          <w:rFonts w:asciiTheme="majorBidi" w:hAnsiTheme="majorBidi" w:cstheme="majorBidi"/>
          <w:sz w:val="24"/>
          <w:szCs w:val="24"/>
        </w:rPr>
        <w:t xml:space="preserve"> Alter draws the metafictional into categories beyond the fictional, suggesting that such experimentations move outward ‘to the society that supplies the materials for literary representation and that tries to dictate literary convention,’</w:t>
      </w:r>
      <w:r w:rsidRPr="00505CF0">
        <w:rPr>
          <w:rStyle w:val="FootnoteReference"/>
          <w:rFonts w:asciiTheme="majorBidi" w:hAnsiTheme="majorBidi" w:cstheme="majorBidi"/>
          <w:sz w:val="24"/>
          <w:szCs w:val="24"/>
        </w:rPr>
        <w:footnoteReference w:id="673"/>
      </w:r>
      <w:r w:rsidRPr="00505CF0">
        <w:rPr>
          <w:rFonts w:asciiTheme="majorBidi" w:hAnsiTheme="majorBidi" w:cstheme="majorBidi"/>
          <w:sz w:val="24"/>
          <w:szCs w:val="24"/>
        </w:rPr>
        <w:t xml:space="preserve"> significantly linking metafiction not just with literary, but societal commentary on the underlying </w:t>
      </w:r>
      <w:r w:rsidR="007347D7">
        <w:rPr>
          <w:rFonts w:asciiTheme="majorBidi" w:hAnsiTheme="majorBidi" w:cstheme="majorBidi"/>
          <w:sz w:val="24"/>
          <w:szCs w:val="24"/>
        </w:rPr>
        <w:t>shape</w:t>
      </w:r>
      <w:r w:rsidRPr="00505CF0">
        <w:rPr>
          <w:rFonts w:asciiTheme="majorBidi" w:hAnsiTheme="majorBidi" w:cstheme="majorBidi"/>
          <w:sz w:val="24"/>
          <w:szCs w:val="24"/>
        </w:rPr>
        <w:t xml:space="preserve"> of pattern organisation itself, alongside raising critiques on the nature of art.</w:t>
      </w:r>
      <w:r w:rsidRPr="00505CF0">
        <w:rPr>
          <w:rStyle w:val="FootnoteReference"/>
          <w:rFonts w:asciiTheme="majorBidi" w:hAnsiTheme="majorBidi" w:cstheme="majorBidi"/>
          <w:sz w:val="24"/>
          <w:szCs w:val="24"/>
        </w:rPr>
        <w:footnoteReference w:id="674"/>
      </w:r>
      <w:r w:rsidRPr="00505CF0">
        <w:rPr>
          <w:rFonts w:asciiTheme="majorBidi" w:hAnsiTheme="majorBidi" w:cstheme="majorBidi"/>
          <w:sz w:val="24"/>
          <w:szCs w:val="24"/>
        </w:rPr>
        <w:t xml:space="preserve"> McCaffery’s examination specifically attempts to distance the metafictional from the anti-novel form, despite the fact that the former often resemble ‘anti-novels of the past, for example, in</w:t>
      </w:r>
      <w:r w:rsidR="00954127">
        <w:rPr>
          <w:rFonts w:asciiTheme="majorBidi" w:hAnsiTheme="majorBidi" w:cstheme="majorBidi"/>
          <w:sz w:val="24"/>
          <w:szCs w:val="24"/>
        </w:rPr>
        <w:t xml:space="preserve"> </w:t>
      </w:r>
      <w:r w:rsidRPr="00505CF0">
        <w:rPr>
          <w:rFonts w:asciiTheme="majorBidi" w:hAnsiTheme="majorBidi" w:cstheme="majorBidi"/>
          <w:sz w:val="24"/>
          <w:szCs w:val="24"/>
        </w:rPr>
        <w:t>tending to appear unconventional and experimentation</w:t>
      </w:r>
      <w:r w:rsidR="00954127">
        <w:rPr>
          <w:rFonts w:asciiTheme="majorBidi" w:hAnsiTheme="majorBidi" w:cstheme="majorBidi"/>
          <w:sz w:val="24"/>
          <w:szCs w:val="24"/>
        </w:rPr>
        <w:t>.</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675"/>
      </w:r>
      <w:r w:rsidRPr="00505CF0">
        <w:rPr>
          <w:rFonts w:asciiTheme="majorBidi" w:hAnsiTheme="majorBidi" w:cstheme="majorBidi"/>
          <w:sz w:val="24"/>
          <w:szCs w:val="24"/>
        </w:rPr>
        <w:t xml:space="preserve"> </w:t>
      </w:r>
      <w:r w:rsidR="00954127">
        <w:rPr>
          <w:rFonts w:asciiTheme="majorBidi" w:hAnsiTheme="majorBidi" w:cstheme="majorBidi"/>
          <w:sz w:val="24"/>
          <w:szCs w:val="24"/>
        </w:rPr>
        <w:t>McCaffery subsequently also asserts</w:t>
      </w:r>
      <w:r w:rsidRPr="00505CF0">
        <w:rPr>
          <w:rFonts w:asciiTheme="majorBidi" w:hAnsiTheme="majorBidi" w:cstheme="majorBidi"/>
          <w:sz w:val="24"/>
          <w:szCs w:val="24"/>
        </w:rPr>
        <w:t xml:space="preserve"> that it is through metafiction’s specific relationship with foregrounding the processes of fictional creation itself </w:t>
      </w:r>
      <w:r w:rsidR="00954127">
        <w:rPr>
          <w:rFonts w:asciiTheme="majorBidi" w:hAnsiTheme="majorBidi" w:cstheme="majorBidi"/>
          <w:sz w:val="24"/>
          <w:szCs w:val="24"/>
        </w:rPr>
        <w:t xml:space="preserve">that the form is </w:t>
      </w:r>
      <w:r w:rsidRPr="00505CF0">
        <w:rPr>
          <w:rFonts w:asciiTheme="majorBidi" w:hAnsiTheme="majorBidi" w:cstheme="majorBidi"/>
          <w:sz w:val="24"/>
          <w:szCs w:val="24"/>
        </w:rPr>
        <w:t>elevate</w:t>
      </w:r>
      <w:r w:rsidR="00954127">
        <w:rPr>
          <w:rFonts w:asciiTheme="majorBidi" w:hAnsiTheme="majorBidi" w:cstheme="majorBidi"/>
          <w:sz w:val="24"/>
          <w:szCs w:val="24"/>
        </w:rPr>
        <w:t>d</w:t>
      </w:r>
      <w:r w:rsidRPr="00505CF0">
        <w:rPr>
          <w:rFonts w:asciiTheme="majorBidi" w:hAnsiTheme="majorBidi" w:cstheme="majorBidi"/>
          <w:sz w:val="24"/>
          <w:szCs w:val="24"/>
        </w:rPr>
        <w:t xml:space="preserve"> beyond the anti-novel, and which prove</w:t>
      </w:r>
      <w:r w:rsidR="009D67A9">
        <w:rPr>
          <w:rFonts w:asciiTheme="majorBidi" w:hAnsiTheme="majorBidi" w:cstheme="majorBidi"/>
          <w:sz w:val="24"/>
          <w:szCs w:val="24"/>
        </w:rPr>
        <w:t>s</w:t>
      </w:r>
      <w:r w:rsidRPr="00505CF0">
        <w:rPr>
          <w:rFonts w:asciiTheme="majorBidi" w:hAnsiTheme="majorBidi" w:cstheme="majorBidi"/>
          <w:sz w:val="24"/>
          <w:szCs w:val="24"/>
        </w:rPr>
        <w:t xml:space="preserve"> the form worthy of academic discussion. </w:t>
      </w:r>
    </w:p>
    <w:p w14:paraId="38136970" w14:textId="10C70127"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At the dawn of the 1980s, alongside Umberto Eco’s detective-genre bending and intertextually dense metafictional debut </w:t>
      </w:r>
      <w:r w:rsidRPr="00505CF0">
        <w:rPr>
          <w:rFonts w:asciiTheme="majorBidi" w:hAnsiTheme="majorBidi" w:cstheme="majorBidi"/>
          <w:i/>
          <w:sz w:val="24"/>
          <w:szCs w:val="24"/>
        </w:rPr>
        <w:t xml:space="preserve">The Name of the Rose, </w:t>
      </w:r>
      <w:r w:rsidRPr="00505CF0">
        <w:rPr>
          <w:rFonts w:asciiTheme="majorBidi" w:hAnsiTheme="majorBidi" w:cstheme="majorBidi"/>
          <w:sz w:val="24"/>
          <w:szCs w:val="24"/>
        </w:rPr>
        <w:t xml:space="preserve">and a </w:t>
      </w:r>
      <w:r w:rsidR="009D67A9">
        <w:rPr>
          <w:rFonts w:asciiTheme="majorBidi" w:hAnsiTheme="majorBidi" w:cstheme="majorBidi"/>
          <w:sz w:val="24"/>
          <w:szCs w:val="24"/>
        </w:rPr>
        <w:t>year before Donald Barthelme’s short-story-</w:t>
      </w:r>
      <w:r w:rsidRPr="00505CF0">
        <w:rPr>
          <w:rFonts w:asciiTheme="majorBidi" w:hAnsiTheme="majorBidi" w:cstheme="majorBidi"/>
          <w:sz w:val="24"/>
          <w:szCs w:val="24"/>
        </w:rPr>
        <w:t xml:space="preserve">form and grammar subverting </w:t>
      </w:r>
      <w:r w:rsidRPr="00505CF0">
        <w:rPr>
          <w:rFonts w:asciiTheme="majorBidi" w:hAnsiTheme="majorBidi" w:cstheme="majorBidi"/>
          <w:i/>
          <w:sz w:val="24"/>
          <w:szCs w:val="24"/>
        </w:rPr>
        <w:t xml:space="preserve">Sixty Stories </w:t>
      </w:r>
      <w:r w:rsidRPr="00505CF0">
        <w:rPr>
          <w:rFonts w:asciiTheme="majorBidi" w:hAnsiTheme="majorBidi" w:cstheme="majorBidi"/>
          <w:sz w:val="24"/>
          <w:szCs w:val="24"/>
        </w:rPr>
        <w:t>(1981)</w:t>
      </w:r>
      <w:r w:rsidRPr="00505CF0">
        <w:rPr>
          <w:rFonts w:asciiTheme="majorBidi" w:hAnsiTheme="majorBidi" w:cstheme="majorBidi"/>
          <w:i/>
          <w:sz w:val="24"/>
          <w:szCs w:val="24"/>
        </w:rPr>
        <w:t xml:space="preserve">, </w:t>
      </w:r>
      <w:r w:rsidRPr="00505CF0">
        <w:rPr>
          <w:rFonts w:asciiTheme="majorBidi" w:hAnsiTheme="majorBidi" w:cstheme="majorBidi"/>
          <w:sz w:val="24"/>
          <w:szCs w:val="24"/>
        </w:rPr>
        <w:t xml:space="preserve">the first full-length analyses of the metafictional impulse arrived in the form of Linda Hutcheon’s </w:t>
      </w:r>
      <w:r w:rsidRPr="00505CF0">
        <w:rPr>
          <w:rFonts w:asciiTheme="majorBidi" w:hAnsiTheme="majorBidi" w:cstheme="majorBidi"/>
          <w:i/>
          <w:iCs/>
          <w:sz w:val="24"/>
          <w:szCs w:val="24"/>
        </w:rPr>
        <w:t>Narcissistic Narrative</w:t>
      </w:r>
      <w:r w:rsidRPr="00505CF0">
        <w:rPr>
          <w:rFonts w:asciiTheme="majorBidi" w:hAnsiTheme="majorBidi" w:cstheme="majorBidi"/>
          <w:sz w:val="24"/>
          <w:szCs w:val="24"/>
        </w:rPr>
        <w:t>, an exploration which tackles the problem raised by metafiction’s seeming ability to pre-empt the critic</w:t>
      </w:r>
      <w:r w:rsidR="009D67A9">
        <w:rPr>
          <w:rFonts w:asciiTheme="majorBidi" w:hAnsiTheme="majorBidi" w:cstheme="majorBidi"/>
          <w:sz w:val="24"/>
          <w:szCs w:val="24"/>
        </w:rPr>
        <w:t>’</w:t>
      </w:r>
      <w:r w:rsidRPr="00505CF0">
        <w:rPr>
          <w:rFonts w:asciiTheme="majorBidi" w:hAnsiTheme="majorBidi" w:cstheme="majorBidi"/>
          <w:sz w:val="24"/>
          <w:szCs w:val="24"/>
        </w:rPr>
        <w:t>s role as commentator.</w:t>
      </w:r>
      <w:r w:rsidRPr="00505CF0">
        <w:rPr>
          <w:rStyle w:val="FootnoteReference"/>
          <w:rFonts w:asciiTheme="majorBidi" w:hAnsiTheme="majorBidi" w:cstheme="majorBidi"/>
          <w:sz w:val="24"/>
          <w:szCs w:val="24"/>
        </w:rPr>
        <w:footnoteReference w:id="676"/>
      </w:r>
      <w:r w:rsidRPr="00505CF0">
        <w:rPr>
          <w:rFonts w:asciiTheme="majorBidi" w:hAnsiTheme="majorBidi" w:cstheme="majorBidi"/>
          <w:sz w:val="24"/>
          <w:szCs w:val="24"/>
        </w:rPr>
        <w:t xml:space="preserve"> </w:t>
      </w:r>
      <w:r w:rsidR="009D67A9">
        <w:rPr>
          <w:rFonts w:asciiTheme="majorBidi" w:hAnsiTheme="majorBidi" w:cstheme="majorBidi"/>
          <w:sz w:val="24"/>
          <w:szCs w:val="24"/>
        </w:rPr>
        <w:t xml:space="preserve"> H</w:t>
      </w:r>
      <w:r w:rsidRPr="00505CF0">
        <w:rPr>
          <w:rFonts w:asciiTheme="majorBidi" w:hAnsiTheme="majorBidi" w:cstheme="majorBidi"/>
          <w:sz w:val="24"/>
          <w:szCs w:val="24"/>
        </w:rPr>
        <w:t xml:space="preserve">utcheon’s analysis foregrounds the </w:t>
      </w:r>
      <w:r w:rsidR="009D67A9">
        <w:rPr>
          <w:rFonts w:asciiTheme="majorBidi" w:hAnsiTheme="majorBidi" w:cstheme="majorBidi"/>
          <w:sz w:val="24"/>
          <w:szCs w:val="24"/>
        </w:rPr>
        <w:t>inextricable link</w:t>
      </w:r>
      <w:r w:rsidRPr="00505CF0">
        <w:rPr>
          <w:rFonts w:asciiTheme="majorBidi" w:hAnsiTheme="majorBidi" w:cstheme="majorBidi"/>
          <w:sz w:val="24"/>
          <w:szCs w:val="24"/>
        </w:rPr>
        <w:t xml:space="preserve"> between the postmodern moment </w:t>
      </w:r>
      <w:r w:rsidR="009D67A9">
        <w:rPr>
          <w:rFonts w:asciiTheme="majorBidi" w:hAnsiTheme="majorBidi" w:cstheme="majorBidi"/>
          <w:sz w:val="24"/>
          <w:szCs w:val="24"/>
        </w:rPr>
        <w:t xml:space="preserve">and </w:t>
      </w:r>
      <w:r w:rsidRPr="00505CF0">
        <w:rPr>
          <w:rFonts w:asciiTheme="majorBidi" w:hAnsiTheme="majorBidi" w:cstheme="majorBidi"/>
          <w:sz w:val="24"/>
          <w:szCs w:val="24"/>
        </w:rPr>
        <w:t>metafiction</w:t>
      </w:r>
      <w:r w:rsidR="009D67A9">
        <w:rPr>
          <w:rFonts w:asciiTheme="majorBidi" w:hAnsiTheme="majorBidi" w:cstheme="majorBidi"/>
          <w:sz w:val="24"/>
          <w:szCs w:val="24"/>
        </w:rPr>
        <w:t xml:space="preserve">, </w:t>
      </w:r>
      <w:r w:rsidRPr="00505CF0">
        <w:rPr>
          <w:rFonts w:asciiTheme="majorBidi" w:hAnsiTheme="majorBidi" w:cstheme="majorBidi"/>
          <w:sz w:val="24"/>
          <w:szCs w:val="24"/>
        </w:rPr>
        <w:t>stating that metafiction is most frequently ‘recognised as a manifestation of postmodernism,’</w:t>
      </w:r>
      <w:r w:rsidRPr="00505CF0">
        <w:rPr>
          <w:rStyle w:val="FootnoteReference"/>
          <w:rFonts w:asciiTheme="majorBidi" w:hAnsiTheme="majorBidi" w:cstheme="majorBidi"/>
          <w:sz w:val="24"/>
          <w:szCs w:val="24"/>
        </w:rPr>
        <w:footnoteReference w:id="677"/>
      </w:r>
      <w:r w:rsidRPr="00505CF0">
        <w:rPr>
          <w:rFonts w:asciiTheme="majorBidi" w:hAnsiTheme="majorBidi" w:cstheme="majorBidi"/>
          <w:sz w:val="24"/>
          <w:szCs w:val="24"/>
        </w:rPr>
        <w:t xml:space="preserve"> while also proposing that no over-arching theory of metafiction is possible: ‘there can be no "theory" of metafiction, only "implications" for theory; each self-informing work internalizes its own critical context. To ignore that is to falsify the text itself.’</w:t>
      </w:r>
      <w:r w:rsidRPr="00505CF0">
        <w:rPr>
          <w:rStyle w:val="FootnoteReference"/>
          <w:rFonts w:asciiTheme="majorBidi" w:hAnsiTheme="majorBidi" w:cstheme="majorBidi"/>
          <w:sz w:val="24"/>
          <w:szCs w:val="24"/>
        </w:rPr>
        <w:footnoteReference w:id="678"/>
      </w:r>
      <w:r w:rsidRPr="00505CF0">
        <w:rPr>
          <w:rFonts w:asciiTheme="majorBidi" w:hAnsiTheme="majorBidi" w:cstheme="majorBidi"/>
          <w:sz w:val="24"/>
          <w:szCs w:val="24"/>
        </w:rPr>
        <w:t xml:space="preserve"> The metafictional paradox of the title, too, ties into the by now recurrent thematic dichotomy of formal vs emotional experimentation, suggesting that the two are less in opposition, than parts of the same goal:</w:t>
      </w:r>
    </w:p>
    <w:p w14:paraId="5BC0BF0F" w14:textId="77777777" w:rsidR="00C111D3" w:rsidRPr="00505CF0" w:rsidRDefault="00C111D3" w:rsidP="004C3EE0">
      <w:pPr>
        <w:ind w:left="737" w:right="737"/>
        <w:jc w:val="both"/>
        <w:rPr>
          <w:rFonts w:asciiTheme="majorBidi" w:hAnsiTheme="majorBidi" w:cstheme="majorBidi"/>
          <w:sz w:val="24"/>
          <w:szCs w:val="24"/>
        </w:rPr>
      </w:pPr>
    </w:p>
    <w:p w14:paraId="0C6E8655"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Self-conscious fiction tries actively to </w:t>
      </w:r>
      <w:r w:rsidRPr="00505CF0">
        <w:rPr>
          <w:rFonts w:asciiTheme="majorBidi" w:hAnsiTheme="majorBidi" w:cstheme="majorBidi"/>
          <w:i/>
          <w:iCs/>
          <w:sz w:val="24"/>
          <w:szCs w:val="24"/>
        </w:rPr>
        <w:t>prevent</w:t>
      </w:r>
      <w:r w:rsidRPr="00505CF0">
        <w:rPr>
          <w:rFonts w:asciiTheme="majorBidi" w:hAnsiTheme="majorBidi" w:cstheme="majorBidi"/>
          <w:sz w:val="24"/>
          <w:szCs w:val="24"/>
        </w:rPr>
        <w:t xml:space="preserve"> even a temporary abandoning of human experiential responses, while also trying, it is true, simultaneously to lure the reader into an overtly fictive universe.</w:t>
      </w:r>
      <w:r w:rsidRPr="00505CF0">
        <w:rPr>
          <w:rStyle w:val="FootnoteReference"/>
          <w:rFonts w:asciiTheme="majorBidi" w:hAnsiTheme="majorBidi" w:cstheme="majorBidi"/>
          <w:sz w:val="24"/>
          <w:szCs w:val="24"/>
        </w:rPr>
        <w:footnoteReference w:id="679"/>
      </w:r>
    </w:p>
    <w:p w14:paraId="0724233B" w14:textId="77777777" w:rsidR="00C111D3" w:rsidRPr="00505CF0" w:rsidRDefault="00C111D3" w:rsidP="004C3EE0">
      <w:pPr>
        <w:spacing w:line="480" w:lineRule="auto"/>
        <w:jc w:val="both"/>
        <w:rPr>
          <w:rFonts w:asciiTheme="majorBidi" w:hAnsiTheme="majorBidi" w:cstheme="majorBidi"/>
          <w:sz w:val="24"/>
          <w:szCs w:val="24"/>
        </w:rPr>
      </w:pPr>
    </w:p>
    <w:p w14:paraId="10683254" w14:textId="5455B273"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The paradox of the metafiction</w:t>
      </w:r>
      <w:r w:rsidR="009D67A9">
        <w:rPr>
          <w:rFonts w:asciiTheme="majorBidi" w:hAnsiTheme="majorBidi" w:cstheme="majorBidi"/>
          <w:sz w:val="24"/>
          <w:szCs w:val="24"/>
        </w:rPr>
        <w:t>al</w:t>
      </w:r>
      <w:r w:rsidRPr="00505CF0">
        <w:rPr>
          <w:rFonts w:asciiTheme="majorBidi" w:hAnsiTheme="majorBidi" w:cstheme="majorBidi"/>
          <w:sz w:val="24"/>
          <w:szCs w:val="24"/>
        </w:rPr>
        <w:t xml:space="preserve"> is outlined here as the desire to repel the reader from the fictional conventions of the novel form, while simultaneously attempting to avoid alienation from emotional reactions and experiences of the text, a paradox one can easily identify as at </w:t>
      </w:r>
      <w:r w:rsidR="00954127">
        <w:rPr>
          <w:rFonts w:asciiTheme="majorBidi" w:hAnsiTheme="majorBidi" w:cstheme="majorBidi"/>
          <w:sz w:val="24"/>
          <w:szCs w:val="24"/>
        </w:rPr>
        <w:t>work</w:t>
      </w:r>
      <w:r w:rsidRPr="00505CF0">
        <w:rPr>
          <w:rFonts w:asciiTheme="majorBidi" w:hAnsiTheme="majorBidi" w:cstheme="majorBidi"/>
          <w:sz w:val="24"/>
          <w:szCs w:val="24"/>
        </w:rPr>
        <w:t xml:space="preserve"> in </w:t>
      </w:r>
      <w:r w:rsidRPr="00505CF0">
        <w:rPr>
          <w:rFonts w:asciiTheme="majorBidi" w:hAnsiTheme="majorBidi" w:cstheme="majorBidi"/>
          <w:i/>
          <w:iCs/>
          <w:sz w:val="24"/>
          <w:szCs w:val="24"/>
        </w:rPr>
        <w:t xml:space="preserve">Willie Masters’ Lonesome Wife. </w:t>
      </w:r>
      <w:r w:rsidRPr="00505CF0">
        <w:rPr>
          <w:rFonts w:asciiTheme="majorBidi" w:hAnsiTheme="majorBidi" w:cstheme="majorBidi"/>
          <w:sz w:val="24"/>
          <w:szCs w:val="24"/>
        </w:rPr>
        <w:t>Hutcheon’s work defends metafictional practices against the cri</w:t>
      </w:r>
      <w:r w:rsidR="009D67A9">
        <w:rPr>
          <w:rFonts w:asciiTheme="majorBidi" w:hAnsiTheme="majorBidi" w:cstheme="majorBidi"/>
          <w:sz w:val="24"/>
          <w:szCs w:val="24"/>
        </w:rPr>
        <w:t xml:space="preserve">tical claims that metafiction </w:t>
      </w:r>
      <w:r w:rsidRPr="00505CF0">
        <w:rPr>
          <w:rFonts w:asciiTheme="majorBidi" w:hAnsiTheme="majorBidi" w:cstheme="majorBidi"/>
          <w:sz w:val="24"/>
          <w:szCs w:val="24"/>
        </w:rPr>
        <w:t>marks the end of the novel form, suggesting that such claims are premature in their assumptions that the novel has somehow died giving birth to metafiction, or expired while staring into its own reflection.</w:t>
      </w:r>
      <w:r w:rsidRPr="00505CF0">
        <w:rPr>
          <w:rStyle w:val="FootnoteReference"/>
          <w:rFonts w:asciiTheme="majorBidi" w:hAnsiTheme="majorBidi" w:cstheme="majorBidi"/>
          <w:sz w:val="24"/>
          <w:szCs w:val="24"/>
        </w:rPr>
        <w:footnoteReference w:id="680"/>
      </w:r>
      <w:r w:rsidRPr="00505CF0">
        <w:rPr>
          <w:rFonts w:asciiTheme="majorBidi" w:hAnsiTheme="majorBidi" w:cstheme="majorBidi"/>
          <w:sz w:val="24"/>
          <w:szCs w:val="24"/>
        </w:rPr>
        <w:t xml:space="preserve"> Instead, as Hutcheon asserts, self-reflexive fiction acts more as a saviour for the novel, echoing Barth’s sentiments that the literature that deals with the exhaustion of forms aids in the fight against the stagnation of formulations:</w:t>
      </w:r>
      <w:r w:rsidRPr="00505CF0">
        <w:rPr>
          <w:rStyle w:val="FootnoteReference"/>
          <w:rFonts w:asciiTheme="majorBidi" w:hAnsiTheme="majorBidi" w:cstheme="majorBidi"/>
          <w:sz w:val="24"/>
          <w:szCs w:val="24"/>
        </w:rPr>
        <w:footnoteReference w:id="681"/>
      </w:r>
    </w:p>
    <w:p w14:paraId="085F7438" w14:textId="77777777" w:rsidR="00C111D3" w:rsidRPr="00505CF0" w:rsidRDefault="00C111D3" w:rsidP="004C3EE0">
      <w:pPr>
        <w:ind w:left="737" w:right="737"/>
        <w:jc w:val="both"/>
        <w:rPr>
          <w:rFonts w:asciiTheme="majorBidi" w:hAnsiTheme="majorBidi" w:cstheme="majorBidi"/>
          <w:sz w:val="24"/>
          <w:szCs w:val="24"/>
        </w:rPr>
      </w:pPr>
    </w:p>
    <w:p w14:paraId="50FA488E"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Modern metafiction which thematizes its own fiction-making processes signals a contesting of "realism"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"realism" based on narrow product mimesis alone.</w:t>
      </w:r>
      <w:r w:rsidRPr="00505CF0">
        <w:rPr>
          <w:rStyle w:val="FootnoteReference"/>
          <w:rFonts w:asciiTheme="majorBidi" w:hAnsiTheme="majorBidi" w:cstheme="majorBidi"/>
          <w:sz w:val="24"/>
          <w:szCs w:val="24"/>
        </w:rPr>
        <w:footnoteReference w:id="682"/>
      </w:r>
    </w:p>
    <w:p w14:paraId="2CBE62FA" w14:textId="77777777" w:rsidR="00C111D3" w:rsidRPr="00505CF0" w:rsidRDefault="00C111D3" w:rsidP="004C3EE0">
      <w:pPr>
        <w:ind w:left="737" w:right="737"/>
        <w:jc w:val="both"/>
        <w:rPr>
          <w:rFonts w:asciiTheme="majorBidi" w:hAnsiTheme="majorBidi" w:cstheme="majorBidi"/>
          <w:sz w:val="24"/>
          <w:szCs w:val="24"/>
        </w:rPr>
      </w:pPr>
    </w:p>
    <w:p w14:paraId="1EE7E02C" w14:textId="77777777" w:rsidR="00C111D3" w:rsidRPr="00505CF0" w:rsidRDefault="00C111D3" w:rsidP="004C3EE0">
      <w:pPr>
        <w:ind w:left="737" w:right="737"/>
        <w:jc w:val="both"/>
        <w:rPr>
          <w:rFonts w:asciiTheme="majorBidi" w:hAnsiTheme="majorBidi" w:cstheme="majorBidi"/>
          <w:sz w:val="24"/>
          <w:szCs w:val="24"/>
        </w:rPr>
      </w:pPr>
    </w:p>
    <w:p w14:paraId="408FB92C" w14:textId="2FA5E63B"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 substantial defence of the metafictional form, and one which situates Hutcheon’s text as one amongst the core canon of metafiction criticism, alongside Fowler, Alter, Scholes, Gass, and, as of</w:t>
      </w:r>
      <w:r w:rsidR="009D67A9">
        <w:rPr>
          <w:rFonts w:asciiTheme="majorBidi" w:hAnsiTheme="majorBidi" w:cstheme="majorBidi"/>
          <w:sz w:val="24"/>
          <w:szCs w:val="24"/>
        </w:rPr>
        <w:t xml:space="preserve"> 1984 and the publication of</w:t>
      </w:r>
      <w:r w:rsidRPr="00505CF0">
        <w:rPr>
          <w:rFonts w:asciiTheme="majorBidi" w:hAnsiTheme="majorBidi" w:cstheme="majorBidi"/>
          <w:sz w:val="24"/>
          <w:szCs w:val="24"/>
        </w:rPr>
        <w:t xml:space="preserve"> seminal </w:t>
      </w:r>
      <w:r w:rsidRPr="00505CF0">
        <w:rPr>
          <w:rFonts w:asciiTheme="majorBidi" w:hAnsiTheme="majorBidi" w:cstheme="majorBidi"/>
          <w:i/>
          <w:iCs/>
          <w:sz w:val="24"/>
          <w:szCs w:val="24"/>
        </w:rPr>
        <w:t>Metafiction: The Theory and Practice of Self-Conscious Fiction</w:t>
      </w:r>
      <w:r w:rsidRPr="00505CF0">
        <w:rPr>
          <w:rFonts w:asciiTheme="majorBidi" w:hAnsiTheme="majorBidi" w:cstheme="majorBidi"/>
          <w:sz w:val="24"/>
          <w:szCs w:val="24"/>
        </w:rPr>
        <w:t>, Patricia Wau</w:t>
      </w:r>
      <w:r w:rsidR="009D67A9">
        <w:rPr>
          <w:rFonts w:asciiTheme="majorBidi" w:hAnsiTheme="majorBidi" w:cstheme="majorBidi"/>
          <w:sz w:val="24"/>
          <w:szCs w:val="24"/>
        </w:rPr>
        <w:t>gh, whose</w:t>
      </w:r>
      <w:r w:rsidRPr="00505CF0">
        <w:rPr>
          <w:rFonts w:asciiTheme="majorBidi" w:hAnsiTheme="majorBidi" w:cstheme="majorBidi"/>
          <w:sz w:val="24"/>
          <w:szCs w:val="24"/>
        </w:rPr>
        <w:t xml:space="preserve"> text rivals </w:t>
      </w:r>
      <w:r w:rsidR="00206AA2">
        <w:rPr>
          <w:rFonts w:asciiTheme="majorBidi" w:hAnsiTheme="majorBidi" w:cstheme="majorBidi"/>
          <w:sz w:val="24"/>
          <w:szCs w:val="24"/>
        </w:rPr>
        <w:t xml:space="preserve">that of </w:t>
      </w:r>
      <w:r w:rsidRPr="00505CF0">
        <w:rPr>
          <w:rFonts w:asciiTheme="majorBidi" w:hAnsiTheme="majorBidi" w:cstheme="majorBidi"/>
          <w:sz w:val="24"/>
          <w:szCs w:val="24"/>
        </w:rPr>
        <w:t>Gass in ter</w:t>
      </w:r>
      <w:r w:rsidR="009D67A9">
        <w:rPr>
          <w:rFonts w:asciiTheme="majorBidi" w:hAnsiTheme="majorBidi" w:cstheme="majorBidi"/>
          <w:sz w:val="24"/>
          <w:szCs w:val="24"/>
        </w:rPr>
        <w:t>ms of significance for the form. Waugh’s essay offers</w:t>
      </w:r>
      <w:r w:rsidRPr="00505CF0">
        <w:rPr>
          <w:rFonts w:asciiTheme="majorBidi" w:hAnsiTheme="majorBidi" w:cstheme="majorBidi"/>
          <w:sz w:val="24"/>
          <w:szCs w:val="24"/>
        </w:rPr>
        <w:t xml:space="preserve"> the reader an analysis of the techniques, practices, and critical reception of the form, before offering up a considered treatise on metafiction that neither defends nor defames the mode. Significantly, Waugh</w:t>
      </w:r>
      <w:r w:rsidR="00206AA2">
        <w:rPr>
          <w:rFonts w:asciiTheme="majorBidi" w:hAnsiTheme="majorBidi" w:cstheme="majorBidi"/>
          <w:sz w:val="24"/>
          <w:szCs w:val="24"/>
        </w:rPr>
        <w:t xml:space="preserve"> suggests that</w:t>
      </w:r>
      <w:r w:rsidRPr="00505CF0">
        <w:rPr>
          <w:rFonts w:asciiTheme="majorBidi" w:hAnsiTheme="majorBidi" w:cstheme="majorBidi"/>
          <w:sz w:val="24"/>
          <w:szCs w:val="24"/>
        </w:rPr>
        <w:t xml:space="preserve"> metafiction </w:t>
      </w:r>
      <w:r w:rsidR="00206AA2">
        <w:rPr>
          <w:rFonts w:asciiTheme="majorBidi" w:hAnsiTheme="majorBidi" w:cstheme="majorBidi"/>
          <w:sz w:val="24"/>
          <w:szCs w:val="24"/>
        </w:rPr>
        <w:t>i</w:t>
      </w:r>
      <w:r w:rsidRPr="00505CF0">
        <w:rPr>
          <w:rFonts w:asciiTheme="majorBidi" w:hAnsiTheme="majorBidi" w:cstheme="majorBidi"/>
          <w:sz w:val="24"/>
          <w:szCs w:val="24"/>
        </w:rPr>
        <w:t xml:space="preserve">s a vital component of all novelistic </w:t>
      </w:r>
      <w:proofErr w:type="gramStart"/>
      <w:r w:rsidRPr="00505CF0">
        <w:rPr>
          <w:rFonts w:asciiTheme="majorBidi" w:hAnsiTheme="majorBidi" w:cstheme="majorBidi"/>
          <w:sz w:val="24"/>
          <w:szCs w:val="24"/>
        </w:rPr>
        <w:t>production, that</w:t>
      </w:r>
      <w:proofErr w:type="gramEnd"/>
      <w:r w:rsidRPr="00505CF0">
        <w:rPr>
          <w:rFonts w:asciiTheme="majorBidi" w:hAnsiTheme="majorBidi" w:cstheme="majorBidi"/>
          <w:sz w:val="24"/>
          <w:szCs w:val="24"/>
        </w:rPr>
        <w:t xml:space="preserve"> </w:t>
      </w:r>
      <w:r w:rsidR="009D67A9">
        <w:rPr>
          <w:rFonts w:asciiTheme="majorBidi" w:hAnsiTheme="majorBidi" w:cstheme="majorBidi"/>
          <w:sz w:val="24"/>
          <w:szCs w:val="24"/>
        </w:rPr>
        <w:t>it</w:t>
      </w:r>
      <w:r w:rsidRPr="00505CF0">
        <w:rPr>
          <w:rFonts w:asciiTheme="majorBidi" w:hAnsiTheme="majorBidi" w:cstheme="majorBidi"/>
          <w:sz w:val="24"/>
          <w:szCs w:val="24"/>
        </w:rPr>
        <w:t xml:space="preserve"> is ‘not so much a sub-genre of the novel as a tendency within the novel which operates through exaggeration of the tensions and oppositions inherent in all novels.’</w:t>
      </w:r>
      <w:r w:rsidRPr="00505CF0">
        <w:rPr>
          <w:rStyle w:val="FootnoteReference"/>
          <w:rFonts w:asciiTheme="majorBidi" w:hAnsiTheme="majorBidi" w:cstheme="majorBidi"/>
          <w:sz w:val="24"/>
          <w:szCs w:val="24"/>
        </w:rPr>
        <w:footnoteReference w:id="683"/>
      </w:r>
      <w:r w:rsidRPr="00505CF0">
        <w:rPr>
          <w:rFonts w:asciiTheme="majorBidi" w:hAnsiTheme="majorBidi" w:cstheme="majorBidi"/>
          <w:sz w:val="24"/>
          <w:szCs w:val="24"/>
        </w:rPr>
        <w:t xml:space="preserve"> Metafiction, she argues, converts the perceived negative values of outworn, often to the point of cliché, literary convention into the basis by which constructive social criticism may be attempted:</w:t>
      </w:r>
    </w:p>
    <w:p w14:paraId="64BFA7DF" w14:textId="77777777" w:rsidR="00C111D3" w:rsidRPr="00505CF0" w:rsidRDefault="00C111D3" w:rsidP="004C3EE0">
      <w:pPr>
        <w:ind w:left="737" w:right="737"/>
        <w:jc w:val="both"/>
        <w:rPr>
          <w:rFonts w:asciiTheme="majorBidi" w:hAnsiTheme="majorBidi" w:cstheme="majorBidi"/>
          <w:sz w:val="24"/>
          <w:szCs w:val="24"/>
        </w:rPr>
      </w:pPr>
    </w:p>
    <w:p w14:paraId="2797FC84"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oppression in contemporary society and, on the other, the continuance of traditional literary forms like realism which are no longer adequate vehicles for the mediation of this experience.</w:t>
      </w:r>
      <w:r w:rsidRPr="00505CF0">
        <w:rPr>
          <w:rStyle w:val="FootnoteReference"/>
          <w:rFonts w:asciiTheme="majorBidi" w:hAnsiTheme="majorBidi" w:cstheme="majorBidi"/>
          <w:sz w:val="24"/>
          <w:szCs w:val="24"/>
        </w:rPr>
        <w:footnoteReference w:id="684"/>
      </w:r>
    </w:p>
    <w:p w14:paraId="0CBF1A04" w14:textId="77777777" w:rsidR="00C111D3" w:rsidRPr="00505CF0" w:rsidRDefault="00C111D3" w:rsidP="004C3EE0">
      <w:pPr>
        <w:spacing w:line="480" w:lineRule="auto"/>
        <w:jc w:val="both"/>
        <w:rPr>
          <w:rFonts w:asciiTheme="majorBidi" w:hAnsiTheme="majorBidi" w:cstheme="majorBidi"/>
          <w:sz w:val="24"/>
          <w:szCs w:val="24"/>
        </w:rPr>
      </w:pPr>
    </w:p>
    <w:p w14:paraId="1A55B890" w14:textId="7EB01B99"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Waugh links metafictional practice here to an almost modernist aspirational desire for deconstruction in the hopes of constructive reconstitution of archaic ideologies; metafiction is the salve against w</w:t>
      </w:r>
      <w:r w:rsidR="009D67A9">
        <w:rPr>
          <w:rFonts w:asciiTheme="majorBidi" w:hAnsiTheme="majorBidi" w:cstheme="majorBidi"/>
          <w:sz w:val="24"/>
          <w:szCs w:val="24"/>
        </w:rPr>
        <w:t>hich the ‘sense of crises’ in p</w:t>
      </w:r>
      <w:r w:rsidRPr="00505CF0">
        <w:rPr>
          <w:rFonts w:asciiTheme="majorBidi" w:hAnsiTheme="majorBidi" w:cstheme="majorBidi"/>
          <w:sz w:val="24"/>
          <w:szCs w:val="24"/>
        </w:rPr>
        <w:t>ostmodern society is both established and expunged</w:t>
      </w:r>
      <w:r w:rsidR="009D67A9">
        <w:rPr>
          <w:rFonts w:asciiTheme="majorBidi" w:hAnsiTheme="majorBidi" w:cstheme="majorBidi"/>
          <w:sz w:val="24"/>
          <w:szCs w:val="24"/>
        </w:rPr>
        <w:t>, in a manner contrary to certain p</w:t>
      </w:r>
      <w:r w:rsidRPr="00505CF0">
        <w:rPr>
          <w:rFonts w:asciiTheme="majorBidi" w:hAnsiTheme="majorBidi" w:cstheme="majorBidi"/>
          <w:sz w:val="24"/>
          <w:szCs w:val="24"/>
        </w:rPr>
        <w:t>ostmodern depthless ideals. Indeed, while the deconstructive elements of metafiction are by this stage quite clear, and</w:t>
      </w:r>
      <w:r w:rsidR="009D67A9">
        <w:rPr>
          <w:rFonts w:asciiTheme="majorBidi" w:hAnsiTheme="majorBidi" w:cstheme="majorBidi"/>
          <w:sz w:val="24"/>
          <w:szCs w:val="24"/>
        </w:rPr>
        <w:t xml:space="preserve"> linked to the p</w:t>
      </w:r>
      <w:r w:rsidRPr="00505CF0">
        <w:rPr>
          <w:rFonts w:asciiTheme="majorBidi" w:hAnsiTheme="majorBidi" w:cstheme="majorBidi"/>
          <w:sz w:val="24"/>
          <w:szCs w:val="24"/>
        </w:rPr>
        <w:t>ostmodern, there is a certain hopefulness which Waugh highlights as inherent to metafictional intent, which evidence</w:t>
      </w:r>
      <w:r w:rsidR="009D67A9">
        <w:rPr>
          <w:rFonts w:asciiTheme="majorBidi" w:hAnsiTheme="majorBidi" w:cstheme="majorBidi"/>
          <w:sz w:val="24"/>
          <w:szCs w:val="24"/>
        </w:rPr>
        <w:t>s</w:t>
      </w:r>
      <w:r w:rsidRPr="00505CF0">
        <w:rPr>
          <w:rFonts w:asciiTheme="majorBidi" w:hAnsiTheme="majorBidi" w:cstheme="majorBidi"/>
          <w:sz w:val="24"/>
          <w:szCs w:val="24"/>
        </w:rPr>
        <w:t xml:space="preserve"> hopeful authorial desire to move beyond tired forms and into something new and beyond the contemporary meaninglessness. </w:t>
      </w:r>
      <w:r w:rsidR="009D67A9">
        <w:rPr>
          <w:rFonts w:asciiTheme="majorBidi" w:hAnsiTheme="majorBidi" w:cstheme="majorBidi"/>
          <w:sz w:val="24"/>
          <w:szCs w:val="24"/>
        </w:rPr>
        <w:t>However</w:t>
      </w:r>
      <w:r w:rsidRPr="00505CF0">
        <w:rPr>
          <w:rFonts w:asciiTheme="majorBidi" w:hAnsiTheme="majorBidi" w:cstheme="majorBidi"/>
          <w:sz w:val="24"/>
          <w:szCs w:val="24"/>
        </w:rPr>
        <w:t>, as Waugh herself suggests, by foregrounding authorial intent and desire, metafictional texts present more as Postmodern than Modern; ‘While modernism pursued impersonality (‘showing’), such contemporary metafictional texts pursue Personality, the ironic flaunting of the Teller.’</w:t>
      </w:r>
      <w:r w:rsidRPr="00505CF0">
        <w:rPr>
          <w:rStyle w:val="FootnoteReference"/>
          <w:rFonts w:asciiTheme="majorBidi" w:hAnsiTheme="majorBidi" w:cstheme="majorBidi"/>
          <w:sz w:val="24"/>
          <w:szCs w:val="24"/>
        </w:rPr>
        <w:footnoteReference w:id="685"/>
      </w:r>
      <w:r w:rsidRPr="00505CF0">
        <w:rPr>
          <w:rFonts w:asciiTheme="majorBidi" w:hAnsiTheme="majorBidi" w:cstheme="majorBidi"/>
          <w:sz w:val="24"/>
          <w:szCs w:val="24"/>
        </w:rPr>
        <w:t xml:space="preserve"> </w:t>
      </w:r>
    </w:p>
    <w:p w14:paraId="65962D20" w14:textId="747A5625"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Waugh’s depiction of the teller as a </w:t>
      </w:r>
      <w:r w:rsidR="00E83216">
        <w:rPr>
          <w:rFonts w:asciiTheme="majorBidi" w:hAnsiTheme="majorBidi" w:cstheme="majorBidi"/>
          <w:sz w:val="24"/>
          <w:szCs w:val="24"/>
        </w:rPr>
        <w:t>‘</w:t>
      </w:r>
      <w:r w:rsidRPr="00505CF0">
        <w:rPr>
          <w:rFonts w:asciiTheme="majorBidi" w:hAnsiTheme="majorBidi" w:cstheme="majorBidi"/>
          <w:sz w:val="24"/>
          <w:szCs w:val="24"/>
        </w:rPr>
        <w:t>flaunted</w:t>
      </w:r>
      <w:r w:rsidR="00E83216">
        <w:rPr>
          <w:rFonts w:asciiTheme="majorBidi" w:hAnsiTheme="majorBidi" w:cstheme="majorBidi"/>
          <w:sz w:val="24"/>
          <w:szCs w:val="24"/>
        </w:rPr>
        <w:t>’</w:t>
      </w:r>
      <w:r w:rsidRPr="00505CF0">
        <w:rPr>
          <w:rFonts w:asciiTheme="majorBidi" w:hAnsiTheme="majorBidi" w:cstheme="majorBidi"/>
          <w:sz w:val="24"/>
          <w:szCs w:val="24"/>
        </w:rPr>
        <w:t xml:space="preserve"> individual at first seems to fail in the face of </w:t>
      </w:r>
      <w:r w:rsidRPr="00505CF0">
        <w:rPr>
          <w:rFonts w:asciiTheme="majorBidi" w:hAnsiTheme="majorBidi" w:cstheme="majorBidi"/>
          <w:i/>
          <w:sz w:val="24"/>
          <w:szCs w:val="24"/>
        </w:rPr>
        <w:t>The Handmaid’s Tale</w:t>
      </w:r>
      <w:r w:rsidRPr="00505CF0">
        <w:rPr>
          <w:rFonts w:asciiTheme="majorBidi" w:hAnsiTheme="majorBidi" w:cstheme="majorBidi"/>
          <w:sz w:val="24"/>
          <w:szCs w:val="24"/>
        </w:rPr>
        <w:t xml:space="preserve"> by Margaret Atwood (1985), yet the ending of the text cements itself as metafictional, and somewhat narcissistic, via the inclusion of the academic symposium presented as the novel</w:t>
      </w:r>
      <w:r w:rsidR="009D67A9">
        <w:rPr>
          <w:rFonts w:asciiTheme="majorBidi" w:hAnsiTheme="majorBidi" w:cstheme="majorBidi"/>
          <w:sz w:val="24"/>
          <w:szCs w:val="24"/>
        </w:rPr>
        <w:t>’</w:t>
      </w:r>
      <w:r w:rsidRPr="00505CF0">
        <w:rPr>
          <w:rFonts w:asciiTheme="majorBidi" w:hAnsiTheme="majorBidi" w:cstheme="majorBidi"/>
          <w:sz w:val="24"/>
          <w:szCs w:val="24"/>
        </w:rPr>
        <w:t xml:space="preserve">s conclusion. Here dry, future academics deconstruct the text, examining it in detail and providing potential discussion in a move that echoes </w:t>
      </w:r>
      <w:r w:rsidRPr="00505CF0">
        <w:rPr>
          <w:rFonts w:asciiTheme="majorBidi" w:hAnsiTheme="majorBidi" w:cstheme="majorBidi"/>
          <w:i/>
          <w:sz w:val="24"/>
          <w:szCs w:val="24"/>
        </w:rPr>
        <w:t>Pale Fire</w:t>
      </w:r>
      <w:r w:rsidRPr="00505CF0">
        <w:rPr>
          <w:rFonts w:asciiTheme="majorBidi" w:hAnsiTheme="majorBidi" w:cstheme="majorBidi"/>
          <w:sz w:val="24"/>
          <w:szCs w:val="24"/>
        </w:rPr>
        <w:t xml:space="preserve">, among other self-analytical metafictions, and foregrounding the compositional elements of the tale </w:t>
      </w:r>
      <w:r w:rsidRPr="00505CF0">
        <w:rPr>
          <w:rFonts w:asciiTheme="majorBidi" w:hAnsiTheme="majorBidi" w:cstheme="majorBidi"/>
          <w:i/>
          <w:sz w:val="24"/>
          <w:szCs w:val="24"/>
        </w:rPr>
        <w:t>through</w:t>
      </w:r>
      <w:r w:rsidR="009D67A9">
        <w:rPr>
          <w:rFonts w:asciiTheme="majorBidi" w:hAnsiTheme="majorBidi" w:cstheme="majorBidi"/>
          <w:sz w:val="24"/>
          <w:szCs w:val="24"/>
        </w:rPr>
        <w:t xml:space="preserve"> this pse</w:t>
      </w:r>
      <w:r w:rsidRPr="00505CF0">
        <w:rPr>
          <w:rFonts w:asciiTheme="majorBidi" w:hAnsiTheme="majorBidi" w:cstheme="majorBidi"/>
          <w:sz w:val="24"/>
          <w:szCs w:val="24"/>
        </w:rPr>
        <w:t>udo-academic analysis.</w:t>
      </w:r>
      <w:r w:rsidR="00123DCB">
        <w:rPr>
          <w:rStyle w:val="FootnoteReference"/>
          <w:rFonts w:asciiTheme="majorBidi" w:hAnsiTheme="majorBidi" w:cstheme="majorBidi"/>
          <w:sz w:val="24"/>
          <w:szCs w:val="24"/>
        </w:rPr>
        <w:footnoteReference w:id="686"/>
      </w:r>
      <w:r w:rsidRPr="00505CF0">
        <w:rPr>
          <w:rFonts w:asciiTheme="majorBidi" w:hAnsiTheme="majorBidi" w:cstheme="majorBidi"/>
          <w:sz w:val="24"/>
          <w:szCs w:val="24"/>
        </w:rPr>
        <w:t xml:space="preserve"> Paul Auster’s </w:t>
      </w:r>
      <w:r w:rsidRPr="00505CF0">
        <w:rPr>
          <w:rFonts w:asciiTheme="majorBidi" w:hAnsiTheme="majorBidi" w:cstheme="majorBidi"/>
          <w:i/>
          <w:sz w:val="24"/>
          <w:szCs w:val="24"/>
        </w:rPr>
        <w:t>City of Glass</w:t>
      </w:r>
      <w:r w:rsidRPr="00505CF0">
        <w:rPr>
          <w:rFonts w:asciiTheme="majorBidi" w:hAnsiTheme="majorBidi" w:cstheme="majorBidi"/>
          <w:sz w:val="24"/>
          <w:szCs w:val="24"/>
        </w:rPr>
        <w:t xml:space="preserve"> also saw publication th</w:t>
      </w:r>
      <w:r w:rsidR="009D67A9">
        <w:rPr>
          <w:rFonts w:asciiTheme="majorBidi" w:hAnsiTheme="majorBidi" w:cstheme="majorBidi"/>
          <w:sz w:val="24"/>
          <w:szCs w:val="24"/>
        </w:rPr>
        <w:t>e same</w:t>
      </w:r>
      <w:r w:rsidRPr="00505CF0">
        <w:rPr>
          <w:rFonts w:asciiTheme="majorBidi" w:hAnsiTheme="majorBidi" w:cstheme="majorBidi"/>
          <w:sz w:val="24"/>
          <w:szCs w:val="24"/>
        </w:rPr>
        <w:t xml:space="preserve"> year, subverting typical conventions of the detective genre by having clues provided to the novel’s detective protagonist by the author himself via direct authorial intervention. The text marked the beginning of Auster’s ‘New York Trilogy,’ widely re</w:t>
      </w:r>
      <w:r w:rsidR="009D67A9">
        <w:rPr>
          <w:rFonts w:asciiTheme="majorBidi" w:hAnsiTheme="majorBidi" w:cstheme="majorBidi"/>
          <w:sz w:val="24"/>
          <w:szCs w:val="24"/>
        </w:rPr>
        <w:t>garded as metafictional in its</w:t>
      </w:r>
      <w:r w:rsidRPr="00505CF0">
        <w:rPr>
          <w:rFonts w:asciiTheme="majorBidi" w:hAnsiTheme="majorBidi" w:cstheme="majorBidi"/>
          <w:sz w:val="24"/>
          <w:szCs w:val="24"/>
        </w:rPr>
        <w:t xml:space="preserve"> deconstruction of genres and blurring of the lines between author and character, reality and fiction. </w:t>
      </w:r>
    </w:p>
    <w:p w14:paraId="4D4E0309" w14:textId="244360A9"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proofErr w:type="gramStart"/>
      <w:r w:rsidRPr="00505CF0">
        <w:rPr>
          <w:rFonts w:asciiTheme="majorBidi" w:hAnsiTheme="majorBidi" w:cstheme="majorBidi"/>
          <w:sz w:val="24"/>
          <w:szCs w:val="24"/>
        </w:rPr>
        <w:t>Alastair Fowler’s 1987 critical analyses of the history of English literature as seen through the production and propagation of literary forms marks the next development in the field of metafiction.</w:t>
      </w:r>
      <w:proofErr w:type="gramEnd"/>
      <w:r w:rsidRPr="00505CF0">
        <w:rPr>
          <w:rFonts w:asciiTheme="majorBidi" w:hAnsiTheme="majorBidi" w:cstheme="majorBidi"/>
          <w:sz w:val="24"/>
          <w:szCs w:val="24"/>
        </w:rPr>
        <w:t xml:space="preserve"> In this text, </w:t>
      </w:r>
      <w:r w:rsidRPr="00505CF0">
        <w:rPr>
          <w:rFonts w:asciiTheme="majorBidi" w:hAnsiTheme="majorBidi" w:cstheme="majorBidi"/>
          <w:i/>
          <w:sz w:val="24"/>
          <w:szCs w:val="24"/>
        </w:rPr>
        <w:t>A History of English Literature</w:t>
      </w:r>
      <w:r w:rsidRPr="00505CF0">
        <w:rPr>
          <w:rFonts w:asciiTheme="majorBidi" w:hAnsiTheme="majorBidi" w:cstheme="majorBidi"/>
          <w:sz w:val="24"/>
          <w:szCs w:val="24"/>
        </w:rPr>
        <w:t>, Fowler furthers critical reception of the field by identifying a further sub-genre of metafiction as that of the poioumenon (the other being that of the aforementioned historiographic metafiction). Described as ‘self-begetting novels,’</w:t>
      </w:r>
      <w:r w:rsidRPr="00505CF0">
        <w:rPr>
          <w:rStyle w:val="FootnoteReference"/>
          <w:rFonts w:asciiTheme="majorBidi" w:hAnsiTheme="majorBidi" w:cstheme="majorBidi"/>
          <w:sz w:val="24"/>
          <w:szCs w:val="24"/>
        </w:rPr>
        <w:footnoteReference w:id="687"/>
      </w:r>
      <w:r w:rsidRPr="00505CF0">
        <w:rPr>
          <w:rFonts w:asciiTheme="majorBidi" w:hAnsiTheme="majorBidi" w:cstheme="majorBidi"/>
          <w:sz w:val="24"/>
          <w:szCs w:val="24"/>
        </w:rPr>
        <w:t xml:space="preserve"> Fowler delineates the metafictional poioum</w:t>
      </w:r>
      <w:r w:rsidR="009D67A9">
        <w:rPr>
          <w:rFonts w:asciiTheme="majorBidi" w:hAnsiTheme="majorBidi" w:cstheme="majorBidi"/>
          <w:sz w:val="24"/>
          <w:szCs w:val="24"/>
        </w:rPr>
        <w:t>enon as that which takes for it</w:t>
      </w:r>
      <w:r w:rsidRPr="00505CF0">
        <w:rPr>
          <w:rFonts w:asciiTheme="majorBidi" w:hAnsiTheme="majorBidi" w:cstheme="majorBidi"/>
          <w:sz w:val="24"/>
          <w:szCs w:val="24"/>
        </w:rPr>
        <w:t>s ‘central strand of action’ the composition</w:t>
      </w:r>
      <w:r w:rsidR="006F4F12">
        <w:rPr>
          <w:rFonts w:asciiTheme="majorBidi" w:hAnsiTheme="majorBidi" w:cstheme="majorBidi"/>
          <w:sz w:val="24"/>
          <w:szCs w:val="24"/>
        </w:rPr>
        <w:t xml:space="preserve"> of the work itself</w:t>
      </w:r>
      <w:r w:rsidRPr="00505CF0">
        <w:rPr>
          <w:rFonts w:asciiTheme="majorBidi" w:hAnsiTheme="majorBidi" w:cstheme="majorBidi"/>
          <w:sz w:val="24"/>
          <w:szCs w:val="24"/>
        </w:rPr>
        <w:t xml:space="preserve">, though using this strand in order to subversively explore further socio-political examples. Fowler’s example of such a technique is that of Rushdie’s </w:t>
      </w:r>
      <w:r w:rsidRPr="00505CF0">
        <w:rPr>
          <w:rFonts w:asciiTheme="majorBidi" w:hAnsiTheme="majorBidi" w:cstheme="majorBidi"/>
          <w:i/>
          <w:sz w:val="24"/>
          <w:szCs w:val="24"/>
        </w:rPr>
        <w:t>Midnight’s Children</w:t>
      </w:r>
      <w:r w:rsidRPr="00505CF0">
        <w:rPr>
          <w:rFonts w:asciiTheme="majorBidi" w:hAnsiTheme="majorBidi" w:cstheme="majorBidi"/>
          <w:sz w:val="24"/>
          <w:szCs w:val="24"/>
        </w:rPr>
        <w:t xml:space="preserve"> which, while focusing on the production of itself, in actuality ‘is about the composition of India after independence.’</w:t>
      </w:r>
      <w:r w:rsidRPr="00505CF0">
        <w:rPr>
          <w:rStyle w:val="FootnoteReference"/>
          <w:rFonts w:asciiTheme="majorBidi" w:hAnsiTheme="majorBidi" w:cstheme="majorBidi"/>
          <w:sz w:val="24"/>
          <w:szCs w:val="24"/>
        </w:rPr>
        <w:footnoteReference w:id="688"/>
      </w:r>
      <w:r w:rsidRPr="00505CF0">
        <w:rPr>
          <w:rFonts w:asciiTheme="majorBidi" w:hAnsiTheme="majorBidi" w:cstheme="majorBidi"/>
          <w:sz w:val="24"/>
          <w:szCs w:val="24"/>
        </w:rPr>
        <w:t xml:space="preserve"> ‘Influenced more or less directly by literary theory,’ Fowler writes, ‘the poioumenon is calculated to offer opportunities to explore the boundary of fiction and reality – the limits of narrative truth.’</w:t>
      </w:r>
      <w:r w:rsidRPr="00505CF0">
        <w:rPr>
          <w:rStyle w:val="FootnoteReference"/>
          <w:rFonts w:asciiTheme="majorBidi" w:hAnsiTheme="majorBidi" w:cstheme="majorBidi"/>
          <w:sz w:val="24"/>
          <w:szCs w:val="24"/>
        </w:rPr>
        <w:footnoteReference w:id="689"/>
      </w:r>
      <w:r w:rsidRPr="00505CF0">
        <w:rPr>
          <w:rFonts w:asciiTheme="majorBidi" w:hAnsiTheme="majorBidi" w:cstheme="majorBidi"/>
          <w:sz w:val="24"/>
          <w:szCs w:val="24"/>
        </w:rPr>
        <w:t xml:space="preserve"> Fowler’s text marks the second-to-last significant</w:t>
      </w:r>
      <w:r w:rsidR="00E83216">
        <w:rPr>
          <w:rFonts w:asciiTheme="majorBidi" w:hAnsiTheme="majorBidi" w:cstheme="majorBidi"/>
          <w:sz w:val="24"/>
          <w:szCs w:val="24"/>
        </w:rPr>
        <w:t xml:space="preserve"> theoretical</w:t>
      </w:r>
      <w:r w:rsidRPr="00505CF0">
        <w:rPr>
          <w:rFonts w:asciiTheme="majorBidi" w:hAnsiTheme="majorBidi" w:cstheme="majorBidi"/>
          <w:sz w:val="24"/>
          <w:szCs w:val="24"/>
        </w:rPr>
        <w:t xml:space="preserve"> development in the field of metafiction during this seeming ‘golden age,’ after which the genre witnesses a </w:t>
      </w:r>
      <w:r w:rsidR="006F4F12">
        <w:rPr>
          <w:rFonts w:asciiTheme="majorBidi" w:hAnsiTheme="majorBidi" w:cstheme="majorBidi"/>
          <w:sz w:val="24"/>
          <w:szCs w:val="24"/>
        </w:rPr>
        <w:t>distinct</w:t>
      </w:r>
      <w:r w:rsidR="006F4F12"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decline in critical development and analysis, coinciding not so incidentally with the slow movement towards post-postmodernity. The last gasp of metafictional criticism is that of Linda Hutcheon’s 1988 </w:t>
      </w:r>
      <w:r w:rsidRPr="00505CF0">
        <w:rPr>
          <w:rFonts w:asciiTheme="majorBidi" w:hAnsiTheme="majorBidi" w:cstheme="majorBidi"/>
          <w:i/>
          <w:sz w:val="24"/>
          <w:szCs w:val="24"/>
        </w:rPr>
        <w:t>The Politics of Postmodernism</w:t>
      </w:r>
      <w:r w:rsidRPr="00505CF0">
        <w:rPr>
          <w:rFonts w:asciiTheme="majorBidi" w:hAnsiTheme="majorBidi" w:cstheme="majorBidi"/>
          <w:sz w:val="24"/>
          <w:szCs w:val="24"/>
        </w:rPr>
        <w:t>, in which historiographic metafiction is further delineated by Hutcheon, with regards to its particular importance (and as summarised by Curr</w:t>
      </w:r>
      <w:r w:rsidR="009D67A9">
        <w:rPr>
          <w:rFonts w:asciiTheme="majorBidi" w:hAnsiTheme="majorBidi" w:cstheme="majorBidi"/>
          <w:sz w:val="24"/>
          <w:szCs w:val="24"/>
        </w:rPr>
        <w:t>ie</w:t>
      </w:r>
      <w:r w:rsidRPr="00505CF0">
        <w:rPr>
          <w:rFonts w:asciiTheme="majorBidi" w:hAnsiTheme="majorBidi" w:cstheme="majorBidi"/>
          <w:sz w:val="24"/>
          <w:szCs w:val="24"/>
        </w:rPr>
        <w:t>):</w:t>
      </w:r>
    </w:p>
    <w:p w14:paraId="44D74503" w14:textId="77777777" w:rsidR="00C111D3" w:rsidRPr="00505CF0" w:rsidRDefault="00C111D3" w:rsidP="004C3EE0">
      <w:pPr>
        <w:spacing w:line="480" w:lineRule="auto"/>
        <w:jc w:val="both"/>
        <w:rPr>
          <w:rFonts w:asciiTheme="majorBidi" w:hAnsiTheme="majorBidi" w:cstheme="majorBidi"/>
          <w:sz w:val="24"/>
          <w:szCs w:val="24"/>
        </w:rPr>
      </w:pPr>
    </w:p>
    <w:p w14:paraId="117F6EA4"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The importance of historiographic metafiction is defined in terms of its ability to contest the assumptions of the ‘realist’ novel and narrative history, to question the absolute knowability of the past, and to specify the ideological implications of historical representations, past and present.</w:t>
      </w:r>
      <w:r w:rsidRPr="00505CF0">
        <w:rPr>
          <w:rStyle w:val="FootnoteReference"/>
          <w:rFonts w:asciiTheme="majorBidi" w:hAnsiTheme="majorBidi" w:cstheme="majorBidi"/>
          <w:sz w:val="24"/>
          <w:szCs w:val="24"/>
        </w:rPr>
        <w:footnoteReference w:id="690"/>
      </w:r>
      <w:r w:rsidRPr="00505CF0">
        <w:rPr>
          <w:rFonts w:asciiTheme="majorBidi" w:hAnsiTheme="majorBidi" w:cstheme="majorBidi"/>
          <w:sz w:val="24"/>
          <w:szCs w:val="24"/>
        </w:rPr>
        <w:t xml:space="preserve"> </w:t>
      </w:r>
    </w:p>
    <w:p w14:paraId="60C4484B" w14:textId="77777777" w:rsidR="00C111D3" w:rsidRPr="00505CF0" w:rsidRDefault="00C111D3" w:rsidP="004C3EE0">
      <w:pPr>
        <w:spacing w:line="480" w:lineRule="auto"/>
        <w:jc w:val="both"/>
        <w:rPr>
          <w:rFonts w:asciiTheme="majorBidi" w:hAnsiTheme="majorBidi" w:cstheme="majorBidi"/>
          <w:sz w:val="24"/>
          <w:szCs w:val="24"/>
        </w:rPr>
      </w:pPr>
    </w:p>
    <w:p w14:paraId="6516405B" w14:textId="3CC0ADF6" w:rsidR="00C111D3" w:rsidRPr="00505CF0" w:rsidRDefault="00C111D3" w:rsidP="009D67A9">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Literature, meanwhile, continued to </w:t>
      </w:r>
      <w:r w:rsidR="00E83216">
        <w:rPr>
          <w:rFonts w:asciiTheme="majorBidi" w:hAnsiTheme="majorBidi" w:cstheme="majorBidi"/>
          <w:sz w:val="24"/>
          <w:szCs w:val="24"/>
        </w:rPr>
        <w:t xml:space="preserve">see </w:t>
      </w:r>
      <w:r w:rsidRPr="00505CF0">
        <w:rPr>
          <w:rFonts w:asciiTheme="majorBidi" w:hAnsiTheme="majorBidi" w:cstheme="majorBidi"/>
          <w:sz w:val="24"/>
          <w:szCs w:val="24"/>
        </w:rPr>
        <w:t>produc</w:t>
      </w:r>
      <w:r w:rsidR="00E83216">
        <w:rPr>
          <w:rFonts w:asciiTheme="majorBidi" w:hAnsiTheme="majorBidi" w:cstheme="majorBidi"/>
          <w:sz w:val="24"/>
          <w:szCs w:val="24"/>
        </w:rPr>
        <w:t>tion</w:t>
      </w:r>
      <w:r w:rsidRPr="00505CF0">
        <w:rPr>
          <w:rFonts w:asciiTheme="majorBidi" w:hAnsiTheme="majorBidi" w:cstheme="majorBidi"/>
          <w:sz w:val="24"/>
          <w:szCs w:val="24"/>
        </w:rPr>
        <w:t xml:space="preserve"> </w:t>
      </w:r>
      <w:r w:rsidR="00E83216">
        <w:rPr>
          <w:rFonts w:asciiTheme="majorBidi" w:hAnsiTheme="majorBidi" w:cstheme="majorBidi"/>
          <w:sz w:val="24"/>
          <w:szCs w:val="24"/>
        </w:rPr>
        <w:t xml:space="preserve">of </w:t>
      </w:r>
      <w:r w:rsidRPr="00505CF0">
        <w:rPr>
          <w:rFonts w:asciiTheme="majorBidi" w:hAnsiTheme="majorBidi" w:cstheme="majorBidi"/>
          <w:sz w:val="24"/>
          <w:szCs w:val="24"/>
        </w:rPr>
        <w:t xml:space="preserve">works of metafiction well-suited for inclusion in the canon, including Julian Barnes’s </w:t>
      </w:r>
      <w:r w:rsidR="009D67A9" w:rsidRPr="009D67A9">
        <w:rPr>
          <w:rFonts w:asciiTheme="majorBidi" w:hAnsiTheme="majorBidi" w:cstheme="majorBidi"/>
          <w:i/>
          <w:iCs/>
          <w:sz w:val="24"/>
          <w:szCs w:val="24"/>
        </w:rPr>
        <w:t xml:space="preserve">A </w:t>
      </w:r>
      <w:r w:rsidRPr="00505CF0">
        <w:rPr>
          <w:rFonts w:asciiTheme="majorBidi" w:hAnsiTheme="majorBidi" w:cstheme="majorBidi"/>
          <w:i/>
          <w:sz w:val="24"/>
          <w:szCs w:val="24"/>
        </w:rPr>
        <w:t xml:space="preserve">History of the World in 10 ½ Chapter </w:t>
      </w:r>
      <w:r w:rsidRPr="00505CF0">
        <w:rPr>
          <w:rFonts w:asciiTheme="majorBidi" w:hAnsiTheme="majorBidi" w:cstheme="majorBidi"/>
          <w:sz w:val="24"/>
          <w:szCs w:val="24"/>
        </w:rPr>
        <w:t xml:space="preserve">(1990), which problematises history as fiction, like earlier examples of historiographic metafiction, and aligning with Hutcheon’s theories on the nature of such fictions as forcing the reader into a recognition of the fictional nature of historical record. </w:t>
      </w:r>
      <w:r w:rsidRPr="00505CF0">
        <w:rPr>
          <w:rFonts w:asciiTheme="majorBidi" w:hAnsiTheme="majorBidi" w:cstheme="majorBidi"/>
          <w:i/>
          <w:sz w:val="24"/>
          <w:szCs w:val="24"/>
        </w:rPr>
        <w:t>Time’s Arrow</w:t>
      </w:r>
      <w:r w:rsidRPr="00505CF0">
        <w:rPr>
          <w:rFonts w:asciiTheme="majorBidi" w:hAnsiTheme="majorBidi" w:cstheme="majorBidi"/>
          <w:sz w:val="24"/>
          <w:szCs w:val="24"/>
        </w:rPr>
        <w:t>, by Marti</w:t>
      </w:r>
      <w:r w:rsidR="009D67A9">
        <w:rPr>
          <w:rFonts w:asciiTheme="majorBidi" w:hAnsiTheme="majorBidi" w:cstheme="majorBidi"/>
          <w:sz w:val="24"/>
          <w:szCs w:val="24"/>
        </w:rPr>
        <w:t>n Amis, saw publication in 1991.</w:t>
      </w:r>
      <w:r w:rsidRPr="00505CF0">
        <w:rPr>
          <w:rFonts w:asciiTheme="majorBidi" w:hAnsiTheme="majorBidi" w:cstheme="majorBidi"/>
          <w:sz w:val="24"/>
          <w:szCs w:val="24"/>
        </w:rPr>
        <w:t xml:space="preserve"> </w:t>
      </w:r>
      <w:r w:rsidR="009D67A9">
        <w:rPr>
          <w:rFonts w:asciiTheme="majorBidi" w:hAnsiTheme="majorBidi" w:cstheme="majorBidi"/>
          <w:sz w:val="24"/>
          <w:szCs w:val="24"/>
        </w:rPr>
        <w:t>E</w:t>
      </w:r>
      <w:r w:rsidRPr="00505CF0">
        <w:rPr>
          <w:rFonts w:asciiTheme="majorBidi" w:hAnsiTheme="majorBidi" w:cstheme="majorBidi"/>
          <w:sz w:val="24"/>
          <w:szCs w:val="24"/>
        </w:rPr>
        <w:t xml:space="preserve">xplicitly owing a debt to Vonnegut’s </w:t>
      </w:r>
      <w:r w:rsidRPr="00505CF0">
        <w:rPr>
          <w:rFonts w:asciiTheme="majorBidi" w:hAnsiTheme="majorBidi" w:cstheme="majorBidi"/>
          <w:i/>
          <w:sz w:val="24"/>
          <w:szCs w:val="24"/>
        </w:rPr>
        <w:t>Slaughterhouse-Five</w:t>
      </w:r>
      <w:r w:rsidRPr="00505CF0">
        <w:rPr>
          <w:rFonts w:asciiTheme="majorBidi" w:hAnsiTheme="majorBidi" w:cstheme="majorBidi"/>
          <w:sz w:val="24"/>
          <w:szCs w:val="24"/>
        </w:rPr>
        <w:t xml:space="preserve">, it </w:t>
      </w:r>
      <w:r w:rsidR="00E83216">
        <w:rPr>
          <w:rFonts w:asciiTheme="majorBidi" w:hAnsiTheme="majorBidi" w:cstheme="majorBidi"/>
          <w:sz w:val="24"/>
          <w:szCs w:val="24"/>
        </w:rPr>
        <w:t>is</w:t>
      </w:r>
      <w:r w:rsidRPr="00505CF0">
        <w:rPr>
          <w:rFonts w:asciiTheme="majorBidi" w:hAnsiTheme="majorBidi" w:cstheme="majorBidi"/>
          <w:sz w:val="24"/>
          <w:szCs w:val="24"/>
        </w:rPr>
        <w:t xml:space="preserve"> a text in which the chronology of a Nazi doctor’s life is played out in reverse, his seeming penance for experimentations on prison</w:t>
      </w:r>
      <w:r w:rsidR="009D67A9">
        <w:rPr>
          <w:rFonts w:asciiTheme="majorBidi" w:hAnsiTheme="majorBidi" w:cstheme="majorBidi"/>
          <w:sz w:val="24"/>
          <w:szCs w:val="24"/>
        </w:rPr>
        <w:t>er</w:t>
      </w:r>
      <w:r w:rsidRPr="00505CF0">
        <w:rPr>
          <w:rFonts w:asciiTheme="majorBidi" w:hAnsiTheme="majorBidi" w:cstheme="majorBidi"/>
          <w:sz w:val="24"/>
          <w:szCs w:val="24"/>
        </w:rPr>
        <w:t>s of concentration camps</w:t>
      </w:r>
      <w:r w:rsidR="006F4F12">
        <w:rPr>
          <w:rFonts w:asciiTheme="majorBidi" w:hAnsiTheme="majorBidi" w:cstheme="majorBidi"/>
          <w:sz w:val="24"/>
          <w:szCs w:val="24"/>
        </w:rPr>
        <w:t xml:space="preserve"> is</w:t>
      </w:r>
      <w:r w:rsidRPr="00505CF0">
        <w:rPr>
          <w:rFonts w:asciiTheme="majorBidi" w:hAnsiTheme="majorBidi" w:cstheme="majorBidi"/>
          <w:sz w:val="24"/>
          <w:szCs w:val="24"/>
        </w:rPr>
        <w:t xml:space="preserve"> to be forced to relive his life forwards and backwards again and again. 1995 saw the publicat</w:t>
      </w:r>
      <w:r w:rsidR="009D67A9">
        <w:rPr>
          <w:rFonts w:asciiTheme="majorBidi" w:hAnsiTheme="majorBidi" w:cstheme="majorBidi"/>
          <w:sz w:val="24"/>
          <w:szCs w:val="24"/>
        </w:rPr>
        <w:t>ion of m</w:t>
      </w:r>
      <w:r w:rsidRPr="00505CF0">
        <w:rPr>
          <w:rFonts w:asciiTheme="majorBidi" w:hAnsiTheme="majorBidi" w:cstheme="majorBidi"/>
          <w:sz w:val="24"/>
          <w:szCs w:val="24"/>
        </w:rPr>
        <w:t>etaficti</w:t>
      </w:r>
      <w:r w:rsidR="009D67A9">
        <w:rPr>
          <w:rFonts w:asciiTheme="majorBidi" w:hAnsiTheme="majorBidi" w:cstheme="majorBidi"/>
          <w:sz w:val="24"/>
          <w:szCs w:val="24"/>
        </w:rPr>
        <w:t>onal maestro Gass’s magnum opus</w:t>
      </w:r>
      <w:r w:rsidRPr="00505CF0">
        <w:rPr>
          <w:rFonts w:asciiTheme="majorBidi" w:hAnsiTheme="majorBidi" w:cstheme="majorBidi"/>
          <w:sz w:val="24"/>
          <w:szCs w:val="24"/>
        </w:rPr>
        <w:t xml:space="preserve"> </w:t>
      </w:r>
      <w:r w:rsidRPr="00505CF0">
        <w:rPr>
          <w:rFonts w:asciiTheme="majorBidi" w:hAnsiTheme="majorBidi" w:cstheme="majorBidi"/>
          <w:i/>
          <w:sz w:val="24"/>
          <w:szCs w:val="24"/>
        </w:rPr>
        <w:t>The Tunnel</w:t>
      </w:r>
      <w:r w:rsidRPr="00505CF0">
        <w:rPr>
          <w:rFonts w:asciiTheme="majorBidi" w:hAnsiTheme="majorBidi" w:cstheme="majorBidi"/>
          <w:sz w:val="24"/>
          <w:szCs w:val="24"/>
        </w:rPr>
        <w:t xml:space="preserve">, which defies most narrative conventions </w:t>
      </w:r>
      <w:r w:rsidR="009D67A9">
        <w:rPr>
          <w:rFonts w:asciiTheme="majorBidi" w:hAnsiTheme="majorBidi" w:cstheme="majorBidi"/>
          <w:sz w:val="24"/>
          <w:szCs w:val="24"/>
        </w:rPr>
        <w:t>that</w:t>
      </w:r>
      <w:r w:rsidRPr="00505CF0">
        <w:rPr>
          <w:rFonts w:asciiTheme="majorBidi" w:hAnsiTheme="majorBidi" w:cstheme="majorBidi"/>
          <w:sz w:val="24"/>
          <w:szCs w:val="24"/>
        </w:rPr>
        <w:t xml:space="preserve"> one might consider the novel to require. The text plays with textual representation while contemplating (and complicating) the act of writing. In a reverse of </w:t>
      </w:r>
      <w:r w:rsidRPr="00505CF0">
        <w:rPr>
          <w:rFonts w:asciiTheme="majorBidi" w:hAnsiTheme="majorBidi" w:cstheme="majorBidi"/>
          <w:i/>
          <w:sz w:val="24"/>
          <w:szCs w:val="24"/>
        </w:rPr>
        <w:t>Pale Fire</w:t>
      </w:r>
      <w:r w:rsidRPr="00505CF0">
        <w:rPr>
          <w:rFonts w:asciiTheme="majorBidi" w:hAnsiTheme="majorBidi" w:cstheme="majorBidi"/>
          <w:sz w:val="24"/>
          <w:szCs w:val="24"/>
        </w:rPr>
        <w:t xml:space="preserve"> and other such critically minded texts, </w:t>
      </w:r>
      <w:r w:rsidRPr="00505CF0">
        <w:rPr>
          <w:rFonts w:asciiTheme="majorBidi" w:hAnsiTheme="majorBidi" w:cstheme="majorBidi"/>
          <w:i/>
          <w:sz w:val="24"/>
          <w:szCs w:val="24"/>
        </w:rPr>
        <w:t>The Tunnel</w:t>
      </w:r>
      <w:r w:rsidRPr="00505CF0">
        <w:rPr>
          <w:rFonts w:asciiTheme="majorBidi" w:hAnsiTheme="majorBidi" w:cstheme="majorBidi"/>
          <w:sz w:val="24"/>
          <w:szCs w:val="24"/>
        </w:rPr>
        <w:t xml:space="preserve"> does not critically analyse itself, but rather offers the reader an extended prologue to a critical thesis, now turned into a rambling (though beautifully, endlessly poetic) </w:t>
      </w:r>
      <w:r w:rsidR="009D67A9">
        <w:rPr>
          <w:rFonts w:asciiTheme="majorBidi" w:hAnsiTheme="majorBidi" w:cstheme="majorBidi"/>
          <w:sz w:val="24"/>
          <w:szCs w:val="24"/>
        </w:rPr>
        <w:t>plot. Author</w:t>
      </w:r>
      <w:r w:rsidRPr="00505CF0">
        <w:rPr>
          <w:rFonts w:asciiTheme="majorBidi" w:hAnsiTheme="majorBidi" w:cstheme="majorBidi"/>
          <w:sz w:val="24"/>
          <w:szCs w:val="24"/>
        </w:rPr>
        <w:t xml:space="preserve">s writing about writing, the role of writing, the role of the author, the uses of writing, all such typical metafictional concerns are addressed slowly and eloquently in a work that could easily be heralded as </w:t>
      </w:r>
      <w:r w:rsidRPr="00505CF0">
        <w:rPr>
          <w:rFonts w:asciiTheme="majorBidi" w:hAnsiTheme="majorBidi" w:cstheme="majorBidi"/>
          <w:i/>
          <w:sz w:val="24"/>
          <w:szCs w:val="24"/>
        </w:rPr>
        <w:t xml:space="preserve">the </w:t>
      </w:r>
      <w:r w:rsidRPr="00505CF0">
        <w:rPr>
          <w:rFonts w:asciiTheme="majorBidi" w:hAnsiTheme="majorBidi" w:cstheme="majorBidi"/>
          <w:sz w:val="24"/>
          <w:szCs w:val="24"/>
        </w:rPr>
        <w:t xml:space="preserve">metafictional novel, which all previous metafictions pale in retroactive imitation of. The same year saw Currie’s </w:t>
      </w:r>
      <w:r w:rsidRPr="00505CF0">
        <w:rPr>
          <w:rFonts w:asciiTheme="majorBidi" w:hAnsiTheme="majorBidi" w:cstheme="majorBidi"/>
          <w:i/>
          <w:sz w:val="24"/>
          <w:szCs w:val="24"/>
        </w:rPr>
        <w:t>Metafiction</w:t>
      </w:r>
      <w:r w:rsidRPr="00505CF0">
        <w:rPr>
          <w:rFonts w:asciiTheme="majorBidi" w:hAnsiTheme="majorBidi" w:cstheme="majorBidi"/>
          <w:sz w:val="24"/>
          <w:szCs w:val="24"/>
        </w:rPr>
        <w:t xml:space="preserve"> published, a small collection of critical essays around the topic, and the las</w:t>
      </w:r>
      <w:r w:rsidR="009D67A9">
        <w:rPr>
          <w:rFonts w:asciiTheme="majorBidi" w:hAnsiTheme="majorBidi" w:cstheme="majorBidi"/>
          <w:sz w:val="24"/>
          <w:szCs w:val="24"/>
        </w:rPr>
        <w:t>t critical text to analyse the p</w:t>
      </w:r>
      <w:r w:rsidRPr="00505CF0">
        <w:rPr>
          <w:rFonts w:asciiTheme="majorBidi" w:hAnsiTheme="majorBidi" w:cstheme="majorBidi"/>
          <w:sz w:val="24"/>
          <w:szCs w:val="24"/>
        </w:rPr>
        <w:t>ostmodern metafictional practice, notably going against Hutcheon’s early claims in arguing the mutually-exclusive nature of metafiction and the Postmodern, claiming that metafiction ‘is neither a paradigm nor a subset of postmodernism.’</w:t>
      </w:r>
      <w:r w:rsidRPr="00505CF0">
        <w:rPr>
          <w:rStyle w:val="FootnoteReference"/>
          <w:rFonts w:asciiTheme="majorBidi" w:hAnsiTheme="majorBidi" w:cstheme="majorBidi"/>
          <w:sz w:val="24"/>
          <w:szCs w:val="24"/>
        </w:rPr>
        <w:footnoteReference w:id="691"/>
      </w:r>
      <w:r w:rsidRPr="00505CF0">
        <w:rPr>
          <w:rFonts w:asciiTheme="majorBidi" w:hAnsiTheme="majorBidi" w:cstheme="majorBidi"/>
          <w:sz w:val="24"/>
          <w:szCs w:val="24"/>
        </w:rPr>
        <w:t xml:space="preserve"> The final two tex</w:t>
      </w:r>
      <w:r w:rsidR="009D67A9">
        <w:rPr>
          <w:rFonts w:asciiTheme="majorBidi" w:hAnsiTheme="majorBidi" w:cstheme="majorBidi"/>
          <w:sz w:val="24"/>
          <w:szCs w:val="24"/>
        </w:rPr>
        <w:t xml:space="preserve">ts in this long history of </w:t>
      </w:r>
      <w:r w:rsidR="00E83216">
        <w:rPr>
          <w:rFonts w:asciiTheme="majorBidi" w:hAnsiTheme="majorBidi" w:cstheme="majorBidi"/>
          <w:sz w:val="24"/>
          <w:szCs w:val="24"/>
        </w:rPr>
        <w:t>postmodern metafiction</w:t>
      </w:r>
      <w:r w:rsidRPr="00505CF0">
        <w:rPr>
          <w:rFonts w:asciiTheme="majorBidi" w:hAnsiTheme="majorBidi" w:cstheme="majorBidi"/>
          <w:sz w:val="24"/>
          <w:szCs w:val="24"/>
        </w:rPr>
        <w:t xml:space="preserve"> are David Foster Wallace’s </w:t>
      </w:r>
      <w:r w:rsidRPr="00505CF0">
        <w:rPr>
          <w:rFonts w:asciiTheme="majorBidi" w:hAnsiTheme="majorBidi" w:cstheme="majorBidi"/>
          <w:i/>
          <w:sz w:val="24"/>
          <w:szCs w:val="24"/>
        </w:rPr>
        <w:t>Infinite Jest</w:t>
      </w:r>
      <w:r w:rsidRPr="00505CF0">
        <w:rPr>
          <w:rFonts w:asciiTheme="majorBidi" w:hAnsiTheme="majorBidi" w:cstheme="majorBidi"/>
          <w:sz w:val="24"/>
          <w:szCs w:val="24"/>
        </w:rPr>
        <w:t xml:space="preserve"> (1996) and Mark Leyner’s </w:t>
      </w:r>
      <w:r w:rsidRPr="00505CF0">
        <w:rPr>
          <w:rFonts w:asciiTheme="majorBidi" w:hAnsiTheme="majorBidi" w:cstheme="majorBidi"/>
          <w:i/>
          <w:sz w:val="24"/>
          <w:szCs w:val="24"/>
        </w:rPr>
        <w:t>The Tetherballs of Bougainville</w:t>
      </w:r>
      <w:r w:rsidRPr="00505CF0">
        <w:rPr>
          <w:rFonts w:asciiTheme="majorBidi" w:hAnsiTheme="majorBidi" w:cstheme="majorBidi"/>
          <w:sz w:val="24"/>
          <w:szCs w:val="24"/>
        </w:rPr>
        <w:t xml:space="preserve"> (1997), the former of which</w:t>
      </w:r>
      <w:r w:rsidR="00F74C38">
        <w:rPr>
          <w:rFonts w:asciiTheme="majorBidi" w:hAnsiTheme="majorBidi" w:cstheme="majorBidi"/>
          <w:sz w:val="24"/>
          <w:szCs w:val="24"/>
        </w:rPr>
        <w:t>,</w:t>
      </w:r>
      <w:r w:rsidRPr="00505CF0">
        <w:rPr>
          <w:rFonts w:asciiTheme="majorBidi" w:hAnsiTheme="majorBidi" w:cstheme="majorBidi"/>
          <w:sz w:val="24"/>
          <w:szCs w:val="24"/>
        </w:rPr>
        <w:t xml:space="preserve"> as the name might suggest, becomes a circular, endless text in which the end invites the reader to once more begin the text and thus discover new associations, plot revelations and intertextual references. Leyner’s text, however, has received less critical</w:t>
      </w:r>
      <w:r w:rsidR="00F74C38">
        <w:rPr>
          <w:rFonts w:asciiTheme="majorBidi" w:hAnsiTheme="majorBidi" w:cstheme="majorBidi"/>
          <w:sz w:val="24"/>
          <w:szCs w:val="24"/>
        </w:rPr>
        <w:t xml:space="preserve"> attention than that of Wallace</w:t>
      </w:r>
      <w:r w:rsidRPr="00505CF0">
        <w:rPr>
          <w:rFonts w:asciiTheme="majorBidi" w:hAnsiTheme="majorBidi" w:cstheme="majorBidi"/>
          <w:sz w:val="24"/>
          <w:szCs w:val="24"/>
        </w:rPr>
        <w:t xml:space="preserve">s, with </w:t>
      </w:r>
      <w:r w:rsidRPr="00505CF0">
        <w:rPr>
          <w:rFonts w:asciiTheme="majorBidi" w:hAnsiTheme="majorBidi" w:cstheme="majorBidi"/>
          <w:i/>
          <w:sz w:val="24"/>
          <w:szCs w:val="24"/>
        </w:rPr>
        <w:t>Tetherballs</w:t>
      </w:r>
      <w:r w:rsidRPr="00505CF0">
        <w:rPr>
          <w:rFonts w:asciiTheme="majorBidi" w:hAnsiTheme="majorBidi" w:cstheme="majorBidi"/>
          <w:sz w:val="24"/>
          <w:szCs w:val="24"/>
        </w:rPr>
        <w:t xml:space="preserve"> serving as both the example par excellence and the emblematic last gasp of postmodern metafictional techniques. The novel is a true poioumenon, concerning its own creation above all else, filled with arbitrary diatribes about a vast range of subjects that can be charitably called irrelevant to any semblance of plot. </w:t>
      </w:r>
      <w:r w:rsidRPr="00505CF0">
        <w:rPr>
          <w:rFonts w:asciiTheme="majorBidi" w:hAnsiTheme="majorBidi" w:cstheme="majorBidi"/>
          <w:i/>
          <w:sz w:val="24"/>
          <w:szCs w:val="24"/>
        </w:rPr>
        <w:t xml:space="preserve">Tetherballs </w:t>
      </w:r>
      <w:r w:rsidRPr="00505CF0">
        <w:rPr>
          <w:rFonts w:asciiTheme="majorBidi" w:hAnsiTheme="majorBidi" w:cstheme="majorBidi"/>
          <w:sz w:val="24"/>
          <w:szCs w:val="24"/>
        </w:rPr>
        <w:t>is flippant about subject, mixes low and high art, alludes repeatedly to its own creation and textuality, and blurs genre lines, the text thus performing as metafiction, though the argument has long been exhausted – we know the trick, we have heard the punchline, so why, one much ask, repeat the joke? I mention this text, perhaps admittedly a bit acerbically, because</w:t>
      </w:r>
      <w:r w:rsidR="00F74C38">
        <w:rPr>
          <w:rFonts w:asciiTheme="majorBidi" w:hAnsiTheme="majorBidi" w:cstheme="majorBidi"/>
          <w:sz w:val="24"/>
          <w:szCs w:val="24"/>
        </w:rPr>
        <w:t>,</w:t>
      </w:r>
      <w:r w:rsidRPr="00505CF0">
        <w:rPr>
          <w:rFonts w:asciiTheme="majorBidi" w:hAnsiTheme="majorBidi" w:cstheme="majorBidi"/>
          <w:sz w:val="24"/>
          <w:szCs w:val="24"/>
        </w:rPr>
        <w:t xml:space="preserve"> as the last postmodern metafiction formed before the end of the postmodern era</w:t>
      </w:r>
      <w:r w:rsidR="00F74C38">
        <w:rPr>
          <w:rFonts w:asciiTheme="majorBidi" w:hAnsiTheme="majorBidi" w:cstheme="majorBidi"/>
          <w:sz w:val="24"/>
          <w:szCs w:val="24"/>
        </w:rPr>
        <w:t>,</w:t>
      </w:r>
      <w:r w:rsidRPr="00505CF0">
        <w:rPr>
          <w:rFonts w:asciiTheme="majorBidi" w:hAnsiTheme="majorBidi" w:cstheme="majorBidi"/>
          <w:sz w:val="24"/>
          <w:szCs w:val="24"/>
        </w:rPr>
        <w:t xml:space="preserve"> it serves as a fitting example of the failing flaws of the form that would soon dwindle away as we enter the metamodern moment.</w:t>
      </w:r>
      <w:r w:rsidRPr="00505CF0">
        <w:rPr>
          <w:rStyle w:val="FootnoteReference"/>
          <w:rFonts w:asciiTheme="majorBidi" w:hAnsiTheme="majorBidi" w:cstheme="majorBidi"/>
          <w:sz w:val="24"/>
          <w:szCs w:val="24"/>
        </w:rPr>
        <w:footnoteReference w:id="692"/>
      </w:r>
      <w:r w:rsidRPr="00505CF0">
        <w:rPr>
          <w:rFonts w:asciiTheme="majorBidi" w:hAnsiTheme="majorBidi" w:cstheme="majorBidi"/>
          <w:sz w:val="24"/>
          <w:szCs w:val="24"/>
        </w:rPr>
        <w:t xml:space="preserve"> </w:t>
      </w:r>
    </w:p>
    <w:p w14:paraId="21AFDE78" w14:textId="77777777" w:rsidR="00C111D3" w:rsidRDefault="00C111D3" w:rsidP="004C3EE0">
      <w:pPr>
        <w:spacing w:line="480" w:lineRule="auto"/>
        <w:jc w:val="both"/>
        <w:rPr>
          <w:rFonts w:asciiTheme="majorBidi" w:hAnsiTheme="majorBidi" w:cstheme="majorBidi"/>
        </w:rPr>
      </w:pPr>
    </w:p>
    <w:p w14:paraId="45279367" w14:textId="77777777" w:rsidR="006405B7" w:rsidRPr="00505CF0" w:rsidRDefault="006405B7" w:rsidP="004C3EE0">
      <w:pPr>
        <w:spacing w:line="480" w:lineRule="auto"/>
        <w:jc w:val="both"/>
        <w:rPr>
          <w:rFonts w:asciiTheme="majorBidi" w:hAnsiTheme="majorBidi" w:cstheme="majorBidi"/>
        </w:rPr>
      </w:pPr>
    </w:p>
    <w:p w14:paraId="72F65B49" w14:textId="77777777" w:rsidR="00C111D3" w:rsidRPr="00505CF0" w:rsidRDefault="00C111D3" w:rsidP="004C3EE0">
      <w:pPr>
        <w:spacing w:line="480" w:lineRule="auto"/>
        <w:jc w:val="both"/>
        <w:rPr>
          <w:rFonts w:asciiTheme="majorBidi" w:hAnsiTheme="majorBidi" w:cstheme="majorBidi"/>
          <w:sz w:val="28"/>
          <w:szCs w:val="28"/>
        </w:rPr>
      </w:pPr>
      <w:r w:rsidRPr="00505CF0">
        <w:rPr>
          <w:rFonts w:asciiTheme="majorBidi" w:hAnsiTheme="majorBidi" w:cstheme="majorBidi"/>
          <w:b/>
          <w:sz w:val="28"/>
          <w:szCs w:val="28"/>
        </w:rPr>
        <w:t>2.3</w:t>
      </w:r>
      <w:r w:rsidRPr="00505CF0">
        <w:rPr>
          <w:rFonts w:asciiTheme="majorBidi" w:hAnsiTheme="majorBidi" w:cstheme="majorBidi"/>
          <w:b/>
          <w:sz w:val="28"/>
          <w:szCs w:val="28"/>
        </w:rPr>
        <w:tab/>
        <w:t xml:space="preserve">Past the </w:t>
      </w:r>
      <w:proofErr w:type="gramStart"/>
      <w:r w:rsidRPr="00505CF0">
        <w:rPr>
          <w:rFonts w:asciiTheme="majorBidi" w:hAnsiTheme="majorBidi" w:cstheme="majorBidi"/>
          <w:b/>
          <w:sz w:val="28"/>
          <w:szCs w:val="28"/>
        </w:rPr>
        <w:t>Post(</w:t>
      </w:r>
      <w:proofErr w:type="gramEnd"/>
      <w:r w:rsidRPr="00505CF0">
        <w:rPr>
          <w:rFonts w:asciiTheme="majorBidi" w:hAnsiTheme="majorBidi" w:cstheme="majorBidi"/>
          <w:b/>
          <w:sz w:val="28"/>
          <w:szCs w:val="28"/>
        </w:rPr>
        <w:t>modern): Metamodern Metafiction.</w:t>
      </w:r>
    </w:p>
    <w:p w14:paraId="7018FA79" w14:textId="77777777" w:rsidR="00C111D3" w:rsidRPr="00505CF0" w:rsidRDefault="00C111D3" w:rsidP="004C3EE0">
      <w:pPr>
        <w:spacing w:line="480" w:lineRule="auto"/>
        <w:jc w:val="both"/>
        <w:rPr>
          <w:rFonts w:asciiTheme="majorBidi" w:hAnsiTheme="majorBidi" w:cstheme="majorBidi"/>
        </w:rPr>
      </w:pPr>
    </w:p>
    <w:p w14:paraId="094DF703" w14:textId="77745EF8" w:rsidR="00C111D3" w:rsidRPr="00505CF0" w:rsidRDefault="00C111D3" w:rsidP="00F74C38">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Metamodernity</w:t>
      </w:r>
      <w:r w:rsidR="00E83216">
        <w:rPr>
          <w:rFonts w:asciiTheme="majorBidi" w:hAnsiTheme="majorBidi" w:cstheme="majorBidi"/>
          <w:sz w:val="24"/>
          <w:szCs w:val="24"/>
        </w:rPr>
        <w:t xml:space="preserve"> </w:t>
      </w:r>
      <w:r w:rsidR="008E4F1B">
        <w:rPr>
          <w:rFonts w:asciiTheme="majorBidi" w:hAnsiTheme="majorBidi" w:cstheme="majorBidi"/>
          <w:sz w:val="24"/>
          <w:szCs w:val="24"/>
        </w:rPr>
        <w:t>witnesses</w:t>
      </w:r>
      <w:r w:rsidRPr="00505CF0">
        <w:rPr>
          <w:rFonts w:asciiTheme="majorBidi" w:hAnsiTheme="majorBidi" w:cstheme="majorBidi"/>
          <w:sz w:val="24"/>
          <w:szCs w:val="24"/>
        </w:rPr>
        <w:t xml:space="preserve"> a steady decline in the production of metafictional texts. True, Hutcheon’s historiographic metafiction continues regardless, as in the examples of Eco’s </w:t>
      </w:r>
      <w:r w:rsidR="00293DC0">
        <w:rPr>
          <w:rFonts w:asciiTheme="majorBidi" w:hAnsiTheme="majorBidi" w:cstheme="majorBidi"/>
          <w:i/>
          <w:sz w:val="24"/>
          <w:szCs w:val="24"/>
        </w:rPr>
        <w:t>Num</w:t>
      </w:r>
      <w:r w:rsidRPr="00505CF0">
        <w:rPr>
          <w:rFonts w:asciiTheme="majorBidi" w:hAnsiTheme="majorBidi" w:cstheme="majorBidi"/>
          <w:i/>
          <w:sz w:val="24"/>
          <w:szCs w:val="24"/>
        </w:rPr>
        <w:t>er</w:t>
      </w:r>
      <w:r w:rsidR="00293DC0">
        <w:rPr>
          <w:rFonts w:asciiTheme="majorBidi" w:hAnsiTheme="majorBidi" w:cstheme="majorBidi"/>
          <w:i/>
          <w:sz w:val="24"/>
          <w:szCs w:val="24"/>
        </w:rPr>
        <w:t>o</w:t>
      </w:r>
      <w:r w:rsidRPr="00505CF0">
        <w:rPr>
          <w:rFonts w:asciiTheme="majorBidi" w:hAnsiTheme="majorBidi" w:cstheme="majorBidi"/>
          <w:i/>
          <w:sz w:val="24"/>
          <w:szCs w:val="24"/>
        </w:rPr>
        <w:t xml:space="preserve"> Zero</w:t>
      </w:r>
      <w:r w:rsidRPr="00505CF0">
        <w:rPr>
          <w:rFonts w:asciiTheme="majorBidi" w:hAnsiTheme="majorBidi" w:cstheme="majorBidi"/>
          <w:sz w:val="24"/>
          <w:szCs w:val="24"/>
        </w:rPr>
        <w:t xml:space="preserve">, Granville’s </w:t>
      </w:r>
      <w:r w:rsidRPr="00505CF0">
        <w:rPr>
          <w:rFonts w:asciiTheme="majorBidi" w:hAnsiTheme="majorBidi" w:cstheme="majorBidi"/>
          <w:i/>
          <w:sz w:val="24"/>
          <w:szCs w:val="24"/>
        </w:rPr>
        <w:t xml:space="preserve">Gretel </w:t>
      </w:r>
      <w:proofErr w:type="gramStart"/>
      <w:r w:rsidRPr="00505CF0">
        <w:rPr>
          <w:rFonts w:asciiTheme="majorBidi" w:hAnsiTheme="majorBidi" w:cstheme="majorBidi"/>
          <w:i/>
          <w:sz w:val="24"/>
          <w:szCs w:val="24"/>
        </w:rPr>
        <w:t>And</w:t>
      </w:r>
      <w:proofErr w:type="gramEnd"/>
      <w:r w:rsidRPr="00505CF0">
        <w:rPr>
          <w:rFonts w:asciiTheme="majorBidi" w:hAnsiTheme="majorBidi" w:cstheme="majorBidi"/>
          <w:i/>
          <w:sz w:val="24"/>
          <w:szCs w:val="24"/>
        </w:rPr>
        <w:t xml:space="preserve"> the Dark</w:t>
      </w:r>
      <w:r w:rsidRPr="00505CF0">
        <w:rPr>
          <w:rFonts w:asciiTheme="majorBidi" w:hAnsiTheme="majorBidi" w:cstheme="majorBidi"/>
          <w:sz w:val="24"/>
          <w:szCs w:val="24"/>
        </w:rPr>
        <w:t xml:space="preserve">, Morris’s </w:t>
      </w:r>
      <w:r w:rsidRPr="00505CF0">
        <w:rPr>
          <w:rFonts w:asciiTheme="majorBidi" w:hAnsiTheme="majorBidi" w:cstheme="majorBidi"/>
          <w:i/>
          <w:sz w:val="24"/>
          <w:szCs w:val="24"/>
        </w:rPr>
        <w:t xml:space="preserve">I, The Sun, </w:t>
      </w:r>
      <w:r w:rsidRPr="00505CF0">
        <w:rPr>
          <w:rFonts w:asciiTheme="majorBidi" w:hAnsiTheme="majorBidi" w:cstheme="majorBidi"/>
          <w:sz w:val="24"/>
          <w:szCs w:val="24"/>
        </w:rPr>
        <w:t xml:space="preserve">and </w:t>
      </w:r>
      <w:r w:rsidRPr="00505CF0">
        <w:rPr>
          <w:rFonts w:asciiTheme="majorBidi" w:hAnsiTheme="majorBidi" w:cstheme="majorBidi"/>
          <w:i/>
          <w:sz w:val="24"/>
          <w:szCs w:val="24"/>
        </w:rPr>
        <w:t>The Medici Mirror</w:t>
      </w:r>
      <w:r w:rsidRPr="00505CF0">
        <w:rPr>
          <w:rFonts w:asciiTheme="majorBidi" w:hAnsiTheme="majorBidi" w:cstheme="majorBidi"/>
          <w:sz w:val="24"/>
          <w:szCs w:val="24"/>
        </w:rPr>
        <w:t xml:space="preserve"> by Meli</w:t>
      </w:r>
      <w:r w:rsidR="00F74C38">
        <w:rPr>
          <w:rFonts w:asciiTheme="majorBidi" w:hAnsiTheme="majorBidi" w:cstheme="majorBidi"/>
          <w:sz w:val="24"/>
          <w:szCs w:val="24"/>
        </w:rPr>
        <w:t>s</w:t>
      </w:r>
      <w:r w:rsidRPr="00505CF0">
        <w:rPr>
          <w:rFonts w:asciiTheme="majorBidi" w:hAnsiTheme="majorBidi" w:cstheme="majorBidi"/>
          <w:sz w:val="24"/>
          <w:szCs w:val="24"/>
        </w:rPr>
        <w:t>sa Bailey. Such texts, however, are not the concern of this metafictional history – historiographic metafiction deviates from the apparent purpose of</w:t>
      </w:r>
      <w:r w:rsidR="00F74C38">
        <w:rPr>
          <w:rFonts w:asciiTheme="majorBidi" w:hAnsiTheme="majorBidi" w:cstheme="majorBidi"/>
          <w:sz w:val="24"/>
          <w:szCs w:val="24"/>
        </w:rPr>
        <w:t xml:space="preserve"> the metafictional novel and it</w:t>
      </w:r>
      <w:r w:rsidRPr="00505CF0">
        <w:rPr>
          <w:rFonts w:asciiTheme="majorBidi" w:hAnsiTheme="majorBidi" w:cstheme="majorBidi"/>
          <w:sz w:val="24"/>
          <w:szCs w:val="24"/>
        </w:rPr>
        <w:t>s attempts to foreground fiction. The ‘narcissistic narrative,’ meanwhile, has seen little in the way of publications.</w:t>
      </w:r>
    </w:p>
    <w:p w14:paraId="0F09D5BB" w14:textId="466C4402" w:rsidR="00C111D3" w:rsidRPr="00505CF0" w:rsidRDefault="00C111D3" w:rsidP="00F74C38">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Published one year before the September </w:t>
      </w:r>
      <w:r w:rsidR="00F74C38">
        <w:rPr>
          <w:rFonts w:asciiTheme="majorBidi" w:hAnsiTheme="majorBidi" w:cstheme="majorBidi"/>
          <w:sz w:val="24"/>
          <w:szCs w:val="24"/>
        </w:rPr>
        <w:t>11th</w:t>
      </w:r>
      <w:r w:rsidRPr="00505CF0">
        <w:rPr>
          <w:rFonts w:asciiTheme="majorBidi" w:hAnsiTheme="majorBidi" w:cstheme="majorBidi"/>
          <w:sz w:val="24"/>
          <w:szCs w:val="24"/>
        </w:rPr>
        <w:t xml:space="preserve"> terrorist attacks that would so often be cited as the end of the postmodern, though arguably post-postmodern in </w:t>
      </w:r>
      <w:r w:rsidR="00F74C38">
        <w:rPr>
          <w:rFonts w:asciiTheme="majorBidi" w:hAnsiTheme="majorBidi" w:cstheme="majorBidi"/>
          <w:sz w:val="24"/>
          <w:szCs w:val="24"/>
        </w:rPr>
        <w:t>influence</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693"/>
      </w:r>
      <w:r w:rsidRPr="00505CF0">
        <w:rPr>
          <w:rFonts w:asciiTheme="majorBidi" w:hAnsiTheme="majorBidi" w:cstheme="majorBidi"/>
          <w:sz w:val="24"/>
          <w:szCs w:val="24"/>
        </w:rPr>
        <w:t xml:space="preserve"> Mark Z Danielewski’s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xml:space="preserve"> (2000) adheres to metafiction’s long tradition of typographical experimentation and play. The text forms </w:t>
      </w:r>
      <w:r w:rsidR="008E4F1B">
        <w:rPr>
          <w:rFonts w:asciiTheme="majorBidi" w:hAnsiTheme="majorBidi" w:cstheme="majorBidi"/>
          <w:sz w:val="24"/>
          <w:szCs w:val="24"/>
        </w:rPr>
        <w:t xml:space="preserve">a </w:t>
      </w:r>
      <w:r w:rsidRPr="00505CF0">
        <w:rPr>
          <w:rFonts w:asciiTheme="majorBidi" w:hAnsiTheme="majorBidi" w:cstheme="majorBidi"/>
          <w:sz w:val="24"/>
          <w:szCs w:val="24"/>
        </w:rPr>
        <w:t xml:space="preserve">labyrinths of </w:t>
      </w:r>
      <w:r w:rsidR="008E4F1B">
        <w:rPr>
          <w:rFonts w:asciiTheme="majorBidi" w:hAnsiTheme="majorBidi" w:cstheme="majorBidi"/>
          <w:sz w:val="24"/>
          <w:szCs w:val="24"/>
        </w:rPr>
        <w:t xml:space="preserve">its own </w:t>
      </w:r>
      <w:r w:rsidRPr="00505CF0">
        <w:rPr>
          <w:rFonts w:asciiTheme="majorBidi" w:hAnsiTheme="majorBidi" w:cstheme="majorBidi"/>
          <w:sz w:val="24"/>
          <w:szCs w:val="24"/>
        </w:rPr>
        <w:t xml:space="preserve">pages to mimic the labyrinthine nature of the environment explored by its characters, leading readers back and forth </w:t>
      </w:r>
      <w:proofErr w:type="gramStart"/>
      <w:r w:rsidRPr="00505CF0">
        <w:rPr>
          <w:rFonts w:asciiTheme="majorBidi" w:hAnsiTheme="majorBidi" w:cstheme="majorBidi"/>
          <w:sz w:val="24"/>
          <w:szCs w:val="24"/>
        </w:rPr>
        <w:t>through  pages</w:t>
      </w:r>
      <w:proofErr w:type="gramEnd"/>
      <w:r w:rsidRPr="00505CF0">
        <w:rPr>
          <w:rFonts w:asciiTheme="majorBidi" w:hAnsiTheme="majorBidi" w:cstheme="majorBidi"/>
          <w:sz w:val="24"/>
          <w:szCs w:val="24"/>
        </w:rPr>
        <w:t xml:space="preserve"> and footnotes. </w:t>
      </w:r>
      <w:r w:rsidRPr="00505CF0">
        <w:rPr>
          <w:rFonts w:asciiTheme="majorBidi" w:hAnsiTheme="majorBidi" w:cstheme="majorBidi"/>
          <w:i/>
          <w:sz w:val="24"/>
          <w:szCs w:val="24"/>
        </w:rPr>
        <w:t>House of Leaves</w:t>
      </w:r>
      <w:r w:rsidRPr="00505CF0">
        <w:rPr>
          <w:rFonts w:asciiTheme="majorBidi" w:hAnsiTheme="majorBidi" w:cstheme="majorBidi"/>
          <w:sz w:val="24"/>
          <w:szCs w:val="24"/>
        </w:rPr>
        <w:t>, too, concerns its own production as the novel is formed of a triptych of narratives: The original ‘Navidson Report’ which serves as the novel</w:t>
      </w:r>
      <w:r w:rsidR="00F74C38">
        <w:rPr>
          <w:rFonts w:asciiTheme="majorBidi" w:hAnsiTheme="majorBidi" w:cstheme="majorBidi"/>
          <w:sz w:val="24"/>
          <w:szCs w:val="24"/>
        </w:rPr>
        <w:t>’</w:t>
      </w:r>
      <w:r w:rsidRPr="00505CF0">
        <w:rPr>
          <w:rFonts w:asciiTheme="majorBidi" w:hAnsiTheme="majorBidi" w:cstheme="majorBidi"/>
          <w:sz w:val="24"/>
          <w:szCs w:val="24"/>
        </w:rPr>
        <w:t xml:space="preserve">s central plot; Zampanò’s academic analysis and thesis on the Navidson Report; and, finally, Johnny Truant’s editing and footnote-formed narrative that often overtakes the text – though this too is moderated by the unseen Editors. Again, </w:t>
      </w:r>
      <w:r w:rsidRPr="00505CF0">
        <w:rPr>
          <w:rFonts w:asciiTheme="majorBidi" w:hAnsiTheme="majorBidi" w:cstheme="majorBidi"/>
          <w:i/>
          <w:sz w:val="24"/>
          <w:szCs w:val="24"/>
        </w:rPr>
        <w:t>Pale Fire’s</w:t>
      </w:r>
      <w:r w:rsidRPr="00505CF0">
        <w:rPr>
          <w:rFonts w:asciiTheme="majorBidi" w:hAnsiTheme="majorBidi" w:cstheme="majorBidi"/>
          <w:sz w:val="24"/>
          <w:szCs w:val="24"/>
        </w:rPr>
        <w:t xml:space="preserve"> legacy rears its head, with the academic analysis overtaking that of the original artefact itself. Danielewski’s text also features itself within its own pages, with Navidson at one point tearing the pages from the novel and burning them for light.</w:t>
      </w:r>
    </w:p>
    <w:p w14:paraId="07591DC9" w14:textId="4279DA91" w:rsidR="00C111D3" w:rsidRPr="00505CF0" w:rsidRDefault="00C111D3" w:rsidP="00F74C38">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Two years later, in 2002, Jonathan Safran Foer published </w:t>
      </w:r>
      <w:proofErr w:type="gramStart"/>
      <w:r w:rsidRPr="00505CF0">
        <w:rPr>
          <w:rFonts w:asciiTheme="majorBidi" w:hAnsiTheme="majorBidi" w:cstheme="majorBidi"/>
          <w:i/>
          <w:sz w:val="24"/>
          <w:szCs w:val="24"/>
        </w:rPr>
        <w:t>Everything</w:t>
      </w:r>
      <w:proofErr w:type="gramEnd"/>
      <w:r w:rsidRPr="00505CF0">
        <w:rPr>
          <w:rFonts w:asciiTheme="majorBidi" w:hAnsiTheme="majorBidi" w:cstheme="majorBidi"/>
          <w:i/>
          <w:sz w:val="24"/>
          <w:szCs w:val="24"/>
        </w:rPr>
        <w:t xml:space="preserve"> is Illuminated</w:t>
      </w:r>
      <w:r w:rsidRPr="00505CF0">
        <w:rPr>
          <w:rFonts w:asciiTheme="majorBidi" w:hAnsiTheme="majorBidi" w:cstheme="majorBidi"/>
          <w:sz w:val="24"/>
          <w:szCs w:val="24"/>
        </w:rPr>
        <w:t xml:space="preserve"> to critical acclaim. Again experimenting with page presentation, though to a far lesser extent, </w:t>
      </w:r>
      <w:proofErr w:type="gramStart"/>
      <w:r w:rsidRPr="00505CF0">
        <w:rPr>
          <w:rFonts w:asciiTheme="majorBidi" w:hAnsiTheme="majorBidi" w:cstheme="majorBidi"/>
          <w:i/>
          <w:sz w:val="24"/>
          <w:szCs w:val="24"/>
        </w:rPr>
        <w:t>Everything</w:t>
      </w:r>
      <w:proofErr w:type="gramEnd"/>
      <w:r w:rsidRPr="00505CF0">
        <w:rPr>
          <w:rFonts w:asciiTheme="majorBidi" w:hAnsiTheme="majorBidi" w:cstheme="majorBidi"/>
          <w:i/>
          <w:sz w:val="24"/>
          <w:szCs w:val="24"/>
        </w:rPr>
        <w:t xml:space="preserve"> is Illuminated</w:t>
      </w:r>
      <w:r w:rsidRPr="00505CF0">
        <w:rPr>
          <w:rFonts w:asciiTheme="majorBidi" w:hAnsiTheme="majorBidi" w:cstheme="majorBidi"/>
          <w:sz w:val="24"/>
          <w:szCs w:val="24"/>
        </w:rPr>
        <w:t xml:space="preserve"> mixes prose, epistolary, and script formats to foregrounds the issues of storytelling and the main character’s desire for a story, rather than the truth which comes as a sublime – terrifying, awesome, self-challenging – moment towards the novel’s climax. The trope of author as character, too, re-appears here, with the text presenting as pseudo-autobiographical in a manner that would be later taken up in Bret Easton Ellis’s </w:t>
      </w:r>
      <w:r w:rsidRPr="00505CF0">
        <w:rPr>
          <w:rFonts w:asciiTheme="majorBidi" w:hAnsiTheme="majorBidi" w:cstheme="majorBidi"/>
          <w:i/>
          <w:sz w:val="24"/>
          <w:szCs w:val="24"/>
        </w:rPr>
        <w:t>Lunar Park</w:t>
      </w:r>
      <w:r w:rsidRPr="00505CF0">
        <w:rPr>
          <w:rFonts w:asciiTheme="majorBidi" w:hAnsiTheme="majorBidi" w:cstheme="majorBidi"/>
          <w:sz w:val="24"/>
          <w:szCs w:val="24"/>
        </w:rPr>
        <w:t xml:space="preserve"> (2005). Ellis’s text at first seems an autobiographical account of the author</w:t>
      </w:r>
      <w:r w:rsidR="00F74C38">
        <w:rPr>
          <w:rFonts w:asciiTheme="majorBidi" w:hAnsiTheme="majorBidi" w:cstheme="majorBidi"/>
          <w:sz w:val="24"/>
          <w:szCs w:val="24"/>
        </w:rPr>
        <w:t>’</w:t>
      </w:r>
      <w:r w:rsidRPr="00505CF0">
        <w:rPr>
          <w:rFonts w:asciiTheme="majorBidi" w:hAnsiTheme="majorBidi" w:cstheme="majorBidi"/>
          <w:sz w:val="24"/>
          <w:szCs w:val="24"/>
        </w:rPr>
        <w:t>s life, though this soon begins to deviate from the truth and plummet i</w:t>
      </w:r>
      <w:r w:rsidR="00F74C38">
        <w:rPr>
          <w:rFonts w:asciiTheme="majorBidi" w:hAnsiTheme="majorBidi" w:cstheme="majorBidi"/>
          <w:sz w:val="24"/>
          <w:szCs w:val="24"/>
        </w:rPr>
        <w:t>nto Gothic horror archetypes, while</w:t>
      </w:r>
      <w:r w:rsidRPr="00505CF0">
        <w:rPr>
          <w:rFonts w:asciiTheme="majorBidi" w:hAnsiTheme="majorBidi" w:cstheme="majorBidi"/>
          <w:sz w:val="24"/>
          <w:szCs w:val="24"/>
        </w:rPr>
        <w:t xml:space="preserve"> twisting such tropes into a commentary on the societal ennui surrounding postmodern ideology. 2005 also saw the release of Danielewski’s </w:t>
      </w:r>
      <w:r w:rsidRPr="00505CF0">
        <w:rPr>
          <w:rFonts w:asciiTheme="majorBidi" w:hAnsiTheme="majorBidi" w:cstheme="majorBidi"/>
          <w:i/>
          <w:sz w:val="24"/>
          <w:szCs w:val="24"/>
        </w:rPr>
        <w:t>The Fifty Year Sword</w:t>
      </w:r>
      <w:r w:rsidRPr="00505CF0">
        <w:rPr>
          <w:rFonts w:asciiTheme="majorBidi" w:hAnsiTheme="majorBidi" w:cstheme="majorBidi"/>
          <w:sz w:val="24"/>
          <w:szCs w:val="24"/>
        </w:rPr>
        <w:t>, a text which attempts to imitate a collage of voices across the page and, in its original format, had a limited release within a wooden fra</w:t>
      </w:r>
      <w:r w:rsidR="00F74C38">
        <w:rPr>
          <w:rFonts w:asciiTheme="majorBidi" w:hAnsiTheme="majorBidi" w:cstheme="majorBidi"/>
          <w:sz w:val="24"/>
          <w:szCs w:val="24"/>
        </w:rPr>
        <w:t>med box with five clasps (as</w:t>
      </w:r>
      <w:r w:rsidRPr="00505CF0">
        <w:rPr>
          <w:rFonts w:asciiTheme="majorBidi" w:hAnsiTheme="majorBidi" w:cstheme="majorBidi"/>
          <w:sz w:val="24"/>
          <w:szCs w:val="24"/>
        </w:rPr>
        <w:t xml:space="preserve"> does the titular sword within the novel). Foregrounding the artefact</w:t>
      </w:r>
      <w:r w:rsidR="00F74C38">
        <w:rPr>
          <w:rFonts w:asciiTheme="majorBidi" w:hAnsiTheme="majorBidi" w:cstheme="majorBidi"/>
          <w:sz w:val="24"/>
          <w:szCs w:val="24"/>
        </w:rPr>
        <w:t>ual</w:t>
      </w:r>
      <w:r w:rsidRPr="00505CF0">
        <w:rPr>
          <w:rFonts w:asciiTheme="majorBidi" w:hAnsiTheme="majorBidi" w:cstheme="majorBidi"/>
          <w:sz w:val="24"/>
          <w:szCs w:val="24"/>
        </w:rPr>
        <w:t xml:space="preserve"> nature of the text, </w:t>
      </w:r>
      <w:r w:rsidRPr="00505CF0">
        <w:rPr>
          <w:rFonts w:asciiTheme="majorBidi" w:hAnsiTheme="majorBidi" w:cstheme="majorBidi"/>
          <w:i/>
          <w:sz w:val="24"/>
          <w:szCs w:val="24"/>
        </w:rPr>
        <w:t>T50YS</w:t>
      </w:r>
      <w:r w:rsidRPr="00505CF0">
        <w:rPr>
          <w:rFonts w:asciiTheme="majorBidi" w:hAnsiTheme="majorBidi" w:cstheme="majorBidi"/>
          <w:sz w:val="24"/>
          <w:szCs w:val="24"/>
        </w:rPr>
        <w:t xml:space="preserve"> also displays several photo-pages with elements from the plot recreated from stitching, in an effort to emphasise the ‘stitched-together’ nature of ghost stories in general which, as Danielewski argues, have histories which are ghost stories unto themselves.</w:t>
      </w:r>
      <w:r w:rsidRPr="00505CF0">
        <w:rPr>
          <w:rStyle w:val="FootnoteReference"/>
          <w:rFonts w:asciiTheme="majorBidi" w:hAnsiTheme="majorBidi" w:cstheme="majorBidi"/>
          <w:sz w:val="24"/>
          <w:szCs w:val="24"/>
        </w:rPr>
        <w:footnoteReference w:id="694"/>
      </w:r>
      <w:r w:rsidRPr="00505CF0">
        <w:rPr>
          <w:rFonts w:asciiTheme="majorBidi" w:hAnsiTheme="majorBidi" w:cstheme="majorBidi"/>
          <w:sz w:val="24"/>
          <w:szCs w:val="24"/>
        </w:rPr>
        <w:t xml:space="preserve"> </w:t>
      </w:r>
    </w:p>
    <w:p w14:paraId="00D85A00" w14:textId="06466E5B"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Next, Douglas Coupland’s </w:t>
      </w:r>
      <w:r w:rsidRPr="00505CF0">
        <w:rPr>
          <w:rFonts w:asciiTheme="majorBidi" w:hAnsiTheme="majorBidi" w:cstheme="majorBidi"/>
          <w:i/>
          <w:sz w:val="24"/>
          <w:szCs w:val="24"/>
        </w:rPr>
        <w:t>Jpod</w:t>
      </w:r>
      <w:r w:rsidRPr="00505CF0">
        <w:rPr>
          <w:rFonts w:asciiTheme="majorBidi" w:hAnsiTheme="majorBidi" w:cstheme="majorBidi"/>
          <w:sz w:val="24"/>
          <w:szCs w:val="24"/>
        </w:rPr>
        <w:t xml:space="preserve"> (2006) appears as a pseudo-successor to </w:t>
      </w:r>
      <w:r w:rsidRPr="00505CF0">
        <w:rPr>
          <w:rFonts w:asciiTheme="majorBidi" w:hAnsiTheme="majorBidi" w:cstheme="majorBidi"/>
          <w:i/>
          <w:sz w:val="24"/>
          <w:szCs w:val="24"/>
        </w:rPr>
        <w:t>The Tetherballs of Bougainville</w:t>
      </w:r>
      <w:r w:rsidRPr="00505CF0">
        <w:rPr>
          <w:rFonts w:asciiTheme="majorBidi" w:hAnsiTheme="majorBidi" w:cstheme="majorBidi"/>
          <w:sz w:val="24"/>
          <w:szCs w:val="24"/>
        </w:rPr>
        <w:t xml:space="preserve"> i</w:t>
      </w:r>
      <w:r w:rsidR="00F74C38">
        <w:rPr>
          <w:rFonts w:asciiTheme="majorBidi" w:hAnsiTheme="majorBidi" w:cstheme="majorBidi"/>
          <w:sz w:val="24"/>
          <w:szCs w:val="24"/>
        </w:rPr>
        <w:t>n its presentation of vast swat</w:t>
      </w:r>
      <w:r w:rsidRPr="00505CF0">
        <w:rPr>
          <w:rFonts w:asciiTheme="majorBidi" w:hAnsiTheme="majorBidi" w:cstheme="majorBidi"/>
          <w:sz w:val="24"/>
          <w:szCs w:val="24"/>
        </w:rPr>
        <w:t>hes of seemingly inconsequential matter, though Coupland makes it clear at the end of the novel that the pages upon pages of random lists, repeated symbols or other obscure matter are intended merely as page-filler in order for Coupland himself to fulfil a contractual obligation to ‘write a novel.’</w:t>
      </w:r>
      <w:r w:rsidRPr="00505CF0">
        <w:rPr>
          <w:rStyle w:val="FootnoteReference"/>
          <w:rFonts w:asciiTheme="majorBidi" w:hAnsiTheme="majorBidi" w:cstheme="majorBidi"/>
          <w:sz w:val="24"/>
          <w:szCs w:val="24"/>
        </w:rPr>
        <w:footnoteReference w:id="695"/>
      </w:r>
      <w:r w:rsidRPr="00505CF0">
        <w:rPr>
          <w:rFonts w:asciiTheme="majorBidi" w:hAnsiTheme="majorBidi" w:cstheme="majorBidi"/>
          <w:sz w:val="24"/>
          <w:szCs w:val="24"/>
        </w:rPr>
        <w:t xml:space="preserve"> The novel adheres to several typically metafictional concerns, including the representation of its own production as a key theme, clear reference to authorial intent and appearance, and, of course, a form of typographical experimentation that, it should be clear, is endemic to metamodern metafictions, and which is evidenced by the next two texts of th</w:t>
      </w:r>
      <w:r w:rsidR="00E83216">
        <w:rPr>
          <w:rFonts w:asciiTheme="majorBidi" w:hAnsiTheme="majorBidi" w:cstheme="majorBidi"/>
          <w:sz w:val="24"/>
          <w:szCs w:val="24"/>
        </w:rPr>
        <w:t>is</w:t>
      </w:r>
      <w:r w:rsidRPr="00505CF0">
        <w:rPr>
          <w:rFonts w:asciiTheme="majorBidi" w:hAnsiTheme="majorBidi" w:cstheme="majorBidi"/>
          <w:sz w:val="24"/>
          <w:szCs w:val="24"/>
        </w:rPr>
        <w:t xml:space="preserve"> metafictional history </w:t>
      </w:r>
      <w:r w:rsidRPr="00505CF0">
        <w:rPr>
          <w:rFonts w:asciiTheme="majorBidi" w:hAnsiTheme="majorBidi" w:cstheme="majorBidi"/>
          <w:sz w:val="24"/>
          <w:szCs w:val="24"/>
        </w:rPr>
        <w:softHyphen/>
        <w:t xml:space="preserve">– </w:t>
      </w:r>
      <w:r w:rsidRPr="00505CF0">
        <w:rPr>
          <w:rFonts w:asciiTheme="majorBidi" w:hAnsiTheme="majorBidi" w:cstheme="majorBidi"/>
          <w:i/>
          <w:sz w:val="24"/>
          <w:szCs w:val="24"/>
        </w:rPr>
        <w:t>Take Care of Yourself</w:t>
      </w:r>
      <w:r w:rsidRPr="00505CF0">
        <w:rPr>
          <w:rFonts w:asciiTheme="majorBidi" w:hAnsiTheme="majorBidi" w:cstheme="majorBidi"/>
          <w:sz w:val="24"/>
          <w:szCs w:val="24"/>
        </w:rPr>
        <w:t xml:space="preserve">, and </w:t>
      </w:r>
      <w:r w:rsidRPr="00505CF0">
        <w:rPr>
          <w:rFonts w:asciiTheme="majorBidi" w:hAnsiTheme="majorBidi" w:cstheme="majorBidi"/>
          <w:i/>
          <w:sz w:val="24"/>
          <w:szCs w:val="24"/>
        </w:rPr>
        <w:t>The Raw Shark Texts</w:t>
      </w:r>
      <w:r w:rsidRPr="00505CF0">
        <w:rPr>
          <w:rFonts w:asciiTheme="majorBidi" w:hAnsiTheme="majorBidi" w:cstheme="majorBidi"/>
          <w:sz w:val="24"/>
          <w:szCs w:val="24"/>
        </w:rPr>
        <w:t xml:space="preserve">.  </w:t>
      </w:r>
    </w:p>
    <w:p w14:paraId="07016B66" w14:textId="4D15DB27" w:rsidR="00C111D3" w:rsidRPr="00505CF0" w:rsidRDefault="00C111D3" w:rsidP="00F74C38">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Sophie Calle’s </w:t>
      </w:r>
      <w:r w:rsidRPr="00505CF0">
        <w:rPr>
          <w:rFonts w:asciiTheme="majorBidi" w:hAnsiTheme="majorBidi" w:cstheme="majorBidi"/>
          <w:i/>
          <w:sz w:val="24"/>
          <w:szCs w:val="24"/>
        </w:rPr>
        <w:t>Take Care of Yourself</w:t>
      </w:r>
      <w:r w:rsidRPr="00505CF0">
        <w:rPr>
          <w:rFonts w:asciiTheme="majorBidi" w:hAnsiTheme="majorBidi" w:cstheme="majorBidi"/>
          <w:sz w:val="24"/>
          <w:szCs w:val="24"/>
        </w:rPr>
        <w:t xml:space="preserve"> (2007) is an overtly metafictional text, beginning with a description from the author of the objectives and constructive process behind the text’s production, in this case that the author was rejected by a lover via email, an email ending with the title phrase of the novel. Calle sends copies of the email to over one hundred women and collates their responses to the text as the multimodal novel, which includes a physical DVD copy of several of the responses within its pages, alongside a small separately printed (though bound within the book itself) romantic novel, several letters and performance pieces by a clown, a parrot, and several famous artists. Stephen Hall’s </w:t>
      </w:r>
      <w:r w:rsidRPr="00505CF0">
        <w:rPr>
          <w:rFonts w:asciiTheme="majorBidi" w:hAnsiTheme="majorBidi" w:cstheme="majorBidi"/>
          <w:i/>
          <w:sz w:val="24"/>
          <w:szCs w:val="24"/>
        </w:rPr>
        <w:t>The Raw Shark Texts</w:t>
      </w:r>
      <w:r w:rsidRPr="00505CF0">
        <w:rPr>
          <w:rFonts w:asciiTheme="majorBidi" w:hAnsiTheme="majorBidi" w:cstheme="majorBidi"/>
          <w:sz w:val="24"/>
          <w:szCs w:val="24"/>
        </w:rPr>
        <w:t>, published the same year</w:t>
      </w:r>
      <w:r w:rsidR="00F74C38">
        <w:rPr>
          <w:rFonts w:asciiTheme="majorBidi" w:hAnsiTheme="majorBidi" w:cstheme="majorBidi"/>
          <w:sz w:val="24"/>
          <w:szCs w:val="24"/>
        </w:rPr>
        <w:t>,</w:t>
      </w:r>
      <w:r w:rsidRPr="00505CF0">
        <w:rPr>
          <w:rFonts w:asciiTheme="majorBidi" w:hAnsiTheme="majorBidi" w:cstheme="majorBidi"/>
          <w:sz w:val="24"/>
          <w:szCs w:val="24"/>
        </w:rPr>
        <w:t xml:space="preserve"> again experiments typographically, having several pages where images of sharks are formed from words and letters, which grow or shrink </w:t>
      </w:r>
      <w:r w:rsidR="00F74C38">
        <w:rPr>
          <w:rFonts w:asciiTheme="majorBidi" w:hAnsiTheme="majorBidi" w:cstheme="majorBidi"/>
          <w:sz w:val="24"/>
          <w:szCs w:val="24"/>
        </w:rPr>
        <w:t>following</w:t>
      </w:r>
      <w:r w:rsidRPr="00505CF0">
        <w:rPr>
          <w:rFonts w:asciiTheme="majorBidi" w:hAnsiTheme="majorBidi" w:cstheme="majorBidi"/>
          <w:sz w:val="24"/>
          <w:szCs w:val="24"/>
        </w:rPr>
        <w:t xml:space="preserve"> the shark’s movements through the text. The plot of the novel follows a man who has, subconsciously, obliterated his sense of self in an attempt to resolve his lingering guilt over the death of a loved one, and the novel follows the protagonist as he attempts to regain his identity and stop the typographical shark from eating more of his memories. True to metafictional form, the end sees the protagonists recreating the ending of the film </w:t>
      </w:r>
      <w:r w:rsidRPr="00505CF0">
        <w:rPr>
          <w:rFonts w:asciiTheme="majorBidi" w:hAnsiTheme="majorBidi" w:cstheme="majorBidi"/>
          <w:i/>
          <w:sz w:val="24"/>
          <w:szCs w:val="24"/>
        </w:rPr>
        <w:t>Jaws</w:t>
      </w:r>
      <w:r w:rsidRPr="00505CF0">
        <w:rPr>
          <w:rFonts w:asciiTheme="majorBidi" w:hAnsiTheme="majorBidi" w:cstheme="majorBidi"/>
          <w:sz w:val="24"/>
          <w:szCs w:val="24"/>
        </w:rPr>
        <w:t xml:space="preserve"> in an attempt to catch the antagonistic shark, and, in doing so, comments on our appropriation of narratives, the need for narrative closure, and pop-cultural obsession. </w:t>
      </w:r>
    </w:p>
    <w:p w14:paraId="5C81E0C6" w14:textId="00895430" w:rsidR="00C111D3" w:rsidRPr="00505CF0" w:rsidRDefault="00C111D3" w:rsidP="00F74C38">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Continuing the legacy of Johnson’s </w:t>
      </w:r>
      <w:r w:rsidRPr="00505CF0">
        <w:rPr>
          <w:rFonts w:asciiTheme="majorBidi" w:hAnsiTheme="majorBidi" w:cstheme="majorBidi"/>
          <w:i/>
          <w:sz w:val="24"/>
          <w:szCs w:val="24"/>
        </w:rPr>
        <w:t>The Unfortunates</w:t>
      </w:r>
      <w:r w:rsidRPr="00505CF0">
        <w:rPr>
          <w:rFonts w:asciiTheme="majorBidi" w:hAnsiTheme="majorBidi" w:cstheme="majorBidi"/>
          <w:sz w:val="24"/>
          <w:szCs w:val="24"/>
        </w:rPr>
        <w:t xml:space="preserve"> and Danielewski’s </w:t>
      </w:r>
      <w:r w:rsidRPr="00505CF0">
        <w:rPr>
          <w:rFonts w:asciiTheme="majorBidi" w:hAnsiTheme="majorBidi" w:cstheme="majorBidi"/>
          <w:i/>
          <w:sz w:val="24"/>
          <w:szCs w:val="24"/>
        </w:rPr>
        <w:t>T50YS</w:t>
      </w:r>
      <w:r w:rsidRPr="00505CF0">
        <w:rPr>
          <w:rFonts w:asciiTheme="majorBidi" w:hAnsiTheme="majorBidi" w:cstheme="majorBidi"/>
          <w:sz w:val="24"/>
          <w:szCs w:val="24"/>
        </w:rPr>
        <w:t xml:space="preserve">, Anne Carson released </w:t>
      </w:r>
      <w:r w:rsidR="009A3875">
        <w:rPr>
          <w:rFonts w:asciiTheme="majorBidi" w:hAnsiTheme="majorBidi" w:cstheme="majorBidi"/>
          <w:sz w:val="24"/>
          <w:szCs w:val="24"/>
        </w:rPr>
        <w:t xml:space="preserve">the </w:t>
      </w:r>
      <w:r w:rsidRPr="00505CF0">
        <w:rPr>
          <w:rFonts w:asciiTheme="majorBidi" w:hAnsiTheme="majorBidi" w:cstheme="majorBidi"/>
          <w:sz w:val="24"/>
          <w:szCs w:val="24"/>
        </w:rPr>
        <w:t xml:space="preserve">next metafictional text </w:t>
      </w:r>
      <w:r w:rsidR="009A3875">
        <w:rPr>
          <w:rFonts w:asciiTheme="majorBidi" w:hAnsiTheme="majorBidi" w:cstheme="majorBidi"/>
          <w:sz w:val="24"/>
          <w:szCs w:val="24"/>
        </w:rPr>
        <w:t xml:space="preserve">to be examined here </w:t>
      </w:r>
      <w:r w:rsidRPr="00505CF0">
        <w:rPr>
          <w:rFonts w:asciiTheme="majorBidi" w:hAnsiTheme="majorBidi" w:cstheme="majorBidi"/>
          <w:sz w:val="24"/>
          <w:szCs w:val="24"/>
        </w:rPr>
        <w:t xml:space="preserve">in the form of </w:t>
      </w:r>
      <w:r w:rsidRPr="00505CF0">
        <w:rPr>
          <w:rFonts w:asciiTheme="majorBidi" w:hAnsiTheme="majorBidi" w:cstheme="majorBidi"/>
          <w:i/>
          <w:sz w:val="24"/>
          <w:szCs w:val="24"/>
        </w:rPr>
        <w:t xml:space="preserve">Nox </w:t>
      </w:r>
      <w:r w:rsidRPr="00505CF0">
        <w:rPr>
          <w:rFonts w:asciiTheme="majorBidi" w:hAnsiTheme="majorBidi" w:cstheme="majorBidi"/>
          <w:sz w:val="24"/>
          <w:szCs w:val="24"/>
        </w:rPr>
        <w:t xml:space="preserve">(2009). Bound in a large box, the text itself consists of an accordioned series of pages intended to replicate a lengthy stitched-together collection of notes and collages created by the author as a form of eulogy for her estranged brother. Carson’s novel, removed from the box, is an inherently fragile and cumbersome thing, the form of the pages somewhat mimicking the awkward and difficult to grasp relationship between author and brother. The left hand side of the text follows a dissemination of Gaius Valerius Catullus’s elegiac poem </w:t>
      </w:r>
      <w:r w:rsidRPr="00505CF0">
        <w:rPr>
          <w:rFonts w:asciiTheme="majorBidi" w:hAnsiTheme="majorBidi" w:cstheme="majorBidi"/>
          <w:i/>
          <w:sz w:val="24"/>
          <w:szCs w:val="24"/>
        </w:rPr>
        <w:t>Catullus 101</w:t>
      </w:r>
      <w:r w:rsidRPr="00505CF0">
        <w:rPr>
          <w:rFonts w:asciiTheme="majorBidi" w:hAnsiTheme="majorBidi" w:cstheme="majorBidi"/>
          <w:sz w:val="24"/>
          <w:szCs w:val="24"/>
        </w:rPr>
        <w:t>, a word-by-word dissection reflective of the author’s own search for meaning in her brother’s death. Experimental in both form and content, the text includes replicas of photographs, snippets of poetry and prose, alongside facsimile</w:t>
      </w:r>
      <w:r w:rsidR="00F74C38">
        <w:rPr>
          <w:rFonts w:asciiTheme="majorBidi" w:hAnsiTheme="majorBidi" w:cstheme="majorBidi"/>
          <w:sz w:val="24"/>
          <w:szCs w:val="24"/>
        </w:rPr>
        <w:t>s</w:t>
      </w:r>
      <w:r w:rsidRPr="00505CF0">
        <w:rPr>
          <w:rFonts w:asciiTheme="majorBidi" w:hAnsiTheme="majorBidi" w:cstheme="majorBidi"/>
          <w:sz w:val="24"/>
          <w:szCs w:val="24"/>
        </w:rPr>
        <w:t xml:space="preserve"> of other notes, again playing with the materiality of the text, though here less to point to conventions of literature, than to, perhaps, aid in bringing the reader closer to the fiction; the facsimile proves, rather than problematises, the account of events, reversing the traditional anti-realist elements typical of metafictional criticism. Next, in 2008, Irvine Welsh’s </w:t>
      </w:r>
      <w:r w:rsidRPr="00505CF0">
        <w:rPr>
          <w:rFonts w:asciiTheme="majorBidi" w:hAnsiTheme="majorBidi" w:cstheme="majorBidi"/>
          <w:i/>
          <w:sz w:val="24"/>
          <w:szCs w:val="24"/>
        </w:rPr>
        <w:t>Filth</w:t>
      </w:r>
      <w:r w:rsidRPr="00505CF0">
        <w:rPr>
          <w:rFonts w:asciiTheme="majorBidi" w:hAnsiTheme="majorBidi" w:cstheme="majorBidi"/>
          <w:sz w:val="24"/>
          <w:szCs w:val="24"/>
        </w:rPr>
        <w:t xml:space="preserve"> again adhered to metafictional conventions of typographical experimentation, with sections of the novel being overwritten by the narrative of a tapeworm growing within the stomach of the main character. These sections, printed to look as if they were overlaying the original text with an ever-increasing tube structure, serve not only to remind the reader of the object nature of the text as a construct, but also to provide narrative backstory to the protagonist. The (tape</w:t>
      </w:r>
      <w:proofErr w:type="gramStart"/>
      <w:r w:rsidRPr="00505CF0">
        <w:rPr>
          <w:rFonts w:asciiTheme="majorBidi" w:hAnsiTheme="majorBidi" w:cstheme="majorBidi"/>
          <w:sz w:val="24"/>
          <w:szCs w:val="24"/>
        </w:rPr>
        <w:t>)worm</w:t>
      </w:r>
      <w:proofErr w:type="gramEnd"/>
      <w:r w:rsidRPr="00505CF0">
        <w:rPr>
          <w:rFonts w:asciiTheme="majorBidi" w:hAnsiTheme="majorBidi" w:cstheme="majorBidi"/>
          <w:sz w:val="24"/>
          <w:szCs w:val="24"/>
        </w:rPr>
        <w:t xml:space="preserve"> at the heart</w:t>
      </w:r>
      <w:r w:rsidR="00F74C38">
        <w:rPr>
          <w:rFonts w:asciiTheme="majorBidi" w:hAnsiTheme="majorBidi" w:cstheme="majorBidi"/>
          <w:sz w:val="24"/>
          <w:szCs w:val="24"/>
        </w:rPr>
        <w:t xml:space="preserve"> </w:t>
      </w:r>
      <w:r w:rsidRPr="00505CF0">
        <w:rPr>
          <w:rFonts w:asciiTheme="majorBidi" w:hAnsiTheme="majorBidi" w:cstheme="majorBidi"/>
          <w:sz w:val="24"/>
          <w:szCs w:val="24"/>
        </w:rPr>
        <w:t>(stomach) of the character made flesh, as it were, upon the page, the metafictional device subverts the mise-en-abyme of</w:t>
      </w:r>
      <w:r w:rsidR="00F74C38">
        <w:rPr>
          <w:rFonts w:asciiTheme="majorBidi" w:hAnsiTheme="majorBidi" w:cstheme="majorBidi"/>
          <w:sz w:val="24"/>
          <w:szCs w:val="24"/>
        </w:rPr>
        <w:t xml:space="preserve"> traditional metafiction itself.</w:t>
      </w:r>
      <w:r w:rsidRPr="00505CF0">
        <w:rPr>
          <w:rFonts w:asciiTheme="majorBidi" w:hAnsiTheme="majorBidi" w:cstheme="majorBidi"/>
          <w:sz w:val="24"/>
          <w:szCs w:val="24"/>
        </w:rPr>
        <w:t xml:space="preserve"> </w:t>
      </w:r>
      <w:r w:rsidR="00F74C38">
        <w:rPr>
          <w:rFonts w:asciiTheme="majorBidi" w:hAnsiTheme="majorBidi" w:cstheme="majorBidi"/>
          <w:sz w:val="24"/>
          <w:szCs w:val="24"/>
        </w:rPr>
        <w:t>H</w:t>
      </w:r>
      <w:r w:rsidRPr="00505CF0">
        <w:rPr>
          <w:rFonts w:asciiTheme="majorBidi" w:hAnsiTheme="majorBidi" w:cstheme="majorBidi"/>
          <w:sz w:val="24"/>
          <w:szCs w:val="24"/>
        </w:rPr>
        <w:t>ere</w:t>
      </w:r>
      <w:r w:rsidR="00F74C38">
        <w:rPr>
          <w:rFonts w:asciiTheme="majorBidi" w:hAnsiTheme="majorBidi" w:cstheme="majorBidi"/>
          <w:sz w:val="24"/>
          <w:szCs w:val="24"/>
        </w:rPr>
        <w:t>,</w:t>
      </w:r>
      <w:r w:rsidRPr="00505CF0">
        <w:rPr>
          <w:rFonts w:asciiTheme="majorBidi" w:hAnsiTheme="majorBidi" w:cstheme="majorBidi"/>
          <w:sz w:val="24"/>
          <w:szCs w:val="24"/>
        </w:rPr>
        <w:t xml:space="preserve"> the story within the story actively overtak</w:t>
      </w:r>
      <w:r w:rsidR="00F74C38">
        <w:rPr>
          <w:rFonts w:asciiTheme="majorBidi" w:hAnsiTheme="majorBidi" w:cstheme="majorBidi"/>
          <w:sz w:val="24"/>
          <w:szCs w:val="24"/>
        </w:rPr>
        <w:t>es</w:t>
      </w:r>
      <w:r w:rsidRPr="00505CF0">
        <w:rPr>
          <w:rFonts w:asciiTheme="majorBidi" w:hAnsiTheme="majorBidi" w:cstheme="majorBidi"/>
          <w:sz w:val="24"/>
          <w:szCs w:val="24"/>
        </w:rPr>
        <w:t xml:space="preserve"> the frame which seeks to contain it and actively comment upon it, rather than the traditional method by which the framed story often serves as a condensed parable elucidating the surrounding action. </w:t>
      </w:r>
    </w:p>
    <w:p w14:paraId="7D990486" w14:textId="465C6BD8" w:rsidR="00C111D3" w:rsidRPr="00505CF0" w:rsidRDefault="00C111D3" w:rsidP="00F74C38">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As </w:t>
      </w:r>
      <w:r w:rsidRPr="00505CF0">
        <w:rPr>
          <w:rFonts w:asciiTheme="majorBidi" w:hAnsiTheme="majorBidi" w:cstheme="majorBidi"/>
          <w:i/>
          <w:sz w:val="24"/>
          <w:szCs w:val="24"/>
        </w:rPr>
        <w:t xml:space="preserve">Nox </w:t>
      </w:r>
      <w:r w:rsidRPr="00505CF0">
        <w:rPr>
          <w:rFonts w:asciiTheme="majorBidi" w:hAnsiTheme="majorBidi" w:cstheme="majorBidi"/>
          <w:sz w:val="24"/>
          <w:szCs w:val="24"/>
        </w:rPr>
        <w:t xml:space="preserve">is to </w:t>
      </w:r>
      <w:r w:rsidRPr="00505CF0">
        <w:rPr>
          <w:rFonts w:asciiTheme="majorBidi" w:hAnsiTheme="majorBidi" w:cstheme="majorBidi"/>
          <w:i/>
          <w:sz w:val="24"/>
          <w:szCs w:val="24"/>
        </w:rPr>
        <w:t>The Unfortunates,</w:t>
      </w:r>
      <w:r w:rsidR="00F74C38">
        <w:rPr>
          <w:rFonts w:asciiTheme="majorBidi" w:hAnsiTheme="majorBidi" w:cstheme="majorBidi"/>
          <w:sz w:val="24"/>
          <w:szCs w:val="24"/>
        </w:rPr>
        <w:t xml:space="preserve"> so</w:t>
      </w:r>
      <w:r w:rsidR="002970D1">
        <w:rPr>
          <w:rFonts w:asciiTheme="majorBidi" w:hAnsiTheme="majorBidi" w:cstheme="majorBidi"/>
          <w:sz w:val="24"/>
          <w:szCs w:val="24"/>
        </w:rPr>
        <w:t xml:space="preserve"> to</w:t>
      </w:r>
      <w:r w:rsidR="00F74C38">
        <w:rPr>
          <w:rFonts w:asciiTheme="majorBidi" w:hAnsiTheme="majorBidi" w:cstheme="majorBidi"/>
          <w:sz w:val="24"/>
          <w:szCs w:val="24"/>
        </w:rPr>
        <w:t xml:space="preserve"> </w:t>
      </w:r>
      <w:proofErr w:type="gramStart"/>
      <w:r w:rsidR="00F74C38">
        <w:rPr>
          <w:rFonts w:asciiTheme="majorBidi" w:hAnsiTheme="majorBidi" w:cstheme="majorBidi"/>
          <w:sz w:val="24"/>
          <w:szCs w:val="24"/>
        </w:rPr>
        <w:t>is</w:t>
      </w:r>
      <w:proofErr w:type="gramEnd"/>
      <w:r w:rsidRPr="00505CF0">
        <w:rPr>
          <w:rFonts w:asciiTheme="majorBidi" w:hAnsiTheme="majorBidi" w:cstheme="majorBidi"/>
          <w:sz w:val="24"/>
          <w:szCs w:val="24"/>
        </w:rPr>
        <w:t xml:space="preserve"> Jeremy Dyson’s </w:t>
      </w:r>
      <w:r w:rsidRPr="00505CF0">
        <w:rPr>
          <w:rFonts w:asciiTheme="majorBidi" w:hAnsiTheme="majorBidi" w:cstheme="majorBidi"/>
          <w:i/>
          <w:sz w:val="24"/>
          <w:szCs w:val="24"/>
        </w:rPr>
        <w:t>The Haunted Book</w:t>
      </w:r>
      <w:r w:rsidRPr="00505CF0">
        <w:rPr>
          <w:rFonts w:asciiTheme="majorBidi" w:hAnsiTheme="majorBidi" w:cstheme="majorBidi"/>
          <w:sz w:val="24"/>
          <w:szCs w:val="24"/>
        </w:rPr>
        <w:t xml:space="preserve"> (2012) to </w:t>
      </w:r>
      <w:r w:rsidRPr="00505CF0">
        <w:rPr>
          <w:rFonts w:asciiTheme="majorBidi" w:hAnsiTheme="majorBidi" w:cstheme="majorBidi"/>
          <w:i/>
          <w:sz w:val="24"/>
          <w:szCs w:val="24"/>
        </w:rPr>
        <w:t>If On A Winter’s Night a Traveller</w:t>
      </w:r>
      <w:r w:rsidRPr="00505CF0">
        <w:rPr>
          <w:rFonts w:asciiTheme="majorBidi" w:hAnsiTheme="majorBidi" w:cstheme="majorBidi"/>
          <w:sz w:val="24"/>
          <w:szCs w:val="24"/>
        </w:rPr>
        <w:t xml:space="preserve">. Dyson’s text, as with Calvino’s, presents a series of frames that never close, though </w:t>
      </w:r>
      <w:r w:rsidRPr="00505CF0">
        <w:rPr>
          <w:rFonts w:asciiTheme="majorBidi" w:hAnsiTheme="majorBidi" w:cstheme="majorBidi"/>
          <w:i/>
          <w:sz w:val="24"/>
          <w:szCs w:val="24"/>
        </w:rPr>
        <w:t>If On A Winter’s Night A Traveller</w:t>
      </w:r>
      <w:r w:rsidRPr="00505CF0">
        <w:rPr>
          <w:rFonts w:asciiTheme="majorBidi" w:hAnsiTheme="majorBidi" w:cstheme="majorBidi"/>
          <w:sz w:val="24"/>
          <w:szCs w:val="24"/>
        </w:rPr>
        <w:t xml:space="preserve"> is perhaps less overtly metafictional (both literally and in Hutcheon’s sense) than </w:t>
      </w:r>
      <w:r w:rsidRPr="00505CF0">
        <w:rPr>
          <w:rFonts w:asciiTheme="majorBidi" w:hAnsiTheme="majorBidi" w:cstheme="majorBidi"/>
          <w:i/>
          <w:sz w:val="24"/>
          <w:szCs w:val="24"/>
        </w:rPr>
        <w:t xml:space="preserve">The Haunted Book. </w:t>
      </w:r>
      <w:r w:rsidRPr="00505CF0">
        <w:rPr>
          <w:rFonts w:asciiTheme="majorBidi" w:hAnsiTheme="majorBidi" w:cstheme="majorBidi"/>
          <w:sz w:val="24"/>
          <w:szCs w:val="24"/>
        </w:rPr>
        <w:t xml:space="preserve">Dyson’s text, then, follows a series of narrators as they work seemingly on the same goal, of the creation of a book of local folklore, before each discovers the work of his predecessor </w:t>
      </w:r>
      <w:r w:rsidR="00F74C38">
        <w:rPr>
          <w:rFonts w:asciiTheme="majorBidi" w:hAnsiTheme="majorBidi" w:cstheme="majorBidi"/>
          <w:sz w:val="24"/>
          <w:szCs w:val="24"/>
        </w:rPr>
        <w:t>of</w:t>
      </w:r>
      <w:r w:rsidRPr="00505CF0">
        <w:rPr>
          <w:rFonts w:asciiTheme="majorBidi" w:hAnsiTheme="majorBidi" w:cstheme="majorBidi"/>
          <w:sz w:val="24"/>
          <w:szCs w:val="24"/>
        </w:rPr>
        <w:t xml:space="preserve"> which the book then becomes a facsimile. The book, in the final few black pages</w:t>
      </w:r>
      <w:r w:rsidR="00F74C38">
        <w:rPr>
          <w:rFonts w:asciiTheme="majorBidi" w:hAnsiTheme="majorBidi" w:cstheme="majorBidi"/>
          <w:sz w:val="24"/>
          <w:szCs w:val="24"/>
        </w:rPr>
        <w:t>,</w:t>
      </w:r>
      <w:r w:rsidRPr="00505CF0">
        <w:rPr>
          <w:rFonts w:asciiTheme="majorBidi" w:hAnsiTheme="majorBidi" w:cstheme="majorBidi"/>
          <w:sz w:val="24"/>
          <w:szCs w:val="24"/>
        </w:rPr>
        <w:t xml:space="preserve"> reveals its true metafictional nature, however, in a manner quite new to the metafictional timeline, by positing the reader as the book itself. The word Book,</w:t>
      </w:r>
      <w:r w:rsidR="00F74C38">
        <w:rPr>
          <w:rFonts w:asciiTheme="majorBidi" w:hAnsiTheme="majorBidi" w:cstheme="majorBidi"/>
          <w:sz w:val="24"/>
          <w:szCs w:val="24"/>
        </w:rPr>
        <w:t xml:space="preserve"> capitalised</w:t>
      </w:r>
      <w:r w:rsidRPr="00505CF0">
        <w:rPr>
          <w:rFonts w:asciiTheme="majorBidi" w:hAnsiTheme="majorBidi" w:cstheme="majorBidi"/>
          <w:sz w:val="24"/>
          <w:szCs w:val="24"/>
        </w:rPr>
        <w:t xml:space="preserve">, is used by a sentient computer programme to remove the Reader, a far-future human, from their surroundings and show them a historical vision of the past. The reader of </w:t>
      </w:r>
      <w:r w:rsidRPr="00505CF0">
        <w:rPr>
          <w:rFonts w:asciiTheme="majorBidi" w:hAnsiTheme="majorBidi" w:cstheme="majorBidi"/>
          <w:i/>
          <w:sz w:val="24"/>
          <w:szCs w:val="24"/>
        </w:rPr>
        <w:t>The Haunted Book</w:t>
      </w:r>
      <w:r w:rsidRPr="00505CF0">
        <w:rPr>
          <w:rFonts w:asciiTheme="majorBidi" w:hAnsiTheme="majorBidi" w:cstheme="majorBidi"/>
          <w:sz w:val="24"/>
          <w:szCs w:val="24"/>
        </w:rPr>
        <w:t xml:space="preserve"> is posited as a Book, an artefact through which an unseen presence is experiencing their life, and whose reading of </w:t>
      </w:r>
      <w:r w:rsidRPr="00505CF0">
        <w:rPr>
          <w:rFonts w:asciiTheme="majorBidi" w:hAnsiTheme="majorBidi" w:cstheme="majorBidi"/>
          <w:i/>
          <w:sz w:val="24"/>
          <w:szCs w:val="24"/>
        </w:rPr>
        <w:t>The Haunted Book</w:t>
      </w:r>
      <w:r w:rsidRPr="00505CF0">
        <w:rPr>
          <w:rFonts w:asciiTheme="majorBidi" w:hAnsiTheme="majorBidi" w:cstheme="majorBidi"/>
          <w:sz w:val="24"/>
          <w:szCs w:val="24"/>
        </w:rPr>
        <w:t xml:space="preserve"> is a computer-generated escape mechanism fo</w:t>
      </w:r>
      <w:r w:rsidR="00F74C38">
        <w:rPr>
          <w:rFonts w:asciiTheme="majorBidi" w:hAnsiTheme="majorBidi" w:cstheme="majorBidi"/>
          <w:sz w:val="24"/>
          <w:szCs w:val="24"/>
        </w:rPr>
        <w:t>r the Reader trapped inside</w:t>
      </w:r>
      <w:r w:rsidRPr="00505CF0">
        <w:rPr>
          <w:rFonts w:asciiTheme="majorBidi" w:hAnsiTheme="majorBidi" w:cstheme="majorBidi"/>
          <w:sz w:val="24"/>
          <w:szCs w:val="24"/>
        </w:rPr>
        <w:t>. The text reverses the roles of reader and text, suggesting that one’s own life, the life of the individual holding the text, is the true novel itself to some unfathomable other, and in doing so comments on the role of fiction itself.</w:t>
      </w:r>
      <w:r w:rsidR="00123DCB">
        <w:rPr>
          <w:rStyle w:val="FootnoteReference"/>
          <w:rFonts w:asciiTheme="majorBidi" w:hAnsiTheme="majorBidi" w:cstheme="majorBidi"/>
          <w:sz w:val="24"/>
          <w:szCs w:val="24"/>
        </w:rPr>
        <w:footnoteReference w:id="696"/>
      </w:r>
      <w:r w:rsidRPr="00505CF0">
        <w:rPr>
          <w:rFonts w:asciiTheme="majorBidi" w:hAnsiTheme="majorBidi" w:cstheme="majorBidi"/>
          <w:sz w:val="24"/>
          <w:szCs w:val="24"/>
        </w:rPr>
        <w:t xml:space="preserve"> </w:t>
      </w:r>
    </w:p>
    <w:p w14:paraId="724F831C" w14:textId="6CF04030"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The next series of tex</w:t>
      </w:r>
      <w:r w:rsidR="00F74C38">
        <w:rPr>
          <w:rFonts w:asciiTheme="majorBidi" w:hAnsiTheme="majorBidi" w:cstheme="majorBidi"/>
          <w:sz w:val="24"/>
          <w:szCs w:val="24"/>
        </w:rPr>
        <w:t>t</w:t>
      </w:r>
      <w:r w:rsidRPr="00505CF0">
        <w:rPr>
          <w:rFonts w:asciiTheme="majorBidi" w:hAnsiTheme="majorBidi" w:cstheme="majorBidi"/>
          <w:sz w:val="24"/>
          <w:szCs w:val="24"/>
        </w:rPr>
        <w:t xml:space="preserve">s in the metafictional timeline come from 2014s </w:t>
      </w:r>
      <w:r w:rsidRPr="00505CF0">
        <w:rPr>
          <w:rFonts w:asciiTheme="majorBidi" w:hAnsiTheme="majorBidi" w:cstheme="majorBidi"/>
          <w:i/>
          <w:sz w:val="24"/>
          <w:szCs w:val="24"/>
        </w:rPr>
        <w:t>Horrorstör</w:t>
      </w:r>
      <w:r w:rsidRPr="00505CF0">
        <w:rPr>
          <w:rFonts w:asciiTheme="majorBidi" w:hAnsiTheme="majorBidi" w:cstheme="majorBidi"/>
          <w:sz w:val="24"/>
          <w:szCs w:val="24"/>
        </w:rPr>
        <w:t xml:space="preserve"> and </w:t>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by Grady Hendrix and Richard Flanagan, respectively. </w:t>
      </w:r>
      <w:r w:rsidRPr="00505CF0">
        <w:rPr>
          <w:rFonts w:asciiTheme="majorBidi" w:hAnsiTheme="majorBidi" w:cstheme="majorBidi"/>
          <w:i/>
          <w:sz w:val="24"/>
          <w:szCs w:val="24"/>
        </w:rPr>
        <w:t xml:space="preserve">Horrorstör </w:t>
      </w:r>
      <w:r w:rsidRPr="00505CF0">
        <w:rPr>
          <w:rFonts w:asciiTheme="majorBidi" w:hAnsiTheme="majorBidi" w:cstheme="majorBidi"/>
          <w:sz w:val="24"/>
          <w:szCs w:val="24"/>
        </w:rPr>
        <w:t xml:space="preserve">presents its text surrounded in the paratextual paraphernalia of a pseudo-Ikea catalogue, with renditions of order forms, store floor maps, and other allusions to the Swedish furniture outlet, here titled </w:t>
      </w:r>
      <w:r w:rsidR="002970D1">
        <w:rPr>
          <w:rFonts w:asciiTheme="majorBidi" w:hAnsiTheme="majorBidi" w:cstheme="majorBidi"/>
          <w:sz w:val="24"/>
          <w:szCs w:val="24"/>
        </w:rPr>
        <w:t>‘</w:t>
      </w:r>
      <w:r w:rsidRPr="00505CF0">
        <w:rPr>
          <w:rFonts w:asciiTheme="majorBidi" w:hAnsiTheme="majorBidi" w:cstheme="majorBidi"/>
          <w:sz w:val="24"/>
          <w:szCs w:val="24"/>
        </w:rPr>
        <w:t>Orsk.</w:t>
      </w:r>
      <w:r w:rsidR="002970D1">
        <w:rPr>
          <w:rFonts w:asciiTheme="majorBidi" w:hAnsiTheme="majorBidi" w:cstheme="majorBidi"/>
          <w:sz w:val="24"/>
          <w:szCs w:val="24"/>
        </w:rPr>
        <w:t>’</w:t>
      </w:r>
      <w:r w:rsidRPr="00505CF0">
        <w:rPr>
          <w:rFonts w:asciiTheme="majorBidi" w:hAnsiTheme="majorBidi" w:cstheme="majorBidi"/>
          <w:sz w:val="24"/>
          <w:szCs w:val="24"/>
        </w:rPr>
        <w:t xml:space="preserve"> While </w:t>
      </w:r>
      <w:r w:rsidRPr="00505CF0">
        <w:rPr>
          <w:rFonts w:asciiTheme="majorBidi" w:hAnsiTheme="majorBidi" w:cstheme="majorBidi"/>
          <w:i/>
          <w:sz w:val="24"/>
          <w:szCs w:val="24"/>
        </w:rPr>
        <w:t xml:space="preserve">Horrorstör </w:t>
      </w:r>
      <w:r w:rsidRPr="00505CF0">
        <w:rPr>
          <w:rFonts w:asciiTheme="majorBidi" w:hAnsiTheme="majorBidi" w:cstheme="majorBidi"/>
          <w:sz w:val="24"/>
          <w:szCs w:val="24"/>
        </w:rPr>
        <w:t xml:space="preserve">is only metafictional in terms of formal play, changing the physical conventions of the text to illustrate and parody, </w:t>
      </w:r>
      <w:r w:rsidRPr="00505CF0">
        <w:rPr>
          <w:rFonts w:asciiTheme="majorBidi" w:hAnsiTheme="majorBidi" w:cstheme="majorBidi"/>
          <w:i/>
          <w:sz w:val="24"/>
          <w:szCs w:val="24"/>
        </w:rPr>
        <w:t>Gould’s Book of Fish</w:t>
      </w:r>
      <w:r w:rsidRPr="00505CF0">
        <w:rPr>
          <w:rFonts w:asciiTheme="majorBidi" w:hAnsiTheme="majorBidi" w:cstheme="majorBidi"/>
          <w:sz w:val="24"/>
          <w:szCs w:val="24"/>
        </w:rPr>
        <w:t xml:space="preserve"> returns to more classical modes of metafiction, as seen in Vonnegut’s works, </w:t>
      </w:r>
      <w:r w:rsidRPr="00505CF0">
        <w:rPr>
          <w:rFonts w:asciiTheme="majorBidi" w:hAnsiTheme="majorBidi" w:cstheme="majorBidi"/>
          <w:i/>
          <w:sz w:val="24"/>
          <w:szCs w:val="24"/>
        </w:rPr>
        <w:t>Willie Master’s Lonesome Wife</w:t>
      </w:r>
      <w:r w:rsidRPr="00505CF0">
        <w:rPr>
          <w:rFonts w:asciiTheme="majorBidi" w:hAnsiTheme="majorBidi" w:cstheme="majorBidi"/>
          <w:sz w:val="24"/>
          <w:szCs w:val="24"/>
        </w:rPr>
        <w:t xml:space="preserve">, and even Lovecraft’s </w:t>
      </w:r>
      <w:r w:rsidRPr="00505CF0">
        <w:rPr>
          <w:rFonts w:asciiTheme="majorBidi" w:hAnsiTheme="majorBidi" w:cstheme="majorBidi"/>
          <w:i/>
          <w:sz w:val="24"/>
          <w:szCs w:val="24"/>
        </w:rPr>
        <w:t>The Unnamable</w:t>
      </w:r>
      <w:r w:rsidR="00F74C38">
        <w:rPr>
          <w:rFonts w:asciiTheme="majorBidi" w:hAnsiTheme="majorBidi" w:cstheme="majorBidi"/>
          <w:i/>
          <w:sz w:val="24"/>
          <w:szCs w:val="24"/>
        </w:rPr>
        <w:t>,</w:t>
      </w:r>
      <w:r w:rsidR="00F74C38">
        <w:rPr>
          <w:rFonts w:asciiTheme="majorBidi" w:hAnsiTheme="majorBidi" w:cstheme="majorBidi"/>
          <w:sz w:val="24"/>
          <w:szCs w:val="24"/>
        </w:rPr>
        <w:t xml:space="preserve"> through it</w:t>
      </w:r>
      <w:r w:rsidRPr="00505CF0">
        <w:rPr>
          <w:rFonts w:asciiTheme="majorBidi" w:hAnsiTheme="majorBidi" w:cstheme="majorBidi"/>
          <w:sz w:val="24"/>
          <w:szCs w:val="24"/>
        </w:rPr>
        <w:t>s use of</w:t>
      </w:r>
      <w:r w:rsidR="00F74C38">
        <w:rPr>
          <w:rFonts w:asciiTheme="majorBidi" w:hAnsiTheme="majorBidi" w:cstheme="majorBidi"/>
          <w:sz w:val="24"/>
          <w:szCs w:val="24"/>
        </w:rPr>
        <w:t xml:space="preserve"> metafictional devices to emphasize</w:t>
      </w:r>
      <w:r w:rsidRPr="00505CF0">
        <w:rPr>
          <w:rFonts w:asciiTheme="majorBidi" w:hAnsiTheme="majorBidi" w:cstheme="majorBidi"/>
          <w:sz w:val="24"/>
          <w:szCs w:val="24"/>
        </w:rPr>
        <w:t xml:space="preserve"> the inherent value of fiction. </w:t>
      </w:r>
      <w:r w:rsidRPr="00505CF0">
        <w:rPr>
          <w:rFonts w:asciiTheme="majorBidi" w:hAnsiTheme="majorBidi" w:cstheme="majorBidi"/>
          <w:i/>
          <w:sz w:val="24"/>
          <w:szCs w:val="24"/>
        </w:rPr>
        <w:t>Gould’s</w:t>
      </w:r>
      <w:r w:rsidRPr="00505CF0">
        <w:rPr>
          <w:rFonts w:asciiTheme="majorBidi" w:hAnsiTheme="majorBidi" w:cstheme="majorBidi"/>
          <w:sz w:val="24"/>
          <w:szCs w:val="24"/>
        </w:rPr>
        <w:t xml:space="preserve"> sees </w:t>
      </w:r>
      <w:r w:rsidR="00F74C38">
        <w:rPr>
          <w:rFonts w:asciiTheme="majorBidi" w:hAnsiTheme="majorBidi" w:cstheme="majorBidi"/>
          <w:sz w:val="24"/>
          <w:szCs w:val="24"/>
        </w:rPr>
        <w:t xml:space="preserve">the </w:t>
      </w:r>
      <w:r w:rsidRPr="00505CF0">
        <w:rPr>
          <w:rFonts w:asciiTheme="majorBidi" w:hAnsiTheme="majorBidi" w:cstheme="majorBidi"/>
          <w:sz w:val="24"/>
          <w:szCs w:val="24"/>
        </w:rPr>
        <w:t xml:space="preserve">narrator, Sid Hammet, desperate to validate the Book of Fish, which he finds while disillusioned with his criminal enterprises. The book, considered a fake, a forgery, or even worthless, is inherently valuable to Hammet as it describes the life of the convict William Buelow Gould, a convict who achieved transcendence despite his criminal life, an attractive prospect to the disillusioned narrator. Hammet and Gould’s narratives begin to blur, with several iterations of the book of fish appearing throughout Gould’s narrative, and even sections of his own frame narrative appearing, tellingly, within the pages of records which will exonerate Gould; Hammet finds reprieve from his ennui via Gould’s text, and Gould’s reprieve will apparently come via Hammet’s written frame. </w:t>
      </w:r>
    </w:p>
    <w:p w14:paraId="6F65C1E1" w14:textId="698866FB" w:rsidR="00C111D3" w:rsidRPr="00505CF0" w:rsidRDefault="00C111D3" w:rsidP="00D60AA1">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Finally, the </w:t>
      </w:r>
      <w:r w:rsidR="00F74C38">
        <w:rPr>
          <w:rFonts w:asciiTheme="majorBidi" w:hAnsiTheme="majorBidi" w:cstheme="majorBidi"/>
          <w:sz w:val="24"/>
          <w:szCs w:val="24"/>
        </w:rPr>
        <w:t xml:space="preserve">most </w:t>
      </w:r>
      <w:r w:rsidRPr="00505CF0">
        <w:rPr>
          <w:rFonts w:asciiTheme="majorBidi" w:hAnsiTheme="majorBidi" w:cstheme="majorBidi"/>
          <w:sz w:val="24"/>
          <w:szCs w:val="24"/>
        </w:rPr>
        <w:t xml:space="preserve">recent metafictional text to date, and the novel which ends this discussion, is that of Zachary Thomas Dodson’s </w:t>
      </w:r>
      <w:r w:rsidRPr="00505CF0">
        <w:rPr>
          <w:rFonts w:asciiTheme="majorBidi" w:hAnsiTheme="majorBidi" w:cstheme="majorBidi"/>
          <w:i/>
          <w:sz w:val="24"/>
          <w:szCs w:val="24"/>
        </w:rPr>
        <w:t>Bats of the Republic</w:t>
      </w:r>
      <w:r w:rsidRPr="00505CF0">
        <w:rPr>
          <w:rFonts w:asciiTheme="majorBidi" w:hAnsiTheme="majorBidi" w:cstheme="majorBidi"/>
          <w:sz w:val="24"/>
          <w:szCs w:val="24"/>
        </w:rPr>
        <w:t xml:space="preserve"> (2017)</w:t>
      </w:r>
      <w:r w:rsidR="00F74C38">
        <w:rPr>
          <w:rFonts w:asciiTheme="majorBidi" w:hAnsiTheme="majorBidi" w:cstheme="majorBidi"/>
          <w:sz w:val="24"/>
          <w:szCs w:val="24"/>
        </w:rPr>
        <w:t>,</w:t>
      </w:r>
      <w:r w:rsidRPr="00505CF0">
        <w:rPr>
          <w:rFonts w:asciiTheme="majorBidi" w:hAnsiTheme="majorBidi" w:cstheme="majorBidi"/>
          <w:sz w:val="24"/>
          <w:szCs w:val="24"/>
        </w:rPr>
        <w:t xml:space="preserve"> which subverts standard novel typographical practices, blurring several modes – epistolary, romance novel, sci-fi novel, supernatural bildungsroman – into</w:t>
      </w:r>
      <w:r w:rsidR="00D60AA1">
        <w:rPr>
          <w:rFonts w:asciiTheme="majorBidi" w:hAnsiTheme="majorBidi" w:cstheme="majorBidi"/>
          <w:sz w:val="24"/>
          <w:szCs w:val="24"/>
        </w:rPr>
        <w:t xml:space="preserve"> one continuous story. The text also includes</w:t>
      </w:r>
      <w:r w:rsidRPr="00505CF0">
        <w:rPr>
          <w:rFonts w:asciiTheme="majorBidi" w:hAnsiTheme="majorBidi" w:cstheme="majorBidi"/>
          <w:sz w:val="24"/>
          <w:szCs w:val="24"/>
        </w:rPr>
        <w:t xml:space="preserve"> a sealed envelope at the end of the book, which the reader must open and therein find the final chapter, though they are invited to form an infinite loop from the contents, reading them endlessly. </w:t>
      </w:r>
      <w:r w:rsidRPr="00505CF0">
        <w:rPr>
          <w:rFonts w:asciiTheme="majorBidi" w:hAnsiTheme="majorBidi" w:cstheme="majorBidi"/>
          <w:i/>
          <w:sz w:val="24"/>
          <w:szCs w:val="24"/>
        </w:rPr>
        <w:t>Bats of the Republic</w:t>
      </w:r>
      <w:r w:rsidRPr="00505CF0">
        <w:rPr>
          <w:rFonts w:asciiTheme="majorBidi" w:hAnsiTheme="majorBidi" w:cstheme="majorBidi"/>
          <w:sz w:val="24"/>
          <w:szCs w:val="24"/>
        </w:rPr>
        <w:t xml:space="preserve"> presents two distinct narratives, each claiming to be the author of the other, yet both telling an essentially similar story about an increasingly similar cast of characters, forcing the reader into an uncertain limbo between the fictions in which they must decide their own personal interpretation of textual hierarchy. The text, as in </w:t>
      </w:r>
      <w:r w:rsidRPr="00505CF0">
        <w:rPr>
          <w:rFonts w:asciiTheme="majorBidi" w:hAnsiTheme="majorBidi" w:cstheme="majorBidi"/>
          <w:i/>
          <w:sz w:val="24"/>
          <w:szCs w:val="24"/>
        </w:rPr>
        <w:t>Gould</w:t>
      </w:r>
      <w:r w:rsidR="00D60AA1">
        <w:rPr>
          <w:rFonts w:asciiTheme="majorBidi" w:hAnsiTheme="majorBidi" w:cstheme="majorBidi"/>
          <w:sz w:val="24"/>
          <w:szCs w:val="24"/>
        </w:rPr>
        <w:t>, is</w:t>
      </w:r>
      <w:r w:rsidRPr="00505CF0">
        <w:rPr>
          <w:rFonts w:asciiTheme="majorBidi" w:hAnsiTheme="majorBidi" w:cstheme="majorBidi"/>
          <w:sz w:val="24"/>
          <w:szCs w:val="24"/>
        </w:rPr>
        <w:t xml:space="preserve"> interspersed with several diagrams of animals, though here serving to depict the protagonist, Zadock Thomas, as he sinks seemingly into insanity. Such metafi</w:t>
      </w:r>
      <w:r w:rsidR="00D60AA1">
        <w:rPr>
          <w:rFonts w:asciiTheme="majorBidi" w:hAnsiTheme="majorBidi" w:cstheme="majorBidi"/>
          <w:sz w:val="24"/>
          <w:szCs w:val="24"/>
        </w:rPr>
        <w:t>ctional techniques employed (dua</w:t>
      </w:r>
      <w:r w:rsidRPr="00505CF0">
        <w:rPr>
          <w:rFonts w:asciiTheme="majorBidi" w:hAnsiTheme="majorBidi" w:cstheme="majorBidi"/>
          <w:sz w:val="24"/>
          <w:szCs w:val="24"/>
        </w:rPr>
        <w:t xml:space="preserve">l narratives, conflicting authors, overt references to writing, the mixing of genres and forms) serve, as in the majority of metamodern metafictions, to emphasise authorial intent; no longer merely a tool for the subversion of outmoded novel conventions, </w:t>
      </w:r>
      <w:r w:rsidRPr="00505CF0">
        <w:rPr>
          <w:rFonts w:asciiTheme="majorBidi" w:hAnsiTheme="majorBidi" w:cstheme="majorBidi"/>
          <w:i/>
          <w:sz w:val="24"/>
          <w:szCs w:val="24"/>
        </w:rPr>
        <w:t>Bats of the Republic</w:t>
      </w:r>
      <w:r w:rsidRPr="00505CF0">
        <w:rPr>
          <w:rFonts w:asciiTheme="majorBidi" w:hAnsiTheme="majorBidi" w:cstheme="majorBidi"/>
          <w:sz w:val="24"/>
          <w:szCs w:val="24"/>
        </w:rPr>
        <w:t xml:space="preserve">, among its contemporaries, serves as an exemplar text of the increasing number of metamodern metafictions which </w:t>
      </w:r>
      <w:r w:rsidRPr="00505CF0">
        <w:rPr>
          <w:rFonts w:asciiTheme="majorBidi" w:hAnsiTheme="majorBidi" w:cstheme="majorBidi"/>
          <w:i/>
          <w:sz w:val="24"/>
          <w:szCs w:val="24"/>
        </w:rPr>
        <w:t>use</w:t>
      </w:r>
      <w:r w:rsidRPr="00505CF0">
        <w:rPr>
          <w:rFonts w:asciiTheme="majorBidi" w:hAnsiTheme="majorBidi" w:cstheme="majorBidi"/>
          <w:sz w:val="24"/>
          <w:szCs w:val="24"/>
        </w:rPr>
        <w:t xml:space="preserve"> metafictional practice not merely to destabilise for its own sake, but to destabilise the ontological levels of the text to allow the reader access to a more sincere, emotive authorial concern. Such concerns, however, often fail to find their target given metafiction’s negative critical reception. As one reviewer of </w:t>
      </w:r>
      <w:r w:rsidRPr="00505CF0">
        <w:rPr>
          <w:rFonts w:asciiTheme="majorBidi" w:hAnsiTheme="majorBidi" w:cstheme="majorBidi"/>
          <w:i/>
          <w:sz w:val="24"/>
          <w:szCs w:val="24"/>
        </w:rPr>
        <w:t>Gould</w:t>
      </w:r>
      <w:r w:rsidRPr="00505CF0">
        <w:rPr>
          <w:rFonts w:asciiTheme="majorBidi" w:hAnsiTheme="majorBidi" w:cstheme="majorBidi"/>
          <w:sz w:val="24"/>
          <w:szCs w:val="24"/>
        </w:rPr>
        <w:t xml:space="preserve"> writes:</w:t>
      </w:r>
    </w:p>
    <w:p w14:paraId="2DCBC68E" w14:textId="77777777" w:rsidR="00C111D3" w:rsidRPr="00505CF0" w:rsidRDefault="00C111D3" w:rsidP="004C3EE0">
      <w:pPr>
        <w:ind w:left="737" w:right="737"/>
        <w:jc w:val="both"/>
        <w:rPr>
          <w:rFonts w:asciiTheme="majorBidi" w:hAnsiTheme="majorBidi" w:cstheme="majorBidi"/>
          <w:sz w:val="24"/>
          <w:szCs w:val="24"/>
        </w:rPr>
      </w:pPr>
    </w:p>
    <w:p w14:paraId="7D8D0C20"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When Gould witnesses his own book - and this one - burning in a fire, one can only groan; we've heard all this before. If we've read our Calvino and our Borges, we get the joke; if we haven't, where is the joke?</w:t>
      </w:r>
      <w:r w:rsidRPr="00505CF0">
        <w:rPr>
          <w:rStyle w:val="FootnoteReference"/>
          <w:rFonts w:asciiTheme="majorBidi" w:hAnsiTheme="majorBidi" w:cstheme="majorBidi"/>
          <w:sz w:val="24"/>
          <w:szCs w:val="24"/>
        </w:rPr>
        <w:footnoteReference w:id="697"/>
      </w:r>
    </w:p>
    <w:p w14:paraId="27171FF6" w14:textId="77777777" w:rsidR="00C111D3" w:rsidRPr="00505CF0" w:rsidRDefault="00C111D3" w:rsidP="004C3EE0">
      <w:pPr>
        <w:spacing w:line="480" w:lineRule="auto"/>
        <w:jc w:val="both"/>
        <w:rPr>
          <w:rFonts w:asciiTheme="majorBidi" w:hAnsiTheme="majorBidi" w:cstheme="majorBidi"/>
          <w:sz w:val="24"/>
          <w:szCs w:val="24"/>
        </w:rPr>
      </w:pPr>
    </w:p>
    <w:p w14:paraId="3D31EF6B" w14:textId="2FD33587" w:rsidR="00C111D3" w:rsidRDefault="00C111D3" w:rsidP="004C3EE0">
      <w:pPr>
        <w:spacing w:line="480" w:lineRule="auto"/>
        <w:jc w:val="both"/>
        <w:rPr>
          <w:rFonts w:asciiTheme="majorBidi" w:hAnsiTheme="majorBidi" w:cstheme="majorBidi"/>
          <w:sz w:val="24"/>
          <w:szCs w:val="24"/>
        </w:rPr>
      </w:pPr>
    </w:p>
    <w:p w14:paraId="3FBAA78D" w14:textId="54B93D4E" w:rsidR="00C111D3" w:rsidRDefault="00C111D3" w:rsidP="004C3EE0">
      <w:pPr>
        <w:spacing w:line="480" w:lineRule="auto"/>
        <w:jc w:val="both"/>
        <w:rPr>
          <w:rFonts w:asciiTheme="majorBidi" w:hAnsiTheme="majorBidi" w:cstheme="majorBidi"/>
          <w:b/>
          <w:sz w:val="32"/>
          <w:szCs w:val="32"/>
        </w:rPr>
      </w:pPr>
      <w:r w:rsidRPr="00505CF0">
        <w:rPr>
          <w:rFonts w:asciiTheme="majorBidi" w:hAnsiTheme="majorBidi" w:cstheme="majorBidi"/>
          <w:b/>
          <w:sz w:val="32"/>
          <w:szCs w:val="32"/>
        </w:rPr>
        <w:t>3</w:t>
      </w:r>
      <w:r w:rsidRPr="00505CF0">
        <w:rPr>
          <w:rFonts w:asciiTheme="majorBidi" w:hAnsiTheme="majorBidi" w:cstheme="majorBidi"/>
          <w:b/>
          <w:sz w:val="32"/>
          <w:szCs w:val="32"/>
        </w:rPr>
        <w:tab/>
        <w:t>The Ouroboros</w:t>
      </w:r>
      <w:r w:rsidR="00973D1A" w:rsidRPr="00505CF0">
        <w:rPr>
          <w:rStyle w:val="FootnoteReference"/>
          <w:rFonts w:asciiTheme="majorBidi" w:hAnsiTheme="majorBidi" w:cstheme="majorBidi"/>
          <w:sz w:val="24"/>
          <w:szCs w:val="24"/>
        </w:rPr>
        <w:footnoteReference w:id="698"/>
      </w:r>
    </w:p>
    <w:p w14:paraId="6CDC1958" w14:textId="77777777" w:rsidR="0094764F" w:rsidRPr="00505CF0" w:rsidRDefault="0094764F" w:rsidP="00973D1A">
      <w:pPr>
        <w:spacing w:line="240" w:lineRule="auto"/>
        <w:jc w:val="both"/>
        <w:rPr>
          <w:rFonts w:asciiTheme="majorBidi" w:hAnsiTheme="majorBidi" w:cstheme="majorBidi"/>
          <w:b/>
          <w:sz w:val="32"/>
          <w:szCs w:val="32"/>
        </w:rPr>
      </w:pPr>
    </w:p>
    <w:p w14:paraId="76BA913B" w14:textId="77777777" w:rsidR="00C111D3" w:rsidRPr="00505CF0" w:rsidRDefault="00C111D3" w:rsidP="004C3EE0">
      <w:pPr>
        <w:spacing w:line="480" w:lineRule="auto"/>
        <w:jc w:val="both"/>
        <w:rPr>
          <w:rFonts w:asciiTheme="majorBidi" w:hAnsiTheme="majorBidi" w:cstheme="majorBidi"/>
          <w:b/>
          <w:sz w:val="28"/>
          <w:szCs w:val="28"/>
        </w:rPr>
      </w:pPr>
      <w:r w:rsidRPr="00505CF0">
        <w:rPr>
          <w:rFonts w:asciiTheme="majorBidi" w:hAnsiTheme="majorBidi" w:cstheme="majorBidi"/>
          <w:b/>
          <w:sz w:val="28"/>
          <w:szCs w:val="28"/>
        </w:rPr>
        <w:t>3.1</w:t>
      </w:r>
      <w:r w:rsidRPr="00505CF0">
        <w:rPr>
          <w:rFonts w:asciiTheme="majorBidi" w:hAnsiTheme="majorBidi" w:cstheme="majorBidi"/>
          <w:b/>
          <w:sz w:val="28"/>
          <w:szCs w:val="28"/>
        </w:rPr>
        <w:tab/>
        <w:t>Post-Postmodern Metafiction</w:t>
      </w:r>
    </w:p>
    <w:p w14:paraId="6E62696F" w14:textId="77777777" w:rsidR="00C111D3" w:rsidRPr="00505CF0" w:rsidRDefault="00C111D3" w:rsidP="004C3EE0">
      <w:pPr>
        <w:spacing w:line="480" w:lineRule="auto"/>
        <w:jc w:val="both"/>
        <w:rPr>
          <w:rFonts w:asciiTheme="majorBidi" w:hAnsiTheme="majorBidi" w:cstheme="majorBidi"/>
          <w:b/>
          <w:sz w:val="24"/>
          <w:szCs w:val="24"/>
          <w:u w:val="single"/>
        </w:rPr>
      </w:pPr>
    </w:p>
    <w:p w14:paraId="5073C1D5" w14:textId="01036782" w:rsidR="00C111D3" w:rsidRPr="00505CF0" w:rsidRDefault="00C111D3" w:rsidP="00D60AA1">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The movement into the post-postmodern era seemingly heralde</w:t>
      </w:r>
      <w:r w:rsidR="00D60AA1">
        <w:rPr>
          <w:rFonts w:asciiTheme="majorBidi" w:hAnsiTheme="majorBidi" w:cstheme="majorBidi"/>
          <w:sz w:val="24"/>
          <w:szCs w:val="24"/>
        </w:rPr>
        <w:t>d a crisi</w:t>
      </w:r>
      <w:r w:rsidRPr="00505CF0">
        <w:rPr>
          <w:rFonts w:asciiTheme="majorBidi" w:hAnsiTheme="majorBidi" w:cstheme="majorBidi"/>
          <w:sz w:val="24"/>
          <w:szCs w:val="24"/>
        </w:rPr>
        <w:t>s for the metafictional form. No longer the dominant mode of ideological expression, irony was now depicted as the enemy of progress, and a certain societal desire for post-ironic, sincere forms of express</w:t>
      </w:r>
      <w:r w:rsidR="00D60AA1">
        <w:rPr>
          <w:rFonts w:asciiTheme="majorBidi" w:hAnsiTheme="majorBidi" w:cstheme="majorBidi"/>
          <w:sz w:val="24"/>
          <w:szCs w:val="24"/>
        </w:rPr>
        <w:t>ion has emerged in the wake of p</w:t>
      </w:r>
      <w:r w:rsidRPr="00505CF0">
        <w:rPr>
          <w:rFonts w:asciiTheme="majorBidi" w:hAnsiTheme="majorBidi" w:cstheme="majorBidi"/>
          <w:sz w:val="24"/>
          <w:szCs w:val="24"/>
        </w:rPr>
        <w:t xml:space="preserve">ostmodernism’s apparent demise. How, then, would such a form as metafiction survive, given its status as a form seemingly intrinsically linked to ideas of irony, pastiche, </w:t>
      </w:r>
      <w:r w:rsidR="00BE1BD1">
        <w:rPr>
          <w:rFonts w:asciiTheme="majorBidi" w:hAnsiTheme="majorBidi" w:cstheme="majorBidi"/>
          <w:sz w:val="24"/>
          <w:szCs w:val="24"/>
        </w:rPr>
        <w:t xml:space="preserve">and </w:t>
      </w:r>
      <w:r w:rsidRPr="00505CF0">
        <w:rPr>
          <w:rFonts w:asciiTheme="majorBidi" w:hAnsiTheme="majorBidi" w:cstheme="majorBidi"/>
          <w:sz w:val="24"/>
          <w:szCs w:val="24"/>
        </w:rPr>
        <w:t>parody, that such critics as Vermeulen and van den Akker deride as no longer able to represent the societal zeitgeist. Indeed, metafiction seems doomed to a conjoined</w:t>
      </w:r>
      <w:r w:rsidRPr="00505CF0">
        <w:rPr>
          <w:rStyle w:val="FootnoteReference"/>
          <w:rFonts w:asciiTheme="majorBidi" w:hAnsiTheme="majorBidi" w:cstheme="majorBidi"/>
          <w:sz w:val="24"/>
          <w:szCs w:val="24"/>
        </w:rPr>
        <w:footnoteReference w:id="699"/>
      </w:r>
      <w:r w:rsidRPr="00505CF0">
        <w:rPr>
          <w:rFonts w:asciiTheme="majorBidi" w:hAnsiTheme="majorBidi" w:cstheme="majorBidi"/>
          <w:sz w:val="24"/>
          <w:szCs w:val="24"/>
        </w:rPr>
        <w:t xml:space="preserve"> relationship with the postmodern paradigm and to fade alongside it, as Daniel Grausam signposts:</w:t>
      </w:r>
    </w:p>
    <w:p w14:paraId="03DFE19F" w14:textId="77777777" w:rsidR="00C111D3" w:rsidRPr="00505CF0" w:rsidRDefault="00C111D3" w:rsidP="004C3EE0">
      <w:pPr>
        <w:jc w:val="both"/>
        <w:rPr>
          <w:rFonts w:asciiTheme="majorBidi" w:hAnsiTheme="majorBidi" w:cstheme="majorBidi"/>
          <w:sz w:val="24"/>
          <w:szCs w:val="24"/>
        </w:rPr>
      </w:pPr>
    </w:p>
    <w:p w14:paraId="3EDF510D"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Though recent scholarship has given us a sense of the historical investigations of postmodernism, the more extreme forms of metafiction that emerged in the 1960s have largely been relegated to the dustbin of history: even a critic as attentive to the historiographic interests of so much postmodern fiction as Linda Hutcheon has been interested in drawing lines that separate historiographic metafiction […] from the less-obviously referential forms of metafiction.</w:t>
      </w:r>
      <w:r w:rsidRPr="00505CF0">
        <w:rPr>
          <w:rStyle w:val="FootnoteReference"/>
          <w:rFonts w:asciiTheme="majorBidi" w:hAnsiTheme="majorBidi" w:cstheme="majorBidi"/>
          <w:sz w:val="24"/>
          <w:szCs w:val="24"/>
        </w:rPr>
        <w:footnoteReference w:id="700"/>
      </w:r>
    </w:p>
    <w:p w14:paraId="183533B8" w14:textId="77777777"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r>
    </w:p>
    <w:p w14:paraId="4C0DE512" w14:textId="57C2BE59" w:rsidR="00C111D3" w:rsidRPr="00505CF0" w:rsidRDefault="00C111D3" w:rsidP="00D60AA1">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As critics seemingly flee the sinking ship of metafictional ideology, however, metafictional practice continues to appear within contemporary literary production, though with significantly less formal experimentation occurring than during the ‘golden age’ of the </w:t>
      </w:r>
      <w:r w:rsidR="00D60AA1">
        <w:rPr>
          <w:rFonts w:asciiTheme="majorBidi" w:hAnsiTheme="majorBidi" w:cstheme="majorBidi"/>
          <w:sz w:val="24"/>
          <w:szCs w:val="24"/>
        </w:rPr>
        <w:t>1960s and 1970s</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701"/>
      </w:r>
      <w:r w:rsidRPr="00505CF0">
        <w:rPr>
          <w:rFonts w:asciiTheme="majorBidi" w:hAnsiTheme="majorBidi" w:cstheme="majorBidi"/>
          <w:sz w:val="24"/>
          <w:szCs w:val="24"/>
        </w:rPr>
        <w:t xml:space="preserve"> Metamodern </w:t>
      </w:r>
      <w:proofErr w:type="gramStart"/>
      <w:r w:rsidRPr="00505CF0">
        <w:rPr>
          <w:rFonts w:asciiTheme="majorBidi" w:hAnsiTheme="majorBidi" w:cstheme="majorBidi"/>
          <w:sz w:val="24"/>
          <w:szCs w:val="24"/>
        </w:rPr>
        <w:t>metafiction,</w:t>
      </w:r>
      <w:proofErr w:type="gramEnd"/>
      <w:r w:rsidRPr="00505CF0">
        <w:rPr>
          <w:rFonts w:asciiTheme="majorBidi" w:hAnsiTheme="majorBidi" w:cstheme="majorBidi"/>
          <w:sz w:val="24"/>
          <w:szCs w:val="24"/>
        </w:rPr>
        <w:t xml:space="preserve"> may continue to be labelled as ‘a hackneyed bit of self-indulgent postmodernism,’</w:t>
      </w:r>
      <w:r w:rsidRPr="00505CF0">
        <w:rPr>
          <w:rStyle w:val="FootnoteReference"/>
          <w:rFonts w:asciiTheme="majorBidi" w:hAnsiTheme="majorBidi" w:cstheme="majorBidi"/>
          <w:sz w:val="24"/>
          <w:szCs w:val="24"/>
        </w:rPr>
        <w:footnoteReference w:id="702"/>
      </w:r>
      <w:r w:rsidRPr="00505CF0">
        <w:rPr>
          <w:rFonts w:asciiTheme="majorBidi" w:hAnsiTheme="majorBidi" w:cstheme="majorBidi"/>
          <w:sz w:val="24"/>
          <w:szCs w:val="24"/>
        </w:rPr>
        <w:t xml:space="preserve"> or an </w:t>
      </w:r>
      <w:r w:rsidR="00D60AA1">
        <w:rPr>
          <w:rFonts w:asciiTheme="majorBidi" w:hAnsiTheme="majorBidi" w:cstheme="majorBidi"/>
          <w:sz w:val="24"/>
          <w:szCs w:val="24"/>
        </w:rPr>
        <w:t>undeniable manifestation of this,</w:t>
      </w:r>
      <w:r w:rsidRPr="00505CF0">
        <w:rPr>
          <w:rStyle w:val="FootnoteReference"/>
          <w:rFonts w:asciiTheme="majorBidi" w:hAnsiTheme="majorBidi" w:cstheme="majorBidi"/>
          <w:sz w:val="24"/>
          <w:szCs w:val="24"/>
        </w:rPr>
        <w:footnoteReference w:id="703"/>
      </w:r>
      <w:r w:rsidRPr="00505CF0">
        <w:rPr>
          <w:rFonts w:asciiTheme="majorBidi" w:hAnsiTheme="majorBidi" w:cstheme="majorBidi"/>
          <w:sz w:val="24"/>
          <w:szCs w:val="24"/>
        </w:rPr>
        <w:t xml:space="preserve"> yet still finds consistent representation. Metafiction, in fact, lives, and may indeed thrive </w:t>
      </w:r>
      <w:r w:rsidR="00D60AA1">
        <w:rPr>
          <w:rFonts w:asciiTheme="majorBidi" w:hAnsiTheme="majorBidi" w:cstheme="majorBidi"/>
          <w:sz w:val="24"/>
          <w:szCs w:val="24"/>
        </w:rPr>
        <w:t>in the societal oscillation of m</w:t>
      </w:r>
      <w:r w:rsidRPr="00505CF0">
        <w:rPr>
          <w:rFonts w:asciiTheme="majorBidi" w:hAnsiTheme="majorBidi" w:cstheme="majorBidi"/>
          <w:sz w:val="24"/>
          <w:szCs w:val="24"/>
        </w:rPr>
        <w:t>etamodernism, due to the inherent duality of the form; there is a significant part of metafictional practice which flies in the face of the postmodern</w:t>
      </w:r>
      <w:r w:rsidR="000909C9">
        <w:rPr>
          <w:rFonts w:asciiTheme="majorBidi" w:hAnsiTheme="majorBidi" w:cstheme="majorBidi"/>
          <w:sz w:val="24"/>
          <w:szCs w:val="24"/>
        </w:rPr>
        <w:t>, for</w:t>
      </w:r>
      <w:r w:rsidRPr="00505CF0">
        <w:rPr>
          <w:rFonts w:asciiTheme="majorBidi" w:hAnsiTheme="majorBidi" w:cstheme="majorBidi"/>
          <w:sz w:val="24"/>
          <w:szCs w:val="24"/>
        </w:rPr>
        <w:t xml:space="preserve"> as Currie states, ‘the idea of self-consciousness is strangely inconsistent with most postmodern literary theories, which would attribute neither selfhood nor consciousness to an author, let alone a work of fiction.</w:t>
      </w:r>
      <w:r w:rsidR="00D60AA1">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704"/>
      </w:r>
      <w:r w:rsidRPr="00505CF0">
        <w:rPr>
          <w:rFonts w:asciiTheme="majorBidi" w:hAnsiTheme="majorBidi" w:cstheme="majorBidi"/>
          <w:sz w:val="24"/>
          <w:szCs w:val="24"/>
        </w:rPr>
        <w:t xml:space="preserve"> It is just such practices and inconsistencies which may prove to be the salvation of th</w:t>
      </w:r>
      <w:r w:rsidR="00D60AA1">
        <w:rPr>
          <w:rFonts w:asciiTheme="majorBidi" w:hAnsiTheme="majorBidi" w:cstheme="majorBidi"/>
          <w:sz w:val="24"/>
          <w:szCs w:val="24"/>
        </w:rPr>
        <w:t>e form as it endures into post-p</w:t>
      </w:r>
      <w:r w:rsidRPr="00505CF0">
        <w:rPr>
          <w:rFonts w:asciiTheme="majorBidi" w:hAnsiTheme="majorBidi" w:cstheme="majorBidi"/>
          <w:sz w:val="24"/>
          <w:szCs w:val="24"/>
        </w:rPr>
        <w:t xml:space="preserve">ostmodernity. </w:t>
      </w:r>
      <w:proofErr w:type="gramStart"/>
      <w:r w:rsidRPr="00505CF0">
        <w:rPr>
          <w:rFonts w:asciiTheme="majorBidi" w:hAnsiTheme="majorBidi" w:cstheme="majorBidi"/>
          <w:sz w:val="24"/>
          <w:szCs w:val="24"/>
        </w:rPr>
        <w:t xml:space="preserve">In order to answer the questions of how, if not indeed </w:t>
      </w:r>
      <w:r w:rsidRPr="00505CF0">
        <w:rPr>
          <w:rFonts w:asciiTheme="majorBidi" w:hAnsiTheme="majorBidi" w:cstheme="majorBidi"/>
          <w:i/>
          <w:sz w:val="24"/>
          <w:szCs w:val="24"/>
        </w:rPr>
        <w:t>why</w:t>
      </w:r>
      <w:r w:rsidRPr="00505CF0">
        <w:rPr>
          <w:rFonts w:asciiTheme="majorBidi" w:hAnsiTheme="majorBidi" w:cstheme="majorBidi"/>
          <w:sz w:val="24"/>
          <w:szCs w:val="24"/>
        </w:rPr>
        <w:t xml:space="preserve"> the form continues to survive, we first need to examine the inherent duality of the genre.</w:t>
      </w:r>
      <w:proofErr w:type="gramEnd"/>
      <w:r w:rsidRPr="00505CF0">
        <w:rPr>
          <w:rFonts w:asciiTheme="majorBidi" w:hAnsiTheme="majorBidi" w:cstheme="majorBidi"/>
          <w:sz w:val="24"/>
          <w:szCs w:val="24"/>
        </w:rPr>
        <w:t xml:space="preserve">  </w:t>
      </w:r>
    </w:p>
    <w:p w14:paraId="4C19CB77" w14:textId="4A77DBEE" w:rsidR="00C111D3" w:rsidRDefault="00C111D3" w:rsidP="004C3EE0">
      <w:pPr>
        <w:spacing w:line="480" w:lineRule="auto"/>
        <w:jc w:val="both"/>
        <w:rPr>
          <w:rFonts w:asciiTheme="majorBidi" w:hAnsiTheme="majorBidi" w:cstheme="majorBidi"/>
        </w:rPr>
      </w:pPr>
    </w:p>
    <w:p w14:paraId="733D07C2" w14:textId="77777777" w:rsidR="000909C9" w:rsidRPr="00505CF0" w:rsidRDefault="000909C9" w:rsidP="004C3EE0">
      <w:pPr>
        <w:spacing w:line="480" w:lineRule="auto"/>
        <w:jc w:val="both"/>
        <w:rPr>
          <w:rFonts w:asciiTheme="majorBidi" w:hAnsiTheme="majorBidi" w:cstheme="majorBidi"/>
        </w:rPr>
      </w:pPr>
    </w:p>
    <w:p w14:paraId="149F6B9A" w14:textId="77777777" w:rsidR="00C111D3" w:rsidRPr="00505CF0" w:rsidRDefault="00C111D3" w:rsidP="004C3EE0">
      <w:pPr>
        <w:spacing w:line="480" w:lineRule="auto"/>
        <w:jc w:val="both"/>
        <w:rPr>
          <w:rFonts w:asciiTheme="majorBidi" w:hAnsiTheme="majorBidi" w:cstheme="majorBidi"/>
          <w:b/>
          <w:sz w:val="28"/>
          <w:szCs w:val="28"/>
        </w:rPr>
      </w:pPr>
      <w:r w:rsidRPr="00505CF0">
        <w:rPr>
          <w:rFonts w:asciiTheme="majorBidi" w:hAnsiTheme="majorBidi" w:cstheme="majorBidi"/>
          <w:b/>
          <w:sz w:val="28"/>
          <w:szCs w:val="28"/>
        </w:rPr>
        <w:t>3.2</w:t>
      </w:r>
      <w:r w:rsidRPr="00505CF0">
        <w:rPr>
          <w:rFonts w:asciiTheme="majorBidi" w:hAnsiTheme="majorBidi" w:cstheme="majorBidi"/>
          <w:b/>
          <w:sz w:val="28"/>
          <w:szCs w:val="28"/>
        </w:rPr>
        <w:tab/>
        <w:t xml:space="preserve">The Romantic and </w:t>
      </w:r>
      <w:proofErr w:type="gramStart"/>
      <w:r w:rsidRPr="00505CF0">
        <w:rPr>
          <w:rFonts w:asciiTheme="majorBidi" w:hAnsiTheme="majorBidi" w:cstheme="majorBidi"/>
          <w:b/>
          <w:sz w:val="28"/>
          <w:szCs w:val="28"/>
        </w:rPr>
        <w:t>The</w:t>
      </w:r>
      <w:proofErr w:type="gramEnd"/>
      <w:r w:rsidRPr="00505CF0">
        <w:rPr>
          <w:rFonts w:asciiTheme="majorBidi" w:hAnsiTheme="majorBidi" w:cstheme="majorBidi"/>
          <w:b/>
          <w:sz w:val="28"/>
          <w:szCs w:val="28"/>
        </w:rPr>
        <w:t xml:space="preserve"> Burlesque</w:t>
      </w:r>
    </w:p>
    <w:p w14:paraId="42EF9E7B" w14:textId="77777777" w:rsidR="00C111D3" w:rsidRPr="00505CF0" w:rsidRDefault="00C111D3" w:rsidP="004C3EE0">
      <w:pPr>
        <w:spacing w:line="480" w:lineRule="auto"/>
        <w:jc w:val="both"/>
        <w:rPr>
          <w:rFonts w:asciiTheme="majorBidi" w:hAnsiTheme="majorBidi" w:cstheme="majorBidi"/>
        </w:rPr>
      </w:pPr>
    </w:p>
    <w:p w14:paraId="7D9F9C9C" w14:textId="46D2C86F"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Metafiction, as has been suggested, is a field rife with dichotomy and paradox. Hutcheon herself coined at least two distinct dichotomies in the form of the historiographic and traditional metafictions, alongside the identification of ‘</w:t>
      </w:r>
      <w:r w:rsidR="007A56C3">
        <w:rPr>
          <w:rFonts w:asciiTheme="majorBidi" w:hAnsiTheme="majorBidi" w:cstheme="majorBidi"/>
          <w:sz w:val="24"/>
          <w:szCs w:val="24"/>
        </w:rPr>
        <w:t>o</w:t>
      </w:r>
      <w:r w:rsidRPr="00505CF0">
        <w:rPr>
          <w:rFonts w:asciiTheme="majorBidi" w:hAnsiTheme="majorBidi" w:cstheme="majorBidi"/>
          <w:sz w:val="24"/>
          <w:szCs w:val="24"/>
        </w:rPr>
        <w:t>vert’ and ‘</w:t>
      </w:r>
      <w:r w:rsidR="007A56C3">
        <w:rPr>
          <w:rFonts w:asciiTheme="majorBidi" w:hAnsiTheme="majorBidi" w:cstheme="majorBidi"/>
          <w:sz w:val="24"/>
          <w:szCs w:val="24"/>
        </w:rPr>
        <w:t>c</w:t>
      </w:r>
      <w:r w:rsidRPr="00505CF0">
        <w:rPr>
          <w:rFonts w:asciiTheme="majorBidi" w:hAnsiTheme="majorBidi" w:cstheme="majorBidi"/>
          <w:sz w:val="24"/>
          <w:szCs w:val="24"/>
        </w:rPr>
        <w:t>overt’ metafiction, which, respectively, either explicitly signpost their own self-consciousness and ask the reader to engage, or implicitly force the reader to ‘to create a fictive imaginative world separate from the empirical in which he lives’.</w:t>
      </w:r>
      <w:r w:rsidRPr="00505CF0">
        <w:rPr>
          <w:rStyle w:val="FootnoteReference"/>
          <w:rFonts w:asciiTheme="majorBidi" w:hAnsiTheme="majorBidi" w:cstheme="majorBidi"/>
          <w:sz w:val="24"/>
          <w:szCs w:val="24"/>
        </w:rPr>
        <w:footnoteReference w:id="705"/>
      </w:r>
      <w:r w:rsidRPr="00505CF0">
        <w:rPr>
          <w:rFonts w:asciiTheme="majorBidi" w:hAnsiTheme="majorBidi" w:cstheme="majorBidi"/>
          <w:sz w:val="24"/>
          <w:szCs w:val="24"/>
        </w:rPr>
        <w:t xml:space="preserve"> Other splits abound, too, whether the efforts may be classified as fiction or criticism (or both), whether the form </w:t>
      </w:r>
      <w:r w:rsidR="00D60AA1">
        <w:rPr>
          <w:rFonts w:asciiTheme="majorBidi" w:hAnsiTheme="majorBidi" w:cstheme="majorBidi"/>
          <w:sz w:val="24"/>
          <w:szCs w:val="24"/>
        </w:rPr>
        <w:t xml:space="preserve">is the death of the novel or </w:t>
      </w:r>
      <w:proofErr w:type="gramStart"/>
      <w:r w:rsidR="00D60AA1">
        <w:rPr>
          <w:rFonts w:asciiTheme="majorBidi" w:hAnsiTheme="majorBidi" w:cstheme="majorBidi"/>
          <w:sz w:val="24"/>
          <w:szCs w:val="24"/>
        </w:rPr>
        <w:t>it</w:t>
      </w:r>
      <w:r w:rsidRPr="00505CF0">
        <w:rPr>
          <w:rFonts w:asciiTheme="majorBidi" w:hAnsiTheme="majorBidi" w:cstheme="majorBidi"/>
          <w:sz w:val="24"/>
          <w:szCs w:val="24"/>
        </w:rPr>
        <w:t>s</w:t>
      </w:r>
      <w:proofErr w:type="gramEnd"/>
      <w:r w:rsidRPr="00505CF0">
        <w:rPr>
          <w:rFonts w:asciiTheme="majorBidi" w:hAnsiTheme="majorBidi" w:cstheme="majorBidi"/>
          <w:sz w:val="24"/>
          <w:szCs w:val="24"/>
        </w:rPr>
        <w:t xml:space="preserve"> ‘salvation,’</w:t>
      </w:r>
      <w:r w:rsidRPr="00505CF0">
        <w:rPr>
          <w:rStyle w:val="FootnoteReference"/>
          <w:rFonts w:asciiTheme="majorBidi" w:hAnsiTheme="majorBidi" w:cstheme="majorBidi"/>
          <w:sz w:val="24"/>
          <w:szCs w:val="24"/>
        </w:rPr>
        <w:footnoteReference w:id="706"/>
      </w:r>
      <w:r w:rsidRPr="00505CF0">
        <w:rPr>
          <w:rFonts w:asciiTheme="majorBidi" w:hAnsiTheme="majorBidi" w:cstheme="majorBidi"/>
          <w:sz w:val="24"/>
          <w:szCs w:val="24"/>
        </w:rPr>
        <w:t xml:space="preserve"> self-conscious or merely self-obsessed, a paradigm of or partitioned from postmodernism. Yet such ideological splits are as yet unanswered in the field, mostly due to a lack of critical attention, but also due to the sheer impossibility of properly theorising metafiction as a whole:</w:t>
      </w:r>
    </w:p>
    <w:p w14:paraId="6F481B42" w14:textId="77777777" w:rsidR="00C111D3" w:rsidRPr="00505CF0" w:rsidRDefault="00C111D3" w:rsidP="004C3EE0">
      <w:pPr>
        <w:ind w:left="737" w:right="737"/>
        <w:jc w:val="both"/>
        <w:rPr>
          <w:rFonts w:asciiTheme="majorBidi" w:hAnsiTheme="majorBidi" w:cstheme="majorBidi"/>
          <w:sz w:val="24"/>
          <w:szCs w:val="24"/>
        </w:rPr>
      </w:pPr>
    </w:p>
    <w:p w14:paraId="3C4AA64B"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No attempt has been made to propose a comprehensive theory of metafiction. In the first place, any such theory would be reductive, much more reductive than any other theory of the novel in general. This is because the point of </w:t>
      </w:r>
      <w:r w:rsidRPr="00505CF0">
        <w:rPr>
          <w:rFonts w:asciiTheme="majorBidi" w:hAnsiTheme="majorBidi" w:cstheme="majorBidi"/>
          <w:i/>
          <w:iCs/>
          <w:sz w:val="24"/>
          <w:szCs w:val="24"/>
        </w:rPr>
        <w:t>meta</w:t>
      </w:r>
      <w:r w:rsidRPr="00505CF0">
        <w:rPr>
          <w:rFonts w:asciiTheme="majorBidi" w:hAnsiTheme="majorBidi" w:cstheme="majorBidi"/>
          <w:sz w:val="24"/>
          <w:szCs w:val="24"/>
        </w:rPr>
        <w:t>fiction is that it constitutes its own first critical commentary, and in so doing […] sets up the theoretical frame of reference in which it must be considered.</w:t>
      </w:r>
      <w:r w:rsidRPr="00505CF0">
        <w:rPr>
          <w:rStyle w:val="FootnoteReference"/>
          <w:rFonts w:asciiTheme="majorBidi" w:hAnsiTheme="majorBidi" w:cstheme="majorBidi"/>
          <w:sz w:val="24"/>
          <w:szCs w:val="24"/>
        </w:rPr>
        <w:footnoteReference w:id="707"/>
      </w:r>
    </w:p>
    <w:p w14:paraId="16DA53B4" w14:textId="77777777" w:rsidR="00C111D3" w:rsidRPr="00505CF0" w:rsidRDefault="00C111D3" w:rsidP="004C3EE0">
      <w:pPr>
        <w:spacing w:line="480" w:lineRule="auto"/>
        <w:jc w:val="both"/>
        <w:rPr>
          <w:rFonts w:asciiTheme="majorBidi" w:hAnsiTheme="majorBidi" w:cstheme="majorBidi"/>
          <w:sz w:val="24"/>
          <w:szCs w:val="24"/>
        </w:rPr>
      </w:pPr>
    </w:p>
    <w:p w14:paraId="50C9ECAB" w14:textId="565203DD" w:rsidR="00C111D3" w:rsidRPr="00505CF0" w:rsidRDefault="00C111D3" w:rsidP="00D60AA1">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Hutcheon states that there can be no single theory of metafiction, only implications for theory, as a consequence of each metafictional text forming its own, internalised, critical context.</w:t>
      </w:r>
      <w:r w:rsidRPr="00505CF0">
        <w:rPr>
          <w:rStyle w:val="FootnoteReference"/>
          <w:rFonts w:asciiTheme="majorBidi" w:hAnsiTheme="majorBidi" w:cstheme="majorBidi"/>
          <w:sz w:val="24"/>
          <w:szCs w:val="24"/>
        </w:rPr>
        <w:footnoteReference w:id="708"/>
      </w:r>
      <w:r w:rsidRPr="00505CF0">
        <w:rPr>
          <w:rFonts w:asciiTheme="majorBidi" w:hAnsiTheme="majorBidi" w:cstheme="majorBidi"/>
          <w:sz w:val="24"/>
          <w:szCs w:val="24"/>
        </w:rPr>
        <w:t xml:space="preserve"> The aim, then, cannot be to propose a grand metafictional theorem, under wh</w:t>
      </w:r>
      <w:r w:rsidR="00D60AA1">
        <w:rPr>
          <w:rFonts w:asciiTheme="majorBidi" w:hAnsiTheme="majorBidi" w:cstheme="majorBidi"/>
          <w:sz w:val="24"/>
          <w:szCs w:val="24"/>
        </w:rPr>
        <w:t>ich all metafictional impulse is</w:t>
      </w:r>
      <w:r w:rsidRPr="00505CF0">
        <w:rPr>
          <w:rFonts w:asciiTheme="majorBidi" w:hAnsiTheme="majorBidi" w:cstheme="majorBidi"/>
          <w:sz w:val="24"/>
          <w:szCs w:val="24"/>
        </w:rPr>
        <w:t xml:space="preserve"> accounted for and all paradigms explored, yet metafictional texts do not defy categorisation in and of themselves; while the practices employed by each text vary drastically, overt, covert, or otherwise, the field can be seen to produce texts which fall </w:t>
      </w:r>
      <w:r w:rsidR="00BE1BD1">
        <w:rPr>
          <w:rFonts w:asciiTheme="majorBidi" w:hAnsiTheme="majorBidi" w:cstheme="majorBidi"/>
          <w:sz w:val="24"/>
          <w:szCs w:val="24"/>
        </w:rPr>
        <w:t xml:space="preserve">within a specific continuum </w:t>
      </w:r>
      <w:r w:rsidRPr="00505CF0">
        <w:rPr>
          <w:rFonts w:asciiTheme="majorBidi" w:hAnsiTheme="majorBidi" w:cstheme="majorBidi"/>
          <w:sz w:val="24"/>
          <w:szCs w:val="24"/>
        </w:rPr>
        <w:t>that unite</w:t>
      </w:r>
      <w:r w:rsidR="00BE1BD1">
        <w:rPr>
          <w:rFonts w:asciiTheme="majorBidi" w:hAnsiTheme="majorBidi" w:cstheme="majorBidi"/>
          <w:sz w:val="24"/>
          <w:szCs w:val="24"/>
        </w:rPr>
        <w:t>s</w:t>
      </w:r>
      <w:r w:rsidRPr="00505CF0">
        <w:rPr>
          <w:rFonts w:asciiTheme="majorBidi" w:hAnsiTheme="majorBidi" w:cstheme="majorBidi"/>
          <w:sz w:val="24"/>
          <w:szCs w:val="24"/>
        </w:rPr>
        <w:t xml:space="preserve"> the seeming dualities of metafiction. I would like to propose here not an over-arching metafictional theory, but instead a duality of </w:t>
      </w:r>
      <w:r w:rsidR="00BE1BD1">
        <w:rPr>
          <w:rFonts w:asciiTheme="majorBidi" w:hAnsiTheme="majorBidi" w:cstheme="majorBidi"/>
          <w:sz w:val="24"/>
          <w:szCs w:val="24"/>
        </w:rPr>
        <w:t>poles either side of a new spectrum</w:t>
      </w:r>
      <w:r w:rsidR="003E0FB9">
        <w:rPr>
          <w:rFonts w:asciiTheme="majorBidi" w:hAnsiTheme="majorBidi" w:cstheme="majorBidi"/>
          <w:sz w:val="24"/>
          <w:szCs w:val="24"/>
        </w:rPr>
        <w:t>, or rather continuum,</w:t>
      </w:r>
      <w:r w:rsidR="00BE1BD1">
        <w:rPr>
          <w:rFonts w:asciiTheme="majorBidi" w:hAnsiTheme="majorBidi" w:cstheme="majorBidi"/>
          <w:sz w:val="24"/>
          <w:szCs w:val="24"/>
        </w:rPr>
        <w:t xml:space="preserve"> along which the majority of metafictional techniques, and for the most part texts, may be considered. </w:t>
      </w:r>
      <w:proofErr w:type="gramStart"/>
      <w:r w:rsidR="00BE1BD1">
        <w:rPr>
          <w:rFonts w:asciiTheme="majorBidi" w:hAnsiTheme="majorBidi" w:cstheme="majorBidi"/>
          <w:sz w:val="24"/>
          <w:szCs w:val="24"/>
        </w:rPr>
        <w:t>I</w:t>
      </w:r>
      <w:r w:rsidRPr="00505CF0">
        <w:rPr>
          <w:rFonts w:asciiTheme="majorBidi" w:hAnsiTheme="majorBidi" w:cstheme="majorBidi"/>
          <w:sz w:val="24"/>
          <w:szCs w:val="24"/>
        </w:rPr>
        <w:t xml:space="preserve">n doing so, </w:t>
      </w:r>
      <w:r w:rsidR="00AC725A">
        <w:rPr>
          <w:rFonts w:asciiTheme="majorBidi" w:hAnsiTheme="majorBidi" w:cstheme="majorBidi"/>
          <w:sz w:val="24"/>
          <w:szCs w:val="24"/>
        </w:rPr>
        <w:t xml:space="preserve">I will </w:t>
      </w:r>
      <w:r w:rsidRPr="00505CF0">
        <w:rPr>
          <w:rFonts w:asciiTheme="majorBidi" w:hAnsiTheme="majorBidi" w:cstheme="majorBidi"/>
          <w:sz w:val="24"/>
          <w:szCs w:val="24"/>
        </w:rPr>
        <w:t xml:space="preserve">suggest that it is perhaps through the subversion or abandonment of one of these broad categories that metafiction’s future may be assured (and additionally </w:t>
      </w:r>
      <w:r w:rsidRPr="00505CF0">
        <w:rPr>
          <w:rFonts w:asciiTheme="majorBidi" w:hAnsiTheme="majorBidi" w:cstheme="majorBidi"/>
          <w:i/>
          <w:sz w:val="24"/>
          <w:szCs w:val="24"/>
        </w:rPr>
        <w:t>why</w:t>
      </w:r>
      <w:r w:rsidRPr="00505CF0">
        <w:rPr>
          <w:rFonts w:asciiTheme="majorBidi" w:hAnsiTheme="majorBidi" w:cstheme="majorBidi"/>
          <w:sz w:val="24"/>
          <w:szCs w:val="24"/>
        </w:rPr>
        <w:t xml:space="preserve"> it is vital that </w:t>
      </w:r>
      <w:r w:rsidR="00D60AA1">
        <w:rPr>
          <w:rFonts w:asciiTheme="majorBidi" w:hAnsiTheme="majorBidi" w:cstheme="majorBidi"/>
          <w:sz w:val="24"/>
          <w:szCs w:val="24"/>
        </w:rPr>
        <w:t>this</w:t>
      </w:r>
      <w:r w:rsidRPr="00505CF0">
        <w:rPr>
          <w:rFonts w:asciiTheme="majorBidi" w:hAnsiTheme="majorBidi" w:cstheme="majorBidi"/>
          <w:sz w:val="24"/>
          <w:szCs w:val="24"/>
        </w:rPr>
        <w:t xml:space="preserve"> occurs).</w:t>
      </w:r>
      <w:proofErr w:type="gramEnd"/>
      <w:r w:rsidRPr="00505CF0">
        <w:rPr>
          <w:rFonts w:asciiTheme="majorBidi" w:hAnsiTheme="majorBidi" w:cstheme="majorBidi"/>
          <w:sz w:val="24"/>
          <w:szCs w:val="24"/>
        </w:rPr>
        <w:t xml:space="preserve"> The two </w:t>
      </w:r>
      <w:r w:rsidR="00BE1BD1">
        <w:rPr>
          <w:rFonts w:asciiTheme="majorBidi" w:hAnsiTheme="majorBidi" w:cstheme="majorBidi"/>
          <w:sz w:val="24"/>
          <w:szCs w:val="24"/>
        </w:rPr>
        <w:t>extreme poles of the continuum</w:t>
      </w:r>
      <w:r w:rsidRPr="00505CF0">
        <w:rPr>
          <w:rFonts w:asciiTheme="majorBidi" w:hAnsiTheme="majorBidi" w:cstheme="majorBidi"/>
          <w:sz w:val="24"/>
          <w:szCs w:val="24"/>
        </w:rPr>
        <w:t xml:space="preserve"> </w:t>
      </w:r>
      <w:r w:rsidR="00D60AA1">
        <w:rPr>
          <w:rFonts w:asciiTheme="majorBidi" w:hAnsiTheme="majorBidi" w:cstheme="majorBidi"/>
          <w:sz w:val="24"/>
          <w:szCs w:val="24"/>
        </w:rPr>
        <w:t>I would like to propose are those</w:t>
      </w:r>
      <w:r w:rsidRPr="00505CF0">
        <w:rPr>
          <w:rFonts w:asciiTheme="majorBidi" w:hAnsiTheme="majorBidi" w:cstheme="majorBidi"/>
          <w:sz w:val="24"/>
          <w:szCs w:val="24"/>
        </w:rPr>
        <w:t xml:space="preserve"> of the ‘burlesque’ and the ‘romantic.’</w:t>
      </w:r>
    </w:p>
    <w:p w14:paraId="4363B5FD" w14:textId="77777777" w:rsidR="00C111D3" w:rsidRPr="006405B7" w:rsidRDefault="00C111D3" w:rsidP="004C3EE0">
      <w:pPr>
        <w:spacing w:line="480" w:lineRule="auto"/>
        <w:jc w:val="both"/>
        <w:rPr>
          <w:rFonts w:asciiTheme="majorBidi" w:hAnsiTheme="majorBidi" w:cstheme="majorBidi"/>
          <w:sz w:val="36"/>
          <w:szCs w:val="36"/>
        </w:rPr>
      </w:pPr>
    </w:p>
    <w:p w14:paraId="6349820D" w14:textId="77777777" w:rsidR="00C111D3" w:rsidRDefault="00C111D3" w:rsidP="004C3EE0">
      <w:pPr>
        <w:spacing w:line="480" w:lineRule="auto"/>
        <w:jc w:val="both"/>
        <w:rPr>
          <w:rFonts w:asciiTheme="majorBidi" w:hAnsiTheme="majorBidi" w:cstheme="majorBidi"/>
          <w:b/>
          <w:sz w:val="28"/>
          <w:szCs w:val="28"/>
        </w:rPr>
      </w:pPr>
      <w:r w:rsidRPr="00505CF0">
        <w:rPr>
          <w:rFonts w:asciiTheme="majorBidi" w:hAnsiTheme="majorBidi" w:cstheme="majorBidi"/>
          <w:b/>
          <w:sz w:val="28"/>
          <w:szCs w:val="28"/>
        </w:rPr>
        <w:t>3.2.1</w:t>
      </w:r>
      <w:r w:rsidRPr="00505CF0">
        <w:rPr>
          <w:rFonts w:asciiTheme="majorBidi" w:hAnsiTheme="majorBidi" w:cstheme="majorBidi"/>
          <w:b/>
          <w:sz w:val="28"/>
          <w:szCs w:val="28"/>
        </w:rPr>
        <w:tab/>
        <w:t>Burlesque Metafictions</w:t>
      </w:r>
    </w:p>
    <w:p w14:paraId="1A4E9E5A" w14:textId="77777777" w:rsidR="006405B7" w:rsidRPr="006405B7" w:rsidRDefault="006405B7" w:rsidP="004C3EE0">
      <w:pPr>
        <w:spacing w:line="480" w:lineRule="auto"/>
        <w:jc w:val="both"/>
        <w:rPr>
          <w:rFonts w:asciiTheme="majorBidi" w:hAnsiTheme="majorBidi" w:cstheme="majorBidi"/>
          <w:sz w:val="16"/>
          <w:szCs w:val="16"/>
        </w:rPr>
      </w:pPr>
    </w:p>
    <w:p w14:paraId="160F1015" w14:textId="490D2D11" w:rsidR="00C111D3" w:rsidRPr="00505CF0" w:rsidRDefault="00C111D3" w:rsidP="00D60AA1">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Burlesque metafiction perhaps</w:t>
      </w:r>
      <w:r w:rsidR="00D60AA1">
        <w:rPr>
          <w:rFonts w:asciiTheme="majorBidi" w:hAnsiTheme="majorBidi" w:cstheme="majorBidi"/>
          <w:sz w:val="24"/>
          <w:szCs w:val="24"/>
        </w:rPr>
        <w:t xml:space="preserve"> needs less exploration tha</w:t>
      </w:r>
      <w:r w:rsidR="00BE1BD1">
        <w:rPr>
          <w:rFonts w:asciiTheme="majorBidi" w:hAnsiTheme="majorBidi" w:cstheme="majorBidi"/>
          <w:sz w:val="24"/>
          <w:szCs w:val="24"/>
        </w:rPr>
        <w:t>n</w:t>
      </w:r>
      <w:r w:rsidR="00D60AA1">
        <w:rPr>
          <w:rFonts w:asciiTheme="majorBidi" w:hAnsiTheme="majorBidi" w:cstheme="majorBidi"/>
          <w:sz w:val="24"/>
          <w:szCs w:val="24"/>
        </w:rPr>
        <w:t xml:space="preserve"> it</w:t>
      </w:r>
      <w:r w:rsidRPr="00505CF0">
        <w:rPr>
          <w:rFonts w:asciiTheme="majorBidi" w:hAnsiTheme="majorBidi" w:cstheme="majorBidi"/>
          <w:sz w:val="24"/>
          <w:szCs w:val="24"/>
        </w:rPr>
        <w:t xml:space="preserve">s companion, adhering as it does more cleanly to ‘traditional’ expectations of metafictional texts as defined in </w:t>
      </w:r>
      <w:r w:rsidRPr="00505CF0">
        <w:rPr>
          <w:rFonts w:asciiTheme="majorBidi" w:hAnsiTheme="majorBidi" w:cstheme="majorBidi"/>
          <w:i/>
          <w:sz w:val="24"/>
          <w:szCs w:val="24"/>
        </w:rPr>
        <w:t xml:space="preserve">Narcissistic Narrative </w:t>
      </w:r>
      <w:r w:rsidRPr="00505CF0">
        <w:rPr>
          <w:rFonts w:asciiTheme="majorBidi" w:hAnsiTheme="majorBidi" w:cstheme="majorBidi"/>
          <w:sz w:val="24"/>
          <w:szCs w:val="24"/>
        </w:rPr>
        <w:t>as ‘in some dominant and constitutive way, self-referring or autorepresentational: it provides, within itself, a commentary on its own status as fiction and as language, and also on its own processes of production and reception.’</w:t>
      </w:r>
      <w:r w:rsidRPr="00505CF0">
        <w:rPr>
          <w:rStyle w:val="FootnoteReference"/>
          <w:rFonts w:asciiTheme="majorBidi" w:hAnsiTheme="majorBidi" w:cstheme="majorBidi"/>
          <w:sz w:val="24"/>
          <w:szCs w:val="24"/>
        </w:rPr>
        <w:footnoteReference w:id="709"/>
      </w:r>
      <w:r w:rsidRPr="00505CF0">
        <w:rPr>
          <w:rFonts w:asciiTheme="majorBidi" w:hAnsiTheme="majorBidi" w:cstheme="majorBidi"/>
          <w:sz w:val="24"/>
          <w:szCs w:val="24"/>
        </w:rPr>
        <w:t xml:space="preserve"> That is to say, burlesque metafictions </w:t>
      </w:r>
      <w:r w:rsidR="00D60AA1">
        <w:rPr>
          <w:rFonts w:asciiTheme="majorBidi" w:hAnsiTheme="majorBidi" w:cstheme="majorBidi"/>
          <w:sz w:val="24"/>
          <w:szCs w:val="24"/>
        </w:rPr>
        <w:t>f</w:t>
      </w:r>
      <w:r w:rsidRPr="00505CF0">
        <w:rPr>
          <w:rFonts w:asciiTheme="majorBidi" w:hAnsiTheme="majorBidi" w:cstheme="majorBidi"/>
          <w:sz w:val="24"/>
          <w:szCs w:val="24"/>
        </w:rPr>
        <w:t>ocus on fiction and fictional construction as their main subject, that, to paraphrase Birgit and Nünning, reflect on their own status as fiction via self-reflexive utterances in order to foreground reflections on textuality.</w:t>
      </w:r>
      <w:r w:rsidRPr="00505CF0">
        <w:rPr>
          <w:rStyle w:val="FootnoteReference"/>
          <w:rFonts w:asciiTheme="majorBidi" w:hAnsiTheme="majorBidi" w:cstheme="majorBidi"/>
          <w:sz w:val="24"/>
          <w:szCs w:val="24"/>
        </w:rPr>
        <w:footnoteReference w:id="710"/>
      </w:r>
      <w:r w:rsidRPr="00505CF0">
        <w:rPr>
          <w:rFonts w:asciiTheme="majorBidi" w:hAnsiTheme="majorBidi" w:cstheme="majorBidi"/>
          <w:sz w:val="24"/>
          <w:szCs w:val="24"/>
        </w:rPr>
        <w:t xml:space="preserve"> Burlesque metafictions are, in a </w:t>
      </w:r>
      <w:r w:rsidR="00D60AA1">
        <w:rPr>
          <w:rFonts w:asciiTheme="majorBidi" w:hAnsiTheme="majorBidi" w:cstheme="majorBidi"/>
          <w:sz w:val="24"/>
          <w:szCs w:val="24"/>
        </w:rPr>
        <w:t xml:space="preserve">definite </w:t>
      </w:r>
      <w:r w:rsidRPr="00505CF0">
        <w:rPr>
          <w:rFonts w:asciiTheme="majorBidi" w:hAnsiTheme="majorBidi" w:cstheme="majorBidi"/>
          <w:sz w:val="24"/>
          <w:szCs w:val="24"/>
        </w:rPr>
        <w:t xml:space="preserve">sense, fictions about fictions – the most commonly recognised element of metafiction itself. For historical examples, one only has to look to some of the ‘golden age’ metafictional texts, such as </w:t>
      </w:r>
      <w:r w:rsidRPr="00505CF0">
        <w:rPr>
          <w:rFonts w:asciiTheme="majorBidi" w:hAnsiTheme="majorBidi" w:cstheme="majorBidi"/>
          <w:i/>
          <w:sz w:val="24"/>
          <w:szCs w:val="24"/>
        </w:rPr>
        <w:t>Christie Malry, Lost in the Funhous</w:t>
      </w:r>
      <w:r w:rsidR="00AC725A">
        <w:rPr>
          <w:rFonts w:asciiTheme="majorBidi" w:hAnsiTheme="majorBidi" w:cstheme="majorBidi"/>
          <w:i/>
          <w:sz w:val="24"/>
          <w:szCs w:val="24"/>
        </w:rPr>
        <w:t>e</w:t>
      </w:r>
      <w:r w:rsidRPr="00505CF0">
        <w:rPr>
          <w:rFonts w:asciiTheme="majorBidi" w:hAnsiTheme="majorBidi" w:cstheme="majorBidi"/>
          <w:i/>
          <w:sz w:val="24"/>
          <w:szCs w:val="24"/>
        </w:rPr>
        <w:t>, A Void, Naked Lunch</w:t>
      </w:r>
      <w:r w:rsidRPr="00505CF0">
        <w:rPr>
          <w:rFonts w:asciiTheme="majorBidi" w:hAnsiTheme="majorBidi" w:cstheme="majorBidi"/>
          <w:sz w:val="24"/>
          <w:szCs w:val="24"/>
        </w:rPr>
        <w:t>, and</w:t>
      </w:r>
      <w:r w:rsidRPr="00505CF0">
        <w:rPr>
          <w:rFonts w:asciiTheme="majorBidi" w:hAnsiTheme="majorBidi" w:cstheme="majorBidi"/>
          <w:i/>
          <w:sz w:val="24"/>
          <w:szCs w:val="24"/>
        </w:rPr>
        <w:t>, The Unfortunates</w:t>
      </w:r>
      <w:r w:rsidRPr="00505CF0">
        <w:rPr>
          <w:rFonts w:asciiTheme="majorBidi" w:hAnsiTheme="majorBidi" w:cstheme="majorBidi"/>
          <w:sz w:val="24"/>
          <w:szCs w:val="24"/>
        </w:rPr>
        <w:t xml:space="preserve">, which experiment with form and content to highlight artificiality. The </w:t>
      </w:r>
      <w:r w:rsidR="00D60AA1">
        <w:rPr>
          <w:rFonts w:asciiTheme="majorBidi" w:hAnsiTheme="majorBidi" w:cstheme="majorBidi"/>
          <w:sz w:val="24"/>
          <w:szCs w:val="24"/>
        </w:rPr>
        <w:t>burlesque teases and flaunts it</w:t>
      </w:r>
      <w:r w:rsidRPr="00505CF0">
        <w:rPr>
          <w:rFonts w:asciiTheme="majorBidi" w:hAnsiTheme="majorBidi" w:cstheme="majorBidi"/>
          <w:sz w:val="24"/>
          <w:szCs w:val="24"/>
        </w:rPr>
        <w:t xml:space="preserve">s component parts with a knowing wink to the </w:t>
      </w:r>
      <w:proofErr w:type="gramStart"/>
      <w:r w:rsidRPr="00505CF0">
        <w:rPr>
          <w:rFonts w:asciiTheme="majorBidi" w:hAnsiTheme="majorBidi" w:cstheme="majorBidi"/>
          <w:sz w:val="24"/>
          <w:szCs w:val="24"/>
        </w:rPr>
        <w:t>reader,</w:t>
      </w:r>
      <w:proofErr w:type="gramEnd"/>
      <w:r w:rsidRPr="00505CF0">
        <w:rPr>
          <w:rFonts w:asciiTheme="majorBidi" w:hAnsiTheme="majorBidi" w:cstheme="majorBidi"/>
          <w:sz w:val="24"/>
          <w:szCs w:val="24"/>
        </w:rPr>
        <w:t xml:space="preserve"> hence the name which, additionally, links these metafictions to the category of burlesque fiction as already established</w:t>
      </w:r>
      <w:r w:rsidR="00AC725A">
        <w:rPr>
          <w:rFonts w:asciiTheme="majorBidi" w:hAnsiTheme="majorBidi" w:cstheme="majorBidi"/>
          <w:sz w:val="24"/>
          <w:szCs w:val="24"/>
        </w:rPr>
        <w:t>, and</w:t>
      </w:r>
      <w:r w:rsidRPr="00505CF0">
        <w:rPr>
          <w:rFonts w:asciiTheme="majorBidi" w:hAnsiTheme="majorBidi" w:cstheme="majorBidi"/>
          <w:sz w:val="24"/>
          <w:szCs w:val="24"/>
        </w:rPr>
        <w:t xml:space="preserve"> which is used to describe p</w:t>
      </w:r>
      <w:r w:rsidR="00D60AA1">
        <w:rPr>
          <w:rFonts w:asciiTheme="majorBidi" w:hAnsiTheme="majorBidi" w:cstheme="majorBidi"/>
          <w:sz w:val="24"/>
          <w:szCs w:val="24"/>
        </w:rPr>
        <w:t>arodic</w:t>
      </w:r>
      <w:r w:rsidRPr="00505CF0">
        <w:rPr>
          <w:rFonts w:asciiTheme="majorBidi" w:hAnsiTheme="majorBidi" w:cstheme="majorBidi"/>
          <w:sz w:val="24"/>
          <w:szCs w:val="24"/>
        </w:rPr>
        <w:t xml:space="preserve"> fiction. Burlesque metafiction foregrounds formal or structural play, deconstructing key elements of traditional genre and novel conventions in order to signpost such tropes as no longer able to support the weight of contemporary ideological theory. It subverts, often through parody, the traditional form in which it is deployed in an effort to reform the perceived ennui associated with the redundancy of specific novel conventions, as Alter describes:</w:t>
      </w:r>
    </w:p>
    <w:p w14:paraId="5AE8A38F" w14:textId="77777777" w:rsidR="00C111D3" w:rsidRPr="00505CF0" w:rsidRDefault="00C111D3" w:rsidP="004C3EE0">
      <w:pPr>
        <w:ind w:left="737" w:right="737"/>
        <w:jc w:val="both"/>
        <w:rPr>
          <w:rFonts w:asciiTheme="majorBidi" w:hAnsiTheme="majorBidi" w:cstheme="majorBidi"/>
          <w:sz w:val="24"/>
          <w:szCs w:val="24"/>
        </w:rPr>
      </w:pPr>
    </w:p>
    <w:p w14:paraId="29D78C0D" w14:textId="1D4E0A36"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From such [a postmodern] radical scepticism about the relation between language and truth, there are two possible practical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previous literary conventions as it unfolds, effects a kind of dialectic refinement and correction of lying, ed</w:t>
      </w:r>
      <w:r w:rsidR="006405B7">
        <w:rPr>
          <w:rFonts w:asciiTheme="majorBidi" w:hAnsiTheme="majorBidi" w:cstheme="majorBidi"/>
          <w:sz w:val="24"/>
          <w:szCs w:val="24"/>
        </w:rPr>
        <w:t>ging us toward the perception of</w:t>
      </w:r>
      <w:r w:rsidRPr="00505CF0">
        <w:rPr>
          <w:rFonts w:asciiTheme="majorBidi" w:hAnsiTheme="majorBidi" w:cstheme="majorBidi"/>
          <w:sz w:val="24"/>
          <w:szCs w:val="24"/>
        </w:rPr>
        <w:t xml:space="preserve"> certain truths about the manipulation of language, about character, about human nature, perhaps even about the kind of social world we inhabit.</w:t>
      </w:r>
      <w:r w:rsidRPr="00505CF0">
        <w:rPr>
          <w:rStyle w:val="FootnoteReference"/>
          <w:rFonts w:asciiTheme="majorBidi" w:hAnsiTheme="majorBidi" w:cstheme="majorBidi"/>
          <w:sz w:val="24"/>
          <w:szCs w:val="24"/>
        </w:rPr>
        <w:footnoteReference w:id="711"/>
      </w:r>
    </w:p>
    <w:p w14:paraId="4D24A62A" w14:textId="77777777" w:rsidR="00C111D3" w:rsidRPr="00505CF0" w:rsidRDefault="00C111D3" w:rsidP="004C3EE0">
      <w:pPr>
        <w:spacing w:line="480" w:lineRule="auto"/>
        <w:jc w:val="both"/>
        <w:rPr>
          <w:rFonts w:asciiTheme="majorBidi" w:hAnsiTheme="majorBidi" w:cstheme="majorBidi"/>
          <w:sz w:val="24"/>
          <w:szCs w:val="24"/>
        </w:rPr>
      </w:pPr>
    </w:p>
    <w:p w14:paraId="12077220" w14:textId="44A43068" w:rsidR="00C111D3" w:rsidRPr="00505CF0" w:rsidRDefault="00C111D3" w:rsidP="00D60AA1">
      <w:pPr>
        <w:spacing w:line="480" w:lineRule="auto"/>
        <w:jc w:val="both"/>
        <w:rPr>
          <w:rFonts w:asciiTheme="majorBidi" w:hAnsiTheme="majorBidi" w:cstheme="majorBidi"/>
          <w:sz w:val="24"/>
          <w:szCs w:val="24"/>
        </w:rPr>
      </w:pPr>
      <w:proofErr w:type="gramStart"/>
      <w:r w:rsidRPr="00505CF0">
        <w:rPr>
          <w:rFonts w:asciiTheme="majorBidi" w:hAnsiTheme="majorBidi" w:cstheme="majorBidi"/>
          <w:sz w:val="24"/>
          <w:szCs w:val="24"/>
        </w:rPr>
        <w:t xml:space="preserve">A noble goal with, perhaps, an ignoble reputation, as such endeavours are often shelved as merely ‘experimental’ fiction, too parodic or purposefully difficult to allow the reader entry (see criticism of Gass’s </w:t>
      </w:r>
      <w:r w:rsidRPr="00505CF0">
        <w:rPr>
          <w:rFonts w:asciiTheme="majorBidi" w:hAnsiTheme="majorBidi" w:cstheme="majorBidi"/>
          <w:i/>
          <w:sz w:val="24"/>
          <w:szCs w:val="24"/>
        </w:rPr>
        <w:t>The Tunnel</w:t>
      </w:r>
      <w:r w:rsidRPr="00505CF0">
        <w:rPr>
          <w:rFonts w:asciiTheme="majorBidi" w:hAnsiTheme="majorBidi" w:cstheme="majorBidi"/>
          <w:sz w:val="24"/>
          <w:szCs w:val="24"/>
        </w:rPr>
        <w:t>).</w:t>
      </w:r>
      <w:proofErr w:type="gramEnd"/>
      <w:r w:rsidRPr="00505CF0">
        <w:rPr>
          <w:rFonts w:asciiTheme="majorBidi" w:hAnsiTheme="majorBidi" w:cstheme="majorBidi"/>
          <w:sz w:val="24"/>
          <w:szCs w:val="24"/>
        </w:rPr>
        <w:t xml:space="preserve"> Alter’s description of self-conscious texts too aligns with the aims of burlesque metafiction, in which, from beginning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w:t>
      </w:r>
      <w:r w:rsidRPr="00505CF0">
        <w:rPr>
          <w:rStyle w:val="FootnoteReference"/>
          <w:rFonts w:asciiTheme="majorBidi" w:hAnsiTheme="majorBidi" w:cstheme="majorBidi"/>
          <w:sz w:val="24"/>
          <w:szCs w:val="24"/>
        </w:rPr>
        <w:footnoteReference w:id="712"/>
      </w:r>
      <w:r w:rsidRPr="00505CF0">
        <w:rPr>
          <w:rFonts w:asciiTheme="majorBidi" w:hAnsiTheme="majorBidi" w:cstheme="majorBidi"/>
          <w:sz w:val="24"/>
          <w:szCs w:val="24"/>
        </w:rPr>
        <w:t xml:space="preserve"> Paul Auster’s </w:t>
      </w:r>
      <w:r w:rsidRPr="00505CF0">
        <w:rPr>
          <w:rFonts w:asciiTheme="majorBidi" w:hAnsiTheme="majorBidi" w:cstheme="majorBidi"/>
          <w:i/>
          <w:sz w:val="24"/>
          <w:szCs w:val="24"/>
        </w:rPr>
        <w:t>City of Glass</w:t>
      </w:r>
      <w:r w:rsidRPr="00505CF0">
        <w:rPr>
          <w:rFonts w:asciiTheme="majorBidi" w:hAnsiTheme="majorBidi" w:cstheme="majorBidi"/>
          <w:sz w:val="24"/>
          <w:szCs w:val="24"/>
        </w:rPr>
        <w:t xml:space="preserve"> is a prime example of this, although we may travel further back to Hogg’s </w:t>
      </w:r>
      <w:r w:rsidRPr="00505CF0">
        <w:rPr>
          <w:rFonts w:asciiTheme="majorBidi" w:hAnsiTheme="majorBidi" w:cstheme="majorBidi"/>
          <w:i/>
          <w:sz w:val="24"/>
          <w:szCs w:val="24"/>
        </w:rPr>
        <w:t>Justified Sinner</w:t>
      </w:r>
      <w:r w:rsidRPr="00505CF0">
        <w:rPr>
          <w:rFonts w:asciiTheme="majorBidi" w:hAnsiTheme="majorBidi" w:cstheme="majorBidi"/>
          <w:sz w:val="24"/>
          <w:szCs w:val="24"/>
        </w:rPr>
        <w:t xml:space="preserve">, which deliberately problematises fictional creation and the appropriation of narrative as a central plot concern. </w:t>
      </w:r>
      <w:r w:rsidRPr="00505CF0">
        <w:rPr>
          <w:rFonts w:asciiTheme="majorBidi" w:hAnsiTheme="majorBidi" w:cstheme="majorBidi"/>
          <w:i/>
          <w:sz w:val="24"/>
          <w:szCs w:val="24"/>
        </w:rPr>
        <w:t>Don Quixote, Sixty Stories, The Name of the Rose, Pale Fire, The Crying of Lot 49, Vampire City, The Mist</w:t>
      </w:r>
      <w:r w:rsidRPr="00505CF0">
        <w:rPr>
          <w:rFonts w:asciiTheme="majorBidi" w:hAnsiTheme="majorBidi" w:cstheme="majorBidi"/>
          <w:sz w:val="24"/>
          <w:szCs w:val="24"/>
        </w:rPr>
        <w:t xml:space="preserve">, these are all examples of burlesque metafictions which emphasise artificiality to comment upon fictional concerns. Typographical experimentation is a key signifier of the burlesque, akin to the exposing of the </w:t>
      </w:r>
      <w:r w:rsidR="00D60AA1">
        <w:rPr>
          <w:rFonts w:asciiTheme="majorBidi" w:hAnsiTheme="majorBidi" w:cstheme="majorBidi"/>
          <w:sz w:val="24"/>
          <w:szCs w:val="24"/>
        </w:rPr>
        <w:t xml:space="preserve">burlesque </w:t>
      </w:r>
      <w:r w:rsidRPr="00505CF0">
        <w:rPr>
          <w:rFonts w:asciiTheme="majorBidi" w:hAnsiTheme="majorBidi" w:cstheme="majorBidi"/>
          <w:sz w:val="24"/>
          <w:szCs w:val="24"/>
        </w:rPr>
        <w:t xml:space="preserve">dancer’s garter, if you will, and provides a legacy link from the likes of Johnson’s </w:t>
      </w:r>
      <w:r w:rsidRPr="00505CF0">
        <w:rPr>
          <w:rFonts w:asciiTheme="majorBidi" w:hAnsiTheme="majorBidi" w:cstheme="majorBidi"/>
          <w:i/>
          <w:sz w:val="24"/>
          <w:szCs w:val="24"/>
        </w:rPr>
        <w:t xml:space="preserve">Albert Angelo </w:t>
      </w:r>
      <w:r w:rsidRPr="00505CF0">
        <w:rPr>
          <w:rFonts w:asciiTheme="majorBidi" w:hAnsiTheme="majorBidi" w:cstheme="majorBidi"/>
          <w:sz w:val="24"/>
          <w:szCs w:val="24"/>
        </w:rPr>
        <w:t xml:space="preserve">(1964), famous for having holes in the pages, through to such contemporary examples as Douglas Coupland’s </w:t>
      </w:r>
      <w:r w:rsidRPr="00505CF0">
        <w:rPr>
          <w:rFonts w:asciiTheme="majorBidi" w:hAnsiTheme="majorBidi" w:cstheme="majorBidi"/>
          <w:i/>
          <w:sz w:val="24"/>
          <w:szCs w:val="24"/>
        </w:rPr>
        <w:t>Jpod</w:t>
      </w:r>
      <w:r w:rsidRPr="00505CF0">
        <w:rPr>
          <w:rFonts w:asciiTheme="majorBidi" w:hAnsiTheme="majorBidi" w:cstheme="majorBidi"/>
          <w:sz w:val="24"/>
          <w:szCs w:val="24"/>
        </w:rPr>
        <w:t xml:space="preserve"> (2006) and </w:t>
      </w:r>
      <w:r w:rsidRPr="00505CF0">
        <w:rPr>
          <w:rFonts w:asciiTheme="majorBidi" w:hAnsiTheme="majorBidi" w:cstheme="majorBidi"/>
          <w:i/>
          <w:sz w:val="24"/>
          <w:szCs w:val="24"/>
        </w:rPr>
        <w:t>Horrorstör</w:t>
      </w:r>
      <w:r w:rsidRPr="00505CF0">
        <w:rPr>
          <w:rFonts w:asciiTheme="majorBidi" w:hAnsiTheme="majorBidi" w:cstheme="majorBidi"/>
          <w:sz w:val="24"/>
          <w:szCs w:val="24"/>
        </w:rPr>
        <w:t xml:space="preserve"> by Grady Hendrix (2014). </w:t>
      </w:r>
      <w:r w:rsidRPr="00505CF0">
        <w:rPr>
          <w:rFonts w:asciiTheme="majorBidi" w:hAnsiTheme="majorBidi" w:cstheme="majorBidi"/>
          <w:i/>
          <w:sz w:val="24"/>
          <w:szCs w:val="24"/>
        </w:rPr>
        <w:t>Jpod</w:t>
      </w:r>
      <w:r w:rsidRPr="00505CF0">
        <w:rPr>
          <w:rFonts w:asciiTheme="majorBidi" w:hAnsiTheme="majorBidi" w:cstheme="majorBidi"/>
          <w:sz w:val="24"/>
          <w:szCs w:val="24"/>
        </w:rPr>
        <w:t xml:space="preserve"> immediately plays with typographical conventions, printing the copyright information in landscape, rather than portrait, before filling the first few pages before the first chapter of the novel with excessively sized text seemingly counting towards the beginning, followed by five margin-to-margin pages filled with seemingly random business advice which soon devolves into dollar signs and the words ‘ramen noodles’ repeated until the beginning of the novel. The beginning, while not typographical</w:t>
      </w:r>
      <w:r w:rsidR="00D60AA1">
        <w:rPr>
          <w:rFonts w:asciiTheme="majorBidi" w:hAnsiTheme="majorBidi" w:cstheme="majorBidi"/>
          <w:sz w:val="24"/>
          <w:szCs w:val="24"/>
        </w:rPr>
        <w:t xml:space="preserve">ly experimental, </w:t>
      </w:r>
      <w:r w:rsidRPr="00505CF0">
        <w:rPr>
          <w:rFonts w:asciiTheme="majorBidi" w:hAnsiTheme="majorBidi" w:cstheme="majorBidi"/>
          <w:sz w:val="24"/>
          <w:szCs w:val="24"/>
        </w:rPr>
        <w:t>foregrounds the metafictional nature of the text by instantly reminding the reader of the presence of the author</w:t>
      </w:r>
      <w:r w:rsidR="00C575FE">
        <w:rPr>
          <w:rFonts w:asciiTheme="majorBidi" w:hAnsiTheme="majorBidi" w:cstheme="majorBidi"/>
          <w:sz w:val="24"/>
          <w:szCs w:val="24"/>
        </w:rPr>
        <w:t>:</w:t>
      </w:r>
      <w:r w:rsidRPr="00505CF0">
        <w:rPr>
          <w:rFonts w:asciiTheme="majorBidi" w:hAnsiTheme="majorBidi" w:cstheme="majorBidi"/>
          <w:sz w:val="24"/>
          <w:szCs w:val="24"/>
        </w:rPr>
        <w:t xml:space="preserve"> The first line of dialogue has an unnamed character exclaim that they feel ‘like a refugee from a Douglas Coupland novel,’</w:t>
      </w:r>
      <w:r w:rsidRPr="00505CF0">
        <w:rPr>
          <w:rStyle w:val="FootnoteReference"/>
          <w:rFonts w:asciiTheme="majorBidi" w:hAnsiTheme="majorBidi" w:cstheme="majorBidi"/>
          <w:sz w:val="24"/>
          <w:szCs w:val="24"/>
        </w:rPr>
        <w:footnoteReference w:id="713"/>
      </w:r>
      <w:r w:rsidRPr="00505CF0">
        <w:rPr>
          <w:rFonts w:asciiTheme="majorBidi" w:hAnsiTheme="majorBidi" w:cstheme="majorBidi"/>
          <w:sz w:val="24"/>
          <w:szCs w:val="24"/>
        </w:rPr>
        <w:t xml:space="preserve"> providing the reader with a knowing allusion to the text’s own fictionality as the character is, indeed, within a Douglas Coupland novel, refugee or not. </w:t>
      </w:r>
      <w:r w:rsidR="00D60AA1">
        <w:rPr>
          <w:rFonts w:asciiTheme="majorBidi" w:hAnsiTheme="majorBidi" w:cstheme="majorBidi"/>
          <w:sz w:val="24"/>
          <w:szCs w:val="24"/>
        </w:rPr>
        <w:t>As Scholes identifies of f</w:t>
      </w:r>
      <w:r w:rsidRPr="00505CF0">
        <w:rPr>
          <w:rFonts w:asciiTheme="majorBidi" w:hAnsiTheme="majorBidi" w:cstheme="majorBidi"/>
          <w:sz w:val="24"/>
          <w:szCs w:val="24"/>
        </w:rPr>
        <w:t>abulators, the forerunner moniker for traditional metafiction, they are characterised by ‘a sense of pleasure in form,’ emphasising ‘qualities of art and joy,’</w:t>
      </w:r>
      <w:r w:rsidRPr="00505CF0">
        <w:rPr>
          <w:rStyle w:val="FootnoteReference"/>
          <w:rFonts w:asciiTheme="majorBidi" w:hAnsiTheme="majorBidi" w:cstheme="majorBidi"/>
          <w:sz w:val="24"/>
          <w:szCs w:val="24"/>
        </w:rPr>
        <w:footnoteReference w:id="714"/>
      </w:r>
      <w:r w:rsidRPr="00505CF0">
        <w:rPr>
          <w:rFonts w:asciiTheme="majorBidi" w:hAnsiTheme="majorBidi" w:cstheme="majorBidi"/>
          <w:sz w:val="24"/>
          <w:szCs w:val="24"/>
        </w:rPr>
        <w:t xml:space="preserve"> and such descriptors easily apply to the parodic, burlesque metafictions so prevalent in the </w:t>
      </w:r>
      <w:r w:rsidR="00D60AA1">
        <w:rPr>
          <w:rFonts w:asciiTheme="majorBidi" w:hAnsiTheme="majorBidi" w:cstheme="majorBidi"/>
          <w:sz w:val="24"/>
          <w:szCs w:val="24"/>
        </w:rPr>
        <w:t>1960s and 1970s</w:t>
      </w:r>
      <w:r w:rsidRPr="00505CF0">
        <w:rPr>
          <w:rFonts w:asciiTheme="majorBidi" w:hAnsiTheme="majorBidi" w:cstheme="majorBidi"/>
          <w:sz w:val="24"/>
          <w:szCs w:val="24"/>
        </w:rPr>
        <w:t xml:space="preserve">, but which see a significant decline as the form enters the post-postmodern period. The burlesque metafiction is the most commonly </w:t>
      </w:r>
      <w:r w:rsidR="00C575FE">
        <w:rPr>
          <w:rFonts w:asciiTheme="majorBidi" w:hAnsiTheme="majorBidi" w:cstheme="majorBidi"/>
          <w:sz w:val="24"/>
          <w:szCs w:val="24"/>
        </w:rPr>
        <w:t>recognised</w:t>
      </w:r>
      <w:r w:rsidRPr="00505CF0">
        <w:rPr>
          <w:rFonts w:asciiTheme="majorBidi" w:hAnsiTheme="majorBidi" w:cstheme="majorBidi"/>
          <w:sz w:val="24"/>
          <w:szCs w:val="24"/>
        </w:rPr>
        <w:t xml:space="preserve"> metafictional form, composed from Hutcheon’s covert and overt metafictional forms; the burlesque metafiction either placing </w:t>
      </w:r>
      <w:r w:rsidR="00C575FE">
        <w:rPr>
          <w:rFonts w:asciiTheme="majorBidi" w:hAnsiTheme="majorBidi" w:cstheme="majorBidi"/>
          <w:sz w:val="24"/>
          <w:szCs w:val="24"/>
        </w:rPr>
        <w:t xml:space="preserve">with </w:t>
      </w:r>
      <w:r w:rsidRPr="00505CF0">
        <w:rPr>
          <w:rFonts w:asciiTheme="majorBidi" w:hAnsiTheme="majorBidi" w:cstheme="majorBidi"/>
          <w:sz w:val="24"/>
          <w:szCs w:val="24"/>
        </w:rPr>
        <w:t>fictionality, structure, or language a</w:t>
      </w:r>
      <w:r w:rsidR="00C575FE">
        <w:rPr>
          <w:rFonts w:asciiTheme="majorBidi" w:hAnsiTheme="majorBidi" w:cstheme="majorBidi"/>
          <w:sz w:val="24"/>
          <w:szCs w:val="24"/>
        </w:rPr>
        <w:t>s</w:t>
      </w:r>
      <w:r w:rsidRPr="00505CF0">
        <w:rPr>
          <w:rFonts w:asciiTheme="majorBidi" w:hAnsiTheme="majorBidi" w:cstheme="majorBidi"/>
          <w:sz w:val="24"/>
          <w:szCs w:val="24"/>
        </w:rPr>
        <w:t xml:space="preserve"> their content's core, as in the covert examples of </w:t>
      </w:r>
      <w:r w:rsidRPr="00505CF0">
        <w:rPr>
          <w:rFonts w:asciiTheme="majorBidi" w:hAnsiTheme="majorBidi" w:cstheme="majorBidi"/>
          <w:i/>
          <w:sz w:val="24"/>
          <w:szCs w:val="24"/>
        </w:rPr>
        <w:t xml:space="preserve">Christie Malry, Pale Fire, Jpod </w:t>
      </w:r>
      <w:r w:rsidRPr="00505CF0">
        <w:rPr>
          <w:rFonts w:asciiTheme="majorBidi" w:hAnsiTheme="majorBidi" w:cstheme="majorBidi"/>
          <w:sz w:val="24"/>
          <w:szCs w:val="24"/>
        </w:rPr>
        <w:t xml:space="preserve">and </w:t>
      </w:r>
      <w:r w:rsidRPr="00505CF0">
        <w:rPr>
          <w:rFonts w:asciiTheme="majorBidi" w:hAnsiTheme="majorBidi" w:cstheme="majorBidi"/>
          <w:i/>
          <w:sz w:val="24"/>
          <w:szCs w:val="24"/>
        </w:rPr>
        <w:t>T50YS</w:t>
      </w:r>
      <w:r w:rsidRPr="00505CF0">
        <w:rPr>
          <w:rFonts w:asciiTheme="majorBidi" w:hAnsiTheme="majorBidi" w:cstheme="majorBidi"/>
          <w:sz w:val="24"/>
          <w:szCs w:val="24"/>
        </w:rPr>
        <w:t xml:space="preserve">, or internalise, structurally, their own self-reflective commentaries, as in </w:t>
      </w:r>
      <w:r w:rsidRPr="00505CF0">
        <w:rPr>
          <w:rFonts w:asciiTheme="majorBidi" w:hAnsiTheme="majorBidi" w:cstheme="majorBidi"/>
          <w:i/>
          <w:sz w:val="24"/>
          <w:szCs w:val="24"/>
        </w:rPr>
        <w:t xml:space="preserve">Willie Masters, A Void, If on A Winter’s Night a Traveller, </w:t>
      </w:r>
      <w:r w:rsidRPr="00505CF0">
        <w:rPr>
          <w:rFonts w:asciiTheme="majorBidi" w:hAnsiTheme="majorBidi" w:cstheme="majorBidi"/>
          <w:sz w:val="24"/>
          <w:szCs w:val="24"/>
        </w:rPr>
        <w:t>and</w:t>
      </w:r>
      <w:r w:rsidRPr="00505CF0">
        <w:rPr>
          <w:rFonts w:asciiTheme="majorBidi" w:hAnsiTheme="majorBidi" w:cstheme="majorBidi"/>
          <w:i/>
          <w:sz w:val="24"/>
          <w:szCs w:val="24"/>
        </w:rPr>
        <w:t xml:space="preserve"> Everything is Illuminated</w:t>
      </w:r>
      <w:r w:rsidRPr="00505CF0">
        <w:rPr>
          <w:rFonts w:asciiTheme="majorBidi" w:hAnsiTheme="majorBidi" w:cstheme="majorBidi"/>
          <w:sz w:val="24"/>
          <w:szCs w:val="24"/>
        </w:rPr>
        <w:t xml:space="preserve">. </w:t>
      </w:r>
      <w:r w:rsidRPr="00505CF0">
        <w:rPr>
          <w:rStyle w:val="FootnoteReference"/>
          <w:rFonts w:asciiTheme="majorBidi" w:hAnsiTheme="majorBidi" w:cstheme="majorBidi"/>
          <w:sz w:val="24"/>
          <w:szCs w:val="24"/>
        </w:rPr>
        <w:footnoteReference w:id="715"/>
      </w:r>
    </w:p>
    <w:p w14:paraId="42B1F96F" w14:textId="0E746641" w:rsidR="00C111D3" w:rsidRDefault="00C111D3" w:rsidP="004C3EE0">
      <w:pPr>
        <w:spacing w:line="480" w:lineRule="auto"/>
        <w:jc w:val="both"/>
        <w:rPr>
          <w:rFonts w:asciiTheme="majorBidi" w:hAnsiTheme="majorBidi" w:cstheme="majorBidi"/>
        </w:rPr>
      </w:pPr>
    </w:p>
    <w:p w14:paraId="22837DBE" w14:textId="77777777" w:rsidR="003E0FB9" w:rsidRPr="00505CF0" w:rsidRDefault="003E0FB9" w:rsidP="004C3EE0">
      <w:pPr>
        <w:spacing w:line="480" w:lineRule="auto"/>
        <w:jc w:val="both"/>
        <w:rPr>
          <w:rFonts w:asciiTheme="majorBidi" w:hAnsiTheme="majorBidi" w:cstheme="majorBidi"/>
        </w:rPr>
      </w:pPr>
    </w:p>
    <w:p w14:paraId="40BAFFED" w14:textId="77777777" w:rsidR="00C111D3" w:rsidRPr="00505CF0" w:rsidRDefault="00C111D3" w:rsidP="004C3EE0">
      <w:pPr>
        <w:spacing w:line="480" w:lineRule="auto"/>
        <w:jc w:val="both"/>
        <w:rPr>
          <w:rFonts w:asciiTheme="majorBidi" w:hAnsiTheme="majorBidi" w:cstheme="majorBidi"/>
        </w:rPr>
      </w:pPr>
    </w:p>
    <w:p w14:paraId="60F8F073" w14:textId="77777777" w:rsidR="00C111D3" w:rsidRPr="00505CF0" w:rsidRDefault="00C111D3" w:rsidP="004C3EE0">
      <w:pPr>
        <w:spacing w:line="480" w:lineRule="auto"/>
        <w:jc w:val="both"/>
        <w:rPr>
          <w:rFonts w:asciiTheme="majorBidi" w:hAnsiTheme="majorBidi" w:cstheme="majorBidi"/>
          <w:sz w:val="28"/>
          <w:szCs w:val="28"/>
        </w:rPr>
      </w:pPr>
      <w:r w:rsidRPr="00505CF0">
        <w:rPr>
          <w:rFonts w:asciiTheme="majorBidi" w:hAnsiTheme="majorBidi" w:cstheme="majorBidi"/>
          <w:b/>
          <w:sz w:val="28"/>
          <w:szCs w:val="28"/>
        </w:rPr>
        <w:t>3.2.2</w:t>
      </w:r>
      <w:r w:rsidRPr="00505CF0">
        <w:rPr>
          <w:rFonts w:asciiTheme="majorBidi" w:hAnsiTheme="majorBidi" w:cstheme="majorBidi"/>
          <w:b/>
          <w:sz w:val="28"/>
          <w:szCs w:val="28"/>
        </w:rPr>
        <w:tab/>
        <w:t>Romantic Metafiction</w:t>
      </w:r>
    </w:p>
    <w:p w14:paraId="492D6550" w14:textId="77777777" w:rsidR="00C111D3" w:rsidRPr="00505CF0" w:rsidRDefault="00C111D3" w:rsidP="004C3EE0">
      <w:pPr>
        <w:spacing w:line="480" w:lineRule="auto"/>
        <w:jc w:val="both"/>
        <w:rPr>
          <w:rFonts w:asciiTheme="majorBidi" w:hAnsiTheme="majorBidi" w:cstheme="majorBidi"/>
        </w:rPr>
      </w:pPr>
    </w:p>
    <w:p w14:paraId="6D94795D" w14:textId="69E1DA4C"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While these burlesque metafictions delight in titillating and teasing their readers, flashing the methods of their construction with knowing winks and playful nods, the romant</w:t>
      </w:r>
      <w:r w:rsidR="00D60AA1">
        <w:rPr>
          <w:rFonts w:asciiTheme="majorBidi" w:hAnsiTheme="majorBidi" w:cstheme="majorBidi"/>
          <w:sz w:val="24"/>
          <w:szCs w:val="24"/>
        </w:rPr>
        <w:t>ic metafiction is a particular</w:t>
      </w:r>
      <w:r w:rsidRPr="00505CF0">
        <w:rPr>
          <w:rFonts w:asciiTheme="majorBidi" w:hAnsiTheme="majorBidi" w:cstheme="majorBidi"/>
          <w:sz w:val="24"/>
          <w:szCs w:val="24"/>
        </w:rPr>
        <w:t xml:space="preserve"> </w:t>
      </w:r>
      <w:r w:rsidR="00BE1BD1">
        <w:rPr>
          <w:rFonts w:asciiTheme="majorBidi" w:hAnsiTheme="majorBidi" w:cstheme="majorBidi"/>
          <w:sz w:val="24"/>
          <w:szCs w:val="24"/>
        </w:rPr>
        <w:t>extreme of this continuum</w:t>
      </w:r>
      <w:r w:rsidRPr="00505CF0">
        <w:rPr>
          <w:rFonts w:asciiTheme="majorBidi" w:hAnsiTheme="majorBidi" w:cstheme="majorBidi"/>
          <w:sz w:val="24"/>
          <w:szCs w:val="24"/>
        </w:rPr>
        <w:t xml:space="preserve"> with an altogether more emotional, human, agenda than has hitherto been linked to metafictional practice, but which can nonetheless be traced back as far as </w:t>
      </w:r>
      <w:r w:rsidRPr="00505CF0">
        <w:rPr>
          <w:rFonts w:asciiTheme="majorBidi" w:hAnsiTheme="majorBidi" w:cstheme="majorBidi"/>
          <w:i/>
          <w:sz w:val="24"/>
          <w:szCs w:val="24"/>
        </w:rPr>
        <w:t>Tristram Shandy</w:t>
      </w:r>
      <w:r w:rsidRPr="00505CF0">
        <w:rPr>
          <w:rFonts w:asciiTheme="majorBidi" w:hAnsiTheme="majorBidi" w:cstheme="majorBidi"/>
          <w:sz w:val="24"/>
          <w:szCs w:val="24"/>
        </w:rPr>
        <w:t>.  Romantic in their treatment of the grandeur of the world at large, with idealised views of humanity, the romantic metafiction foregrounds emotional or moral issues through metafictional means, and while such concerns are often overlooked in critical reception of metafiction as a whole, evidence for this form of metafiction can be traced back to Scholes’ descript</w:t>
      </w:r>
      <w:r w:rsidR="00D60AA1">
        <w:rPr>
          <w:rFonts w:asciiTheme="majorBidi" w:hAnsiTheme="majorBidi" w:cstheme="majorBidi"/>
          <w:sz w:val="24"/>
          <w:szCs w:val="24"/>
        </w:rPr>
        <w:t>ion of the proto-metafictional f</w:t>
      </w:r>
      <w:r w:rsidRPr="00505CF0">
        <w:rPr>
          <w:rFonts w:asciiTheme="majorBidi" w:hAnsiTheme="majorBidi" w:cstheme="majorBidi"/>
          <w:sz w:val="24"/>
          <w:szCs w:val="24"/>
        </w:rPr>
        <w:t>abulators:</w:t>
      </w:r>
    </w:p>
    <w:p w14:paraId="7400D3AD" w14:textId="77777777" w:rsidR="00C111D3" w:rsidRPr="00505CF0" w:rsidRDefault="00C111D3" w:rsidP="004C3EE0">
      <w:pPr>
        <w:ind w:left="737" w:right="737"/>
        <w:jc w:val="both"/>
        <w:rPr>
          <w:rFonts w:asciiTheme="majorBidi" w:hAnsiTheme="majorBidi" w:cstheme="majorBidi"/>
          <w:sz w:val="24"/>
          <w:szCs w:val="24"/>
        </w:rPr>
      </w:pPr>
    </w:p>
    <w:p w14:paraId="5EC58D74"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In using the word "Fabulator"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w:t>
      </w:r>
      <w:r w:rsidRPr="00505CF0">
        <w:rPr>
          <w:rStyle w:val="FootnoteReference"/>
          <w:rFonts w:asciiTheme="majorBidi" w:hAnsiTheme="majorBidi" w:cstheme="majorBidi"/>
          <w:sz w:val="24"/>
          <w:szCs w:val="24"/>
        </w:rPr>
        <w:footnoteReference w:id="716"/>
      </w:r>
    </w:p>
    <w:p w14:paraId="5BD093D9" w14:textId="77777777" w:rsidR="00C111D3" w:rsidRPr="00505CF0" w:rsidRDefault="00C111D3" w:rsidP="004C3EE0">
      <w:pPr>
        <w:spacing w:line="480" w:lineRule="auto"/>
        <w:jc w:val="both"/>
        <w:rPr>
          <w:rFonts w:asciiTheme="majorBidi" w:hAnsiTheme="majorBidi" w:cstheme="majorBidi"/>
          <w:sz w:val="24"/>
          <w:szCs w:val="24"/>
        </w:rPr>
      </w:pPr>
    </w:p>
    <w:p w14:paraId="6BC4DD92" w14:textId="175F257B"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Scholes</w:t>
      </w:r>
      <w:r w:rsidR="00D60AA1">
        <w:rPr>
          <w:rFonts w:asciiTheme="majorBidi" w:hAnsiTheme="majorBidi" w:cstheme="majorBidi"/>
          <w:sz w:val="24"/>
          <w:szCs w:val="24"/>
        </w:rPr>
        <w:t>’</w:t>
      </w:r>
      <w:r w:rsidRPr="00505CF0">
        <w:rPr>
          <w:rFonts w:asciiTheme="majorBidi" w:hAnsiTheme="majorBidi" w:cstheme="majorBidi"/>
          <w:sz w:val="24"/>
          <w:szCs w:val="24"/>
        </w:rPr>
        <w:t xml:space="preserve"> identification of the way in which metafiction returns towards actual human life by way of ethically controlled fantasy speaks of the more moral, emotional concerns of specific metafictions. One need only return to Sterne’s black page within </w:t>
      </w:r>
      <w:r w:rsidRPr="00505CF0">
        <w:rPr>
          <w:rFonts w:asciiTheme="majorBidi" w:hAnsiTheme="majorBidi" w:cstheme="majorBidi"/>
          <w:i/>
          <w:sz w:val="24"/>
          <w:szCs w:val="24"/>
        </w:rPr>
        <w:t>Tristram Shandy</w:t>
      </w:r>
      <w:r w:rsidR="00D60AA1">
        <w:rPr>
          <w:rFonts w:asciiTheme="majorBidi" w:hAnsiTheme="majorBidi" w:cstheme="majorBidi"/>
          <w:sz w:val="24"/>
          <w:szCs w:val="24"/>
        </w:rPr>
        <w:t xml:space="preserve"> for an example of this</w:t>
      </w:r>
      <w:r w:rsidRPr="00505CF0">
        <w:rPr>
          <w:rFonts w:asciiTheme="majorBidi" w:hAnsiTheme="majorBidi" w:cstheme="majorBidi"/>
          <w:sz w:val="24"/>
          <w:szCs w:val="24"/>
        </w:rPr>
        <w:t xml:space="preserve">, as metafictional subversion is turned toward representing the un-representable; the black page is a failed attempt to comprehend death, an attempt nonetheless, but a metafictional concern tied directly to a more emotionally resonant objective (how we mourn and grieve) than mere print play. Lovecraft’s </w:t>
      </w:r>
      <w:r w:rsidRPr="00505CF0">
        <w:rPr>
          <w:rFonts w:asciiTheme="majorBidi" w:hAnsiTheme="majorBidi" w:cstheme="majorBidi"/>
          <w:i/>
          <w:sz w:val="24"/>
          <w:szCs w:val="24"/>
        </w:rPr>
        <w:t>The Unnamable</w:t>
      </w:r>
      <w:r w:rsidRPr="00505CF0">
        <w:rPr>
          <w:rFonts w:asciiTheme="majorBidi" w:hAnsiTheme="majorBidi" w:cstheme="majorBidi"/>
          <w:sz w:val="24"/>
          <w:szCs w:val="24"/>
        </w:rPr>
        <w:t>, too, serves as an early example of romantic metafiction. By alluding to the author himself, Lovecraft is able to foreground his own ideals regarding the generation of fear for the purpose of release from the ‘daily treadmill,’ to find the ‘greatest pleasure’ in fiction which may remove the self from ‘the hackneyed patterns of actual existence.’</w:t>
      </w:r>
      <w:r w:rsidRPr="00505CF0">
        <w:rPr>
          <w:rStyle w:val="FootnoteReference"/>
          <w:rFonts w:asciiTheme="majorBidi" w:hAnsiTheme="majorBidi" w:cstheme="majorBidi"/>
          <w:sz w:val="24"/>
          <w:szCs w:val="24"/>
        </w:rPr>
        <w:footnoteReference w:id="717"/>
      </w:r>
      <w:r w:rsidRPr="00505CF0">
        <w:rPr>
          <w:rFonts w:asciiTheme="majorBidi" w:hAnsiTheme="majorBidi" w:cstheme="majorBidi"/>
          <w:sz w:val="24"/>
          <w:szCs w:val="24"/>
        </w:rPr>
        <w:t xml:space="preserve"> </w:t>
      </w:r>
    </w:p>
    <w:p w14:paraId="7A751FE6" w14:textId="70AC6DB8" w:rsidR="00C111D3" w:rsidRPr="00505CF0" w:rsidRDefault="00C111D3" w:rsidP="00D60AA1">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If we were to designate one novelist as exemplar of the burlesque, B.S. Johnson would be the potential leader of the mode. His works focus on form and novel conventions, with metafictive techniques serving to foreground the artificiality of the texts, the outmoded nature of the typical novel conventions. If we were to repeat the same exercise but as applied to the romantic, it is without a doubt that Kurt Vonnegut Jr would reign as novelist supreme. Vonnegut’s fiction, as Scholes attests, is easily identifiable as </w:t>
      </w:r>
      <w:proofErr w:type="gramStart"/>
      <w:r w:rsidRPr="00505CF0">
        <w:rPr>
          <w:rFonts w:asciiTheme="majorBidi" w:hAnsiTheme="majorBidi" w:cstheme="majorBidi"/>
          <w:sz w:val="24"/>
          <w:szCs w:val="24"/>
        </w:rPr>
        <w:t>emotionally,</w:t>
      </w:r>
      <w:proofErr w:type="gramEnd"/>
      <w:r w:rsidRPr="00505CF0">
        <w:rPr>
          <w:rFonts w:asciiTheme="majorBidi" w:hAnsiTheme="majorBidi" w:cstheme="majorBidi"/>
          <w:sz w:val="24"/>
          <w:szCs w:val="24"/>
        </w:rPr>
        <w:t xml:space="preserve"> or morally, centric: </w:t>
      </w:r>
    </w:p>
    <w:p w14:paraId="7A55B01D" w14:textId="77777777" w:rsidR="00C111D3" w:rsidRPr="00505CF0" w:rsidRDefault="00C111D3" w:rsidP="004C3EE0">
      <w:pPr>
        <w:jc w:val="both"/>
        <w:rPr>
          <w:rFonts w:asciiTheme="majorBidi" w:hAnsiTheme="majorBidi" w:cstheme="majorBidi"/>
          <w:sz w:val="24"/>
          <w:szCs w:val="24"/>
        </w:rPr>
      </w:pPr>
    </w:p>
    <w:p w14:paraId="44524896"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 xml:space="preserve">[Vonnegut’s novels are] helping, in Joyce's phrase, “to create the conscience of the race.” What race? </w:t>
      </w:r>
      <w:proofErr w:type="gramStart"/>
      <w:r w:rsidRPr="00505CF0">
        <w:rPr>
          <w:rFonts w:asciiTheme="majorBidi" w:hAnsiTheme="majorBidi" w:cstheme="majorBidi"/>
          <w:sz w:val="24"/>
          <w:szCs w:val="24"/>
        </w:rPr>
        <w:t>Human certainly, not American or German or any other abstraction from humanity.</w:t>
      </w:r>
      <w:proofErr w:type="gramEnd"/>
      <w:r w:rsidRPr="00505CF0">
        <w:rPr>
          <w:rFonts w:asciiTheme="majorBidi" w:hAnsiTheme="majorBidi" w:cstheme="majorBidi"/>
          <w:sz w:val="24"/>
          <w:szCs w:val="24"/>
        </w:rPr>
        <w:t xml:space="preserve"> Just as pure romance provides us with necessary psychic exercise, intellectual comedy like Vonnegut’s offers us moral stimulation - not fixed ethical positions which we can complacently assume, but such thoughts as exercise our consciences and help us keep our humanity in shape, read to respond to the humanity of others.</w:t>
      </w:r>
      <w:r w:rsidRPr="00505CF0">
        <w:rPr>
          <w:rStyle w:val="FootnoteReference"/>
          <w:rFonts w:asciiTheme="majorBidi" w:hAnsiTheme="majorBidi" w:cstheme="majorBidi"/>
          <w:sz w:val="24"/>
          <w:szCs w:val="24"/>
        </w:rPr>
        <w:footnoteReference w:id="718"/>
      </w:r>
    </w:p>
    <w:p w14:paraId="23B78CAB" w14:textId="77777777" w:rsidR="00C111D3" w:rsidRDefault="00C111D3" w:rsidP="004C3EE0">
      <w:pPr>
        <w:ind w:left="737" w:right="737"/>
        <w:jc w:val="both"/>
        <w:rPr>
          <w:rFonts w:asciiTheme="majorBidi" w:hAnsiTheme="majorBidi" w:cstheme="majorBidi"/>
          <w:sz w:val="24"/>
          <w:szCs w:val="24"/>
        </w:rPr>
      </w:pPr>
    </w:p>
    <w:p w14:paraId="4AEF160A" w14:textId="77777777" w:rsidR="00D60AA1" w:rsidRPr="00505CF0" w:rsidRDefault="00D60AA1" w:rsidP="004C3EE0">
      <w:pPr>
        <w:ind w:left="737" w:right="737"/>
        <w:jc w:val="both"/>
        <w:rPr>
          <w:rFonts w:asciiTheme="majorBidi" w:hAnsiTheme="majorBidi" w:cstheme="majorBidi"/>
          <w:sz w:val="24"/>
          <w:szCs w:val="24"/>
        </w:rPr>
      </w:pPr>
    </w:p>
    <w:p w14:paraId="539C3E5B" w14:textId="14A9A36C"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 xml:space="preserve">In </w:t>
      </w:r>
      <w:r w:rsidRPr="00505CF0">
        <w:rPr>
          <w:rFonts w:asciiTheme="majorBidi" w:hAnsiTheme="majorBidi" w:cstheme="majorBidi"/>
          <w:i/>
          <w:sz w:val="24"/>
          <w:szCs w:val="24"/>
        </w:rPr>
        <w:t>Slaughterhouse Five</w:t>
      </w:r>
      <w:r w:rsidRPr="00505CF0">
        <w:rPr>
          <w:rFonts w:asciiTheme="majorBidi" w:hAnsiTheme="majorBidi" w:cstheme="majorBidi"/>
          <w:sz w:val="24"/>
          <w:szCs w:val="24"/>
        </w:rPr>
        <w:t xml:space="preserve"> such metafictional techniques as the repeated inclusion of the author, the subversion of traditional novel chronology, and the inclusion of the prologue-esque section detailing the novel’s creation</w:t>
      </w:r>
      <w:r w:rsidR="00D60AA1">
        <w:rPr>
          <w:rFonts w:asciiTheme="majorBidi" w:hAnsiTheme="majorBidi" w:cstheme="majorBidi"/>
          <w:sz w:val="24"/>
          <w:szCs w:val="24"/>
        </w:rPr>
        <w:t>,</w:t>
      </w:r>
      <w:r w:rsidRPr="00505CF0">
        <w:rPr>
          <w:rFonts w:asciiTheme="majorBidi" w:hAnsiTheme="majorBidi" w:cstheme="majorBidi"/>
          <w:sz w:val="24"/>
          <w:szCs w:val="24"/>
        </w:rPr>
        <w:t xml:space="preserve"> all force the reader to confront not only fiction’s failings, but the inability of art to process and properly represent the atrocities of humanity. </w:t>
      </w:r>
      <w:r w:rsidRPr="00505CF0">
        <w:rPr>
          <w:rFonts w:asciiTheme="majorBidi" w:hAnsiTheme="majorBidi" w:cstheme="majorBidi"/>
          <w:i/>
          <w:sz w:val="24"/>
          <w:szCs w:val="24"/>
        </w:rPr>
        <w:t>Breakfast of Champions</w:t>
      </w:r>
      <w:r w:rsidRPr="00505CF0">
        <w:rPr>
          <w:rFonts w:asciiTheme="majorBidi" w:hAnsiTheme="majorBidi" w:cstheme="majorBidi"/>
          <w:sz w:val="24"/>
          <w:szCs w:val="24"/>
        </w:rPr>
        <w:t>, too, can be seen to actively try to prevent ‘even a temporary abandoning of human experiential responses,’</w:t>
      </w:r>
      <w:r w:rsidRPr="00505CF0">
        <w:rPr>
          <w:rStyle w:val="FootnoteReference"/>
          <w:rFonts w:asciiTheme="majorBidi" w:hAnsiTheme="majorBidi" w:cstheme="majorBidi"/>
          <w:sz w:val="24"/>
          <w:szCs w:val="24"/>
        </w:rPr>
        <w:footnoteReference w:id="719"/>
      </w:r>
      <w:r w:rsidRPr="00505CF0">
        <w:rPr>
          <w:rFonts w:asciiTheme="majorBidi" w:hAnsiTheme="majorBidi" w:cstheme="majorBidi"/>
          <w:sz w:val="24"/>
          <w:szCs w:val="24"/>
        </w:rPr>
        <w:t xml:space="preserve"> as Hutcheon argues of metafiction as a whole, while still utilising much the same metafictional techniques as in </w:t>
      </w:r>
      <w:r w:rsidRPr="00505CF0">
        <w:rPr>
          <w:rFonts w:asciiTheme="majorBidi" w:hAnsiTheme="majorBidi" w:cstheme="majorBidi"/>
          <w:i/>
          <w:sz w:val="24"/>
          <w:szCs w:val="24"/>
        </w:rPr>
        <w:t xml:space="preserve">SH5, </w:t>
      </w:r>
      <w:r w:rsidRPr="00505CF0">
        <w:rPr>
          <w:rFonts w:asciiTheme="majorBidi" w:hAnsiTheme="majorBidi" w:cstheme="majorBidi"/>
          <w:sz w:val="24"/>
          <w:szCs w:val="24"/>
        </w:rPr>
        <w:t>though here with included authorial drawings to repeatedly remind the reader of Vonnegut’s presence and continued manipulation of the novel. Indeed, Vonnegut foregrounds an emotional resolution over that of plot resolution at the end of the novel, appearing as a character within the novel to speak directly to Kilgore Trout and offer him transcendence and freedom:</w:t>
      </w:r>
    </w:p>
    <w:p w14:paraId="2C1118C7" w14:textId="77777777" w:rsidR="00C111D3" w:rsidRPr="00505CF0" w:rsidRDefault="00C111D3" w:rsidP="004C3EE0">
      <w:pPr>
        <w:ind w:left="737" w:right="737"/>
        <w:jc w:val="both"/>
        <w:rPr>
          <w:rFonts w:asciiTheme="majorBidi" w:hAnsiTheme="majorBidi" w:cstheme="majorBidi"/>
          <w:sz w:val="24"/>
          <w:szCs w:val="24"/>
        </w:rPr>
      </w:pPr>
    </w:p>
    <w:p w14:paraId="26F05D77" w14:textId="72202573" w:rsidR="00C111D3" w:rsidRPr="00505CF0" w:rsidRDefault="00C111D3" w:rsidP="006405B7">
      <w:pPr>
        <w:ind w:left="737" w:right="737" w:firstLine="720"/>
        <w:jc w:val="both"/>
        <w:rPr>
          <w:rFonts w:asciiTheme="majorBidi" w:hAnsiTheme="majorBidi" w:cstheme="majorBidi"/>
          <w:sz w:val="24"/>
          <w:szCs w:val="24"/>
        </w:rPr>
      </w:pPr>
      <w:r w:rsidRPr="00505CF0">
        <w:rPr>
          <w:rFonts w:asciiTheme="majorBidi" w:hAnsiTheme="majorBidi" w:cstheme="majorBidi"/>
          <w:sz w:val="24"/>
          <w:szCs w:val="24"/>
        </w:rPr>
        <w:t xml:space="preserve">“I am approaching my fiftieth birthday, Mr. Trout,” I said. “I am cleansing and renewing myself for the very different sort of years to come. </w:t>
      </w:r>
      <w:r w:rsidR="006405B7">
        <w:rPr>
          <w:rFonts w:asciiTheme="majorBidi" w:hAnsiTheme="majorBidi" w:cstheme="majorBidi"/>
          <w:sz w:val="24"/>
          <w:szCs w:val="24"/>
        </w:rPr>
        <w:t>[…]</w:t>
      </w:r>
      <w:r w:rsidRPr="00505CF0">
        <w:rPr>
          <w:rFonts w:asciiTheme="majorBidi" w:hAnsiTheme="majorBidi" w:cstheme="majorBidi"/>
          <w:sz w:val="24"/>
          <w:szCs w:val="24"/>
        </w:rPr>
        <w:t xml:space="preserve">. I am going to set at liberty all the literary characters who have served me so loyally during my writing career. […] Arise, Mr. Trout, you are free, you are </w:t>
      </w:r>
      <w:r w:rsidRPr="00505CF0">
        <w:rPr>
          <w:rFonts w:asciiTheme="majorBidi" w:hAnsiTheme="majorBidi" w:cstheme="majorBidi"/>
          <w:i/>
          <w:sz w:val="24"/>
          <w:szCs w:val="24"/>
        </w:rPr>
        <w:t>free.</w:t>
      </w:r>
      <w:r w:rsidRPr="00505CF0">
        <w:rPr>
          <w:rFonts w:asciiTheme="majorBidi" w:hAnsiTheme="majorBidi" w:cstheme="majorBidi"/>
          <w:sz w:val="24"/>
          <w:szCs w:val="24"/>
        </w:rPr>
        <w:t xml:space="preserve"> […] </w:t>
      </w:r>
      <w:r w:rsidRPr="00505CF0">
        <w:rPr>
          <w:rFonts w:asciiTheme="majorBidi" w:hAnsiTheme="majorBidi" w:cstheme="majorBidi"/>
          <w:i/>
          <w:sz w:val="24"/>
          <w:szCs w:val="24"/>
        </w:rPr>
        <w:t>Bon voyage</w:t>
      </w:r>
      <w:r w:rsidRPr="00505CF0">
        <w:rPr>
          <w:rFonts w:asciiTheme="majorBidi" w:hAnsiTheme="majorBidi" w:cstheme="majorBidi"/>
          <w:sz w:val="24"/>
          <w:szCs w:val="24"/>
        </w:rPr>
        <w:t>,” I said. I disappeared.</w:t>
      </w:r>
    </w:p>
    <w:p w14:paraId="6E3E6988" w14:textId="77777777" w:rsidR="00C111D3" w:rsidRPr="00505CF0" w:rsidRDefault="00C111D3" w:rsidP="004C3EE0">
      <w:pPr>
        <w:ind w:left="737" w:right="737" w:firstLine="720"/>
        <w:jc w:val="both"/>
        <w:rPr>
          <w:rFonts w:asciiTheme="majorBidi" w:hAnsiTheme="majorBidi" w:cstheme="majorBidi"/>
          <w:sz w:val="24"/>
          <w:szCs w:val="24"/>
        </w:rPr>
      </w:pPr>
      <w:r w:rsidRPr="00505CF0">
        <w:rPr>
          <w:rFonts w:asciiTheme="majorBidi" w:hAnsiTheme="majorBidi" w:cstheme="majorBidi"/>
          <w:sz w:val="24"/>
          <w:szCs w:val="24"/>
        </w:rPr>
        <w:t>[…] I somersaulted lazily and pleasantly through the void, which is my hiding place when I dematerialize [from the fictional world]. Trout’s cries to me faded as the distance between us increased. […] Here was what Kilgore Trout cried out to me in my father’s voice: “</w:t>
      </w:r>
      <w:r w:rsidRPr="00505CF0">
        <w:rPr>
          <w:rFonts w:asciiTheme="majorBidi" w:hAnsiTheme="majorBidi" w:cstheme="majorBidi"/>
          <w:i/>
          <w:sz w:val="24"/>
          <w:szCs w:val="24"/>
        </w:rPr>
        <w:t xml:space="preserve">Make me young, make me young, </w:t>
      </w:r>
      <w:proofErr w:type="gramStart"/>
      <w:r w:rsidRPr="00505CF0">
        <w:rPr>
          <w:rFonts w:asciiTheme="majorBidi" w:hAnsiTheme="majorBidi" w:cstheme="majorBidi"/>
          <w:i/>
          <w:sz w:val="24"/>
          <w:szCs w:val="24"/>
        </w:rPr>
        <w:t>make</w:t>
      </w:r>
      <w:proofErr w:type="gramEnd"/>
      <w:r w:rsidRPr="00505CF0">
        <w:rPr>
          <w:rFonts w:asciiTheme="majorBidi" w:hAnsiTheme="majorBidi" w:cstheme="majorBidi"/>
          <w:i/>
          <w:sz w:val="24"/>
          <w:szCs w:val="24"/>
        </w:rPr>
        <w:t xml:space="preserve"> me young!</w:t>
      </w:r>
      <w:r w:rsidRPr="00505CF0">
        <w:rPr>
          <w:rFonts w:asciiTheme="majorBidi" w:hAnsiTheme="majorBidi" w:cstheme="majorBidi"/>
          <w:sz w:val="24"/>
          <w:szCs w:val="24"/>
        </w:rPr>
        <w:t>”</w:t>
      </w:r>
      <w:r w:rsidRPr="00505CF0">
        <w:rPr>
          <w:rStyle w:val="FootnoteReference"/>
          <w:rFonts w:asciiTheme="majorBidi" w:hAnsiTheme="majorBidi" w:cstheme="majorBidi"/>
          <w:sz w:val="24"/>
          <w:szCs w:val="24"/>
        </w:rPr>
        <w:footnoteReference w:id="720"/>
      </w:r>
    </w:p>
    <w:p w14:paraId="6B63754C" w14:textId="77777777" w:rsidR="00C111D3" w:rsidRPr="00505CF0" w:rsidRDefault="00C111D3" w:rsidP="004C3EE0">
      <w:pPr>
        <w:ind w:left="737" w:right="737"/>
        <w:jc w:val="both"/>
        <w:rPr>
          <w:rFonts w:asciiTheme="majorBidi" w:hAnsiTheme="majorBidi" w:cstheme="majorBidi"/>
          <w:sz w:val="24"/>
          <w:szCs w:val="24"/>
        </w:rPr>
      </w:pPr>
    </w:p>
    <w:p w14:paraId="6197DE37" w14:textId="47791D4F" w:rsidR="00C111D3" w:rsidRPr="00505CF0" w:rsidRDefault="00C111D3" w:rsidP="004C3EE0">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Vonnegut’s text, and by extension the majority of his oeuvre</w:t>
      </w:r>
      <w:r w:rsidR="00D60AA1">
        <w:rPr>
          <w:rFonts w:asciiTheme="majorBidi" w:hAnsiTheme="majorBidi" w:cstheme="majorBidi"/>
          <w:sz w:val="24"/>
          <w:szCs w:val="24"/>
        </w:rPr>
        <w:t>,</w:t>
      </w:r>
      <w:r w:rsidRPr="00505CF0">
        <w:rPr>
          <w:rFonts w:asciiTheme="majorBidi" w:hAnsiTheme="majorBidi" w:cstheme="majorBidi"/>
          <w:sz w:val="24"/>
          <w:szCs w:val="24"/>
        </w:rPr>
        <w:t xml:space="preserve"> foreground</w:t>
      </w:r>
      <w:r w:rsidR="00D60AA1">
        <w:rPr>
          <w:rFonts w:asciiTheme="majorBidi" w:hAnsiTheme="majorBidi" w:cstheme="majorBidi"/>
          <w:sz w:val="24"/>
          <w:szCs w:val="24"/>
        </w:rPr>
        <w:t>s</w:t>
      </w:r>
      <w:r w:rsidRPr="00505CF0">
        <w:rPr>
          <w:rFonts w:asciiTheme="majorBidi" w:hAnsiTheme="majorBidi" w:cstheme="majorBidi"/>
          <w:sz w:val="24"/>
          <w:szCs w:val="24"/>
        </w:rPr>
        <w:t xml:space="preserve"> emotional, moral, and human issues through metafictional practice, often disrupting narrative tradition and convention to allow the authorial agenda a stronger connection to the potential reader; Vonnegut’s arguments, employed allegorically through plot but often appearing as stated by a representation of himself, reach the reader all the clearer through the broken narratological levels disrupted by metafictional devices. Such a tec</w:t>
      </w:r>
      <w:r w:rsidR="00555DD6">
        <w:rPr>
          <w:rFonts w:asciiTheme="majorBidi" w:hAnsiTheme="majorBidi" w:cstheme="majorBidi"/>
          <w:sz w:val="24"/>
          <w:szCs w:val="24"/>
        </w:rPr>
        <w:t>hnique, the use of metafiction</w:t>
      </w:r>
      <w:r w:rsidRPr="00505CF0">
        <w:rPr>
          <w:rFonts w:asciiTheme="majorBidi" w:hAnsiTheme="majorBidi" w:cstheme="majorBidi"/>
          <w:sz w:val="24"/>
          <w:szCs w:val="24"/>
        </w:rPr>
        <w:t xml:space="preserve"> to knowingly disrupt the fictional premise and create a distinct emotional resonance with the reader, is a common motif of romantic metafiction</w:t>
      </w:r>
      <w:r w:rsidR="00BE1BD1">
        <w:rPr>
          <w:rFonts w:asciiTheme="majorBidi" w:hAnsiTheme="majorBidi" w:cstheme="majorBidi"/>
          <w:sz w:val="24"/>
          <w:szCs w:val="24"/>
        </w:rPr>
        <w:t>, though does err somewhat towards the centre of</w:t>
      </w:r>
      <w:r w:rsidR="00586291">
        <w:rPr>
          <w:rFonts w:asciiTheme="majorBidi" w:hAnsiTheme="majorBidi" w:cstheme="majorBidi"/>
          <w:sz w:val="24"/>
          <w:szCs w:val="24"/>
        </w:rPr>
        <w:t xml:space="preserve"> the</w:t>
      </w:r>
      <w:r w:rsidR="00BE1BD1">
        <w:rPr>
          <w:rFonts w:asciiTheme="majorBidi" w:hAnsiTheme="majorBidi" w:cstheme="majorBidi"/>
          <w:sz w:val="24"/>
          <w:szCs w:val="24"/>
        </w:rPr>
        <w:t xml:space="preserve"> </w:t>
      </w:r>
      <w:r w:rsidR="005B6280">
        <w:rPr>
          <w:rFonts w:asciiTheme="majorBidi" w:hAnsiTheme="majorBidi" w:cstheme="majorBidi"/>
          <w:sz w:val="24"/>
          <w:szCs w:val="24"/>
        </w:rPr>
        <w:t>continuum and burlesque techniques</w:t>
      </w:r>
      <w:r w:rsidRPr="00505CF0">
        <w:rPr>
          <w:rFonts w:asciiTheme="majorBidi" w:hAnsiTheme="majorBidi" w:cstheme="majorBidi"/>
          <w:sz w:val="24"/>
          <w:szCs w:val="24"/>
        </w:rPr>
        <w:t>. The inten</w:t>
      </w:r>
      <w:r w:rsidR="005B6280">
        <w:rPr>
          <w:rFonts w:asciiTheme="majorBidi" w:hAnsiTheme="majorBidi" w:cstheme="majorBidi"/>
          <w:sz w:val="24"/>
          <w:szCs w:val="24"/>
        </w:rPr>
        <w:t>t in romantic metafiction, however,</w:t>
      </w:r>
      <w:r w:rsidRPr="00505CF0">
        <w:rPr>
          <w:rFonts w:asciiTheme="majorBidi" w:hAnsiTheme="majorBidi" w:cstheme="majorBidi"/>
          <w:sz w:val="24"/>
          <w:szCs w:val="24"/>
        </w:rPr>
        <w:t xml:space="preserve"> is not to criticise fiction</w:t>
      </w:r>
      <w:r w:rsidR="005B6280">
        <w:rPr>
          <w:rFonts w:asciiTheme="majorBidi" w:hAnsiTheme="majorBidi" w:cstheme="majorBidi"/>
          <w:sz w:val="24"/>
          <w:szCs w:val="24"/>
        </w:rPr>
        <w:t xml:space="preserve"> i</w:t>
      </w:r>
      <w:r w:rsidRPr="00505CF0">
        <w:rPr>
          <w:rFonts w:asciiTheme="majorBidi" w:hAnsiTheme="majorBidi" w:cstheme="majorBidi"/>
          <w:sz w:val="24"/>
          <w:szCs w:val="24"/>
        </w:rPr>
        <w:t xml:space="preserve">n these texts, </w:t>
      </w:r>
      <w:r w:rsidR="00586291">
        <w:rPr>
          <w:rFonts w:asciiTheme="majorBidi" w:hAnsiTheme="majorBidi" w:cstheme="majorBidi"/>
          <w:sz w:val="24"/>
          <w:szCs w:val="24"/>
        </w:rPr>
        <w:t>so</w:t>
      </w:r>
      <w:r w:rsidRPr="00505CF0">
        <w:rPr>
          <w:rFonts w:asciiTheme="majorBidi" w:hAnsiTheme="majorBidi" w:cstheme="majorBidi"/>
          <w:sz w:val="24"/>
          <w:szCs w:val="24"/>
        </w:rPr>
        <w:t xml:space="preserve"> much as </w:t>
      </w:r>
      <w:r w:rsidR="00586291">
        <w:rPr>
          <w:rFonts w:asciiTheme="majorBidi" w:hAnsiTheme="majorBidi" w:cstheme="majorBidi"/>
          <w:sz w:val="24"/>
          <w:szCs w:val="24"/>
        </w:rPr>
        <w:t xml:space="preserve">to </w:t>
      </w:r>
      <w:r w:rsidRPr="00505CF0">
        <w:rPr>
          <w:rFonts w:asciiTheme="majorBidi" w:hAnsiTheme="majorBidi" w:cstheme="majorBidi"/>
          <w:sz w:val="24"/>
          <w:szCs w:val="24"/>
        </w:rPr>
        <w:t xml:space="preserve">use the inherently flawed form to establish a knowing relationship with the </w:t>
      </w:r>
      <w:r w:rsidR="00586291">
        <w:rPr>
          <w:rFonts w:asciiTheme="majorBidi" w:hAnsiTheme="majorBidi" w:cstheme="majorBidi"/>
          <w:sz w:val="24"/>
          <w:szCs w:val="24"/>
        </w:rPr>
        <w:t>potential</w:t>
      </w:r>
      <w:r w:rsidR="00586291" w:rsidRPr="00505CF0">
        <w:rPr>
          <w:rFonts w:asciiTheme="majorBidi" w:hAnsiTheme="majorBidi" w:cstheme="majorBidi"/>
          <w:sz w:val="24"/>
          <w:szCs w:val="24"/>
        </w:rPr>
        <w:t xml:space="preserve"> </w:t>
      </w:r>
      <w:r w:rsidRPr="00505CF0">
        <w:rPr>
          <w:rFonts w:asciiTheme="majorBidi" w:hAnsiTheme="majorBidi" w:cstheme="majorBidi"/>
          <w:sz w:val="24"/>
          <w:szCs w:val="24"/>
        </w:rPr>
        <w:t xml:space="preserve">reader and, in doing so, aid the emphatic relation between reader and text (or reader and author). </w:t>
      </w:r>
    </w:p>
    <w:p w14:paraId="1A34DCB1" w14:textId="476CC3CE" w:rsidR="00C111D3" w:rsidRPr="00505CF0" w:rsidRDefault="00C111D3" w:rsidP="00555DD6">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 xml:space="preserve">One manner in which this is achieved is through the use of the metafictional device of self-referentiality in terms of form, where novels refer to the creation of other works, themselves, or merely the power of the written word in order to signpost their moral or emotional arguments. In both </w:t>
      </w:r>
      <w:r w:rsidRPr="00505CF0">
        <w:rPr>
          <w:rFonts w:asciiTheme="majorBidi" w:hAnsiTheme="majorBidi" w:cstheme="majorBidi"/>
          <w:i/>
          <w:sz w:val="24"/>
          <w:szCs w:val="24"/>
        </w:rPr>
        <w:t>Gretel and the Dark</w:t>
      </w:r>
      <w:r w:rsidRPr="00505CF0">
        <w:rPr>
          <w:rFonts w:asciiTheme="majorBidi" w:hAnsiTheme="majorBidi" w:cstheme="majorBidi"/>
          <w:sz w:val="24"/>
          <w:szCs w:val="24"/>
        </w:rPr>
        <w:t xml:space="preserve"> and </w:t>
      </w:r>
      <w:r w:rsidR="009F7822">
        <w:rPr>
          <w:rFonts w:asciiTheme="majorBidi" w:hAnsiTheme="majorBidi" w:cstheme="majorBidi"/>
          <w:sz w:val="24"/>
          <w:szCs w:val="24"/>
        </w:rPr>
        <w:t xml:space="preserve">Patrick McGrath’s </w:t>
      </w:r>
      <w:r w:rsidRPr="00505CF0">
        <w:rPr>
          <w:rFonts w:asciiTheme="majorBidi" w:hAnsiTheme="majorBidi" w:cstheme="majorBidi"/>
          <w:i/>
          <w:sz w:val="24"/>
          <w:szCs w:val="24"/>
        </w:rPr>
        <w:t>Spider,</w:t>
      </w:r>
      <w:r w:rsidRPr="00505CF0">
        <w:rPr>
          <w:rFonts w:asciiTheme="majorBidi" w:hAnsiTheme="majorBidi" w:cstheme="majorBidi"/>
          <w:sz w:val="24"/>
          <w:szCs w:val="24"/>
        </w:rPr>
        <w:t xml:space="preserve"> for example, the protagonists each attempt to rewrite their lives as a means of resolving seemingly horrific past events (concentration camp experiences and the murder of the protagonist’s own mother, respectively). Both texts foreground the act of story-telling as a creative, rebellious act, exposing their narratives as flawed retellings or creations not to comment upon the inability of fiction to affect the lives of those involved, but instead to suggest an emotional capacity for healing, of the self, of trauma, inherent to fiction. </w:t>
      </w:r>
      <w:r w:rsidRPr="00505CF0">
        <w:rPr>
          <w:rFonts w:asciiTheme="majorBidi" w:hAnsiTheme="majorBidi" w:cstheme="majorBidi"/>
          <w:i/>
          <w:sz w:val="24"/>
          <w:szCs w:val="24"/>
        </w:rPr>
        <w:t>S</w:t>
      </w:r>
      <w:r w:rsidRPr="00505CF0">
        <w:rPr>
          <w:rFonts w:asciiTheme="majorBidi" w:hAnsiTheme="majorBidi" w:cstheme="majorBidi"/>
          <w:sz w:val="24"/>
          <w:szCs w:val="24"/>
        </w:rPr>
        <w:t>, too, utilises metafictional techniques to further human connection with the novel, as opposed to the traditional argument of metafiction as alienating the reader and ejecting them from the text</w:t>
      </w:r>
      <w:r w:rsidR="002F0884">
        <w:rPr>
          <w:rFonts w:asciiTheme="majorBidi" w:hAnsiTheme="majorBidi" w:cstheme="majorBidi"/>
          <w:sz w:val="24"/>
          <w:szCs w:val="24"/>
        </w:rPr>
        <w:t>.</w:t>
      </w:r>
      <w:r w:rsidRPr="00505CF0">
        <w:rPr>
          <w:rFonts w:asciiTheme="majorBidi" w:hAnsiTheme="majorBidi" w:cstheme="majorBidi"/>
          <w:sz w:val="24"/>
          <w:szCs w:val="24"/>
        </w:rPr>
        <w:t xml:space="preserve"> </w:t>
      </w:r>
      <w:r w:rsidR="002F0884">
        <w:rPr>
          <w:rFonts w:asciiTheme="majorBidi" w:hAnsiTheme="majorBidi" w:cstheme="majorBidi"/>
          <w:sz w:val="24"/>
          <w:szCs w:val="24"/>
        </w:rPr>
        <w:t>H</w:t>
      </w:r>
      <w:r w:rsidRPr="00505CF0">
        <w:rPr>
          <w:rFonts w:asciiTheme="majorBidi" w:hAnsiTheme="majorBidi" w:cstheme="majorBidi"/>
          <w:sz w:val="24"/>
          <w:szCs w:val="24"/>
        </w:rPr>
        <w:t xml:space="preserve">ere, the marginalia narrative of the commentators, in actively critiquing the text, highlights the artificiality of the document in question, though this only compounds the arguments about fiction as a subversive, often covert, tool for societal change that the text presents. </w:t>
      </w:r>
      <w:r w:rsidRPr="00505CF0">
        <w:rPr>
          <w:rFonts w:asciiTheme="majorBidi" w:hAnsiTheme="majorBidi" w:cstheme="majorBidi"/>
          <w:i/>
          <w:sz w:val="24"/>
          <w:szCs w:val="24"/>
        </w:rPr>
        <w:t>Time’s Arrow,</w:t>
      </w:r>
      <w:r w:rsidRPr="00505CF0">
        <w:rPr>
          <w:rFonts w:asciiTheme="majorBidi" w:hAnsiTheme="majorBidi" w:cstheme="majorBidi"/>
          <w:sz w:val="24"/>
          <w:szCs w:val="24"/>
        </w:rPr>
        <w:t xml:space="preserve"> too, adheres to this convention of the </w:t>
      </w:r>
      <w:r w:rsidR="005B6280">
        <w:rPr>
          <w:rFonts w:asciiTheme="majorBidi" w:hAnsiTheme="majorBidi" w:cstheme="majorBidi"/>
          <w:sz w:val="24"/>
          <w:szCs w:val="24"/>
        </w:rPr>
        <w:t xml:space="preserve">more </w:t>
      </w:r>
      <w:r w:rsidRPr="00505CF0">
        <w:rPr>
          <w:rFonts w:asciiTheme="majorBidi" w:hAnsiTheme="majorBidi" w:cstheme="majorBidi"/>
          <w:sz w:val="24"/>
          <w:szCs w:val="24"/>
        </w:rPr>
        <w:t xml:space="preserve">romantic </w:t>
      </w:r>
      <w:r w:rsidR="005B6280">
        <w:rPr>
          <w:rFonts w:asciiTheme="majorBidi" w:hAnsiTheme="majorBidi" w:cstheme="majorBidi"/>
          <w:sz w:val="24"/>
          <w:szCs w:val="24"/>
        </w:rPr>
        <w:t>meta</w:t>
      </w:r>
      <w:r w:rsidRPr="00505CF0">
        <w:rPr>
          <w:rFonts w:asciiTheme="majorBidi" w:hAnsiTheme="majorBidi" w:cstheme="majorBidi"/>
          <w:sz w:val="24"/>
          <w:szCs w:val="24"/>
        </w:rPr>
        <w:t>fiction</w:t>
      </w:r>
      <w:r w:rsidR="005B6280">
        <w:rPr>
          <w:rFonts w:asciiTheme="majorBidi" w:hAnsiTheme="majorBidi" w:cstheme="majorBidi"/>
          <w:sz w:val="24"/>
          <w:szCs w:val="24"/>
        </w:rPr>
        <w:t>s</w:t>
      </w:r>
      <w:r w:rsidRPr="00505CF0">
        <w:rPr>
          <w:rFonts w:asciiTheme="majorBidi" w:hAnsiTheme="majorBidi" w:cstheme="majorBidi"/>
          <w:sz w:val="24"/>
          <w:szCs w:val="24"/>
        </w:rPr>
        <w:t xml:space="preserve">. While clearly commenting on the convention of linearity within the novel form through its reversal of typical forward chronology, the text does so in order to present the antagonist within as a human attempting to recover from his terrible pasts, though the acts themselves are ultimately condemned as so vile as to justify the protagonist’s endless cycle through the same life. </w:t>
      </w:r>
    </w:p>
    <w:p w14:paraId="79033DAD" w14:textId="32A0A0E9" w:rsidR="00C111D3" w:rsidRPr="00505CF0"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 xml:space="preserve">Perhaps the clearest comparison to delineate the romantic from the burlesque can be seen in the juxtaposition of </w:t>
      </w:r>
      <w:r w:rsidRPr="00505CF0">
        <w:rPr>
          <w:rFonts w:asciiTheme="majorBidi" w:hAnsiTheme="majorBidi" w:cstheme="majorBidi"/>
          <w:i/>
          <w:sz w:val="24"/>
          <w:szCs w:val="24"/>
        </w:rPr>
        <w:t xml:space="preserve">The Unfortunates </w:t>
      </w:r>
      <w:r w:rsidRPr="00505CF0">
        <w:rPr>
          <w:rFonts w:asciiTheme="majorBidi" w:hAnsiTheme="majorBidi" w:cstheme="majorBidi"/>
          <w:sz w:val="24"/>
          <w:szCs w:val="24"/>
        </w:rPr>
        <w:t>and</w:t>
      </w:r>
      <w:r w:rsidRPr="00505CF0">
        <w:rPr>
          <w:rFonts w:asciiTheme="majorBidi" w:hAnsiTheme="majorBidi" w:cstheme="majorBidi"/>
          <w:i/>
          <w:sz w:val="24"/>
          <w:szCs w:val="24"/>
        </w:rPr>
        <w:t xml:space="preserve"> Nox</w:t>
      </w:r>
      <w:r w:rsidRPr="00505CF0">
        <w:rPr>
          <w:rFonts w:asciiTheme="majorBidi" w:hAnsiTheme="majorBidi" w:cstheme="majorBidi"/>
          <w:sz w:val="24"/>
          <w:szCs w:val="24"/>
        </w:rPr>
        <w:t xml:space="preserve">. While both, ostensibly, appear as experiments on the novel form, highlighting the artificiality of their fictions by presenting them as books within boxes, </w:t>
      </w:r>
      <w:r w:rsidRPr="00505CF0">
        <w:rPr>
          <w:rFonts w:asciiTheme="majorBidi" w:hAnsiTheme="majorBidi" w:cstheme="majorBidi"/>
          <w:i/>
          <w:sz w:val="24"/>
          <w:szCs w:val="24"/>
        </w:rPr>
        <w:t>Nox</w:t>
      </w:r>
      <w:r w:rsidRPr="00505CF0">
        <w:rPr>
          <w:rFonts w:asciiTheme="majorBidi" w:hAnsiTheme="majorBidi" w:cstheme="majorBidi"/>
          <w:sz w:val="24"/>
          <w:szCs w:val="24"/>
        </w:rPr>
        <w:t xml:space="preserve"> and </w:t>
      </w:r>
      <w:r w:rsidRPr="00505CF0">
        <w:rPr>
          <w:rFonts w:asciiTheme="majorBidi" w:hAnsiTheme="majorBidi" w:cstheme="majorBidi"/>
          <w:i/>
          <w:sz w:val="24"/>
          <w:szCs w:val="24"/>
        </w:rPr>
        <w:t>The Unfortunates</w:t>
      </w:r>
      <w:r w:rsidRPr="00505CF0">
        <w:rPr>
          <w:rFonts w:asciiTheme="majorBidi" w:hAnsiTheme="majorBidi" w:cstheme="majorBidi"/>
          <w:sz w:val="24"/>
          <w:szCs w:val="24"/>
        </w:rPr>
        <w:t xml:space="preserve"> differ entirely in purpose. The latter text, a definitively burlesque affair, uses this main metafictional device of the unbound book within a box to force the reader into a meta-level awareness of the novel itself, the artefact</w:t>
      </w:r>
      <w:r w:rsidR="00555DD6">
        <w:rPr>
          <w:rFonts w:asciiTheme="majorBidi" w:hAnsiTheme="majorBidi" w:cstheme="majorBidi"/>
          <w:sz w:val="24"/>
          <w:szCs w:val="24"/>
        </w:rPr>
        <w:t>ual</w:t>
      </w:r>
      <w:r w:rsidRPr="00505CF0">
        <w:rPr>
          <w:rFonts w:asciiTheme="majorBidi" w:hAnsiTheme="majorBidi" w:cstheme="majorBidi"/>
          <w:sz w:val="24"/>
          <w:szCs w:val="24"/>
        </w:rPr>
        <w:t xml:space="preserve"> nature of the object emphasised through their tactile experiences engaging with the text. </w:t>
      </w:r>
      <w:r w:rsidRPr="00505CF0">
        <w:rPr>
          <w:rFonts w:asciiTheme="majorBidi" w:hAnsiTheme="majorBidi" w:cstheme="majorBidi"/>
          <w:i/>
          <w:sz w:val="24"/>
          <w:szCs w:val="24"/>
        </w:rPr>
        <w:t>Nox</w:t>
      </w:r>
      <w:r w:rsidR="00555DD6">
        <w:rPr>
          <w:rFonts w:asciiTheme="majorBidi" w:hAnsiTheme="majorBidi" w:cstheme="majorBidi"/>
          <w:sz w:val="24"/>
          <w:szCs w:val="24"/>
        </w:rPr>
        <w:t>, a romantic metafiction,</w:t>
      </w:r>
      <w:r w:rsidRPr="00505CF0">
        <w:rPr>
          <w:rFonts w:asciiTheme="majorBidi" w:hAnsiTheme="majorBidi" w:cstheme="majorBidi"/>
          <w:sz w:val="24"/>
          <w:szCs w:val="24"/>
        </w:rPr>
        <w:t xml:space="preserve"> uses the same techniques, though these are utilised in order to express a more sentimental purpose; the authorial desire for clarity in death problematized in </w:t>
      </w:r>
      <w:r w:rsidRPr="00505CF0">
        <w:rPr>
          <w:rFonts w:asciiTheme="majorBidi" w:hAnsiTheme="majorBidi" w:cstheme="majorBidi"/>
          <w:i/>
          <w:sz w:val="24"/>
          <w:szCs w:val="24"/>
        </w:rPr>
        <w:t>Nox</w:t>
      </w:r>
      <w:r w:rsidRPr="00505CF0">
        <w:rPr>
          <w:rFonts w:asciiTheme="majorBidi" w:hAnsiTheme="majorBidi" w:cstheme="majorBidi"/>
          <w:sz w:val="24"/>
          <w:szCs w:val="24"/>
        </w:rPr>
        <w:t xml:space="preserve">, through the use of scraps of paper, disseminated elegies and poetic discussion, does not find the same treatment in </w:t>
      </w:r>
      <w:r w:rsidRPr="00505CF0">
        <w:rPr>
          <w:rFonts w:asciiTheme="majorBidi" w:hAnsiTheme="majorBidi" w:cstheme="majorBidi"/>
          <w:i/>
          <w:sz w:val="24"/>
          <w:szCs w:val="24"/>
        </w:rPr>
        <w:t>The Unfortunates</w:t>
      </w:r>
      <w:r w:rsidRPr="00505CF0">
        <w:rPr>
          <w:rFonts w:asciiTheme="majorBidi" w:hAnsiTheme="majorBidi" w:cstheme="majorBidi"/>
          <w:sz w:val="24"/>
          <w:szCs w:val="24"/>
        </w:rPr>
        <w:t>, which treats death as a mere plot point and means of examining the ways in which we process narrative.</w:t>
      </w:r>
    </w:p>
    <w:p w14:paraId="0C620BB7" w14:textId="77777777" w:rsidR="00C111D3" w:rsidRDefault="00C111D3" w:rsidP="004C3EE0">
      <w:pPr>
        <w:spacing w:line="480" w:lineRule="auto"/>
        <w:ind w:firstLine="720"/>
        <w:jc w:val="both"/>
        <w:rPr>
          <w:rFonts w:asciiTheme="majorBidi" w:hAnsiTheme="majorBidi" w:cstheme="majorBidi"/>
          <w:sz w:val="24"/>
          <w:szCs w:val="24"/>
        </w:rPr>
      </w:pPr>
      <w:r w:rsidRPr="00505CF0">
        <w:rPr>
          <w:rFonts w:asciiTheme="majorBidi" w:hAnsiTheme="majorBidi" w:cstheme="majorBidi"/>
          <w:sz w:val="24"/>
          <w:szCs w:val="24"/>
        </w:rPr>
        <w:t>Romantic metafiction uses techniques of fictional critique to destabilise the fictional and draw the reader into the sentimental, emotional argument of the text, while the burlesque destabilises for the sake of de-stability, warping conventions to question their relevancy to current paradigms and societal values.</w:t>
      </w:r>
    </w:p>
    <w:p w14:paraId="53717D09" w14:textId="77777777" w:rsidR="006405B7" w:rsidRDefault="006405B7" w:rsidP="004C3EE0">
      <w:pPr>
        <w:spacing w:line="480" w:lineRule="auto"/>
        <w:ind w:firstLine="720"/>
        <w:jc w:val="both"/>
        <w:rPr>
          <w:rFonts w:asciiTheme="majorBidi" w:hAnsiTheme="majorBidi" w:cstheme="majorBidi"/>
          <w:sz w:val="24"/>
          <w:szCs w:val="24"/>
        </w:rPr>
      </w:pPr>
    </w:p>
    <w:p w14:paraId="43D6B31D" w14:textId="77777777" w:rsidR="006405B7" w:rsidRPr="00505CF0" w:rsidRDefault="006405B7" w:rsidP="004C3EE0">
      <w:pPr>
        <w:spacing w:line="480" w:lineRule="auto"/>
        <w:ind w:firstLine="720"/>
        <w:jc w:val="both"/>
        <w:rPr>
          <w:rFonts w:asciiTheme="majorBidi" w:hAnsiTheme="majorBidi" w:cstheme="majorBidi"/>
          <w:sz w:val="24"/>
          <w:szCs w:val="24"/>
        </w:rPr>
      </w:pPr>
    </w:p>
    <w:p w14:paraId="252BFFC4" w14:textId="324144C4" w:rsidR="00C111D3" w:rsidRPr="00505CF0" w:rsidRDefault="00755896" w:rsidP="004C3EE0">
      <w:pPr>
        <w:spacing w:line="480" w:lineRule="auto"/>
        <w:jc w:val="both"/>
        <w:rPr>
          <w:rFonts w:asciiTheme="majorBidi" w:hAnsiTheme="majorBidi" w:cstheme="majorBidi"/>
          <w:sz w:val="28"/>
          <w:szCs w:val="28"/>
        </w:rPr>
      </w:pPr>
      <w:r w:rsidRPr="00505CF0">
        <w:rPr>
          <w:rFonts w:asciiTheme="majorBidi" w:hAnsiTheme="majorBidi" w:cstheme="majorBidi"/>
          <w:b/>
          <w:sz w:val="28"/>
          <w:szCs w:val="28"/>
        </w:rPr>
        <w:t>4.</w:t>
      </w:r>
      <w:r w:rsidR="00C111D3" w:rsidRPr="00505CF0">
        <w:rPr>
          <w:rFonts w:asciiTheme="majorBidi" w:hAnsiTheme="majorBidi" w:cstheme="majorBidi"/>
          <w:b/>
          <w:sz w:val="28"/>
          <w:szCs w:val="28"/>
        </w:rPr>
        <w:tab/>
        <w:t>Conclusion: Abandon the Dancers</w:t>
      </w:r>
    </w:p>
    <w:p w14:paraId="23FFC198" w14:textId="77777777" w:rsidR="00C111D3" w:rsidRDefault="00C111D3" w:rsidP="006405B7">
      <w:pPr>
        <w:spacing w:line="240" w:lineRule="auto"/>
        <w:jc w:val="both"/>
        <w:rPr>
          <w:rFonts w:asciiTheme="majorBidi" w:hAnsiTheme="majorBidi" w:cstheme="majorBidi"/>
          <w:sz w:val="16"/>
          <w:szCs w:val="16"/>
        </w:rPr>
      </w:pPr>
    </w:p>
    <w:p w14:paraId="54BFBA12" w14:textId="77777777" w:rsidR="00555DD6" w:rsidRDefault="00555DD6" w:rsidP="006405B7">
      <w:pPr>
        <w:spacing w:line="240" w:lineRule="auto"/>
        <w:jc w:val="both"/>
        <w:rPr>
          <w:rFonts w:asciiTheme="majorBidi" w:hAnsiTheme="majorBidi" w:cstheme="majorBidi"/>
          <w:sz w:val="16"/>
          <w:szCs w:val="16"/>
        </w:rPr>
      </w:pPr>
    </w:p>
    <w:p w14:paraId="5A521456" w14:textId="77777777" w:rsidR="00555DD6" w:rsidRPr="006405B7" w:rsidRDefault="00555DD6" w:rsidP="006405B7">
      <w:pPr>
        <w:spacing w:line="240" w:lineRule="auto"/>
        <w:jc w:val="both"/>
        <w:rPr>
          <w:rFonts w:asciiTheme="majorBidi" w:hAnsiTheme="majorBidi" w:cstheme="majorBidi"/>
          <w:sz w:val="16"/>
          <w:szCs w:val="16"/>
        </w:rPr>
      </w:pPr>
    </w:p>
    <w:p w14:paraId="53496D1B" w14:textId="5749D3C6" w:rsidR="00C111D3" w:rsidRPr="00505CF0" w:rsidRDefault="00C111D3" w:rsidP="00555DD6">
      <w:pPr>
        <w:spacing w:line="480" w:lineRule="auto"/>
        <w:jc w:val="both"/>
        <w:rPr>
          <w:rFonts w:asciiTheme="majorBidi" w:hAnsiTheme="majorBidi" w:cstheme="majorBidi"/>
        </w:rPr>
      </w:pPr>
      <w:r w:rsidRPr="006405B7">
        <w:rPr>
          <w:rFonts w:asciiTheme="majorBidi" w:hAnsiTheme="majorBidi" w:cstheme="majorBidi"/>
          <w:sz w:val="24"/>
          <w:szCs w:val="24"/>
        </w:rPr>
        <w:t>While this identification of two forms may be somewhat novel in and of itself, it does beg the question of why – why bother to continue to critically consider a form which seems to have witnessed a slow decline towards abandonment altogether in the post-postmodern age.</w:t>
      </w:r>
      <w:r w:rsidR="00123DCB" w:rsidRPr="006405B7">
        <w:rPr>
          <w:rStyle w:val="FootnoteReference"/>
          <w:rFonts w:asciiTheme="majorBidi" w:hAnsiTheme="majorBidi" w:cstheme="majorBidi"/>
          <w:sz w:val="24"/>
          <w:szCs w:val="24"/>
        </w:rPr>
        <w:footnoteReference w:id="721"/>
      </w:r>
      <w:r w:rsidRPr="006405B7">
        <w:rPr>
          <w:rFonts w:asciiTheme="majorBidi" w:hAnsiTheme="majorBidi" w:cstheme="majorBidi"/>
          <w:sz w:val="24"/>
          <w:szCs w:val="24"/>
        </w:rPr>
        <w:t xml:space="preserve"> The future of fiction, seemingly always under threat at the beginning of new historical and social epochs, must be safeguarded through adaptation; as the socio-political ideologies of cultures shift, literature must shift to accommodate </w:t>
      </w:r>
      <w:r w:rsidR="00555DD6">
        <w:rPr>
          <w:rFonts w:asciiTheme="majorBidi" w:hAnsiTheme="majorBidi" w:cstheme="majorBidi"/>
          <w:sz w:val="24"/>
          <w:szCs w:val="24"/>
        </w:rPr>
        <w:t>this</w:t>
      </w:r>
      <w:r w:rsidRPr="006405B7">
        <w:rPr>
          <w:rFonts w:asciiTheme="majorBidi" w:hAnsiTheme="majorBidi" w:cstheme="majorBidi"/>
          <w:sz w:val="24"/>
          <w:szCs w:val="24"/>
        </w:rPr>
        <w:t xml:space="preserve"> or find </w:t>
      </w:r>
      <w:proofErr w:type="gramStart"/>
      <w:r w:rsidRPr="006405B7">
        <w:rPr>
          <w:rFonts w:asciiTheme="majorBidi" w:hAnsiTheme="majorBidi" w:cstheme="majorBidi"/>
          <w:sz w:val="24"/>
          <w:szCs w:val="24"/>
        </w:rPr>
        <w:t>itself</w:t>
      </w:r>
      <w:proofErr w:type="gramEnd"/>
      <w:r w:rsidRPr="006405B7">
        <w:rPr>
          <w:rFonts w:asciiTheme="majorBidi" w:hAnsiTheme="majorBidi" w:cstheme="majorBidi"/>
          <w:sz w:val="24"/>
          <w:szCs w:val="24"/>
        </w:rPr>
        <w:t xml:space="preserve"> finally falling into the form of obsolescence repeatedly predicted of the form. Raymond Federman, too, attests to the once-more threatened state of literary endeavour and the need for the survival of literature</w:t>
      </w:r>
      <w:r w:rsidRPr="00505CF0">
        <w:rPr>
          <w:rFonts w:asciiTheme="majorBidi" w:hAnsiTheme="majorBidi" w:cstheme="majorBidi"/>
        </w:rPr>
        <w:t>:</w:t>
      </w:r>
    </w:p>
    <w:p w14:paraId="42EB883D" w14:textId="77777777" w:rsidR="00C111D3" w:rsidRPr="00505CF0" w:rsidRDefault="00C111D3" w:rsidP="004C3EE0">
      <w:pPr>
        <w:pStyle w:val="ListParagraph"/>
        <w:tabs>
          <w:tab w:val="left" w:pos="1140"/>
        </w:tabs>
        <w:ind w:left="737" w:right="737"/>
        <w:jc w:val="both"/>
        <w:rPr>
          <w:rFonts w:asciiTheme="majorBidi" w:hAnsiTheme="majorBidi" w:cstheme="majorBidi"/>
        </w:rPr>
      </w:pPr>
      <w:r w:rsidRPr="00505CF0">
        <w:rPr>
          <w:rFonts w:asciiTheme="majorBidi" w:hAnsiTheme="majorBidi" w:cstheme="majorBidi"/>
        </w:rPr>
        <w:tab/>
      </w:r>
    </w:p>
    <w:p w14:paraId="60D6676C" w14:textId="56499F7E" w:rsidR="00C111D3" w:rsidRPr="00505CF0" w:rsidRDefault="00C111D3" w:rsidP="004C3EE0">
      <w:pPr>
        <w:pStyle w:val="ListParagraph"/>
        <w:ind w:left="737" w:right="737"/>
        <w:jc w:val="both"/>
        <w:rPr>
          <w:rFonts w:asciiTheme="majorBidi" w:hAnsiTheme="majorBidi" w:cstheme="majorBidi"/>
        </w:rPr>
      </w:pPr>
      <w:proofErr w:type="gramStart"/>
      <w:r w:rsidRPr="00505CF0">
        <w:rPr>
          <w:rFonts w:asciiTheme="majorBidi" w:hAnsiTheme="majorBidi" w:cstheme="majorBidi"/>
        </w:rPr>
        <w:t>in</w:t>
      </w:r>
      <w:proofErr w:type="gramEnd"/>
      <w:r w:rsidRPr="00505CF0">
        <w:rPr>
          <w:rFonts w:asciiTheme="majorBidi" w:hAnsiTheme="majorBidi" w:cstheme="majorBidi"/>
        </w:rPr>
        <w:t xml:space="preserve"> the face of the great turmoil that the world is today, literature, rather than being in transition with the new century, is in danger - serious danger - of becoming ineffectual and obsolete, in serious danger of extinction. Therefore, it is essential and urgent for those who still believe in literature, those who still practice literature, those who still produce books, to confront this crisis and this danger, and assess the possibilities still available to literature in order for it to survive. In other words, it is urgent for literature to take a stand so that it can continue to be in the world and do what it has always done: capture the world, represent the world, explain the world, clarify the world, </w:t>
      </w:r>
      <w:proofErr w:type="gramStart"/>
      <w:r w:rsidRPr="00505CF0">
        <w:rPr>
          <w:rFonts w:asciiTheme="majorBidi" w:hAnsiTheme="majorBidi" w:cstheme="majorBidi"/>
        </w:rPr>
        <w:t>re</w:t>
      </w:r>
      <w:proofErr w:type="gramEnd"/>
      <w:r w:rsidRPr="00505CF0">
        <w:rPr>
          <w:rFonts w:asciiTheme="majorBidi" w:hAnsiTheme="majorBidi" w:cstheme="majorBidi"/>
        </w:rPr>
        <w:t>-invent the world. It is urgent for literature to take a stand, even if it is The Last Stand of Literature.</w:t>
      </w:r>
      <w:r w:rsidRPr="00505CF0">
        <w:rPr>
          <w:rStyle w:val="FootnoteReference"/>
          <w:rFonts w:asciiTheme="majorBidi" w:hAnsiTheme="majorBidi" w:cstheme="majorBidi"/>
        </w:rPr>
        <w:footnoteReference w:id="722"/>
      </w:r>
      <w:r w:rsidRPr="00505CF0">
        <w:rPr>
          <w:rFonts w:asciiTheme="majorBidi" w:hAnsiTheme="majorBidi" w:cstheme="majorBidi"/>
        </w:rPr>
        <w:t xml:space="preserve"> </w:t>
      </w:r>
    </w:p>
    <w:p w14:paraId="1C4A7D38" w14:textId="77777777" w:rsidR="00C111D3" w:rsidRPr="00505CF0" w:rsidRDefault="00C111D3" w:rsidP="004C3EE0">
      <w:pPr>
        <w:pStyle w:val="ListParagraph"/>
        <w:spacing w:line="480" w:lineRule="auto"/>
        <w:ind w:left="0"/>
        <w:jc w:val="both"/>
        <w:rPr>
          <w:rFonts w:asciiTheme="majorBidi" w:hAnsiTheme="majorBidi" w:cstheme="majorBidi"/>
        </w:rPr>
      </w:pPr>
    </w:p>
    <w:p w14:paraId="70B27ECB" w14:textId="41B6409E" w:rsidR="00C111D3" w:rsidRPr="00505CF0" w:rsidRDefault="00C111D3" w:rsidP="004C3EE0">
      <w:pPr>
        <w:pStyle w:val="ListParagraph"/>
        <w:spacing w:line="480" w:lineRule="auto"/>
        <w:ind w:left="0"/>
        <w:jc w:val="both"/>
        <w:rPr>
          <w:rFonts w:asciiTheme="majorBidi" w:hAnsiTheme="majorBidi" w:cstheme="majorBidi"/>
        </w:rPr>
      </w:pPr>
      <w:r w:rsidRPr="00505CF0">
        <w:rPr>
          <w:rFonts w:asciiTheme="majorBidi" w:hAnsiTheme="majorBidi" w:cstheme="majorBidi"/>
        </w:rPr>
        <w:t xml:space="preserve">Federmen foregrounds the urgency of a new literary response to </w:t>
      </w:r>
      <w:proofErr w:type="gramStart"/>
      <w:r w:rsidRPr="00505CF0">
        <w:rPr>
          <w:rFonts w:asciiTheme="majorBidi" w:hAnsiTheme="majorBidi" w:cstheme="majorBidi"/>
        </w:rPr>
        <w:t xml:space="preserve">the  </w:t>
      </w:r>
      <w:r w:rsidR="00054009">
        <w:rPr>
          <w:rFonts w:asciiTheme="majorBidi" w:hAnsiTheme="majorBidi" w:cstheme="majorBidi"/>
        </w:rPr>
        <w:t>emergent</w:t>
      </w:r>
      <w:proofErr w:type="gramEnd"/>
      <w:r w:rsidR="00054009">
        <w:rPr>
          <w:rFonts w:asciiTheme="majorBidi" w:hAnsiTheme="majorBidi" w:cstheme="majorBidi"/>
        </w:rPr>
        <w:t xml:space="preserve"> </w:t>
      </w:r>
      <w:r w:rsidRPr="00505CF0">
        <w:rPr>
          <w:rFonts w:asciiTheme="majorBidi" w:hAnsiTheme="majorBidi" w:cstheme="majorBidi"/>
        </w:rPr>
        <w:t xml:space="preserve">challenges of the post-postmodern </w:t>
      </w:r>
      <w:r w:rsidR="003B36CE">
        <w:rPr>
          <w:rFonts w:asciiTheme="majorBidi" w:hAnsiTheme="majorBidi" w:cstheme="majorBidi"/>
        </w:rPr>
        <w:t>period</w:t>
      </w:r>
      <w:r w:rsidR="00054009">
        <w:rPr>
          <w:rFonts w:asciiTheme="majorBidi" w:hAnsiTheme="majorBidi" w:cstheme="majorBidi"/>
        </w:rPr>
        <w:t>,</w:t>
      </w:r>
      <w:r w:rsidR="003B36CE">
        <w:rPr>
          <w:rFonts w:asciiTheme="majorBidi" w:hAnsiTheme="majorBidi" w:cstheme="majorBidi"/>
        </w:rPr>
        <w:t xml:space="preserve"> </w:t>
      </w:r>
      <w:r w:rsidRPr="00505CF0">
        <w:rPr>
          <w:rFonts w:asciiTheme="majorBidi" w:hAnsiTheme="majorBidi" w:cstheme="majorBidi"/>
        </w:rPr>
        <w:t>suggesting that literature may in some manner a</w:t>
      </w:r>
      <w:r w:rsidR="00555DD6">
        <w:rPr>
          <w:rFonts w:asciiTheme="majorBidi" w:hAnsiTheme="majorBidi" w:cstheme="majorBidi"/>
        </w:rPr>
        <w:t xml:space="preserve">ugment our understanding of </w:t>
      </w:r>
      <w:r w:rsidRPr="00505CF0">
        <w:rPr>
          <w:rFonts w:asciiTheme="majorBidi" w:hAnsiTheme="majorBidi" w:cstheme="majorBidi"/>
        </w:rPr>
        <w:t>social ideologies through capturing, representing, explaining and clarifying the world. A grand ideal of the novel’s purpose, perhaps, but one shared by Scholes, who links fiction with the essential upkeep of our ‘imaginative well-being:’</w:t>
      </w:r>
    </w:p>
    <w:p w14:paraId="0AB72D75" w14:textId="77777777" w:rsidR="00C111D3" w:rsidRPr="00505CF0" w:rsidRDefault="00C111D3" w:rsidP="006405B7">
      <w:pPr>
        <w:pStyle w:val="ListParagraph"/>
        <w:ind w:left="0"/>
        <w:jc w:val="both"/>
        <w:rPr>
          <w:rFonts w:asciiTheme="majorBidi" w:hAnsiTheme="majorBidi" w:cstheme="majorBidi"/>
        </w:rPr>
      </w:pPr>
    </w:p>
    <w:p w14:paraId="305790C9" w14:textId="0E556F99" w:rsidR="00C111D3" w:rsidRPr="00505CF0" w:rsidRDefault="00C111D3" w:rsidP="00776727">
      <w:pPr>
        <w:pStyle w:val="ListParagraph"/>
        <w:ind w:left="737" w:right="737"/>
        <w:jc w:val="both"/>
        <w:rPr>
          <w:rFonts w:asciiTheme="majorBidi" w:hAnsiTheme="majorBidi" w:cstheme="majorBidi"/>
        </w:rPr>
      </w:pPr>
      <w:r w:rsidRPr="00505CF0">
        <w:rPr>
          <w:rFonts w:asciiTheme="majorBidi" w:hAnsiTheme="majorBidi" w:cstheme="majorBidi"/>
        </w:rPr>
        <w:t xml:space="preserve">The students of sleep have discovered that dreaming is necessary to the well-being of the human </w:t>
      </w:r>
      <w:proofErr w:type="gramStart"/>
      <w:r w:rsidRPr="00505CF0">
        <w:rPr>
          <w:rFonts w:asciiTheme="majorBidi" w:hAnsiTheme="majorBidi" w:cstheme="majorBidi"/>
        </w:rPr>
        <w:t>organism,</w:t>
      </w:r>
      <w:proofErr w:type="gramEnd"/>
      <w:r w:rsidRPr="00505CF0">
        <w:rPr>
          <w:rFonts w:asciiTheme="majorBidi" w:hAnsiTheme="majorBidi" w:cstheme="majorBidi"/>
        </w:rPr>
        <w:t xml:space="preserve"> and perhaps to the higher animals as well. </w:t>
      </w:r>
      <w:proofErr w:type="gramStart"/>
      <w:r w:rsidRPr="00505CF0">
        <w:rPr>
          <w:rFonts w:asciiTheme="majorBidi" w:hAnsiTheme="majorBidi" w:cstheme="majorBidi"/>
        </w:rPr>
        <w:t>it</w:t>
      </w:r>
      <w:proofErr w:type="gramEnd"/>
      <w:r w:rsidRPr="00505CF0">
        <w:rPr>
          <w:rFonts w:asciiTheme="majorBidi" w:hAnsiTheme="majorBidi" w:cstheme="majorBidi"/>
        </w:rPr>
        <w:t xml:space="preserve"> is not that our dreams teach us anything; they are simply a means of expression for us, a nightly cinema in which we are producer, director, all the actors, and all the audience. </w:t>
      </w:r>
      <w:r w:rsidR="00776727">
        <w:rPr>
          <w:rFonts w:asciiTheme="majorBidi" w:hAnsiTheme="majorBidi" w:cstheme="majorBidi"/>
        </w:rPr>
        <w:t>[…]</w:t>
      </w:r>
    </w:p>
    <w:p w14:paraId="2A5A3A19" w14:textId="77777777" w:rsidR="00C111D3" w:rsidRPr="00505CF0" w:rsidRDefault="00C111D3" w:rsidP="004C3EE0">
      <w:pPr>
        <w:pStyle w:val="ListParagraph"/>
        <w:ind w:left="737" w:right="737" w:firstLine="703"/>
        <w:jc w:val="both"/>
        <w:rPr>
          <w:rFonts w:asciiTheme="majorBidi" w:hAnsiTheme="majorBidi" w:cstheme="majorBidi"/>
        </w:rPr>
      </w:pPr>
      <w:r w:rsidRPr="00505CF0">
        <w:rPr>
          <w:rFonts w:asciiTheme="majorBidi" w:hAnsiTheme="majorBidi" w:cstheme="majorBidi"/>
        </w:rPr>
        <w:t>I do not think that fiction is a substitute for dream, but I think it must work for us in a similar way. It must provide us with an imaginative experience which is necessary to our imaginative well-being.</w:t>
      </w:r>
      <w:r w:rsidRPr="00505CF0">
        <w:rPr>
          <w:rStyle w:val="FootnoteReference"/>
          <w:rFonts w:asciiTheme="majorBidi" w:hAnsiTheme="majorBidi" w:cstheme="majorBidi"/>
        </w:rPr>
        <w:footnoteReference w:id="723"/>
      </w:r>
    </w:p>
    <w:p w14:paraId="6273AB12" w14:textId="77777777" w:rsidR="00C111D3" w:rsidRPr="00505CF0" w:rsidRDefault="00C111D3" w:rsidP="004C3EE0">
      <w:pPr>
        <w:pStyle w:val="ListParagraph"/>
        <w:spacing w:line="480" w:lineRule="auto"/>
        <w:ind w:left="0"/>
        <w:jc w:val="both"/>
        <w:rPr>
          <w:rFonts w:asciiTheme="majorBidi" w:hAnsiTheme="majorBidi" w:cstheme="majorBidi"/>
        </w:rPr>
      </w:pPr>
    </w:p>
    <w:p w14:paraId="0A76B127" w14:textId="27C343AB" w:rsidR="00C111D3" w:rsidRPr="00505CF0" w:rsidRDefault="00C111D3" w:rsidP="004C3EE0">
      <w:pPr>
        <w:pStyle w:val="ListParagraph"/>
        <w:spacing w:line="480" w:lineRule="auto"/>
        <w:ind w:left="0"/>
        <w:jc w:val="both"/>
        <w:rPr>
          <w:rFonts w:asciiTheme="majorBidi" w:hAnsiTheme="majorBidi" w:cstheme="majorBidi"/>
        </w:rPr>
      </w:pPr>
      <w:r w:rsidRPr="00505CF0">
        <w:rPr>
          <w:rFonts w:asciiTheme="majorBidi" w:hAnsiTheme="majorBidi" w:cstheme="majorBidi"/>
        </w:rPr>
        <w:tab/>
        <w:t xml:space="preserve">Literature, as essential to human well-being as sleep in its ability to maintain a healthy, imaginative well-being through representation and re-invention of the world, deserves to survive into the metamodern era, though something needs to change in the ideology of the form for it to avoid Federman’s predicted </w:t>
      </w:r>
      <w:r w:rsidR="00054009">
        <w:rPr>
          <w:rFonts w:asciiTheme="majorBidi" w:hAnsiTheme="majorBidi" w:cstheme="majorBidi"/>
        </w:rPr>
        <w:t>‘</w:t>
      </w:r>
      <w:r w:rsidRPr="00505CF0">
        <w:rPr>
          <w:rFonts w:asciiTheme="majorBidi" w:hAnsiTheme="majorBidi" w:cstheme="majorBidi"/>
        </w:rPr>
        <w:t>Last Stand</w:t>
      </w:r>
      <w:r w:rsidR="00054009">
        <w:rPr>
          <w:rFonts w:asciiTheme="majorBidi" w:hAnsiTheme="majorBidi" w:cstheme="majorBidi"/>
        </w:rPr>
        <w:t>’</w:t>
      </w:r>
      <w:r w:rsidRPr="00505CF0">
        <w:rPr>
          <w:rFonts w:asciiTheme="majorBidi" w:hAnsiTheme="majorBidi" w:cstheme="majorBidi"/>
        </w:rPr>
        <w:t>. Metafiction may be the very tool by which this is achieved. While, Currie argues, metafiction ‘once seemed to announce the death of the novel,’ appearing as a decadent response to the novel’s ‘exhausted possibilities,’ it may in truth fill the form with an ‘unlimited vitality</w:t>
      </w:r>
      <w:r w:rsidR="00555DD6">
        <w:rPr>
          <w:rFonts w:asciiTheme="majorBidi" w:hAnsiTheme="majorBidi" w:cstheme="majorBidi"/>
        </w:rPr>
        <w:t>,</w:t>
      </w:r>
      <w:r w:rsidRPr="00505CF0">
        <w:rPr>
          <w:rFonts w:asciiTheme="majorBidi" w:hAnsiTheme="majorBidi" w:cstheme="majorBidi"/>
        </w:rPr>
        <w:t>’</w:t>
      </w:r>
      <w:r w:rsidRPr="00505CF0">
        <w:rPr>
          <w:rStyle w:val="FootnoteReference"/>
          <w:rFonts w:asciiTheme="majorBidi" w:hAnsiTheme="majorBidi" w:cstheme="majorBidi"/>
        </w:rPr>
        <w:footnoteReference w:id="724"/>
      </w:r>
      <w:r w:rsidRPr="00505CF0">
        <w:rPr>
          <w:rFonts w:asciiTheme="majorBidi" w:hAnsiTheme="majorBidi" w:cstheme="majorBidi"/>
        </w:rPr>
        <w:t xml:space="preserve"> for, as Hutcheon notes, self-reflexive fiction may be the ‘salvation’ of the novel as a mimetic genre, through the application of internalised critique of the form.</w:t>
      </w:r>
      <w:r w:rsidRPr="00505CF0">
        <w:rPr>
          <w:rStyle w:val="FootnoteReference"/>
          <w:rFonts w:asciiTheme="majorBidi" w:hAnsiTheme="majorBidi" w:cstheme="majorBidi"/>
        </w:rPr>
        <w:footnoteReference w:id="725"/>
      </w:r>
      <w:r w:rsidRPr="00505CF0">
        <w:rPr>
          <w:rFonts w:asciiTheme="majorBidi" w:hAnsiTheme="majorBidi" w:cstheme="majorBidi"/>
        </w:rPr>
        <w:t xml:space="preserve"> Metafiction is a ‘borderline discourse,’ placing itself between the poles of critical and fictional creation and ‘far from being some marginal no-man’s land,’ Currie suggests, ‘this definition gives metafiction a central importance in the projects of literary modernity, postmodernity and theory which have taken this borderline as a primary source of energy.’</w:t>
      </w:r>
      <w:r w:rsidRPr="00505CF0">
        <w:rPr>
          <w:rStyle w:val="FootnoteReference"/>
          <w:rFonts w:asciiTheme="majorBidi" w:hAnsiTheme="majorBidi" w:cstheme="majorBidi"/>
        </w:rPr>
        <w:footnoteReference w:id="726"/>
      </w:r>
      <w:r w:rsidRPr="00505CF0">
        <w:rPr>
          <w:rFonts w:asciiTheme="majorBidi" w:hAnsiTheme="majorBidi" w:cstheme="majorBidi"/>
        </w:rPr>
        <w:t xml:space="preserve"> Metamodern</w:t>
      </w:r>
      <w:r w:rsidR="003B36CE">
        <w:rPr>
          <w:rFonts w:asciiTheme="majorBidi" w:hAnsiTheme="majorBidi" w:cstheme="majorBidi"/>
        </w:rPr>
        <w:t>ism</w:t>
      </w:r>
      <w:r w:rsidRPr="00505CF0">
        <w:rPr>
          <w:rFonts w:asciiTheme="majorBidi" w:hAnsiTheme="majorBidi" w:cstheme="majorBidi"/>
        </w:rPr>
        <w:t xml:space="preserve"> proposes just such a theory, taking the borderline between modernist and postmodernist attitudes and suggesting an oscillation between and through them. In effect, metafiction is situated perfectly to both explore the current epoch, oscillating between the distinct ideological poles of the metamodern moment through burlesque irony and romantic sentimentalism or </w:t>
      </w:r>
      <w:r w:rsidR="003B36CE">
        <w:rPr>
          <w:rFonts w:asciiTheme="majorBidi" w:hAnsiTheme="majorBidi" w:cstheme="majorBidi"/>
        </w:rPr>
        <w:t xml:space="preserve">authorial </w:t>
      </w:r>
      <w:r w:rsidRPr="00505CF0">
        <w:rPr>
          <w:rFonts w:asciiTheme="majorBidi" w:hAnsiTheme="majorBidi" w:cstheme="majorBidi"/>
        </w:rPr>
        <w:t xml:space="preserve">sincerity, but also aiding in the essential metamodern impulse to engage with attempts to abandon the postmodern in search of something new. As Alter highlights, an essential characteristic of the self-reflexive novel is the flaunting of </w:t>
      </w:r>
      <w:bookmarkStart w:id="6" w:name="_Hlk522529274"/>
      <w:r w:rsidRPr="00505CF0">
        <w:rPr>
          <w:rFonts w:asciiTheme="majorBidi" w:hAnsiTheme="majorBidi" w:cstheme="majorBidi"/>
        </w:rPr>
        <w:t>naïve</w:t>
      </w:r>
      <w:bookmarkEnd w:id="6"/>
      <w:r w:rsidRPr="00505CF0">
        <w:rPr>
          <w:rFonts w:asciiTheme="majorBidi" w:hAnsiTheme="majorBidi" w:cstheme="majorBidi"/>
        </w:rPr>
        <w:t xml:space="preserve"> narrative devices, ‘rescuing their usability by exposing their contrivance, working them into a highly patterned narration.’</w:t>
      </w:r>
      <w:r w:rsidRPr="00505CF0">
        <w:rPr>
          <w:rStyle w:val="FootnoteReference"/>
          <w:rFonts w:asciiTheme="majorBidi" w:hAnsiTheme="majorBidi" w:cstheme="majorBidi"/>
        </w:rPr>
        <w:footnoteReference w:id="727"/>
      </w:r>
      <w:r w:rsidRPr="00505CF0">
        <w:rPr>
          <w:rFonts w:asciiTheme="majorBidi" w:hAnsiTheme="majorBidi" w:cstheme="majorBidi"/>
        </w:rPr>
        <w:t xml:space="preserve"> Metafiction may serve yet to replenish the </w:t>
      </w:r>
      <w:r w:rsidR="004B6B87" w:rsidRPr="00505CF0">
        <w:rPr>
          <w:rFonts w:asciiTheme="majorBidi" w:hAnsiTheme="majorBidi" w:cstheme="majorBidi"/>
        </w:rPr>
        <w:t>naïve</w:t>
      </w:r>
      <w:r w:rsidRPr="00505CF0">
        <w:rPr>
          <w:rFonts w:asciiTheme="majorBidi" w:hAnsiTheme="majorBidi" w:cstheme="majorBidi"/>
        </w:rPr>
        <w:t xml:space="preserve"> narrative devices of the postmodern, or to highlight them as atrophied ideological experiments best expunged from further literary endeavour; metafiction converts perceived negative values of ‘outworn literary convention’ into the ‘basis of a potentially constructive social criticism.’</w:t>
      </w:r>
      <w:r w:rsidRPr="00505CF0">
        <w:rPr>
          <w:rStyle w:val="FootnoteReference"/>
          <w:rFonts w:asciiTheme="majorBidi" w:hAnsiTheme="majorBidi" w:cstheme="majorBidi"/>
        </w:rPr>
        <w:footnoteReference w:id="728"/>
      </w:r>
      <w:r w:rsidRPr="00505CF0">
        <w:rPr>
          <w:rFonts w:asciiTheme="majorBidi" w:hAnsiTheme="majorBidi" w:cstheme="majorBidi"/>
        </w:rPr>
        <w:t xml:space="preserve"> If literature is under threat and challenged by the changing of societal desire, then metafiction thus becomes a means by which it may rise to the need of such desires through self-conscious criticism and subsequent rejection of outmoded concepts. </w:t>
      </w:r>
    </w:p>
    <w:p w14:paraId="0676CFF5" w14:textId="0907B5EA" w:rsidR="00C111D3" w:rsidRDefault="00C111D3" w:rsidP="00555DD6">
      <w:pPr>
        <w:pStyle w:val="ListParagraph"/>
        <w:spacing w:line="480" w:lineRule="auto"/>
        <w:ind w:left="0"/>
        <w:jc w:val="both"/>
        <w:rPr>
          <w:rFonts w:asciiTheme="majorBidi" w:hAnsiTheme="majorBidi" w:cstheme="majorBidi"/>
        </w:rPr>
      </w:pPr>
      <w:r w:rsidRPr="00505CF0">
        <w:rPr>
          <w:rFonts w:asciiTheme="majorBidi" w:hAnsiTheme="majorBidi" w:cstheme="majorBidi"/>
        </w:rPr>
        <w:tab/>
        <w:t>Metafiction has always been fiction about fiction itself, aiming to explore ‘the way that literature’s slice-of-life slices into our own lives,’</w:t>
      </w:r>
      <w:r w:rsidRPr="00505CF0">
        <w:rPr>
          <w:rStyle w:val="FootnoteReference"/>
          <w:rFonts w:asciiTheme="majorBidi" w:hAnsiTheme="majorBidi" w:cstheme="majorBidi"/>
        </w:rPr>
        <w:footnoteReference w:id="729"/>
      </w:r>
      <w:r w:rsidRPr="00505CF0">
        <w:rPr>
          <w:rFonts w:asciiTheme="majorBidi" w:hAnsiTheme="majorBidi" w:cstheme="majorBidi"/>
        </w:rPr>
        <w:t xml:space="preserve"> in a manner which extends beyond pure criticism and directly, as Bellipani argues, ‘into the way in which we process and comprehend human experience.’</w:t>
      </w:r>
      <w:r w:rsidRPr="00505CF0">
        <w:rPr>
          <w:rStyle w:val="FootnoteReference"/>
          <w:rFonts w:asciiTheme="majorBidi" w:hAnsiTheme="majorBidi" w:cstheme="majorBidi"/>
        </w:rPr>
        <w:footnoteReference w:id="730"/>
      </w:r>
      <w:r w:rsidRPr="00505CF0">
        <w:rPr>
          <w:rFonts w:asciiTheme="majorBidi" w:hAnsiTheme="majorBidi" w:cstheme="majorBidi"/>
        </w:rPr>
        <w:t xml:space="preserve"> If fiction finds itself lacking in cohesion with societal ideological paradigms, metafiction is the tool by which literature and life may be re-aligned, fiction may be forced into reconciliation with reality: </w:t>
      </w:r>
      <w:r w:rsidR="004B6B87">
        <w:rPr>
          <w:rFonts w:asciiTheme="majorBidi" w:hAnsiTheme="majorBidi" w:cstheme="majorBidi"/>
        </w:rPr>
        <w:t xml:space="preserve">As Hutcheon claims </w:t>
      </w:r>
      <w:r w:rsidRPr="00505CF0">
        <w:rPr>
          <w:rFonts w:asciiTheme="majorBidi" w:hAnsiTheme="majorBidi" w:cstheme="majorBidi"/>
        </w:rPr>
        <w:t>‘</w:t>
      </w:r>
      <w:r w:rsidR="004B6B87">
        <w:rPr>
          <w:rFonts w:asciiTheme="majorBidi" w:hAnsiTheme="majorBidi" w:cstheme="majorBidi"/>
        </w:rPr>
        <w:t>b</w:t>
      </w:r>
      <w:r w:rsidRPr="00505CF0">
        <w:rPr>
          <w:rFonts w:asciiTheme="majorBidi" w:hAnsiTheme="majorBidi" w:cstheme="majorBidi"/>
        </w:rPr>
        <w:t>y claiming that it is nothing but art, nothing but imaginative creation, metafiction becomes more "vital": it reflects the human imagination, instead of telling a second-hand tale about what might be real in quite another world.’</w:t>
      </w:r>
      <w:r w:rsidRPr="00505CF0">
        <w:rPr>
          <w:rStyle w:val="FootnoteReference"/>
          <w:rFonts w:asciiTheme="majorBidi" w:hAnsiTheme="majorBidi" w:cstheme="majorBidi"/>
        </w:rPr>
        <w:footnoteReference w:id="731"/>
      </w:r>
      <w:r w:rsidRPr="00505CF0">
        <w:rPr>
          <w:rFonts w:asciiTheme="majorBidi" w:hAnsiTheme="majorBidi" w:cstheme="majorBidi"/>
        </w:rPr>
        <w:t xml:space="preserve"> Hutcheon, here, highlights metafiction’s vitality in reflecting human imagination and the world of the reader</w:t>
      </w:r>
      <w:r w:rsidR="00555DD6">
        <w:rPr>
          <w:rFonts w:asciiTheme="majorBidi" w:hAnsiTheme="majorBidi" w:cstheme="majorBidi"/>
        </w:rPr>
        <w:t>,</w:t>
      </w:r>
      <w:r w:rsidRPr="00505CF0">
        <w:rPr>
          <w:rFonts w:asciiTheme="majorBidi" w:hAnsiTheme="majorBidi" w:cstheme="majorBidi"/>
        </w:rPr>
        <w:t xml:space="preserve"> going on to suggest that ‘the course of literary history,’ she writes of the Nineteen-Eighties, ‘is being altered and, as always, it is being altered by the texts, not the critics.’</w:t>
      </w:r>
      <w:r w:rsidRPr="00505CF0">
        <w:rPr>
          <w:rStyle w:val="FootnoteReference"/>
          <w:rFonts w:asciiTheme="majorBidi" w:hAnsiTheme="majorBidi" w:cstheme="majorBidi"/>
        </w:rPr>
        <w:footnoteReference w:id="732"/>
      </w:r>
      <w:r w:rsidRPr="00505CF0">
        <w:rPr>
          <w:rFonts w:asciiTheme="majorBidi" w:hAnsiTheme="majorBidi" w:cstheme="majorBidi"/>
        </w:rPr>
        <w:t xml:space="preserve"> Hutcheon’s comments on the role of metafiction to not only alter the course of literary history through its own embodied, internalised critique are reflective of the current changes in literary theory and cultural reception of fiction as outlined by Federman, wherein metafictional techniques may serve as a form of salvation for the seemingly ailing novel through their re-imagining of outdated concepts. Indeed, metafiction has always engaged with its own textual history in a bid to comment on contemporary culture, as Waugh attests:</w:t>
      </w:r>
    </w:p>
    <w:p w14:paraId="790C0356" w14:textId="77777777" w:rsidR="006405B7" w:rsidRPr="006405B7" w:rsidRDefault="006405B7" w:rsidP="00776727">
      <w:pPr>
        <w:pStyle w:val="ListParagraph"/>
        <w:ind w:left="0"/>
        <w:jc w:val="both"/>
        <w:rPr>
          <w:rFonts w:asciiTheme="majorBidi" w:hAnsiTheme="majorBidi" w:cstheme="majorBidi"/>
          <w:sz w:val="16"/>
          <w:szCs w:val="16"/>
        </w:rPr>
      </w:pPr>
    </w:p>
    <w:p w14:paraId="0B497C1C" w14:textId="77777777" w:rsidR="00C111D3" w:rsidRPr="00505CF0" w:rsidRDefault="00C111D3" w:rsidP="004C3EE0">
      <w:pPr>
        <w:pStyle w:val="ListParagraph"/>
        <w:ind w:left="737" w:right="737"/>
        <w:jc w:val="both"/>
        <w:rPr>
          <w:rFonts w:asciiTheme="majorBidi" w:hAnsiTheme="majorBidi" w:cstheme="majorBidi"/>
        </w:rPr>
      </w:pPr>
      <w:r w:rsidRPr="00505CF0">
        <w:rPr>
          <w:rFonts w:asciiTheme="majorBidi" w:hAnsiTheme="majorBidi" w:cstheme="majorBidi"/>
        </w:rPr>
        <w:t>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oppression in contemporary society and, on the other, the continuance of traditional literary forms like realism which are no longer adequate vehicles for the mediation of this experience.</w:t>
      </w:r>
      <w:r w:rsidRPr="00505CF0">
        <w:rPr>
          <w:rStyle w:val="FootnoteReference"/>
          <w:rFonts w:asciiTheme="majorBidi" w:hAnsiTheme="majorBidi" w:cstheme="majorBidi"/>
        </w:rPr>
        <w:footnoteReference w:id="733"/>
      </w:r>
      <w:r w:rsidRPr="00505CF0">
        <w:rPr>
          <w:rFonts w:asciiTheme="majorBidi" w:hAnsiTheme="majorBidi" w:cstheme="majorBidi"/>
        </w:rPr>
        <w:t xml:space="preserve"> </w:t>
      </w:r>
    </w:p>
    <w:p w14:paraId="1D2B074E" w14:textId="77777777" w:rsidR="00C111D3" w:rsidRPr="00505CF0" w:rsidRDefault="00C111D3" w:rsidP="004C3EE0">
      <w:pPr>
        <w:pStyle w:val="ListParagraph"/>
        <w:spacing w:line="480" w:lineRule="auto"/>
        <w:ind w:left="0"/>
        <w:jc w:val="both"/>
        <w:rPr>
          <w:rFonts w:asciiTheme="majorBidi" w:hAnsiTheme="majorBidi" w:cstheme="majorBidi"/>
        </w:rPr>
      </w:pPr>
    </w:p>
    <w:p w14:paraId="774B609C" w14:textId="07DA8DBB" w:rsidR="00C111D3" w:rsidRPr="00505CF0" w:rsidRDefault="00C111D3" w:rsidP="00776727">
      <w:pPr>
        <w:pStyle w:val="ListParagraph"/>
        <w:spacing w:line="480" w:lineRule="auto"/>
        <w:ind w:left="0"/>
        <w:jc w:val="both"/>
        <w:rPr>
          <w:rFonts w:asciiTheme="majorBidi" w:hAnsiTheme="majorBidi" w:cstheme="majorBidi"/>
        </w:rPr>
      </w:pPr>
      <w:r w:rsidRPr="00505CF0">
        <w:rPr>
          <w:rFonts w:asciiTheme="majorBidi" w:hAnsiTheme="majorBidi" w:cstheme="majorBidi"/>
        </w:rPr>
        <w:tab/>
        <w:t>Alter, too agreeing with Waugh, describes metafiction’s capability to move outward from the text to the society that supplies the materials for, and dictates the conventions of, literary convention,</w:t>
      </w:r>
      <w:r w:rsidRPr="00505CF0">
        <w:rPr>
          <w:rStyle w:val="FootnoteReference"/>
          <w:rFonts w:asciiTheme="majorBidi" w:hAnsiTheme="majorBidi" w:cstheme="majorBidi"/>
        </w:rPr>
        <w:footnoteReference w:id="734"/>
      </w:r>
      <w:r w:rsidRPr="00505CF0">
        <w:rPr>
          <w:rFonts w:asciiTheme="majorBidi" w:hAnsiTheme="majorBidi" w:cstheme="majorBidi"/>
        </w:rPr>
        <w:t xml:space="preserve"> establishing a critical reception of metafiction as a positive force for change should literary production come under apparent ‘threat’ of obsolescence. Metafiction allows novelists to critique the form in a manner which is able to breathe new life into potentially failing generic modes to further align them with contemporary models of thought and societal values. While the novel is, arguably enough, not in dire threat from extinction – having survived both the dawn of the internet and the entire postmodern period – metafiction is still an essential novel form worthy of surviving into the contemporary period and potentially vital in the metamodern era</w:t>
      </w:r>
      <w:r w:rsidR="003B36CE">
        <w:rPr>
          <w:rFonts w:asciiTheme="majorBidi" w:hAnsiTheme="majorBidi" w:cstheme="majorBidi"/>
        </w:rPr>
        <w:t xml:space="preserve"> as a tool of expression</w:t>
      </w:r>
      <w:r w:rsidRPr="00505CF0">
        <w:rPr>
          <w:rFonts w:asciiTheme="majorBidi" w:hAnsiTheme="majorBidi" w:cstheme="majorBidi"/>
        </w:rPr>
        <w:t>. The question remains</w:t>
      </w:r>
      <w:r w:rsidR="00555DD6">
        <w:rPr>
          <w:rFonts w:asciiTheme="majorBidi" w:hAnsiTheme="majorBidi" w:cstheme="majorBidi"/>
        </w:rPr>
        <w:t>,</w:t>
      </w:r>
      <w:r w:rsidR="00776727">
        <w:rPr>
          <w:rFonts w:asciiTheme="majorBidi" w:hAnsiTheme="majorBidi" w:cstheme="majorBidi"/>
        </w:rPr>
        <w:t xml:space="preserve"> </w:t>
      </w:r>
      <w:r w:rsidRPr="00505CF0">
        <w:rPr>
          <w:rFonts w:asciiTheme="majorBidi" w:hAnsiTheme="majorBidi" w:cstheme="majorBidi"/>
        </w:rPr>
        <w:t>then</w:t>
      </w:r>
      <w:r w:rsidR="00555DD6">
        <w:rPr>
          <w:rFonts w:asciiTheme="majorBidi" w:hAnsiTheme="majorBidi" w:cstheme="majorBidi"/>
        </w:rPr>
        <w:t>,</w:t>
      </w:r>
      <w:r w:rsidRPr="00505CF0">
        <w:rPr>
          <w:rFonts w:asciiTheme="majorBidi" w:hAnsiTheme="majorBidi" w:cstheme="majorBidi"/>
        </w:rPr>
        <w:t xml:space="preserve"> of h</w:t>
      </w:r>
      <w:r w:rsidR="00555DD6">
        <w:rPr>
          <w:rFonts w:asciiTheme="majorBidi" w:hAnsiTheme="majorBidi" w:cstheme="majorBidi"/>
        </w:rPr>
        <w:t xml:space="preserve">ow to reprieve </w:t>
      </w:r>
      <w:r w:rsidR="004B6B87">
        <w:rPr>
          <w:rFonts w:asciiTheme="majorBidi" w:hAnsiTheme="majorBidi" w:cstheme="majorBidi"/>
        </w:rPr>
        <w:t xml:space="preserve">metafiction </w:t>
      </w:r>
      <w:r w:rsidR="00555DD6">
        <w:rPr>
          <w:rFonts w:asciiTheme="majorBidi" w:hAnsiTheme="majorBidi" w:cstheme="majorBidi"/>
        </w:rPr>
        <w:t>from its</w:t>
      </w:r>
      <w:r w:rsidRPr="00505CF0">
        <w:rPr>
          <w:rFonts w:asciiTheme="majorBidi" w:hAnsiTheme="majorBidi" w:cstheme="majorBidi"/>
        </w:rPr>
        <w:t xml:space="preserve"> reputation as an exhau</w:t>
      </w:r>
      <w:r w:rsidR="00776727">
        <w:rPr>
          <w:rFonts w:asciiTheme="majorBidi" w:hAnsiTheme="majorBidi" w:cstheme="majorBidi"/>
        </w:rPr>
        <w:t xml:space="preserve">stive form if the tool is to be </w:t>
      </w:r>
      <w:r w:rsidRPr="00505CF0">
        <w:rPr>
          <w:rFonts w:asciiTheme="majorBidi" w:hAnsiTheme="majorBidi" w:cstheme="majorBidi"/>
        </w:rPr>
        <w:t xml:space="preserve">taken as necessary to the continuation of literature. </w:t>
      </w:r>
    </w:p>
    <w:p w14:paraId="21C62E72" w14:textId="5E372C84" w:rsidR="00C111D3" w:rsidRPr="00505CF0" w:rsidRDefault="00C111D3" w:rsidP="00555DD6">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Metafiction itself must change along with the contemporary epoch if it is to remain valid, and in order to do so it must, I suggest, depart overtly from the ties of the postmodern moment, or be seen in the attempt to do so. Currie outright states that ‘metafiction is not the only kind of postmodern fiction, and nor is it an exclusively postmodern kind of fiction […] It is neither a paradigm nor a subset of postmodernism,’</w:t>
      </w:r>
      <w:r w:rsidRPr="00505CF0">
        <w:rPr>
          <w:rStyle w:val="FootnoteReference"/>
          <w:rFonts w:asciiTheme="majorBidi" w:hAnsiTheme="majorBidi" w:cstheme="majorBidi"/>
          <w:sz w:val="24"/>
          <w:szCs w:val="24"/>
        </w:rPr>
        <w:footnoteReference w:id="735"/>
      </w:r>
      <w:r w:rsidRPr="00505CF0">
        <w:rPr>
          <w:rFonts w:asciiTheme="majorBidi" w:hAnsiTheme="majorBidi" w:cstheme="majorBidi"/>
          <w:sz w:val="24"/>
          <w:szCs w:val="24"/>
        </w:rPr>
        <w:t xml:space="preserve"> yet the core techniques of metafictional practice (typographical experimentation, deconstruction of narrative, surf</w:t>
      </w:r>
      <w:r w:rsidR="00555DD6">
        <w:rPr>
          <w:rFonts w:asciiTheme="majorBidi" w:hAnsiTheme="majorBidi" w:cstheme="majorBidi"/>
          <w:sz w:val="24"/>
          <w:szCs w:val="24"/>
        </w:rPr>
        <w:t xml:space="preserve">ace-only-narratives) are </w:t>
      </w:r>
      <w:r w:rsidRPr="00505CF0">
        <w:rPr>
          <w:rFonts w:asciiTheme="majorBidi" w:hAnsiTheme="majorBidi" w:cstheme="majorBidi"/>
          <w:sz w:val="24"/>
          <w:szCs w:val="24"/>
        </w:rPr>
        <w:t>typical of many postmodern texts. If the contemporary zeitgeist is defined by the attempts to transcend the postmodern the</w:t>
      </w:r>
      <w:r w:rsidR="00555DD6">
        <w:rPr>
          <w:rFonts w:asciiTheme="majorBidi" w:hAnsiTheme="majorBidi" w:cstheme="majorBidi"/>
          <w:sz w:val="24"/>
          <w:szCs w:val="24"/>
        </w:rPr>
        <w:t>n, again, metafiction should</w:t>
      </w:r>
      <w:r w:rsidRPr="00505CF0">
        <w:rPr>
          <w:rFonts w:asciiTheme="majorBidi" w:hAnsiTheme="majorBidi" w:cstheme="majorBidi"/>
          <w:sz w:val="24"/>
          <w:szCs w:val="24"/>
        </w:rPr>
        <w:t xml:space="preserve"> aim to align with such ideological desires and, in order to do so, abandon the more burlesque elements of its form while emphasising the metamodern possibilities inherent to the mode, as signposted by Julie Levinson:</w:t>
      </w:r>
    </w:p>
    <w:p w14:paraId="4AF082F0" w14:textId="77777777" w:rsidR="00C111D3" w:rsidRPr="00505CF0" w:rsidRDefault="00C111D3" w:rsidP="006405B7">
      <w:pPr>
        <w:spacing w:line="240" w:lineRule="auto"/>
        <w:jc w:val="both"/>
        <w:rPr>
          <w:rFonts w:asciiTheme="majorBidi" w:hAnsiTheme="majorBidi" w:cstheme="majorBidi"/>
          <w:sz w:val="24"/>
          <w:szCs w:val="24"/>
        </w:rPr>
      </w:pPr>
    </w:p>
    <w:p w14:paraId="07DBFB85" w14:textId="77777777" w:rsidR="00C111D3" w:rsidRPr="00505CF0" w:rsidRDefault="00C111D3" w:rsidP="004C3EE0">
      <w:pPr>
        <w:ind w:left="737" w:right="737"/>
        <w:jc w:val="both"/>
        <w:rPr>
          <w:rFonts w:asciiTheme="majorBidi" w:hAnsiTheme="majorBidi" w:cstheme="majorBidi"/>
          <w:sz w:val="24"/>
          <w:szCs w:val="24"/>
        </w:rPr>
      </w:pPr>
      <w:r w:rsidRPr="00505CF0">
        <w:rPr>
          <w:rFonts w:asciiTheme="majorBidi" w:hAnsiTheme="majorBidi" w:cstheme="majorBidi"/>
          <w:sz w:val="24"/>
          <w:szCs w:val="24"/>
        </w:rPr>
        <w:t>In a metafictive work, we are, at turns, pulled centripetally inward by the plot and centrifugally outward by the narratological musings that overlay the events being narrated and thereby acknowledge the artifice of stories. We are simultaneously caught up in the narrative experience and exposed to the ruses of that experience and its questionable correspondence to what it intends to signify.</w:t>
      </w:r>
      <w:r w:rsidRPr="00505CF0">
        <w:rPr>
          <w:rStyle w:val="FootnoteReference"/>
          <w:rFonts w:asciiTheme="majorBidi" w:hAnsiTheme="majorBidi" w:cstheme="majorBidi"/>
          <w:sz w:val="24"/>
          <w:szCs w:val="24"/>
        </w:rPr>
        <w:footnoteReference w:id="736"/>
      </w:r>
    </w:p>
    <w:p w14:paraId="1D4CD7FD" w14:textId="77777777" w:rsidR="00C111D3" w:rsidRPr="00505CF0" w:rsidRDefault="00C111D3" w:rsidP="004C3EE0">
      <w:pPr>
        <w:spacing w:line="480" w:lineRule="auto"/>
        <w:jc w:val="both"/>
        <w:rPr>
          <w:rFonts w:asciiTheme="majorBidi" w:hAnsiTheme="majorBidi" w:cstheme="majorBidi"/>
          <w:sz w:val="24"/>
          <w:szCs w:val="24"/>
        </w:rPr>
      </w:pPr>
    </w:p>
    <w:p w14:paraId="2806C101" w14:textId="3AB96735" w:rsidR="00C111D3" w:rsidRPr="00505CF0" w:rsidRDefault="00C111D3" w:rsidP="00555DD6">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Levinson highlights the dual nature of metafictive works which, despite the potential postmodern alignment, may easily be transfigured from a seeming</w:t>
      </w:r>
      <w:r w:rsidR="00555DD6">
        <w:rPr>
          <w:rFonts w:asciiTheme="majorBidi" w:hAnsiTheme="majorBidi" w:cstheme="majorBidi"/>
          <w:sz w:val="24"/>
          <w:szCs w:val="24"/>
        </w:rPr>
        <w:t>ly</w:t>
      </w:r>
      <w:r w:rsidRPr="00505CF0">
        <w:rPr>
          <w:rFonts w:asciiTheme="majorBidi" w:hAnsiTheme="majorBidi" w:cstheme="majorBidi"/>
          <w:sz w:val="24"/>
          <w:szCs w:val="24"/>
        </w:rPr>
        <w:t xml:space="preserve"> impossible duality to a metamodern both-neither, in which both statements oscillate between applicability and impossibility. Metafiction, as a form, is inherently suitable to ideas of metamodern oscillation, as previously stated, yet able to support the metamodern ideals of sincerity in what David James identifies as a ‘reassertion of integrity in the face of postmodern tactics of mischievous self-dissection,’</w:t>
      </w:r>
      <w:r w:rsidRPr="00505CF0">
        <w:rPr>
          <w:rStyle w:val="FootnoteReference"/>
          <w:rFonts w:asciiTheme="majorBidi" w:hAnsiTheme="majorBidi" w:cstheme="majorBidi"/>
          <w:sz w:val="24"/>
          <w:szCs w:val="24"/>
        </w:rPr>
        <w:footnoteReference w:id="737"/>
      </w:r>
      <w:r w:rsidRPr="00505CF0">
        <w:rPr>
          <w:rFonts w:asciiTheme="majorBidi" w:hAnsiTheme="majorBidi" w:cstheme="majorBidi"/>
          <w:sz w:val="24"/>
          <w:szCs w:val="24"/>
        </w:rPr>
        <w:t xml:space="preserve"> and a desire for movement, with certain contemporary metafictions ‘working through and beyond the postmodern’</w:t>
      </w:r>
      <w:r w:rsidRPr="00505CF0">
        <w:rPr>
          <w:rStyle w:val="FootnoteReference"/>
          <w:rFonts w:asciiTheme="majorBidi" w:hAnsiTheme="majorBidi" w:cstheme="majorBidi"/>
          <w:sz w:val="24"/>
          <w:szCs w:val="24"/>
        </w:rPr>
        <w:footnoteReference w:id="738"/>
      </w:r>
      <w:r w:rsidRPr="00505CF0">
        <w:rPr>
          <w:rFonts w:asciiTheme="majorBidi" w:hAnsiTheme="majorBidi" w:cstheme="majorBidi"/>
          <w:sz w:val="24"/>
          <w:szCs w:val="24"/>
        </w:rPr>
        <w:t xml:space="preserve"> to attempt to practice </w:t>
      </w:r>
      <w:r w:rsidR="004B6B87">
        <w:rPr>
          <w:rFonts w:asciiTheme="majorBidi" w:hAnsiTheme="majorBidi" w:cstheme="majorBidi"/>
          <w:sz w:val="24"/>
          <w:szCs w:val="24"/>
        </w:rPr>
        <w:t>‘</w:t>
      </w:r>
      <w:r w:rsidRPr="00505CF0">
        <w:rPr>
          <w:rFonts w:asciiTheme="majorBidi" w:hAnsiTheme="majorBidi" w:cstheme="majorBidi"/>
          <w:sz w:val="24"/>
          <w:szCs w:val="24"/>
        </w:rPr>
        <w:t>self-reflective texts that still maintain a forward impetus.’</w:t>
      </w:r>
      <w:r w:rsidRPr="00505CF0">
        <w:rPr>
          <w:rStyle w:val="FootnoteReference"/>
          <w:rFonts w:asciiTheme="majorBidi" w:hAnsiTheme="majorBidi" w:cstheme="majorBidi"/>
          <w:sz w:val="24"/>
          <w:szCs w:val="24"/>
        </w:rPr>
        <w:footnoteReference w:id="739"/>
      </w:r>
      <w:r w:rsidRPr="00505CF0">
        <w:rPr>
          <w:rFonts w:asciiTheme="majorBidi" w:hAnsiTheme="majorBidi" w:cstheme="majorBidi"/>
          <w:sz w:val="24"/>
          <w:szCs w:val="24"/>
        </w:rPr>
        <w:t xml:space="preserve"> Metafiction is able to support these metamodern ideological explorations, see </w:t>
      </w:r>
      <w:r w:rsidRPr="00505CF0">
        <w:rPr>
          <w:rFonts w:asciiTheme="majorBidi" w:hAnsiTheme="majorBidi" w:cstheme="majorBidi"/>
          <w:i/>
          <w:iCs/>
          <w:sz w:val="24"/>
          <w:szCs w:val="24"/>
        </w:rPr>
        <w:t xml:space="preserve">Nox </w:t>
      </w:r>
      <w:r w:rsidRPr="00505CF0">
        <w:rPr>
          <w:rFonts w:asciiTheme="majorBidi" w:hAnsiTheme="majorBidi" w:cstheme="majorBidi"/>
          <w:sz w:val="24"/>
          <w:szCs w:val="24"/>
        </w:rPr>
        <w:t xml:space="preserve">for a prime example, yet the </w:t>
      </w:r>
      <w:r w:rsidR="003B36CE">
        <w:rPr>
          <w:rFonts w:asciiTheme="majorBidi" w:hAnsiTheme="majorBidi" w:cstheme="majorBidi"/>
          <w:sz w:val="24"/>
          <w:szCs w:val="24"/>
        </w:rPr>
        <w:t>mode</w:t>
      </w:r>
      <w:r w:rsidRPr="00505CF0">
        <w:rPr>
          <w:rFonts w:asciiTheme="majorBidi" w:hAnsiTheme="majorBidi" w:cstheme="majorBidi"/>
          <w:sz w:val="24"/>
          <w:szCs w:val="24"/>
        </w:rPr>
        <w:t xml:space="preserve"> continues to decline in terms of literary production. To change, metafiction must, as I have said, attempt to remove the more postmodern elements from </w:t>
      </w:r>
      <w:proofErr w:type="gramStart"/>
      <w:r w:rsidRPr="00505CF0">
        <w:rPr>
          <w:rFonts w:asciiTheme="majorBidi" w:hAnsiTheme="majorBidi" w:cstheme="majorBidi"/>
          <w:sz w:val="24"/>
          <w:szCs w:val="24"/>
        </w:rPr>
        <w:t>itself</w:t>
      </w:r>
      <w:proofErr w:type="gramEnd"/>
      <w:r w:rsidRPr="00505CF0">
        <w:rPr>
          <w:rFonts w:asciiTheme="majorBidi" w:hAnsiTheme="majorBidi" w:cstheme="majorBidi"/>
          <w:sz w:val="24"/>
          <w:szCs w:val="24"/>
        </w:rPr>
        <w:t xml:space="preserve"> while maintaining thematic integrity. The form must abandon the dancers, if possible, resolve to refrain from the production of burlesque metafictions that the more romantic metafictional texts may be formed and prosper. </w:t>
      </w:r>
      <w:proofErr w:type="gramStart"/>
      <w:r w:rsidRPr="00505CF0">
        <w:rPr>
          <w:rFonts w:asciiTheme="majorBidi" w:hAnsiTheme="majorBidi" w:cstheme="majorBidi"/>
          <w:sz w:val="24"/>
          <w:szCs w:val="24"/>
        </w:rPr>
        <w:t>An easy proposition to posit, but harder to achieve in practice.</w:t>
      </w:r>
      <w:proofErr w:type="gramEnd"/>
      <w:r w:rsidRPr="00505CF0">
        <w:rPr>
          <w:rFonts w:asciiTheme="majorBidi" w:hAnsiTheme="majorBidi" w:cstheme="majorBidi"/>
          <w:sz w:val="24"/>
          <w:szCs w:val="24"/>
        </w:rPr>
        <w:t xml:space="preserve"> A new metafiction must emerge, if the form is to survive, </w:t>
      </w:r>
      <w:r w:rsidR="00555DD6">
        <w:rPr>
          <w:rFonts w:asciiTheme="majorBidi" w:hAnsiTheme="majorBidi" w:cstheme="majorBidi"/>
          <w:sz w:val="24"/>
          <w:szCs w:val="24"/>
        </w:rPr>
        <w:t>one</w:t>
      </w:r>
      <w:r w:rsidRPr="00505CF0">
        <w:rPr>
          <w:rFonts w:asciiTheme="majorBidi" w:hAnsiTheme="majorBidi" w:cstheme="majorBidi"/>
          <w:sz w:val="24"/>
          <w:szCs w:val="24"/>
        </w:rPr>
        <w:t xml:space="preserve"> which recognises the self-aware status of itself and which takes as the main subject for subversion those technique</w:t>
      </w:r>
      <w:r w:rsidR="00555DD6">
        <w:rPr>
          <w:rFonts w:asciiTheme="majorBidi" w:hAnsiTheme="majorBidi" w:cstheme="majorBidi"/>
          <w:sz w:val="24"/>
          <w:szCs w:val="24"/>
        </w:rPr>
        <w:t xml:space="preserve">s of metafiction which tie into </w:t>
      </w:r>
      <w:r w:rsidRPr="00505CF0">
        <w:rPr>
          <w:rFonts w:asciiTheme="majorBidi" w:hAnsiTheme="majorBidi" w:cstheme="majorBidi"/>
          <w:sz w:val="24"/>
          <w:szCs w:val="24"/>
        </w:rPr>
        <w:t>burlesque and postmodern practices</w:t>
      </w:r>
      <w:proofErr w:type="gramStart"/>
      <w:r w:rsidRPr="00505CF0">
        <w:rPr>
          <w:rFonts w:asciiTheme="majorBidi" w:hAnsiTheme="majorBidi" w:cstheme="majorBidi"/>
          <w:sz w:val="24"/>
          <w:szCs w:val="24"/>
        </w:rPr>
        <w:t>,  instead</w:t>
      </w:r>
      <w:proofErr w:type="gramEnd"/>
      <w:r w:rsidRPr="00505CF0">
        <w:rPr>
          <w:rFonts w:asciiTheme="majorBidi" w:hAnsiTheme="majorBidi" w:cstheme="majorBidi"/>
          <w:sz w:val="24"/>
          <w:szCs w:val="24"/>
        </w:rPr>
        <w:t xml:space="preserve"> promot</w:t>
      </w:r>
      <w:r w:rsidR="004B6B87">
        <w:rPr>
          <w:rFonts w:asciiTheme="majorBidi" w:hAnsiTheme="majorBidi" w:cstheme="majorBidi"/>
          <w:sz w:val="24"/>
          <w:szCs w:val="24"/>
        </w:rPr>
        <w:t>ing</w:t>
      </w:r>
      <w:r w:rsidRPr="00505CF0">
        <w:rPr>
          <w:rFonts w:asciiTheme="majorBidi" w:hAnsiTheme="majorBidi" w:cstheme="majorBidi"/>
          <w:sz w:val="24"/>
          <w:szCs w:val="24"/>
        </w:rPr>
        <w:t xml:space="preserve"> the essential, sincere romantic metafictions which may continue to support the contemporary zeitgeist.</w:t>
      </w:r>
    </w:p>
    <w:p w14:paraId="43BAFB08" w14:textId="5C0CB785" w:rsidR="00C111D3" w:rsidRPr="00505CF0" w:rsidRDefault="00C111D3" w:rsidP="00555DD6">
      <w:pPr>
        <w:spacing w:line="480" w:lineRule="auto"/>
        <w:jc w:val="both"/>
        <w:rPr>
          <w:rFonts w:asciiTheme="majorBidi" w:hAnsiTheme="majorBidi" w:cstheme="majorBidi"/>
          <w:sz w:val="24"/>
          <w:szCs w:val="24"/>
        </w:rPr>
      </w:pPr>
      <w:r w:rsidRPr="00505CF0">
        <w:rPr>
          <w:rFonts w:asciiTheme="majorBidi" w:hAnsiTheme="majorBidi" w:cstheme="majorBidi"/>
          <w:sz w:val="24"/>
          <w:szCs w:val="24"/>
        </w:rPr>
        <w:tab/>
        <w:t>Initially I had conceived of this as a form of ouroboric fiction, that is to say, meta-metafiction in which the now established tropes of metafiction are turned inward upon themselves</w:t>
      </w:r>
      <w:r w:rsidR="00555DD6">
        <w:rPr>
          <w:rFonts w:asciiTheme="majorBidi" w:hAnsiTheme="majorBidi" w:cstheme="majorBidi"/>
          <w:sz w:val="24"/>
          <w:szCs w:val="24"/>
        </w:rPr>
        <w:t>, the snake ever eating its own tail/tale</w:t>
      </w:r>
      <w:r w:rsidRPr="00505CF0">
        <w:rPr>
          <w:rFonts w:asciiTheme="majorBidi" w:hAnsiTheme="majorBidi" w:cstheme="majorBidi"/>
          <w:sz w:val="24"/>
          <w:szCs w:val="24"/>
        </w:rPr>
        <w:t>. ‘Ouroboric,’ however, has as much palatability and sustainability as, in terms of ver</w:t>
      </w:r>
      <w:r w:rsidR="00555DD6">
        <w:rPr>
          <w:rFonts w:asciiTheme="majorBidi" w:hAnsiTheme="majorBidi" w:cstheme="majorBidi"/>
          <w:sz w:val="24"/>
          <w:szCs w:val="24"/>
        </w:rPr>
        <w:t>nacular, f</w:t>
      </w:r>
      <w:r w:rsidRPr="00505CF0">
        <w:rPr>
          <w:rFonts w:asciiTheme="majorBidi" w:hAnsiTheme="majorBidi" w:cstheme="majorBidi"/>
          <w:sz w:val="24"/>
          <w:szCs w:val="24"/>
        </w:rPr>
        <w:t>abulators. Meta-metafiction is similarly as clumsy and ungainly a term as post-postmodern. Instead, this new form of metafiction which subverts the traditional practices must fall under another name</w:t>
      </w:r>
      <w:r w:rsidRPr="00505CF0">
        <w:rPr>
          <w:rStyle w:val="FootnoteReference"/>
          <w:rFonts w:asciiTheme="majorBidi" w:hAnsiTheme="majorBidi" w:cstheme="majorBidi"/>
          <w:sz w:val="24"/>
          <w:szCs w:val="24"/>
        </w:rPr>
        <w:footnoteReference w:id="740"/>
      </w:r>
      <w:r w:rsidRPr="00505CF0">
        <w:rPr>
          <w:rFonts w:asciiTheme="majorBidi" w:hAnsiTheme="majorBidi" w:cstheme="majorBidi"/>
          <w:sz w:val="24"/>
          <w:szCs w:val="24"/>
        </w:rPr>
        <w:t xml:space="preserve"> </w:t>
      </w:r>
      <w:r w:rsidR="007D7008">
        <w:rPr>
          <w:rFonts w:asciiTheme="majorBidi" w:hAnsiTheme="majorBidi" w:cstheme="majorBidi"/>
          <w:sz w:val="24"/>
          <w:szCs w:val="24"/>
        </w:rPr>
        <w:t>–</w:t>
      </w:r>
      <w:r w:rsidRPr="00505CF0">
        <w:rPr>
          <w:rFonts w:asciiTheme="majorBidi" w:hAnsiTheme="majorBidi" w:cstheme="majorBidi"/>
          <w:sz w:val="24"/>
          <w:szCs w:val="24"/>
        </w:rPr>
        <w:t xml:space="preserve"> Sacrifiction. Taken from the Latin sacra, for holy, divine, detestable and impious, the word also links to sacrifice, as the text must self-sacrifice part of its own form. Sacrifiction is that which would otherwise be titled meta-meta, the meta-level commentary upon metafiction. Of course, no such example of a text exists at present, though there are texts emerging in the metamodern moment with sacrifictional tendencies. The aforementioned </w:t>
      </w:r>
      <w:r w:rsidRPr="00505CF0">
        <w:rPr>
          <w:rFonts w:asciiTheme="majorBidi" w:hAnsiTheme="majorBidi" w:cstheme="majorBidi"/>
          <w:i/>
          <w:iCs/>
          <w:sz w:val="24"/>
          <w:szCs w:val="24"/>
        </w:rPr>
        <w:t>Nox</w:t>
      </w:r>
      <w:r w:rsidRPr="00505CF0">
        <w:rPr>
          <w:rFonts w:asciiTheme="majorBidi" w:hAnsiTheme="majorBidi" w:cstheme="majorBidi"/>
          <w:sz w:val="24"/>
          <w:szCs w:val="24"/>
        </w:rPr>
        <w:t xml:space="preserve"> takes the artefact nature of </w:t>
      </w:r>
      <w:r w:rsidRPr="00505CF0">
        <w:rPr>
          <w:rFonts w:asciiTheme="majorBidi" w:hAnsiTheme="majorBidi" w:cstheme="majorBidi"/>
          <w:i/>
          <w:iCs/>
          <w:sz w:val="24"/>
          <w:szCs w:val="24"/>
        </w:rPr>
        <w:t>The Unfortunates</w:t>
      </w:r>
      <w:r w:rsidRPr="00505CF0">
        <w:rPr>
          <w:rFonts w:asciiTheme="majorBidi" w:hAnsiTheme="majorBidi" w:cstheme="majorBidi"/>
          <w:sz w:val="24"/>
          <w:szCs w:val="24"/>
        </w:rPr>
        <w:t xml:space="preserve">, turning the argument against the recognition of the failings of the literature to represent life and death effectively, instead suggesting the need for literature in our attempts to understand such emotional concerns. Similarly with </w:t>
      </w:r>
      <w:r w:rsidRPr="00505CF0">
        <w:rPr>
          <w:rFonts w:asciiTheme="majorBidi" w:hAnsiTheme="majorBidi" w:cstheme="majorBidi"/>
          <w:i/>
          <w:iCs/>
          <w:sz w:val="24"/>
          <w:szCs w:val="24"/>
        </w:rPr>
        <w:t>The Haunted Book</w:t>
      </w:r>
      <w:r w:rsidRPr="00505CF0">
        <w:rPr>
          <w:rFonts w:asciiTheme="majorBidi" w:hAnsiTheme="majorBidi" w:cstheme="majorBidi"/>
          <w:sz w:val="24"/>
          <w:szCs w:val="24"/>
        </w:rPr>
        <w:t xml:space="preserve">, Calvino’s </w:t>
      </w:r>
      <w:r w:rsidRPr="00505CF0">
        <w:rPr>
          <w:rFonts w:asciiTheme="majorBidi" w:hAnsiTheme="majorBidi" w:cstheme="majorBidi"/>
          <w:i/>
          <w:iCs/>
          <w:sz w:val="24"/>
          <w:szCs w:val="24"/>
        </w:rPr>
        <w:t>If on a Winter’s Night a Traveller</w:t>
      </w:r>
      <w:r w:rsidRPr="00505CF0">
        <w:rPr>
          <w:rFonts w:asciiTheme="majorBidi" w:hAnsiTheme="majorBidi" w:cstheme="majorBidi"/>
          <w:sz w:val="24"/>
          <w:szCs w:val="24"/>
        </w:rPr>
        <w:t xml:space="preserve">’s spiritual successor, the same metafictional techniques are used, but to foreground </w:t>
      </w:r>
      <w:r w:rsidRPr="00505CF0">
        <w:rPr>
          <w:rFonts w:asciiTheme="majorBidi" w:hAnsiTheme="majorBidi" w:cstheme="majorBidi"/>
          <w:i/>
          <w:iCs/>
          <w:sz w:val="24"/>
          <w:szCs w:val="24"/>
        </w:rPr>
        <w:t>why</w:t>
      </w:r>
      <w:r w:rsidRPr="00505CF0">
        <w:rPr>
          <w:rFonts w:asciiTheme="majorBidi" w:hAnsiTheme="majorBidi" w:cstheme="majorBidi"/>
          <w:sz w:val="24"/>
          <w:szCs w:val="24"/>
        </w:rPr>
        <w:t xml:space="preserve"> we read, not </w:t>
      </w:r>
      <w:r w:rsidRPr="00505CF0">
        <w:rPr>
          <w:rFonts w:asciiTheme="majorBidi" w:hAnsiTheme="majorBidi" w:cstheme="majorBidi"/>
          <w:i/>
          <w:iCs/>
          <w:sz w:val="24"/>
          <w:szCs w:val="24"/>
        </w:rPr>
        <w:t>how</w:t>
      </w:r>
      <w:r w:rsidRPr="00505CF0">
        <w:rPr>
          <w:rFonts w:asciiTheme="majorBidi" w:hAnsiTheme="majorBidi" w:cstheme="majorBidi"/>
          <w:sz w:val="24"/>
          <w:szCs w:val="24"/>
        </w:rPr>
        <w:t xml:space="preserve"> and suggesting the potential inconsequential nature of format in opposition to emotional function. Metafiction must adapt to survive in the metamodern moment. Though the form is well suited to the metamodern </w:t>
      </w:r>
      <w:r w:rsidR="007D7008" w:rsidRPr="00505CF0">
        <w:rPr>
          <w:rFonts w:asciiTheme="majorBidi" w:hAnsiTheme="majorBidi" w:cstheme="majorBidi"/>
          <w:sz w:val="24"/>
          <w:szCs w:val="24"/>
        </w:rPr>
        <w:t>paradigms</w:t>
      </w:r>
      <w:r w:rsidRPr="00505CF0">
        <w:rPr>
          <w:rFonts w:asciiTheme="majorBidi" w:hAnsiTheme="majorBidi" w:cstheme="majorBidi"/>
          <w:sz w:val="24"/>
          <w:szCs w:val="24"/>
        </w:rPr>
        <w:t xml:space="preserve"> of oscillation between innumerable poles, postmodernism, modernism, irony, sincerity, convention, freedom, through the duality of the burlesque and romantic sub-genres of metafiction, it too must attempt to break free of the legacy of the postmodern if it is to survive and continue to augment</w:t>
      </w:r>
      <w:r w:rsidR="00555DD6">
        <w:rPr>
          <w:rFonts w:asciiTheme="majorBidi" w:hAnsiTheme="majorBidi" w:cstheme="majorBidi"/>
          <w:sz w:val="24"/>
          <w:szCs w:val="24"/>
        </w:rPr>
        <w:t xml:space="preserve"> the traditional aim of fiction: t</w:t>
      </w:r>
      <w:r w:rsidRPr="00505CF0">
        <w:rPr>
          <w:rFonts w:asciiTheme="majorBidi" w:hAnsiTheme="majorBidi" w:cstheme="majorBidi"/>
          <w:sz w:val="24"/>
          <w:szCs w:val="24"/>
        </w:rPr>
        <w:t>hat being to aid humanity in appreciation and understanding of itself. Whether as a true reflection, or a warped mirror, metafiction is the tool to aid fiction in this function, and deserves more recognition than merely</w:t>
      </w:r>
      <w:r w:rsidR="003B36CE" w:rsidRPr="003B36CE">
        <w:t xml:space="preserve"> </w:t>
      </w:r>
      <w:r w:rsidR="003B36CE">
        <w:t>‘</w:t>
      </w:r>
      <w:r w:rsidR="003B36CE" w:rsidRPr="003B36CE">
        <w:rPr>
          <w:rFonts w:asciiTheme="majorBidi" w:hAnsiTheme="majorBidi" w:cstheme="majorBidi"/>
          <w:sz w:val="24"/>
          <w:szCs w:val="24"/>
        </w:rPr>
        <w:t>a poignant hybrid of its own theoretical foe, realism</w:t>
      </w:r>
      <w:r w:rsidR="003B36CE">
        <w:rPr>
          <w:rFonts w:asciiTheme="majorBidi" w:hAnsiTheme="majorBidi" w:cstheme="majorBidi"/>
          <w:sz w:val="24"/>
          <w:szCs w:val="24"/>
        </w:rPr>
        <w:t>.’</w:t>
      </w:r>
      <w:r w:rsidRPr="00505CF0">
        <w:rPr>
          <w:rFonts w:asciiTheme="majorBidi" w:hAnsiTheme="majorBidi" w:cstheme="majorBidi"/>
          <w:sz w:val="24"/>
          <w:szCs w:val="24"/>
        </w:rPr>
        <w:t xml:space="preserve"> After all, metafiction is still, and always has been, fiction. I end with the wise words of William Beulow Gould, narrator of Richard Flanagan’s </w:t>
      </w:r>
      <w:r w:rsidRPr="00505CF0">
        <w:rPr>
          <w:rFonts w:asciiTheme="majorBidi" w:hAnsiTheme="majorBidi" w:cstheme="majorBidi"/>
          <w:i/>
          <w:iCs/>
          <w:sz w:val="24"/>
          <w:szCs w:val="24"/>
        </w:rPr>
        <w:t>Gould’s Book of Fish</w:t>
      </w:r>
      <w:r w:rsidRPr="00505CF0">
        <w:rPr>
          <w:rFonts w:asciiTheme="majorBidi" w:hAnsiTheme="majorBidi" w:cstheme="majorBidi"/>
          <w:sz w:val="24"/>
          <w:szCs w:val="24"/>
        </w:rPr>
        <w:t>, whose sentiments, I hope, are taken up by metafictional artists for years to come:</w:t>
      </w:r>
    </w:p>
    <w:p w14:paraId="02216BF6" w14:textId="77777777" w:rsidR="00C111D3" w:rsidRPr="00505CF0" w:rsidRDefault="00C111D3" w:rsidP="004C3EE0">
      <w:pPr>
        <w:ind w:left="737" w:right="737"/>
        <w:jc w:val="both"/>
        <w:rPr>
          <w:rFonts w:asciiTheme="majorBidi" w:hAnsiTheme="majorBidi" w:cstheme="majorBidi"/>
          <w:sz w:val="24"/>
          <w:szCs w:val="24"/>
        </w:rPr>
      </w:pPr>
    </w:p>
    <w:p w14:paraId="04128B6C" w14:textId="7148752D" w:rsidR="00C111D3" w:rsidRPr="00505CF0" w:rsidRDefault="00C111D3" w:rsidP="00FE7EAF">
      <w:pPr>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 xml:space="preserve">To make a book, even one </w:t>
      </w:r>
      <w:proofErr w:type="gramStart"/>
      <w:r w:rsidRPr="00505CF0">
        <w:rPr>
          <w:rFonts w:asciiTheme="majorBidi" w:hAnsiTheme="majorBidi" w:cstheme="majorBidi"/>
          <w:sz w:val="24"/>
          <w:szCs w:val="24"/>
        </w:rPr>
        <w:t>so</w:t>
      </w:r>
      <w:proofErr w:type="gramEnd"/>
      <w:r w:rsidRPr="00505CF0">
        <w:rPr>
          <w:rFonts w:asciiTheme="majorBidi" w:hAnsiTheme="majorBidi" w:cstheme="majorBidi"/>
          <w:sz w:val="24"/>
          <w:szCs w:val="24"/>
        </w:rPr>
        <w:t xml:space="preserve"> inadequate as this wretched copy you now read, is to learn that the only appropriate feeling to those who live within its pages is love.</w:t>
      </w:r>
    </w:p>
    <w:p w14:paraId="567B7378" w14:textId="03C431B1" w:rsidR="00C111D3" w:rsidRPr="00505CF0" w:rsidRDefault="00C111D3" w:rsidP="00FE7EAF">
      <w:pPr>
        <w:ind w:left="737" w:right="737" w:firstLine="703"/>
        <w:jc w:val="both"/>
        <w:rPr>
          <w:rFonts w:asciiTheme="majorBidi" w:hAnsiTheme="majorBidi" w:cstheme="majorBidi"/>
          <w:sz w:val="24"/>
          <w:szCs w:val="24"/>
        </w:rPr>
      </w:pPr>
      <w:r w:rsidRPr="00505CF0">
        <w:rPr>
          <w:rFonts w:asciiTheme="majorBidi" w:hAnsiTheme="majorBidi" w:cstheme="majorBidi"/>
          <w:sz w:val="24"/>
          <w:szCs w:val="24"/>
        </w:rPr>
        <w:t>Perhaps reading and writing books is one of the last defences human dignity has left, because in the end they remind us of what God once reminded</w:t>
      </w:r>
      <w:r w:rsidR="00776727">
        <w:rPr>
          <w:rFonts w:asciiTheme="majorBidi" w:hAnsiTheme="majorBidi" w:cstheme="majorBidi"/>
          <w:sz w:val="24"/>
          <w:szCs w:val="24"/>
        </w:rPr>
        <w:t xml:space="preserve"> </w:t>
      </w:r>
      <w:r w:rsidRPr="00505CF0">
        <w:rPr>
          <w:rFonts w:asciiTheme="majorBidi" w:hAnsiTheme="majorBidi" w:cstheme="majorBidi"/>
          <w:sz w:val="24"/>
          <w:szCs w:val="24"/>
        </w:rPr>
        <w:t>us before He too evaporated in this age of relentless humiliations – That we are more than ourselves; that we have souls.</w:t>
      </w:r>
      <w:r w:rsidRPr="00505CF0">
        <w:rPr>
          <w:rStyle w:val="FootnoteReference"/>
          <w:rFonts w:asciiTheme="majorBidi" w:hAnsiTheme="majorBidi" w:cstheme="majorBidi"/>
          <w:sz w:val="24"/>
          <w:szCs w:val="24"/>
        </w:rPr>
        <w:footnoteReference w:id="741"/>
      </w:r>
    </w:p>
    <w:p w14:paraId="6ABA9C72" w14:textId="074C22DE" w:rsidR="00252349" w:rsidRPr="00505CF0" w:rsidRDefault="00252349" w:rsidP="004C3EE0">
      <w:pPr>
        <w:ind w:right="737"/>
        <w:jc w:val="both"/>
        <w:rPr>
          <w:rFonts w:asciiTheme="majorBidi" w:hAnsiTheme="majorBidi" w:cstheme="majorBidi"/>
        </w:rPr>
      </w:pPr>
    </w:p>
    <w:p w14:paraId="0EE25427" w14:textId="2F827B4B" w:rsidR="00B9022C" w:rsidRDefault="00B9022C">
      <w:pPr>
        <w:spacing w:line="240" w:lineRule="auto"/>
        <w:rPr>
          <w:rFonts w:asciiTheme="majorBidi" w:hAnsiTheme="majorBidi" w:cstheme="majorBidi"/>
        </w:rPr>
      </w:pPr>
      <w:r>
        <w:rPr>
          <w:rFonts w:asciiTheme="majorBidi" w:hAnsiTheme="majorBidi" w:cstheme="majorBidi"/>
        </w:rPr>
        <w:br w:type="page"/>
      </w:r>
    </w:p>
    <w:p w14:paraId="2F42C460" w14:textId="03FDBEEA" w:rsidR="0094764F" w:rsidRDefault="0094764F" w:rsidP="0094764F">
      <w:pPr>
        <w:spacing w:line="240" w:lineRule="auto"/>
        <w:rPr>
          <w:rFonts w:asciiTheme="majorBidi" w:hAnsiTheme="majorBidi" w:cstheme="majorBidi"/>
          <w:sz w:val="36"/>
          <w:szCs w:val="36"/>
        </w:rPr>
      </w:pPr>
    </w:p>
    <w:p w14:paraId="2F746F37" w14:textId="77777777" w:rsidR="0094764F" w:rsidRDefault="0094764F" w:rsidP="0094764F">
      <w:pPr>
        <w:spacing w:line="240" w:lineRule="auto"/>
        <w:rPr>
          <w:rFonts w:asciiTheme="majorBidi" w:hAnsiTheme="majorBidi" w:cstheme="majorBidi"/>
          <w:sz w:val="36"/>
          <w:szCs w:val="36"/>
        </w:rPr>
      </w:pPr>
    </w:p>
    <w:p w14:paraId="20DB70BE" w14:textId="77777777" w:rsidR="0094764F" w:rsidRDefault="0094764F" w:rsidP="0094764F">
      <w:pPr>
        <w:spacing w:line="240" w:lineRule="auto"/>
        <w:rPr>
          <w:rFonts w:asciiTheme="majorBidi" w:hAnsiTheme="majorBidi" w:cstheme="majorBidi"/>
          <w:sz w:val="36"/>
          <w:szCs w:val="36"/>
        </w:rPr>
      </w:pPr>
    </w:p>
    <w:p w14:paraId="1D80E1BF" w14:textId="77777777" w:rsidR="0094764F" w:rsidRDefault="0094764F" w:rsidP="0094764F">
      <w:pPr>
        <w:spacing w:line="240" w:lineRule="auto"/>
        <w:rPr>
          <w:rFonts w:asciiTheme="majorBidi" w:hAnsiTheme="majorBidi" w:cstheme="majorBidi"/>
          <w:sz w:val="36"/>
          <w:szCs w:val="36"/>
        </w:rPr>
      </w:pPr>
    </w:p>
    <w:p w14:paraId="7461231E" w14:textId="77777777" w:rsidR="0094764F" w:rsidRDefault="0094764F" w:rsidP="0094764F">
      <w:pPr>
        <w:spacing w:line="240" w:lineRule="auto"/>
        <w:rPr>
          <w:rFonts w:asciiTheme="majorBidi" w:hAnsiTheme="majorBidi" w:cstheme="majorBidi"/>
          <w:sz w:val="36"/>
          <w:szCs w:val="36"/>
        </w:rPr>
      </w:pPr>
    </w:p>
    <w:p w14:paraId="4D8D21B8" w14:textId="77777777" w:rsidR="0094764F" w:rsidRDefault="0094764F" w:rsidP="0094764F">
      <w:pPr>
        <w:spacing w:line="240" w:lineRule="auto"/>
        <w:rPr>
          <w:rFonts w:asciiTheme="majorBidi" w:hAnsiTheme="majorBidi" w:cstheme="majorBidi"/>
          <w:sz w:val="36"/>
          <w:szCs w:val="36"/>
        </w:rPr>
      </w:pPr>
    </w:p>
    <w:p w14:paraId="3A53785F" w14:textId="77777777" w:rsidR="0094764F" w:rsidRDefault="0094764F" w:rsidP="0094764F">
      <w:pPr>
        <w:spacing w:line="240" w:lineRule="auto"/>
        <w:rPr>
          <w:rFonts w:asciiTheme="majorBidi" w:hAnsiTheme="majorBidi" w:cstheme="majorBidi"/>
          <w:sz w:val="36"/>
          <w:szCs w:val="36"/>
        </w:rPr>
      </w:pPr>
    </w:p>
    <w:p w14:paraId="2F3D96E6" w14:textId="77777777" w:rsidR="0094764F" w:rsidRDefault="0094764F" w:rsidP="0094764F">
      <w:pPr>
        <w:spacing w:line="240" w:lineRule="auto"/>
        <w:rPr>
          <w:rFonts w:asciiTheme="majorBidi" w:hAnsiTheme="majorBidi" w:cstheme="majorBidi"/>
          <w:sz w:val="36"/>
          <w:szCs w:val="36"/>
        </w:rPr>
      </w:pPr>
    </w:p>
    <w:p w14:paraId="68D2CCD8" w14:textId="77777777" w:rsidR="0094764F" w:rsidRDefault="0094764F" w:rsidP="0094764F">
      <w:pPr>
        <w:spacing w:line="240" w:lineRule="auto"/>
        <w:rPr>
          <w:rFonts w:asciiTheme="majorBidi" w:hAnsiTheme="majorBidi" w:cstheme="majorBidi"/>
          <w:sz w:val="36"/>
          <w:szCs w:val="36"/>
        </w:rPr>
      </w:pPr>
    </w:p>
    <w:p w14:paraId="7A096BC2" w14:textId="77777777" w:rsidR="0094764F" w:rsidRDefault="0094764F" w:rsidP="0094764F">
      <w:pPr>
        <w:spacing w:line="240" w:lineRule="auto"/>
        <w:rPr>
          <w:rFonts w:asciiTheme="majorBidi" w:hAnsiTheme="majorBidi" w:cstheme="majorBidi"/>
          <w:sz w:val="36"/>
          <w:szCs w:val="36"/>
        </w:rPr>
      </w:pPr>
    </w:p>
    <w:p w14:paraId="5677E3E4" w14:textId="77777777" w:rsidR="0094764F" w:rsidRDefault="0094764F" w:rsidP="0094764F">
      <w:pPr>
        <w:spacing w:line="240" w:lineRule="auto"/>
        <w:rPr>
          <w:rFonts w:asciiTheme="majorBidi" w:hAnsiTheme="majorBidi" w:cstheme="majorBidi"/>
          <w:sz w:val="36"/>
          <w:szCs w:val="36"/>
        </w:rPr>
      </w:pPr>
    </w:p>
    <w:p w14:paraId="506E89C1" w14:textId="77777777" w:rsidR="0094764F" w:rsidRDefault="0094764F" w:rsidP="0094764F">
      <w:pPr>
        <w:spacing w:line="240" w:lineRule="auto"/>
        <w:rPr>
          <w:rFonts w:asciiTheme="majorBidi" w:hAnsiTheme="majorBidi" w:cstheme="majorBidi"/>
          <w:sz w:val="36"/>
          <w:szCs w:val="36"/>
        </w:rPr>
      </w:pPr>
    </w:p>
    <w:p w14:paraId="3BA7887B" w14:textId="77777777" w:rsidR="0094764F" w:rsidRDefault="0094764F" w:rsidP="0094764F">
      <w:pPr>
        <w:spacing w:line="240" w:lineRule="auto"/>
        <w:rPr>
          <w:rFonts w:asciiTheme="majorBidi" w:hAnsiTheme="majorBidi" w:cstheme="majorBidi"/>
          <w:sz w:val="36"/>
          <w:szCs w:val="36"/>
        </w:rPr>
      </w:pPr>
    </w:p>
    <w:p w14:paraId="252BA895" w14:textId="77777777" w:rsidR="0094764F" w:rsidRDefault="0094764F" w:rsidP="0094764F">
      <w:pPr>
        <w:spacing w:line="240" w:lineRule="auto"/>
        <w:rPr>
          <w:rFonts w:asciiTheme="majorBidi" w:hAnsiTheme="majorBidi" w:cstheme="majorBidi"/>
          <w:sz w:val="36"/>
          <w:szCs w:val="36"/>
        </w:rPr>
      </w:pPr>
    </w:p>
    <w:p w14:paraId="16EF2410" w14:textId="77777777" w:rsidR="0094764F" w:rsidRDefault="0094764F" w:rsidP="0094764F">
      <w:pPr>
        <w:spacing w:line="240" w:lineRule="auto"/>
        <w:rPr>
          <w:rFonts w:asciiTheme="majorBidi" w:hAnsiTheme="majorBidi" w:cstheme="majorBidi"/>
          <w:sz w:val="36"/>
          <w:szCs w:val="36"/>
        </w:rPr>
      </w:pPr>
    </w:p>
    <w:p w14:paraId="6F473BAC" w14:textId="77777777" w:rsidR="0094764F" w:rsidRDefault="0094764F" w:rsidP="0094764F">
      <w:pPr>
        <w:spacing w:line="240" w:lineRule="auto"/>
        <w:rPr>
          <w:rFonts w:asciiTheme="majorBidi" w:hAnsiTheme="majorBidi" w:cstheme="majorBidi"/>
          <w:sz w:val="36"/>
          <w:szCs w:val="36"/>
        </w:rPr>
      </w:pPr>
    </w:p>
    <w:p w14:paraId="1AC928BA" w14:textId="77777777" w:rsidR="0094764F" w:rsidRDefault="0094764F" w:rsidP="0094764F">
      <w:pPr>
        <w:spacing w:line="240" w:lineRule="auto"/>
        <w:rPr>
          <w:rFonts w:asciiTheme="majorBidi" w:hAnsiTheme="majorBidi" w:cstheme="majorBidi"/>
          <w:sz w:val="36"/>
          <w:szCs w:val="36"/>
        </w:rPr>
      </w:pPr>
    </w:p>
    <w:p w14:paraId="322C28FC" w14:textId="77777777" w:rsidR="0094764F" w:rsidRDefault="0094764F" w:rsidP="0094764F">
      <w:pPr>
        <w:spacing w:line="240" w:lineRule="auto"/>
        <w:rPr>
          <w:rFonts w:asciiTheme="majorBidi" w:hAnsiTheme="majorBidi" w:cstheme="majorBidi"/>
          <w:sz w:val="36"/>
          <w:szCs w:val="36"/>
        </w:rPr>
      </w:pPr>
    </w:p>
    <w:p w14:paraId="632D14FA" w14:textId="77777777" w:rsidR="0094764F" w:rsidRDefault="0094764F" w:rsidP="0094764F">
      <w:pPr>
        <w:spacing w:line="240" w:lineRule="auto"/>
        <w:rPr>
          <w:rFonts w:asciiTheme="majorBidi" w:hAnsiTheme="majorBidi" w:cstheme="majorBidi"/>
          <w:sz w:val="36"/>
          <w:szCs w:val="36"/>
        </w:rPr>
      </w:pPr>
    </w:p>
    <w:p w14:paraId="538A94F5" w14:textId="77777777" w:rsidR="0094764F" w:rsidRDefault="0094764F" w:rsidP="0094764F">
      <w:pPr>
        <w:spacing w:line="240" w:lineRule="auto"/>
        <w:rPr>
          <w:rFonts w:asciiTheme="majorBidi" w:hAnsiTheme="majorBidi" w:cstheme="majorBidi"/>
          <w:sz w:val="36"/>
          <w:szCs w:val="36"/>
        </w:rPr>
      </w:pPr>
    </w:p>
    <w:p w14:paraId="0681688E" w14:textId="77777777" w:rsidR="0094764F" w:rsidRDefault="0094764F" w:rsidP="0094764F">
      <w:pPr>
        <w:spacing w:line="240" w:lineRule="auto"/>
        <w:rPr>
          <w:rFonts w:asciiTheme="majorBidi" w:hAnsiTheme="majorBidi" w:cstheme="majorBidi"/>
          <w:sz w:val="36"/>
          <w:szCs w:val="36"/>
        </w:rPr>
      </w:pPr>
    </w:p>
    <w:p w14:paraId="2D94B221" w14:textId="77777777" w:rsidR="0094764F" w:rsidRDefault="0094764F" w:rsidP="0094764F">
      <w:pPr>
        <w:spacing w:line="240" w:lineRule="auto"/>
        <w:rPr>
          <w:rFonts w:asciiTheme="majorBidi" w:hAnsiTheme="majorBidi" w:cstheme="majorBidi"/>
          <w:sz w:val="36"/>
          <w:szCs w:val="36"/>
        </w:rPr>
      </w:pPr>
    </w:p>
    <w:p w14:paraId="3C826BB6" w14:textId="77777777" w:rsidR="0094764F" w:rsidRDefault="0094764F" w:rsidP="0094764F">
      <w:pPr>
        <w:spacing w:line="240" w:lineRule="auto"/>
        <w:rPr>
          <w:rFonts w:asciiTheme="majorBidi" w:hAnsiTheme="majorBidi" w:cstheme="majorBidi"/>
          <w:sz w:val="36"/>
          <w:szCs w:val="36"/>
        </w:rPr>
      </w:pPr>
    </w:p>
    <w:p w14:paraId="726B0925" w14:textId="77777777" w:rsidR="0094764F" w:rsidRDefault="0094764F" w:rsidP="0094764F">
      <w:pPr>
        <w:spacing w:line="240" w:lineRule="auto"/>
        <w:rPr>
          <w:rFonts w:asciiTheme="majorBidi" w:hAnsiTheme="majorBidi" w:cstheme="majorBidi"/>
          <w:sz w:val="36"/>
          <w:szCs w:val="36"/>
        </w:rPr>
      </w:pPr>
    </w:p>
    <w:p w14:paraId="0F4ABD17" w14:textId="77777777" w:rsidR="0094764F" w:rsidRDefault="0094764F" w:rsidP="0094764F">
      <w:pPr>
        <w:spacing w:line="240" w:lineRule="auto"/>
        <w:rPr>
          <w:rFonts w:asciiTheme="majorBidi" w:hAnsiTheme="majorBidi" w:cstheme="majorBidi"/>
          <w:sz w:val="36"/>
          <w:szCs w:val="36"/>
        </w:rPr>
      </w:pPr>
    </w:p>
    <w:p w14:paraId="4144DD5E" w14:textId="77777777" w:rsidR="0094764F" w:rsidRDefault="0094764F" w:rsidP="0094764F">
      <w:pPr>
        <w:spacing w:line="240" w:lineRule="auto"/>
        <w:rPr>
          <w:rFonts w:asciiTheme="majorBidi" w:hAnsiTheme="majorBidi" w:cstheme="majorBidi"/>
          <w:sz w:val="36"/>
          <w:szCs w:val="36"/>
        </w:rPr>
      </w:pPr>
    </w:p>
    <w:p w14:paraId="09ED39F7" w14:textId="77777777" w:rsidR="0094764F" w:rsidRDefault="0094764F" w:rsidP="0094764F">
      <w:pPr>
        <w:spacing w:line="240" w:lineRule="auto"/>
        <w:rPr>
          <w:rFonts w:asciiTheme="majorBidi" w:hAnsiTheme="majorBidi" w:cstheme="majorBidi"/>
          <w:sz w:val="36"/>
          <w:szCs w:val="36"/>
        </w:rPr>
      </w:pPr>
    </w:p>
    <w:p w14:paraId="6CD571E6" w14:textId="77777777" w:rsidR="0094764F" w:rsidRDefault="0094764F" w:rsidP="0094764F">
      <w:pPr>
        <w:spacing w:line="240" w:lineRule="auto"/>
        <w:rPr>
          <w:rFonts w:asciiTheme="majorBidi" w:hAnsiTheme="majorBidi" w:cstheme="majorBidi"/>
          <w:sz w:val="36"/>
          <w:szCs w:val="36"/>
        </w:rPr>
      </w:pPr>
    </w:p>
    <w:p w14:paraId="537F7519" w14:textId="77777777" w:rsidR="0094764F" w:rsidRDefault="0094764F" w:rsidP="0094764F">
      <w:pPr>
        <w:spacing w:line="240" w:lineRule="auto"/>
        <w:rPr>
          <w:rFonts w:asciiTheme="majorBidi" w:hAnsiTheme="majorBidi" w:cstheme="majorBidi"/>
          <w:sz w:val="36"/>
          <w:szCs w:val="36"/>
        </w:rPr>
      </w:pPr>
    </w:p>
    <w:p w14:paraId="5BBC132D" w14:textId="77777777" w:rsidR="0094764F" w:rsidRDefault="0094764F" w:rsidP="0094764F">
      <w:pPr>
        <w:spacing w:line="240" w:lineRule="auto"/>
        <w:rPr>
          <w:rFonts w:asciiTheme="majorBidi" w:hAnsiTheme="majorBidi" w:cstheme="majorBidi"/>
          <w:sz w:val="36"/>
          <w:szCs w:val="36"/>
        </w:rPr>
      </w:pPr>
    </w:p>
    <w:p w14:paraId="5938900B" w14:textId="77777777" w:rsidR="0094764F" w:rsidRDefault="0094764F" w:rsidP="0094764F">
      <w:pPr>
        <w:spacing w:line="240" w:lineRule="auto"/>
        <w:rPr>
          <w:rFonts w:asciiTheme="majorBidi" w:hAnsiTheme="majorBidi" w:cstheme="majorBidi"/>
          <w:sz w:val="36"/>
          <w:szCs w:val="36"/>
        </w:rPr>
      </w:pPr>
    </w:p>
    <w:p w14:paraId="69FAE902" w14:textId="77777777" w:rsidR="0094764F" w:rsidRDefault="0094764F" w:rsidP="0094764F">
      <w:pPr>
        <w:spacing w:line="240" w:lineRule="auto"/>
        <w:rPr>
          <w:rFonts w:asciiTheme="majorBidi" w:hAnsiTheme="majorBidi" w:cstheme="majorBidi"/>
          <w:sz w:val="36"/>
          <w:szCs w:val="36"/>
        </w:rPr>
      </w:pPr>
    </w:p>
    <w:p w14:paraId="59C9EAF6" w14:textId="77777777" w:rsidR="0094764F" w:rsidRDefault="0094764F" w:rsidP="0094764F">
      <w:pPr>
        <w:spacing w:line="240" w:lineRule="auto"/>
        <w:rPr>
          <w:rFonts w:asciiTheme="majorBidi" w:hAnsiTheme="majorBidi" w:cstheme="majorBidi"/>
          <w:sz w:val="36"/>
          <w:szCs w:val="36"/>
        </w:rPr>
      </w:pPr>
    </w:p>
    <w:p w14:paraId="3247B529" w14:textId="77777777" w:rsidR="0094764F" w:rsidRPr="00C30008" w:rsidRDefault="0094764F" w:rsidP="0094764F">
      <w:pPr>
        <w:spacing w:line="240" w:lineRule="auto"/>
        <w:jc w:val="center"/>
        <w:rPr>
          <w:rFonts w:asciiTheme="majorBidi" w:hAnsiTheme="majorBidi" w:cstheme="majorBidi"/>
          <w:i/>
          <w:iCs/>
          <w:sz w:val="24"/>
          <w:szCs w:val="24"/>
        </w:rPr>
      </w:pPr>
      <w:r w:rsidRPr="00C30008">
        <w:rPr>
          <w:rFonts w:asciiTheme="majorBidi" w:hAnsiTheme="majorBidi" w:cstheme="majorBidi"/>
          <w:i/>
          <w:iCs/>
          <w:sz w:val="24"/>
          <w:szCs w:val="24"/>
        </w:rPr>
        <w:t>(This page left intentionally blank)</w:t>
      </w:r>
    </w:p>
    <w:p w14:paraId="23F9436D" w14:textId="77777777" w:rsidR="00973D1A" w:rsidRDefault="00973D1A">
      <w:pPr>
        <w:spacing w:line="240" w:lineRule="auto"/>
        <w:rPr>
          <w:rFonts w:asciiTheme="majorBidi" w:hAnsiTheme="majorBidi" w:cstheme="majorBidi"/>
          <w:b/>
          <w:sz w:val="32"/>
          <w:szCs w:val="32"/>
          <w:u w:val="single"/>
        </w:rPr>
      </w:pPr>
    </w:p>
    <w:p w14:paraId="03F3DEEB" w14:textId="77777777" w:rsidR="00B9022C" w:rsidRDefault="00B9022C">
      <w:pPr>
        <w:spacing w:line="240" w:lineRule="auto"/>
        <w:rPr>
          <w:rFonts w:asciiTheme="majorBidi" w:hAnsiTheme="majorBidi" w:cstheme="majorBidi"/>
          <w:b/>
          <w:sz w:val="32"/>
          <w:szCs w:val="32"/>
          <w:u w:val="single"/>
        </w:rPr>
      </w:pPr>
    </w:p>
    <w:p w14:paraId="5E3D7B34" w14:textId="77777777" w:rsidR="00B9022C" w:rsidRDefault="00B9022C">
      <w:pPr>
        <w:spacing w:line="240" w:lineRule="auto"/>
        <w:rPr>
          <w:rFonts w:asciiTheme="majorBidi" w:hAnsiTheme="majorBidi" w:cstheme="majorBidi"/>
          <w:b/>
          <w:sz w:val="32"/>
          <w:szCs w:val="32"/>
          <w:u w:val="single"/>
        </w:rPr>
      </w:pPr>
      <w:r>
        <w:rPr>
          <w:rFonts w:asciiTheme="majorBidi" w:hAnsiTheme="majorBidi" w:cstheme="majorBidi"/>
          <w:b/>
          <w:sz w:val="32"/>
          <w:szCs w:val="32"/>
          <w:u w:val="single"/>
        </w:rPr>
        <w:br w:type="page"/>
      </w:r>
    </w:p>
    <w:p w14:paraId="3B1BCDDD" w14:textId="77777777" w:rsidR="00FE6587" w:rsidRPr="004B6225" w:rsidRDefault="00FE6587" w:rsidP="00FE6587">
      <w:pPr>
        <w:jc w:val="center"/>
        <w:rPr>
          <w:rFonts w:ascii="Times New Roman" w:eastAsia="Times New Roman" w:hAnsi="Times New Roman" w:cs="Times New Roman"/>
          <w:sz w:val="40"/>
          <w:szCs w:val="40"/>
        </w:rPr>
      </w:pPr>
      <w:r w:rsidRPr="00C35FAB">
        <w:rPr>
          <w:rFonts w:ascii="Times New Roman" w:eastAsia="Times New Roman" w:hAnsi="Times New Roman" w:cs="Times New Roman"/>
          <w:sz w:val="44"/>
          <w:szCs w:val="40"/>
        </w:rPr>
        <w:t>N</w:t>
      </w:r>
      <w:r w:rsidRPr="004B6225">
        <w:rPr>
          <w:rFonts w:ascii="Times New Roman" w:eastAsia="Times New Roman" w:hAnsi="Times New Roman" w:cs="Times New Roman"/>
          <w:sz w:val="32"/>
          <w:szCs w:val="32"/>
        </w:rPr>
        <w:t>OTE</w:t>
      </w:r>
      <w:r w:rsidRPr="004B6225">
        <w:rPr>
          <w:rFonts w:ascii="Times New Roman" w:eastAsia="Times New Roman" w:hAnsi="Times New Roman" w:cs="Times New Roman"/>
          <w:sz w:val="40"/>
          <w:szCs w:val="40"/>
        </w:rPr>
        <w:t xml:space="preserve"> </w:t>
      </w:r>
      <w:r w:rsidRPr="00C35FAB">
        <w:rPr>
          <w:rFonts w:ascii="Times New Roman" w:eastAsia="Times New Roman" w:hAnsi="Times New Roman" w:cs="Times New Roman"/>
          <w:sz w:val="44"/>
          <w:szCs w:val="40"/>
        </w:rPr>
        <w:t>O</w:t>
      </w:r>
      <w:r w:rsidRPr="004B6225">
        <w:rPr>
          <w:rFonts w:ascii="Times New Roman" w:eastAsia="Times New Roman" w:hAnsi="Times New Roman" w:cs="Times New Roman"/>
          <w:sz w:val="32"/>
          <w:szCs w:val="32"/>
        </w:rPr>
        <w:t>N</w:t>
      </w:r>
      <w:r w:rsidRPr="004B6225">
        <w:rPr>
          <w:rFonts w:ascii="Times New Roman" w:eastAsia="Times New Roman" w:hAnsi="Times New Roman" w:cs="Times New Roman"/>
          <w:sz w:val="40"/>
          <w:szCs w:val="40"/>
        </w:rPr>
        <w:t xml:space="preserve"> </w:t>
      </w:r>
      <w:r w:rsidRPr="00C35FAB">
        <w:rPr>
          <w:rFonts w:ascii="Times New Roman" w:eastAsia="Times New Roman" w:hAnsi="Times New Roman" w:cs="Times New Roman"/>
          <w:sz w:val="44"/>
          <w:szCs w:val="40"/>
        </w:rPr>
        <w:t>T</w:t>
      </w:r>
      <w:r w:rsidRPr="004B6225">
        <w:rPr>
          <w:rFonts w:ascii="Times New Roman" w:eastAsia="Times New Roman" w:hAnsi="Times New Roman" w:cs="Times New Roman"/>
          <w:sz w:val="32"/>
          <w:szCs w:val="32"/>
        </w:rPr>
        <w:t>HE</w:t>
      </w:r>
      <w:r w:rsidRPr="004B6225">
        <w:rPr>
          <w:rFonts w:ascii="Times New Roman" w:eastAsia="Times New Roman" w:hAnsi="Times New Roman" w:cs="Times New Roman"/>
          <w:sz w:val="40"/>
          <w:szCs w:val="40"/>
        </w:rPr>
        <w:t xml:space="preserve"> </w:t>
      </w:r>
      <w:r w:rsidRPr="00C35FAB">
        <w:rPr>
          <w:rFonts w:ascii="Times New Roman" w:eastAsia="Times New Roman" w:hAnsi="Times New Roman" w:cs="Times New Roman"/>
          <w:sz w:val="44"/>
          <w:szCs w:val="40"/>
        </w:rPr>
        <w:t>A</w:t>
      </w:r>
      <w:r w:rsidRPr="004B6225">
        <w:rPr>
          <w:rFonts w:ascii="Times New Roman" w:eastAsia="Times New Roman" w:hAnsi="Times New Roman" w:cs="Times New Roman"/>
          <w:sz w:val="32"/>
          <w:szCs w:val="32"/>
        </w:rPr>
        <w:t>FTERWORD</w:t>
      </w:r>
    </w:p>
    <w:p w14:paraId="34B55853" w14:textId="77777777" w:rsidR="00FE6587" w:rsidRPr="00C35FAB" w:rsidRDefault="00FE6587" w:rsidP="00FE6587">
      <w:pPr>
        <w:jc w:val="center"/>
        <w:rPr>
          <w:rFonts w:ascii="Times New Roman" w:hAnsi="Times New Roman" w:cs="Times New Roman"/>
          <w:sz w:val="32"/>
          <w:szCs w:val="32"/>
        </w:rPr>
      </w:pPr>
      <w:r>
        <w:rPr>
          <w:rFonts w:ascii="Times New Roman" w:hAnsi="Times New Roman" w:cs="Times New Roman"/>
          <w:sz w:val="32"/>
          <w:szCs w:val="32"/>
        </w:rPr>
        <w:t>D</w:t>
      </w:r>
      <w:r w:rsidRPr="00C35FAB">
        <w:rPr>
          <w:rFonts w:ascii="Times New Roman" w:hAnsi="Times New Roman" w:cs="Times New Roman"/>
          <w:sz w:val="24"/>
          <w:szCs w:val="32"/>
        </w:rPr>
        <w:t>R</w:t>
      </w:r>
      <w:r>
        <w:rPr>
          <w:rFonts w:ascii="Times New Roman" w:hAnsi="Times New Roman" w:cs="Times New Roman"/>
          <w:sz w:val="32"/>
          <w:szCs w:val="32"/>
        </w:rPr>
        <w:t xml:space="preserve"> W</w:t>
      </w:r>
      <w:r w:rsidRPr="00C35FAB">
        <w:rPr>
          <w:rFonts w:ascii="Times New Roman" w:hAnsi="Times New Roman" w:cs="Times New Roman"/>
          <w:sz w:val="24"/>
          <w:szCs w:val="32"/>
        </w:rPr>
        <w:t>ADE</w:t>
      </w:r>
      <w:r>
        <w:rPr>
          <w:rFonts w:ascii="Times New Roman" w:hAnsi="Times New Roman" w:cs="Times New Roman"/>
          <w:sz w:val="32"/>
          <w:szCs w:val="32"/>
        </w:rPr>
        <w:t xml:space="preserve"> J. A</w:t>
      </w:r>
      <w:r w:rsidRPr="00C35FAB">
        <w:rPr>
          <w:rFonts w:ascii="Times New Roman" w:hAnsi="Times New Roman" w:cs="Times New Roman"/>
          <w:sz w:val="24"/>
          <w:szCs w:val="32"/>
        </w:rPr>
        <w:t>RAPAIMA</w:t>
      </w:r>
    </w:p>
    <w:p w14:paraId="2C0A351B" w14:textId="77777777" w:rsidR="00FE6587" w:rsidRDefault="00FE6587" w:rsidP="00FE6587">
      <w:pPr>
        <w:rPr>
          <w:rFonts w:ascii="Times New Roman" w:hAnsi="Times New Roman" w:cs="Times New Roman"/>
        </w:rPr>
      </w:pPr>
    </w:p>
    <w:p w14:paraId="1EA41531" w14:textId="77777777" w:rsidR="00FE6587" w:rsidRDefault="00FE6587" w:rsidP="00FE6587">
      <w:pPr>
        <w:rPr>
          <w:rFonts w:ascii="Times New Roman" w:hAnsi="Times New Roman" w:cs="Times New Roman"/>
        </w:rPr>
      </w:pPr>
    </w:p>
    <w:p w14:paraId="17CDBE1D" w14:textId="77777777" w:rsidR="00FE6587" w:rsidRDefault="00FE6587" w:rsidP="00FE6587">
      <w:pPr>
        <w:rPr>
          <w:rFonts w:ascii="Times New Roman" w:hAnsi="Times New Roman" w:cs="Times New Roman"/>
        </w:rPr>
      </w:pPr>
    </w:p>
    <w:p w14:paraId="4B0312AF" w14:textId="77777777" w:rsidR="00FE6587" w:rsidRDefault="00FE6587" w:rsidP="00FE6587">
      <w:pPr>
        <w:rPr>
          <w:rFonts w:ascii="Times New Roman" w:hAnsi="Times New Roman" w:cs="Times New Roman"/>
        </w:rPr>
      </w:pPr>
    </w:p>
    <w:p w14:paraId="4FF0AD99" w14:textId="77777777" w:rsidR="00FE6587" w:rsidRDefault="00FE6587" w:rsidP="00FE6587">
      <w:pPr>
        <w:rPr>
          <w:rFonts w:ascii="Times New Roman" w:hAnsi="Times New Roman" w:cs="Times New Roman"/>
        </w:rPr>
      </w:pPr>
    </w:p>
    <w:p w14:paraId="5F40A13E" w14:textId="77777777" w:rsidR="00FE6587" w:rsidRDefault="00FE6587" w:rsidP="00FE6587">
      <w:pPr>
        <w:rPr>
          <w:rFonts w:ascii="Times New Roman" w:hAnsi="Times New Roman" w:cs="Times New Roman"/>
        </w:rPr>
      </w:pPr>
    </w:p>
    <w:p w14:paraId="4D76BF7C" w14:textId="77777777" w:rsidR="00FE6587" w:rsidRDefault="00FE6587" w:rsidP="00FE6587">
      <w:pPr>
        <w:rPr>
          <w:rFonts w:ascii="Times New Roman" w:hAnsi="Times New Roman" w:cs="Times New Roman"/>
        </w:rPr>
      </w:pPr>
    </w:p>
    <w:p w14:paraId="5F9CCA77" w14:textId="77777777" w:rsidR="00FE6587" w:rsidRDefault="00FE6587" w:rsidP="00FE6587">
      <w:pPr>
        <w:rPr>
          <w:rFonts w:ascii="Times New Roman" w:hAnsi="Times New Roman" w:cs="Times New Roman"/>
        </w:rPr>
      </w:pPr>
    </w:p>
    <w:p w14:paraId="1D102FF1" w14:textId="77777777" w:rsidR="00FE6587" w:rsidRDefault="00FE6587" w:rsidP="00FE6587">
      <w:pPr>
        <w:rPr>
          <w:rFonts w:ascii="Times New Roman" w:hAnsi="Times New Roman" w:cs="Times New Roman"/>
        </w:rPr>
      </w:pPr>
    </w:p>
    <w:p w14:paraId="110BFBEF" w14:textId="77777777" w:rsidR="00FE6587" w:rsidRDefault="00FE6587" w:rsidP="00FE6587">
      <w:pPr>
        <w:rPr>
          <w:rFonts w:ascii="Times New Roman" w:hAnsi="Times New Roman" w:cs="Times New Roman"/>
        </w:rPr>
      </w:pPr>
    </w:p>
    <w:p w14:paraId="576B186B" w14:textId="77777777" w:rsidR="00FE6587" w:rsidRDefault="00FE6587" w:rsidP="00FE6587">
      <w:pPr>
        <w:rPr>
          <w:rFonts w:ascii="Times New Roman" w:hAnsi="Times New Roman" w:cs="Times New Roman"/>
        </w:rPr>
      </w:pPr>
    </w:p>
    <w:p w14:paraId="4294A81F" w14:textId="77777777" w:rsidR="00FE6587" w:rsidRDefault="00FE6587" w:rsidP="00FE6587">
      <w:pPr>
        <w:rPr>
          <w:rFonts w:ascii="Times New Roman" w:hAnsi="Times New Roman" w:cs="Times New Roman"/>
        </w:rPr>
      </w:pPr>
    </w:p>
    <w:p w14:paraId="5C0292A3" w14:textId="77777777" w:rsidR="00FE6587" w:rsidRDefault="00FE6587" w:rsidP="00FE6587">
      <w:pPr>
        <w:rPr>
          <w:rFonts w:ascii="Times New Roman" w:hAnsi="Times New Roman" w:cs="Times New Roman"/>
        </w:rPr>
      </w:pPr>
    </w:p>
    <w:p w14:paraId="69C06E33" w14:textId="77777777" w:rsidR="00FE6587" w:rsidRDefault="00FE6587" w:rsidP="00FE6587">
      <w:pPr>
        <w:rPr>
          <w:rFonts w:ascii="Times New Roman" w:hAnsi="Times New Roman" w:cs="Times New Roman"/>
        </w:rPr>
      </w:pPr>
    </w:p>
    <w:p w14:paraId="16508574" w14:textId="77777777" w:rsidR="00FE6587" w:rsidRDefault="00FE6587" w:rsidP="00FE6587">
      <w:pPr>
        <w:rPr>
          <w:rFonts w:ascii="Times New Roman" w:hAnsi="Times New Roman" w:cs="Times New Roman"/>
        </w:rPr>
      </w:pPr>
    </w:p>
    <w:p w14:paraId="2A1C6E56" w14:textId="77777777" w:rsidR="00FE6587" w:rsidRDefault="00FE6587" w:rsidP="00FE6587">
      <w:pPr>
        <w:rPr>
          <w:rFonts w:ascii="Times New Roman" w:hAnsi="Times New Roman" w:cs="Times New Roman"/>
        </w:rPr>
      </w:pPr>
    </w:p>
    <w:p w14:paraId="1FC19FC1" w14:textId="77777777" w:rsidR="00FE6587" w:rsidRDefault="00FE6587" w:rsidP="00FE6587">
      <w:pPr>
        <w:rPr>
          <w:rFonts w:ascii="Times New Roman" w:hAnsi="Times New Roman" w:cs="Times New Roman"/>
          <w:sz w:val="24"/>
          <w:szCs w:val="24"/>
        </w:rPr>
      </w:pPr>
      <w:r>
        <w:rPr>
          <w:rFonts w:ascii="Times New Roman" w:hAnsi="Times New Roman" w:cs="Times New Roman"/>
        </w:rPr>
        <w:tab/>
      </w:r>
      <w:r w:rsidRPr="004B6225">
        <w:rPr>
          <w:rFonts w:ascii="Times New Roman" w:hAnsi="Times New Roman" w:cs="Times New Roman"/>
          <w:sz w:val="24"/>
          <w:szCs w:val="24"/>
        </w:rPr>
        <w:t xml:space="preserve">Southward’s conception of ‘sacrifiction’ –  self-aware and self-correcting metafiction for the metamodern era – never truly saw significant artistic recognition during his time, in part due to the tyrannical reign instituted by the man himself and the subsequent loss of the original </w:t>
      </w:r>
      <w:r w:rsidRPr="004B6225">
        <w:rPr>
          <w:rFonts w:ascii="Times New Roman" w:hAnsi="Times New Roman" w:cs="Times New Roman"/>
          <w:i/>
          <w:sz w:val="24"/>
          <w:szCs w:val="24"/>
        </w:rPr>
        <w:t xml:space="preserve">The Book of Levi </w:t>
      </w:r>
      <w:r w:rsidRPr="004B6225">
        <w:rPr>
          <w:rFonts w:ascii="Times New Roman" w:hAnsi="Times New Roman" w:cs="Times New Roman"/>
          <w:sz w:val="24"/>
          <w:szCs w:val="24"/>
        </w:rPr>
        <w:t xml:space="preserve">manuscript. It does, however, perhaps deserve attention now that we have moved beyond the limitations and terror of such a reign, signposting as it does a hitherto unrecognised side of Southward as literary artist and social critic. To that end, my fellow colleague Arcot Clerval Osbeorn attempted to formulate an argument for </w:t>
      </w:r>
      <w:r w:rsidRPr="004B6225">
        <w:rPr>
          <w:rFonts w:ascii="Times New Roman" w:hAnsi="Times New Roman" w:cs="Times New Roman"/>
          <w:i/>
          <w:sz w:val="24"/>
          <w:szCs w:val="24"/>
        </w:rPr>
        <w:t>The Book of Levi</w:t>
      </w:r>
      <w:r w:rsidRPr="004B6225">
        <w:rPr>
          <w:rFonts w:ascii="Times New Roman" w:hAnsi="Times New Roman" w:cs="Times New Roman"/>
          <w:sz w:val="24"/>
          <w:szCs w:val="24"/>
        </w:rPr>
        <w:t xml:space="preserve"> as a significant literary work whose publication could have instigated a discussion of the merits of the oft maligned metafictional form in the new metamodern period. Unfortunately, Osbeorn never finished his afterword, disappearing before the publication of this manuscript, which I found hidden in the recesses of a disused fireplace in his old family estate. The afterword Osbeorn had scrawled was something of a disaster, truth be told, shambolic and frequently falling into the kinds of prosaic nonsense which one may see scribbled in the footnotes of the essays produced above (as I sign of my esteem and admiration for my colleague, I have included these footnotes, only to preserve the specific eccentricities of the man and that the reader may see him in the same light as I so often did). In deference to the poor critic’s last wishes, I have here </w:t>
      </w:r>
      <w:r>
        <w:rPr>
          <w:rFonts w:ascii="Times New Roman" w:hAnsi="Times New Roman" w:cs="Times New Roman"/>
          <w:sz w:val="24"/>
          <w:szCs w:val="24"/>
        </w:rPr>
        <w:t xml:space="preserve">reconstructed and </w:t>
      </w:r>
      <w:r w:rsidRPr="004B6225">
        <w:rPr>
          <w:rFonts w:ascii="Times New Roman" w:hAnsi="Times New Roman" w:cs="Times New Roman"/>
          <w:sz w:val="24"/>
          <w:szCs w:val="24"/>
        </w:rPr>
        <w:t>reproduced his argument</w:t>
      </w:r>
      <w:r>
        <w:rPr>
          <w:rFonts w:ascii="Times New Roman" w:hAnsi="Times New Roman" w:cs="Times New Roman"/>
          <w:sz w:val="24"/>
          <w:szCs w:val="24"/>
        </w:rPr>
        <w:t xml:space="preserve">, necessarily </w:t>
      </w:r>
      <w:r w:rsidRPr="004B6225">
        <w:rPr>
          <w:rFonts w:ascii="Times New Roman" w:hAnsi="Times New Roman" w:cs="Times New Roman"/>
          <w:sz w:val="24"/>
          <w:szCs w:val="24"/>
        </w:rPr>
        <w:t>augment</w:t>
      </w:r>
      <w:r>
        <w:rPr>
          <w:rFonts w:ascii="Times New Roman" w:hAnsi="Times New Roman" w:cs="Times New Roman"/>
          <w:sz w:val="24"/>
          <w:szCs w:val="24"/>
        </w:rPr>
        <w:t>ing</w:t>
      </w:r>
      <w:r w:rsidRPr="004B6225">
        <w:rPr>
          <w:rFonts w:ascii="Times New Roman" w:hAnsi="Times New Roman" w:cs="Times New Roman"/>
          <w:sz w:val="24"/>
          <w:szCs w:val="24"/>
        </w:rPr>
        <w:t xml:space="preserve"> it somewhat</w:t>
      </w:r>
      <w:r>
        <w:rPr>
          <w:rFonts w:ascii="Times New Roman" w:hAnsi="Times New Roman" w:cs="Times New Roman"/>
          <w:sz w:val="24"/>
          <w:szCs w:val="24"/>
        </w:rPr>
        <w:t xml:space="preserve"> only where needs be</w:t>
      </w:r>
      <w:r w:rsidRPr="004B6225">
        <w:rPr>
          <w:rFonts w:ascii="Times New Roman" w:hAnsi="Times New Roman" w:cs="Times New Roman"/>
          <w:sz w:val="24"/>
          <w:szCs w:val="24"/>
        </w:rPr>
        <w:t>, that the reader may get the general gist of his (believable or not) argument</w:t>
      </w:r>
      <w:r>
        <w:rPr>
          <w:rFonts w:ascii="Times New Roman" w:hAnsi="Times New Roman" w:cs="Times New Roman"/>
          <w:sz w:val="24"/>
          <w:szCs w:val="24"/>
        </w:rPr>
        <w:t>.</w:t>
      </w:r>
    </w:p>
    <w:p w14:paraId="621A5FAA" w14:textId="77777777" w:rsidR="00FE6587" w:rsidRDefault="00FE6587" w:rsidP="00FE6587">
      <w:pPr>
        <w:rPr>
          <w:rFonts w:ascii="Times New Roman" w:hAnsi="Times New Roman" w:cs="Times New Roman"/>
          <w:sz w:val="24"/>
          <w:szCs w:val="24"/>
        </w:rPr>
      </w:pPr>
      <w:r>
        <w:rPr>
          <w:rFonts w:ascii="Times New Roman" w:hAnsi="Times New Roman" w:cs="Times New Roman"/>
          <w:sz w:val="24"/>
          <w:szCs w:val="24"/>
        </w:rPr>
        <w:tab/>
        <w:t xml:space="preserve">To my dear, revered Osbeorn, may this afterword serve as the capstone of your lengthy career and </w:t>
      </w:r>
      <w:proofErr w:type="gramStart"/>
      <w:r>
        <w:rPr>
          <w:rFonts w:ascii="Times New Roman" w:hAnsi="Times New Roman" w:cs="Times New Roman"/>
          <w:sz w:val="24"/>
          <w:szCs w:val="24"/>
        </w:rPr>
        <w:t>reputation.</w:t>
      </w:r>
      <w:proofErr w:type="gramEnd"/>
      <w:r>
        <w:rPr>
          <w:rFonts w:ascii="Times New Roman" w:hAnsi="Times New Roman" w:cs="Times New Roman"/>
          <w:sz w:val="24"/>
          <w:szCs w:val="24"/>
        </w:rPr>
        <w:t xml:space="preserve"> The better man, as you so rightly asserted at the offset, has surely won.</w:t>
      </w:r>
    </w:p>
    <w:p w14:paraId="28D4F193" w14:textId="77777777" w:rsidR="00FE6587" w:rsidRPr="00480ACF" w:rsidRDefault="00FE6587" w:rsidP="00FE6587">
      <w:pPr>
        <w:jc w:val="right"/>
        <w:rPr>
          <w:rFonts w:ascii="Times New Roman" w:hAnsi="Times New Roman" w:cs="Times New Roman"/>
          <w:sz w:val="28"/>
          <w:szCs w:val="24"/>
        </w:rPr>
      </w:pPr>
      <w:r w:rsidRPr="00480ACF">
        <w:rPr>
          <w:rFonts w:ascii="Times New Roman" w:hAnsi="Times New Roman" w:cs="Times New Roman"/>
          <w:sz w:val="28"/>
          <w:szCs w:val="24"/>
        </w:rPr>
        <w:t>W.J.A</w:t>
      </w:r>
    </w:p>
    <w:p w14:paraId="019011A0" w14:textId="77777777" w:rsidR="00FE6587" w:rsidRDefault="00FE6587">
      <w:pPr>
        <w:spacing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p w14:paraId="0C444EB3" w14:textId="0C004628" w:rsidR="00FE6587" w:rsidRPr="00867EF2" w:rsidRDefault="00FE6587" w:rsidP="00FE6587">
      <w:pPr>
        <w:spacing w:line="240" w:lineRule="auto"/>
        <w:jc w:val="center"/>
        <w:rPr>
          <w:rFonts w:ascii="Times New Roman" w:hAnsi="Times New Roman" w:cs="Times New Roman"/>
          <w:sz w:val="24"/>
          <w:szCs w:val="24"/>
        </w:rPr>
      </w:pPr>
      <w:r w:rsidRPr="00C35FAB">
        <w:rPr>
          <w:rFonts w:ascii="Times New Roman" w:eastAsia="Times New Roman" w:hAnsi="Times New Roman" w:cs="Times New Roman"/>
          <w:sz w:val="44"/>
          <w:szCs w:val="40"/>
        </w:rPr>
        <w:t>A</w:t>
      </w:r>
      <w:r w:rsidRPr="004B6225">
        <w:rPr>
          <w:rFonts w:ascii="Times New Roman" w:eastAsia="Times New Roman" w:hAnsi="Times New Roman" w:cs="Times New Roman"/>
          <w:sz w:val="32"/>
          <w:szCs w:val="32"/>
        </w:rPr>
        <w:t>FTERWORD</w:t>
      </w:r>
    </w:p>
    <w:p w14:paraId="338BE8A4" w14:textId="77777777" w:rsidR="00FE6587" w:rsidRDefault="00FE6587" w:rsidP="00FE6587">
      <w:pPr>
        <w:jc w:val="center"/>
        <w:rPr>
          <w:rFonts w:ascii="Times New Roman" w:hAnsi="Times New Roman" w:cs="Times New Roman"/>
          <w:szCs w:val="32"/>
        </w:rPr>
      </w:pPr>
      <w:r w:rsidRPr="00110478">
        <w:rPr>
          <w:rFonts w:ascii="Times New Roman" w:hAnsi="Times New Roman" w:cs="Times New Roman"/>
          <w:sz w:val="28"/>
          <w:szCs w:val="32"/>
        </w:rPr>
        <w:t>D</w:t>
      </w:r>
      <w:r w:rsidRPr="00110478">
        <w:rPr>
          <w:rFonts w:ascii="Times New Roman" w:hAnsi="Times New Roman" w:cs="Times New Roman"/>
          <w:szCs w:val="32"/>
        </w:rPr>
        <w:t>R</w:t>
      </w:r>
      <w:r w:rsidRPr="00110478">
        <w:rPr>
          <w:rFonts w:ascii="Times New Roman" w:hAnsi="Times New Roman" w:cs="Times New Roman"/>
          <w:sz w:val="28"/>
          <w:szCs w:val="32"/>
        </w:rPr>
        <w:t xml:space="preserve"> </w:t>
      </w:r>
      <w:r>
        <w:rPr>
          <w:rFonts w:ascii="Times New Roman" w:hAnsi="Times New Roman" w:cs="Times New Roman"/>
          <w:sz w:val="28"/>
          <w:szCs w:val="32"/>
        </w:rPr>
        <w:t>A</w:t>
      </w:r>
      <w:r>
        <w:rPr>
          <w:rFonts w:ascii="Times New Roman" w:hAnsi="Times New Roman" w:cs="Times New Roman"/>
          <w:szCs w:val="32"/>
        </w:rPr>
        <w:t>RCOT</w:t>
      </w:r>
      <w:r w:rsidRPr="00110478">
        <w:rPr>
          <w:rFonts w:ascii="Times New Roman" w:hAnsi="Times New Roman" w:cs="Times New Roman"/>
          <w:sz w:val="28"/>
          <w:szCs w:val="32"/>
        </w:rPr>
        <w:t xml:space="preserve"> </w:t>
      </w:r>
      <w:r>
        <w:rPr>
          <w:rFonts w:ascii="Times New Roman" w:hAnsi="Times New Roman" w:cs="Times New Roman"/>
          <w:sz w:val="28"/>
          <w:szCs w:val="32"/>
        </w:rPr>
        <w:t>C</w:t>
      </w:r>
      <w:r w:rsidRPr="00110478">
        <w:rPr>
          <w:rFonts w:ascii="Times New Roman" w:hAnsi="Times New Roman" w:cs="Times New Roman"/>
          <w:sz w:val="28"/>
          <w:szCs w:val="32"/>
        </w:rPr>
        <w:t xml:space="preserve">. </w:t>
      </w:r>
      <w:r>
        <w:rPr>
          <w:rFonts w:ascii="Times New Roman" w:hAnsi="Times New Roman" w:cs="Times New Roman"/>
          <w:sz w:val="28"/>
          <w:szCs w:val="32"/>
        </w:rPr>
        <w:t>O</w:t>
      </w:r>
      <w:r>
        <w:rPr>
          <w:rFonts w:ascii="Times New Roman" w:hAnsi="Times New Roman" w:cs="Times New Roman"/>
          <w:szCs w:val="32"/>
        </w:rPr>
        <w:t>SBEORN</w:t>
      </w:r>
    </w:p>
    <w:p w14:paraId="16975A2C" w14:textId="77777777" w:rsidR="00DD5EC4" w:rsidRPr="00DD5EC4" w:rsidRDefault="00DD5EC4" w:rsidP="00DD5EC4">
      <w:pPr>
        <w:spacing w:line="240" w:lineRule="auto"/>
        <w:ind w:firstLine="720"/>
        <w:jc w:val="both"/>
        <w:rPr>
          <w:rFonts w:ascii="Times New Roman" w:hAnsi="Times New Roman" w:cs="Times New Roman"/>
          <w:sz w:val="16"/>
          <w:szCs w:val="16"/>
        </w:rPr>
      </w:pPr>
    </w:p>
    <w:p w14:paraId="74FA504D" w14:textId="77777777" w:rsidR="00DD5EC4" w:rsidRDefault="00DD5EC4" w:rsidP="00DD5EC4">
      <w:pPr>
        <w:spacing w:line="480" w:lineRule="auto"/>
        <w:ind w:firstLine="720"/>
        <w:jc w:val="both"/>
        <w:rPr>
          <w:rFonts w:ascii="Times New Roman" w:hAnsi="Times New Roman" w:cs="Times New Roman"/>
          <w:sz w:val="24"/>
          <w:szCs w:val="24"/>
        </w:rPr>
      </w:pPr>
    </w:p>
    <w:p w14:paraId="7DBBB5A9" w14:textId="77777777" w:rsidR="00DD5EC4" w:rsidRDefault="00DD5EC4" w:rsidP="00DD5EC4">
      <w:pPr>
        <w:spacing w:line="480" w:lineRule="auto"/>
        <w:ind w:firstLine="720"/>
        <w:jc w:val="both"/>
        <w:rPr>
          <w:rFonts w:ascii="Times New Roman" w:hAnsi="Times New Roman" w:cs="Times New Roman"/>
          <w:sz w:val="24"/>
          <w:szCs w:val="24"/>
        </w:rPr>
      </w:pPr>
    </w:p>
    <w:p w14:paraId="1B22790E" w14:textId="59BCA06E" w:rsidR="00DD5EC4" w:rsidRDefault="00DD5EC4" w:rsidP="00DD5EC4">
      <w:pPr>
        <w:spacing w:line="480" w:lineRule="auto"/>
        <w:ind w:firstLine="720"/>
        <w:jc w:val="both"/>
        <w:rPr>
          <w:rFonts w:ascii="Times New Roman" w:hAnsi="Times New Roman" w:cs="Times New Roman"/>
          <w:sz w:val="24"/>
          <w:szCs w:val="24"/>
        </w:rPr>
      </w:pPr>
    </w:p>
    <w:p w14:paraId="34638204" w14:textId="1909A9FC" w:rsidR="00DD5EC4" w:rsidRDefault="00DD5EC4" w:rsidP="00DD5EC4">
      <w:pPr>
        <w:spacing w:line="480" w:lineRule="auto"/>
        <w:ind w:firstLine="720"/>
        <w:jc w:val="both"/>
        <w:rPr>
          <w:rFonts w:ascii="Times New Roman" w:hAnsi="Times New Roman" w:cs="Times New Roman"/>
          <w:sz w:val="24"/>
          <w:szCs w:val="24"/>
        </w:rPr>
      </w:pPr>
    </w:p>
    <w:p w14:paraId="22CAE16B" w14:textId="77777777" w:rsidR="00DD5EC4" w:rsidRDefault="00DD5EC4" w:rsidP="00DD5EC4">
      <w:pPr>
        <w:spacing w:line="480" w:lineRule="auto"/>
        <w:ind w:firstLine="720"/>
        <w:jc w:val="both"/>
        <w:rPr>
          <w:rFonts w:ascii="Times New Roman" w:hAnsi="Times New Roman" w:cs="Times New Roman"/>
          <w:sz w:val="24"/>
          <w:szCs w:val="24"/>
        </w:rPr>
      </w:pPr>
    </w:p>
    <w:p w14:paraId="018B3CAA" w14:textId="77777777" w:rsidR="00DD5EC4" w:rsidRDefault="00DD5EC4" w:rsidP="00DD5EC4">
      <w:pPr>
        <w:spacing w:line="480" w:lineRule="auto"/>
        <w:ind w:firstLine="720"/>
        <w:jc w:val="both"/>
        <w:rPr>
          <w:rFonts w:ascii="Times New Roman" w:hAnsi="Times New Roman" w:cs="Times New Roman"/>
          <w:sz w:val="24"/>
          <w:szCs w:val="24"/>
        </w:rPr>
      </w:pPr>
    </w:p>
    <w:p w14:paraId="623DED72" w14:textId="6EE95895" w:rsidR="00FE6587" w:rsidRDefault="00FE6587" w:rsidP="00DD5EC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Sacrifiction, so the bygone tyrant named his fictional form. Metafiction which takes itself as source of parody and generic play, pastich</w:t>
      </w:r>
      <w:r w:rsidR="0019734A">
        <w:rPr>
          <w:rFonts w:ascii="Times New Roman" w:hAnsi="Times New Roman" w:cs="Times New Roman"/>
          <w:sz w:val="24"/>
          <w:szCs w:val="24"/>
        </w:rPr>
        <w:t>ing</w:t>
      </w:r>
      <w:r>
        <w:rPr>
          <w:rFonts w:ascii="Times New Roman" w:hAnsi="Times New Roman" w:cs="Times New Roman"/>
          <w:sz w:val="24"/>
          <w:szCs w:val="24"/>
        </w:rPr>
        <w:t xml:space="preserve"> and subverting the conventions of the self in order that atrophied limbs, putrid flesh, may be severed from the body – the corruption removed that the organism as a whole may thrive and survive. Sacrifiction was never formally recognised in Southward’s time, much to the chagrin of such critics as myself, yet it still seems that the great tyrant himself produced a literary example of the practice; as Poe’s </w:t>
      </w:r>
      <w:r>
        <w:rPr>
          <w:rFonts w:ascii="Times New Roman" w:hAnsi="Times New Roman" w:cs="Times New Roman"/>
          <w:i/>
          <w:sz w:val="24"/>
          <w:szCs w:val="24"/>
        </w:rPr>
        <w:t>The Raven</w:t>
      </w:r>
      <w:r>
        <w:rPr>
          <w:rFonts w:ascii="Times New Roman" w:hAnsi="Times New Roman" w:cs="Times New Roman"/>
          <w:sz w:val="24"/>
          <w:szCs w:val="24"/>
        </w:rPr>
        <w:t xml:space="preserve"> is to </w:t>
      </w:r>
      <w:r>
        <w:rPr>
          <w:rFonts w:ascii="Times New Roman" w:hAnsi="Times New Roman" w:cs="Times New Roman"/>
          <w:i/>
          <w:sz w:val="24"/>
          <w:szCs w:val="24"/>
        </w:rPr>
        <w:t xml:space="preserve">The Philosophy of Composition, </w:t>
      </w:r>
      <w:r>
        <w:rPr>
          <w:rFonts w:ascii="Times New Roman" w:hAnsi="Times New Roman" w:cs="Times New Roman"/>
          <w:sz w:val="24"/>
          <w:szCs w:val="24"/>
        </w:rPr>
        <w:t xml:space="preserve">so too is Southward’s </w:t>
      </w:r>
      <w:r>
        <w:rPr>
          <w:rFonts w:ascii="Times New Roman" w:hAnsi="Times New Roman" w:cs="Times New Roman"/>
          <w:i/>
          <w:sz w:val="24"/>
          <w:szCs w:val="24"/>
        </w:rPr>
        <w:t>The Book of Levi</w:t>
      </w:r>
      <w:r>
        <w:rPr>
          <w:rFonts w:ascii="Times New Roman" w:hAnsi="Times New Roman" w:cs="Times New Roman"/>
          <w:sz w:val="24"/>
          <w:szCs w:val="24"/>
        </w:rPr>
        <w:t xml:space="preserve"> to </w:t>
      </w:r>
      <w:r>
        <w:rPr>
          <w:rFonts w:ascii="Times New Roman" w:hAnsi="Times New Roman" w:cs="Times New Roman"/>
          <w:i/>
          <w:sz w:val="24"/>
          <w:szCs w:val="24"/>
        </w:rPr>
        <w:t xml:space="preserve">The Dark History of the Novel. </w:t>
      </w:r>
      <w:r>
        <w:rPr>
          <w:rFonts w:ascii="Times New Roman" w:hAnsi="Times New Roman" w:cs="Times New Roman"/>
          <w:sz w:val="24"/>
          <w:szCs w:val="24"/>
        </w:rPr>
        <w:t xml:space="preserve">The intellectual critic, of broad and sound mind, should realise the inherent value in this early Southwardian novel, though I wish to take some time following my initial reading of both </w:t>
      </w:r>
      <w:r>
        <w:rPr>
          <w:rFonts w:ascii="Times New Roman" w:hAnsi="Times New Roman" w:cs="Times New Roman"/>
          <w:i/>
          <w:sz w:val="24"/>
          <w:szCs w:val="24"/>
        </w:rPr>
        <w:t>The Book of Levi</w:t>
      </w:r>
      <w:r>
        <w:rPr>
          <w:rFonts w:ascii="Times New Roman" w:hAnsi="Times New Roman" w:cs="Times New Roman"/>
          <w:sz w:val="24"/>
          <w:szCs w:val="24"/>
        </w:rPr>
        <w:t xml:space="preserve"> and the accompanying essays, to broadly explore the ways in which Southward attempts to flesh out his formulated ‘sacrifiction,’ alongside his thoughts on the state of the post-postmodern period. </w:t>
      </w:r>
    </w:p>
    <w:p w14:paraId="7CCB12F7" w14:textId="266C6560" w:rsidR="00FE6587" w:rsidRDefault="00FE6587" w:rsidP="00FE6587">
      <w:pPr>
        <w:spacing w:line="480" w:lineRule="auto"/>
        <w:jc w:val="both"/>
        <w:rPr>
          <w:rFonts w:ascii="Times New Roman" w:hAnsi="Times New Roman" w:cs="Times New Roman"/>
          <w:sz w:val="24"/>
          <w:szCs w:val="24"/>
        </w:rPr>
      </w:pPr>
      <w:r>
        <w:rPr>
          <w:rFonts w:ascii="Times New Roman" w:hAnsi="Times New Roman" w:cs="Times New Roman"/>
          <w:sz w:val="24"/>
          <w:szCs w:val="24"/>
        </w:rPr>
        <w:tab/>
        <w:t>Southward’s text is rife with postmodern elements, yet often explored in a manner inconsistent with the apparent intent of original postmodern paradigms. Of course, the most prominent, and obvious, technique is that of postmodern fragmentation, evidenced particularly in the Daniel narrative’s broken, uneven and typographically unique pages. Within the Levi narrative, such fragmentation finds expression in the generic shifts between prose and script form, alongside the more fragmentary end sections wherein Levi finds himself seeming</w:t>
      </w:r>
      <w:r w:rsidR="0019734A">
        <w:rPr>
          <w:rFonts w:ascii="Times New Roman" w:hAnsi="Times New Roman" w:cs="Times New Roman"/>
          <w:sz w:val="24"/>
          <w:szCs w:val="24"/>
        </w:rPr>
        <w:t>ly</w:t>
      </w:r>
      <w:r>
        <w:rPr>
          <w:rFonts w:ascii="Times New Roman" w:hAnsi="Times New Roman" w:cs="Times New Roman"/>
          <w:sz w:val="24"/>
          <w:szCs w:val="24"/>
        </w:rPr>
        <w:t xml:space="preserve"> transported from location to location. So-far-so-postmodern, true, but their effects differ from the standard practices of the postmodern in terms of desired effect. </w:t>
      </w:r>
      <w:r>
        <w:rPr>
          <w:rFonts w:ascii="Times New Roman" w:hAnsi="Times New Roman" w:cs="Times New Roman"/>
          <w:sz w:val="24"/>
          <w:szCs w:val="24"/>
        </w:rPr>
        <w:tab/>
      </w:r>
      <w:r w:rsidR="0019734A">
        <w:rPr>
          <w:rFonts w:ascii="Times New Roman" w:hAnsi="Times New Roman" w:cs="Times New Roman"/>
          <w:sz w:val="24"/>
          <w:szCs w:val="24"/>
        </w:rPr>
        <w:t>We shall l</w:t>
      </w:r>
      <w:r>
        <w:rPr>
          <w:rFonts w:ascii="Times New Roman" w:hAnsi="Times New Roman" w:cs="Times New Roman"/>
          <w:sz w:val="24"/>
          <w:szCs w:val="24"/>
        </w:rPr>
        <w:t>ooki first</w:t>
      </w:r>
      <w:r w:rsidR="0019734A">
        <w:rPr>
          <w:rFonts w:ascii="Times New Roman" w:hAnsi="Times New Roman" w:cs="Times New Roman"/>
          <w:sz w:val="24"/>
          <w:szCs w:val="24"/>
        </w:rPr>
        <w:t>, then,</w:t>
      </w:r>
      <w:r>
        <w:rPr>
          <w:rFonts w:ascii="Times New Roman" w:hAnsi="Times New Roman" w:cs="Times New Roman"/>
          <w:sz w:val="24"/>
          <w:szCs w:val="24"/>
        </w:rPr>
        <w:t xml:space="preserve"> at the Daniel narrative, in which a fictional version of a young Southward slowly comes to terms with his own status as fictional construct written exclusively for the purpose of authorial catharsis. Southward famously retold th</w:t>
      </w:r>
      <w:r w:rsidR="00A07BA1">
        <w:rPr>
          <w:rFonts w:ascii="Times New Roman" w:hAnsi="Times New Roman" w:cs="Times New Roman"/>
          <w:sz w:val="24"/>
          <w:szCs w:val="24"/>
        </w:rPr>
        <w:t>e factual events which inspired this</w:t>
      </w:r>
      <w:r>
        <w:rPr>
          <w:rFonts w:ascii="Times New Roman" w:hAnsi="Times New Roman" w:cs="Times New Roman"/>
          <w:sz w:val="24"/>
          <w:szCs w:val="24"/>
        </w:rPr>
        <w:t xml:space="preserve"> story at his inauguration, in which a pair of drunken youths failed to stop their car when approaching a T-junction and collided with another car coming the other way, a car containing the majority of Southward’s nuclear family. Here, this story is transposed onto another fictional narrative, though a self-aware one which actively resists </w:t>
      </w:r>
      <w:proofErr w:type="gramStart"/>
      <w:r>
        <w:rPr>
          <w:rFonts w:ascii="Times New Roman" w:hAnsi="Times New Roman" w:cs="Times New Roman"/>
          <w:sz w:val="24"/>
          <w:szCs w:val="24"/>
        </w:rPr>
        <w:t>Southward’s</w:t>
      </w:r>
      <w:proofErr w:type="gramEnd"/>
      <w:r>
        <w:rPr>
          <w:rFonts w:ascii="Times New Roman" w:hAnsi="Times New Roman" w:cs="Times New Roman"/>
          <w:sz w:val="24"/>
          <w:szCs w:val="24"/>
        </w:rPr>
        <w:t xml:space="preserve"> historiographic attempts; Daniel struggles throughout his narrative with the attempts of the apparent author to transpose a separate, terrible reality upon him. Daniel, it is clear, is to become a fictional prison for this version of events – the ‘D’ locked into the infinite mirrors of Daniel, the worst possible reality in which the outcome of this true crash was the </w:t>
      </w:r>
      <w:r w:rsidR="00DD5EC4">
        <w:rPr>
          <w:rFonts w:ascii="Times New Roman" w:hAnsi="Times New Roman" w:cs="Times New Roman"/>
          <w:sz w:val="24"/>
          <w:szCs w:val="24"/>
        </w:rPr>
        <w:t>direst</w:t>
      </w:r>
      <w:r>
        <w:rPr>
          <w:rFonts w:ascii="Times New Roman" w:hAnsi="Times New Roman" w:cs="Times New Roman"/>
          <w:sz w:val="24"/>
          <w:szCs w:val="24"/>
        </w:rPr>
        <w:t>. This narrative, with its constant lapses into different genres, palimpsestual nature</w:t>
      </w:r>
      <w:r w:rsidR="00A07BA1">
        <w:rPr>
          <w:rFonts w:ascii="Times New Roman" w:hAnsi="Times New Roman" w:cs="Times New Roman"/>
          <w:sz w:val="24"/>
          <w:szCs w:val="24"/>
        </w:rPr>
        <w:t>,</w:t>
      </w:r>
      <w:r>
        <w:rPr>
          <w:rFonts w:ascii="Times New Roman" w:hAnsi="Times New Roman" w:cs="Times New Roman"/>
          <w:sz w:val="24"/>
          <w:szCs w:val="24"/>
        </w:rPr>
        <w:t xml:space="preserve"> and typographical experimentation, </w:t>
      </w:r>
      <w:r w:rsidR="0019734A">
        <w:rPr>
          <w:rFonts w:ascii="Times New Roman" w:hAnsi="Times New Roman" w:cs="Times New Roman"/>
          <w:sz w:val="24"/>
          <w:szCs w:val="24"/>
        </w:rPr>
        <w:t xml:space="preserve">appears </w:t>
      </w:r>
      <w:r>
        <w:rPr>
          <w:rFonts w:ascii="Times New Roman" w:hAnsi="Times New Roman" w:cs="Times New Roman"/>
          <w:sz w:val="24"/>
          <w:szCs w:val="24"/>
        </w:rPr>
        <w:t xml:space="preserve">as </w:t>
      </w:r>
      <w:r w:rsidR="0019734A">
        <w:rPr>
          <w:rFonts w:ascii="Times New Roman" w:hAnsi="Times New Roman" w:cs="Times New Roman"/>
          <w:sz w:val="24"/>
          <w:szCs w:val="24"/>
        </w:rPr>
        <w:t xml:space="preserve">a </w:t>
      </w:r>
      <w:r>
        <w:rPr>
          <w:rFonts w:ascii="Times New Roman" w:hAnsi="Times New Roman" w:cs="Times New Roman"/>
          <w:sz w:val="24"/>
          <w:szCs w:val="24"/>
        </w:rPr>
        <w:t>distinctly postmodern narrative – foregrounding the surface of the fiction, the nature of the fictional as constructed and depthless. Yet, there is something seemingly sincere in Southward’s intent here. Affecting a particularly post-postmodern stance, the text utilises these postmodern techniques to first foreground a kind of postmodern depthless narcissism, before shattering this in the final moments of the text and Daniel’s acceptance of his fictional fate as sacrificial Southward in a moment seemingly ripped from the final pages of a Vonnegut novel.  Such a move, too, speaks of Southward’s perceived notion of a dystopian resignation, in which the individual realises the seemingly inevitable trend of their world towards a negative-envisioned future. Daniel becomes aware that his end is upon him, that there is no happy ending for him, yet finds purpose and meaning in his unavoidable fate.</w:t>
      </w:r>
    </w:p>
    <w:p w14:paraId="15A384CB" w14:textId="2779D5E3" w:rsidR="00FE6587" w:rsidRDefault="00FE6587" w:rsidP="00FE658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Within the Levi narrative we too find this form of dystopian resignation, though again it emerges as more of a resignation of fate. Levi, ultimately, recognises that he is doomed to repeat his mistakes with each reading of the text, never to progress or change the awful fate of his family. Levi’s narrative sees many </w:t>
      </w:r>
      <w:r w:rsidR="00A744AF">
        <w:rPr>
          <w:rFonts w:ascii="Times New Roman" w:hAnsi="Times New Roman" w:cs="Times New Roman"/>
          <w:sz w:val="24"/>
          <w:szCs w:val="24"/>
        </w:rPr>
        <w:t xml:space="preserve">such </w:t>
      </w:r>
      <w:r>
        <w:rPr>
          <w:rFonts w:ascii="Times New Roman" w:hAnsi="Times New Roman" w:cs="Times New Roman"/>
          <w:sz w:val="24"/>
          <w:szCs w:val="24"/>
        </w:rPr>
        <w:t>postmodern technique</w:t>
      </w:r>
      <w:r w:rsidR="00A744AF">
        <w:rPr>
          <w:rFonts w:ascii="Times New Roman" w:hAnsi="Times New Roman" w:cs="Times New Roman"/>
          <w:sz w:val="24"/>
          <w:szCs w:val="24"/>
        </w:rPr>
        <w:t>s</w:t>
      </w:r>
      <w:r>
        <w:rPr>
          <w:rFonts w:ascii="Times New Roman" w:hAnsi="Times New Roman" w:cs="Times New Roman"/>
          <w:sz w:val="24"/>
          <w:szCs w:val="24"/>
        </w:rPr>
        <w:t xml:space="preserve"> paraded to the potential reader as standard practice before an eventual subversion into a more post-postmodern register. Rather than a</w:t>
      </w:r>
      <w:r w:rsidR="00A744AF">
        <w:rPr>
          <w:rFonts w:ascii="Times New Roman" w:hAnsi="Times New Roman" w:cs="Times New Roman"/>
          <w:sz w:val="24"/>
          <w:szCs w:val="24"/>
        </w:rPr>
        <w:t>ny one</w:t>
      </w:r>
      <w:r>
        <w:rPr>
          <w:rFonts w:ascii="Times New Roman" w:hAnsi="Times New Roman" w:cs="Times New Roman"/>
          <w:sz w:val="24"/>
          <w:szCs w:val="24"/>
        </w:rPr>
        <w:t xml:space="preserve"> specific technique, the entire of the Levi narrative, the over-arching purpose behind the fiction, is that of a post-postmodern push; in a move similar to how Southward describes </w:t>
      </w:r>
      <w:r>
        <w:rPr>
          <w:rFonts w:ascii="Times New Roman" w:hAnsi="Times New Roman" w:cs="Times New Roman"/>
          <w:i/>
          <w:sz w:val="24"/>
          <w:szCs w:val="24"/>
        </w:rPr>
        <w:t>Lunar Park</w:t>
      </w:r>
      <w:r>
        <w:rPr>
          <w:rFonts w:ascii="Times New Roman" w:hAnsi="Times New Roman" w:cs="Times New Roman"/>
          <w:sz w:val="24"/>
          <w:szCs w:val="24"/>
        </w:rPr>
        <w:t xml:space="preserve">, Levi’s narrative is one of postmodern exhaustion, in which the techniques, tropes, and ideological experiments of the postmodern are shown to be outdated, or unable to entirely (or indeed even partially) resolve the issues of the individual. Levi is an archetypical postmodern hero </w:t>
      </w:r>
      <w:r w:rsidR="00FC4805">
        <w:rPr>
          <w:rFonts w:ascii="Times New Roman" w:hAnsi="Times New Roman" w:cs="Times New Roman"/>
          <w:sz w:val="24"/>
          <w:szCs w:val="24"/>
        </w:rPr>
        <w:t>–</w:t>
      </w:r>
      <w:r>
        <w:rPr>
          <w:rFonts w:ascii="Times New Roman" w:hAnsi="Times New Roman" w:cs="Times New Roman"/>
          <w:sz w:val="24"/>
          <w:szCs w:val="24"/>
        </w:rPr>
        <w:t xml:space="preserve"> in some manner self-aware, fiction orientated, self-obsessed, perhaps mad, irreverent </w:t>
      </w:r>
      <w:r w:rsidR="00A744AF">
        <w:rPr>
          <w:rFonts w:ascii="Times New Roman" w:hAnsi="Times New Roman" w:cs="Times New Roman"/>
          <w:sz w:val="24"/>
          <w:szCs w:val="24"/>
        </w:rPr>
        <w:t>in</w:t>
      </w:r>
      <w:r>
        <w:rPr>
          <w:rFonts w:ascii="Times New Roman" w:hAnsi="Times New Roman" w:cs="Times New Roman"/>
          <w:sz w:val="24"/>
          <w:szCs w:val="24"/>
        </w:rPr>
        <w:t xml:space="preserve"> his actions at points and able to manipulate his own narrative, or at least attempt to do so. Yet, ultimately, it is his postmodern choices and experiences which are revealed as the key to his downfall, with the final </w:t>
      </w:r>
      <w:r w:rsidR="00A744AF">
        <w:rPr>
          <w:rFonts w:ascii="Times New Roman" w:hAnsi="Times New Roman" w:cs="Times New Roman"/>
          <w:sz w:val="24"/>
          <w:szCs w:val="24"/>
        </w:rPr>
        <w:t>disclosures</w:t>
      </w:r>
      <w:r>
        <w:rPr>
          <w:rFonts w:ascii="Times New Roman" w:hAnsi="Times New Roman" w:cs="Times New Roman"/>
          <w:sz w:val="24"/>
          <w:szCs w:val="24"/>
        </w:rPr>
        <w:t xml:space="preserve"> of the text revealing that his life is a fictional lesson, an attempt by the author to demonstrate the need to move beyond the postmodern.</w:t>
      </w:r>
    </w:p>
    <w:p w14:paraId="3D2A2B59" w14:textId="77777777" w:rsidR="00FE6587" w:rsidRDefault="00FE6587" w:rsidP="00FE658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the post-postmodern drive in </w:t>
      </w:r>
      <w:r>
        <w:rPr>
          <w:rFonts w:ascii="Times New Roman" w:hAnsi="Times New Roman" w:cs="Times New Roman"/>
          <w:i/>
          <w:sz w:val="24"/>
          <w:szCs w:val="24"/>
        </w:rPr>
        <w:t>The Book of Levi</w:t>
      </w:r>
      <w:r>
        <w:rPr>
          <w:rFonts w:ascii="Times New Roman" w:hAnsi="Times New Roman" w:cs="Times New Roman"/>
          <w:sz w:val="24"/>
          <w:szCs w:val="24"/>
        </w:rPr>
        <w:t xml:space="preserve"> not only defames and transcends the postmodern practice, in Levi and Daniel’s narratives respectively, but also evidences a more metamodern sensibility. Primarily, one sees the metamodern influence in the oscillatory nature of both narratives. </w:t>
      </w:r>
      <w:proofErr w:type="gramStart"/>
      <w:r>
        <w:rPr>
          <w:rFonts w:ascii="Times New Roman" w:hAnsi="Times New Roman" w:cs="Times New Roman"/>
          <w:sz w:val="24"/>
          <w:szCs w:val="24"/>
        </w:rPr>
        <w:t>Daniel’s swings between postmodern genre parody and modernist subversion of traditions, while Levi’s oscillates between typical postmodern conventions and modernist sincerity of intent.</w:t>
      </w:r>
      <w:proofErr w:type="gramEnd"/>
      <w:r>
        <w:rPr>
          <w:rFonts w:ascii="Times New Roman" w:hAnsi="Times New Roman" w:cs="Times New Roman"/>
          <w:sz w:val="24"/>
          <w:szCs w:val="24"/>
        </w:rPr>
        <w:t xml:space="preserve"> In truth, it seems this latter point, the sincerity of intent, which demarks </w:t>
      </w:r>
      <w:r>
        <w:rPr>
          <w:rFonts w:ascii="Times New Roman" w:hAnsi="Times New Roman" w:cs="Times New Roman"/>
          <w:i/>
          <w:sz w:val="24"/>
          <w:szCs w:val="24"/>
        </w:rPr>
        <w:t xml:space="preserve">TBoL </w:t>
      </w:r>
      <w:r>
        <w:rPr>
          <w:rFonts w:ascii="Times New Roman" w:hAnsi="Times New Roman" w:cs="Times New Roman"/>
          <w:sz w:val="24"/>
          <w:szCs w:val="24"/>
        </w:rPr>
        <w:t>as a specifically metamodern text. Both narratives are designed with a sincere post-postmodern push, an authorial clarity of intention that transcends the desire for surface while acknowledging it, an oscillation that suggests a depthiness of the novel as a whole; purely surface, fictional, as the characters are, there is a seeming purpose behind the action which begs an emotional response from the reader. In the Daniel narrative it is his self-sacrifice which seems metamodern in its sincerity, knowing that the sacrifice is meaningless and fictional, but believing in it nonetheless and forging ahead. The Levi narrative, meanwhile, seems at first to deny the metamodern sincerity – a flippant, if melodramatic, postmodern narrative in which Levi must discover his author or destroy his character, yet we soon move beyond this, with Levi’s narrative turning into a dark look at the problems of the postmodern, showcasing a sincere desire to transcend that evidently malign societal structure of feeling.</w:t>
      </w:r>
    </w:p>
    <w:p w14:paraId="15CDD9BD" w14:textId="4C21C353" w:rsidR="00FE6587" w:rsidRDefault="00FE6587" w:rsidP="00FE65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Of course there is something of the metamodern New Sisyp</w:t>
      </w:r>
      <w:r w:rsidR="00FC4805">
        <w:rPr>
          <w:rFonts w:ascii="Times New Roman" w:hAnsi="Times New Roman" w:cs="Times New Roman"/>
          <w:sz w:val="24"/>
          <w:szCs w:val="24"/>
        </w:rPr>
        <w:t>h</w:t>
      </w:r>
      <w:r>
        <w:rPr>
          <w:rFonts w:ascii="Times New Roman" w:hAnsi="Times New Roman" w:cs="Times New Roman"/>
          <w:sz w:val="24"/>
          <w:szCs w:val="24"/>
        </w:rPr>
        <w:t>ism, as proposed by Southward, about these narratives: two characters, each doomed to repeat their lives endlessly in an infinite (jest) loop, rolling their respective rocks of their hills only to s</w:t>
      </w:r>
      <w:r w:rsidR="00FC4805">
        <w:rPr>
          <w:rFonts w:ascii="Times New Roman" w:hAnsi="Times New Roman" w:cs="Times New Roman"/>
          <w:sz w:val="24"/>
          <w:szCs w:val="24"/>
        </w:rPr>
        <w:t>e</w:t>
      </w:r>
      <w:r>
        <w:rPr>
          <w:rFonts w:ascii="Times New Roman" w:hAnsi="Times New Roman" w:cs="Times New Roman"/>
          <w:sz w:val="24"/>
          <w:szCs w:val="24"/>
        </w:rPr>
        <w:t xml:space="preserve">e them roll once more to the bottom. Both Levi and Daniel, ultimately, accept the absurdity of their roles as fictional straw men, in line with Southward’s Sisyphean model, attempting to find meaning from within the mundane. Notably only Daniel, the character who </w:t>
      </w:r>
      <w:r>
        <w:rPr>
          <w:rFonts w:ascii="Times New Roman" w:hAnsi="Times New Roman" w:cs="Times New Roman"/>
          <w:i/>
          <w:sz w:val="24"/>
          <w:szCs w:val="24"/>
        </w:rPr>
        <w:t xml:space="preserve">transcends </w:t>
      </w:r>
      <w:r>
        <w:rPr>
          <w:rFonts w:ascii="Times New Roman" w:hAnsi="Times New Roman" w:cs="Times New Roman"/>
          <w:sz w:val="24"/>
          <w:szCs w:val="24"/>
        </w:rPr>
        <w:t xml:space="preserve">the postmodern rather than </w:t>
      </w:r>
      <w:r>
        <w:rPr>
          <w:rFonts w:ascii="Times New Roman" w:hAnsi="Times New Roman" w:cs="Times New Roman"/>
          <w:i/>
          <w:sz w:val="24"/>
          <w:szCs w:val="24"/>
        </w:rPr>
        <w:t>epitomises</w:t>
      </w:r>
      <w:r>
        <w:rPr>
          <w:rFonts w:ascii="Times New Roman" w:hAnsi="Times New Roman" w:cs="Times New Roman"/>
          <w:sz w:val="24"/>
          <w:szCs w:val="24"/>
        </w:rPr>
        <w:t xml:space="preserve"> it, is able to fully grasp the absurdity of his existence in time to gain some form of depth of connection over inherent meaning. Indeed</w:t>
      </w:r>
      <w:r w:rsidR="00A744AF">
        <w:rPr>
          <w:rFonts w:ascii="Times New Roman" w:hAnsi="Times New Roman" w:cs="Times New Roman"/>
          <w:sz w:val="24"/>
          <w:szCs w:val="24"/>
        </w:rPr>
        <w:t>,</w:t>
      </w:r>
      <w:r>
        <w:rPr>
          <w:rFonts w:ascii="Times New Roman" w:hAnsi="Times New Roman" w:cs="Times New Roman"/>
          <w:sz w:val="24"/>
          <w:szCs w:val="24"/>
        </w:rPr>
        <w:t xml:space="preserve"> Daniel seems to readily accept the meaninglessness of his existence </w:t>
      </w:r>
      <w:r w:rsidR="00A744AF">
        <w:rPr>
          <w:rFonts w:ascii="Times New Roman" w:hAnsi="Times New Roman" w:cs="Times New Roman"/>
          <w:sz w:val="24"/>
          <w:szCs w:val="24"/>
        </w:rPr>
        <w:t xml:space="preserve">as a whole, </w:t>
      </w:r>
      <w:r>
        <w:rPr>
          <w:rFonts w:ascii="Times New Roman" w:hAnsi="Times New Roman" w:cs="Times New Roman"/>
          <w:sz w:val="24"/>
          <w:szCs w:val="24"/>
        </w:rPr>
        <w:t xml:space="preserve">if </w:t>
      </w:r>
      <w:r w:rsidR="00A744AF">
        <w:rPr>
          <w:rFonts w:ascii="Times New Roman" w:hAnsi="Times New Roman" w:cs="Times New Roman"/>
          <w:sz w:val="24"/>
          <w:szCs w:val="24"/>
        </w:rPr>
        <w:t>doing so should</w:t>
      </w:r>
      <w:r>
        <w:rPr>
          <w:rFonts w:ascii="Times New Roman" w:hAnsi="Times New Roman" w:cs="Times New Roman"/>
          <w:sz w:val="24"/>
          <w:szCs w:val="24"/>
        </w:rPr>
        <w:t xml:space="preserve"> form a deeper personal connection with the multitude of selves that emerge in both the generic narratives and within the repeated infinite mirror image. Levi, meanwhile, is mired in the narcissism of the search for self-meaning, unable to attain Camus’ moment of reflection between the heights and depths of the Absurd negation of the everyday. Levi still searches for an individual purpose as tied to a grander scheme, the, albeit correct, belief in a pseudo-God like figure able to control his actions and environments. His quest to understand this figure, </w:t>
      </w:r>
      <w:r w:rsidR="00A744AF">
        <w:rPr>
          <w:rFonts w:ascii="Times New Roman" w:hAnsi="Times New Roman" w:cs="Times New Roman"/>
          <w:sz w:val="24"/>
          <w:szCs w:val="24"/>
        </w:rPr>
        <w:t>whom he</w:t>
      </w:r>
      <w:r>
        <w:rPr>
          <w:rFonts w:ascii="Times New Roman" w:hAnsi="Times New Roman" w:cs="Times New Roman"/>
          <w:sz w:val="24"/>
          <w:szCs w:val="24"/>
        </w:rPr>
        <w:t xml:space="preserve"> believes to be the architect of his own destruction, denies him the same Sisyphean transcendence achieved by the protagonist of the Daniel narrative. </w:t>
      </w:r>
    </w:p>
    <w:p w14:paraId="1526EA6D" w14:textId="77777777" w:rsidR="00FE6587" w:rsidRDefault="00FE6587" w:rsidP="00FE6587">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Finally, Sacrifiction.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Destined to go forgotten in the annals of literary historical research, yet an interesting concept nonetheless.</w:t>
      </w:r>
      <w:proofErr w:type="gramEnd"/>
      <w:r>
        <w:rPr>
          <w:rFonts w:ascii="Times New Roman" w:hAnsi="Times New Roman" w:cs="Times New Roman"/>
          <w:sz w:val="24"/>
          <w:szCs w:val="24"/>
        </w:rPr>
        <w:t xml:space="preserve"> Metafiction, Southward posits, had by the beginning of the 21</w:t>
      </w:r>
      <w:r w:rsidRPr="00BA4C5E">
        <w:rPr>
          <w:rFonts w:ascii="Times New Roman" w:hAnsi="Times New Roman" w:cs="Times New Roman"/>
          <w:sz w:val="24"/>
          <w:szCs w:val="24"/>
          <w:vertAlign w:val="superscript"/>
        </w:rPr>
        <w:t>st</w:t>
      </w:r>
      <w:r>
        <w:rPr>
          <w:rFonts w:ascii="Times New Roman" w:hAnsi="Times New Roman" w:cs="Times New Roman"/>
          <w:sz w:val="24"/>
          <w:szCs w:val="24"/>
        </w:rPr>
        <w:t xml:space="preserve"> century reached a point in which it had become so ubiquitous as to have accumulated a series of tropes and pseudo-genre expectations. These tropes often tied the metafictional form to the bloated, rotting carcass of the postmodern, and it was these ties that Southward sought to severe with the Sacrifictional text, </w:t>
      </w:r>
      <w:r>
        <w:rPr>
          <w:rFonts w:ascii="Times New Roman" w:hAnsi="Times New Roman" w:cs="Times New Roman"/>
          <w:i/>
          <w:sz w:val="24"/>
          <w:szCs w:val="24"/>
        </w:rPr>
        <w:t>The Book of Levi</w:t>
      </w:r>
      <w:r>
        <w:rPr>
          <w:rFonts w:ascii="Times New Roman" w:hAnsi="Times New Roman" w:cs="Times New Roman"/>
          <w:sz w:val="24"/>
          <w:szCs w:val="24"/>
        </w:rPr>
        <w:t>.</w:t>
      </w:r>
    </w:p>
    <w:p w14:paraId="1574699E" w14:textId="0E2A4F2E" w:rsidR="00DD5EC4" w:rsidRDefault="00FE6587" w:rsidP="00FE65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the primary Levi narrative, Southward takes several key metafictional techniques as the basis for subversion and parodies them through absurd repetition and representation. The author-as-character trope, seen in such earlier metafictions as </w:t>
      </w:r>
      <w:r>
        <w:rPr>
          <w:rFonts w:ascii="Times New Roman" w:hAnsi="Times New Roman" w:cs="Times New Roman"/>
          <w:i/>
          <w:sz w:val="24"/>
          <w:szCs w:val="24"/>
        </w:rPr>
        <w:t>The Mist</w:t>
      </w:r>
      <w:r>
        <w:rPr>
          <w:rFonts w:ascii="Times New Roman" w:hAnsi="Times New Roman" w:cs="Times New Roman"/>
          <w:sz w:val="24"/>
          <w:szCs w:val="24"/>
        </w:rPr>
        <w:t xml:space="preserve"> and </w:t>
      </w:r>
      <w:r>
        <w:rPr>
          <w:rFonts w:ascii="Times New Roman" w:hAnsi="Times New Roman" w:cs="Times New Roman"/>
          <w:i/>
          <w:sz w:val="24"/>
          <w:szCs w:val="24"/>
        </w:rPr>
        <w:t>Slaughterhouse Five</w:t>
      </w:r>
      <w:r>
        <w:rPr>
          <w:rFonts w:ascii="Times New Roman" w:hAnsi="Times New Roman" w:cs="Times New Roman"/>
          <w:sz w:val="24"/>
          <w:szCs w:val="24"/>
        </w:rPr>
        <w:t xml:space="preserve">, is taken to an extreme in Levi’s narrative, as he is shown to believe himself the author of the apparent author of his own life’s story; Levi believes that </w:t>
      </w:r>
      <w:r>
        <w:rPr>
          <w:rFonts w:ascii="Times New Roman" w:hAnsi="Times New Roman" w:cs="Times New Roman"/>
          <w:i/>
          <w:sz w:val="24"/>
          <w:szCs w:val="24"/>
        </w:rPr>
        <w:t>The Book of Levi</w:t>
      </w:r>
      <w:r>
        <w:rPr>
          <w:rFonts w:ascii="Times New Roman" w:hAnsi="Times New Roman" w:cs="Times New Roman"/>
          <w:sz w:val="24"/>
          <w:szCs w:val="24"/>
        </w:rPr>
        <w:t>, as he finds it, is written by his inchoate fictional character, Daniel Southward</w:t>
      </w:r>
      <w:r w:rsidR="00FC4805">
        <w:rPr>
          <w:rFonts w:ascii="Times New Roman" w:hAnsi="Times New Roman" w:cs="Times New Roman"/>
          <w:sz w:val="24"/>
          <w:szCs w:val="24"/>
        </w:rPr>
        <w:t>.</w:t>
      </w:r>
      <w:r>
        <w:rPr>
          <w:rFonts w:ascii="Times New Roman" w:hAnsi="Times New Roman" w:cs="Times New Roman"/>
          <w:sz w:val="24"/>
          <w:szCs w:val="24"/>
        </w:rPr>
        <w:t xml:space="preserve"> </w:t>
      </w:r>
      <w:r w:rsidR="00FC4805">
        <w:rPr>
          <w:rFonts w:ascii="Times New Roman" w:hAnsi="Times New Roman" w:cs="Times New Roman"/>
          <w:sz w:val="24"/>
          <w:szCs w:val="24"/>
        </w:rPr>
        <w:t>Levi believes</w:t>
      </w:r>
      <w:r>
        <w:rPr>
          <w:rFonts w:ascii="Times New Roman" w:hAnsi="Times New Roman" w:cs="Times New Roman"/>
          <w:sz w:val="24"/>
          <w:szCs w:val="24"/>
        </w:rPr>
        <w:t xml:space="preserve"> that the very author of the text the reader holds (and by extension their inhabited ontological level) is a fictional construct. Of course, this metafictional technique is further complicated and compounded by the brother-narrative, in which a fictional Daniel Southward too believes himself to be the author of </w:t>
      </w:r>
      <w:r w:rsidRPr="00FE7EAF">
        <w:rPr>
          <w:rFonts w:ascii="Times New Roman" w:hAnsi="Times New Roman" w:cs="Times New Roman"/>
          <w:i/>
          <w:sz w:val="24"/>
          <w:szCs w:val="24"/>
        </w:rPr>
        <w:t>The Book of Levi</w:t>
      </w:r>
      <w:r>
        <w:rPr>
          <w:rFonts w:ascii="Times New Roman" w:hAnsi="Times New Roman" w:cs="Times New Roman"/>
          <w:sz w:val="24"/>
          <w:szCs w:val="24"/>
        </w:rPr>
        <w:t xml:space="preserve">, though Levi’s influence is noticeably lesser in this narrative. This labyrinthine author-character dichotomy becomes further complicated by the inclusion of a prefix-narrative to the Levi narrative, in which a young house keeper named Meghan hosts a writing competition between two brothers, with the texts they produce bearing strange similarities to the two main narratives which book-end the Meghan sections. </w:t>
      </w:r>
    </w:p>
    <w:p w14:paraId="723C277D" w14:textId="082C3E01" w:rsidR="00DD5EC4" w:rsidRDefault="00FE6587" w:rsidP="00DD5EC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All this, of course, serves to complicate the authorial nature of the text. The question constantly pervades of who is writing whom, playing with the metafictional authorial conventions in a manner that suggests a distinct metaleptical blurring between the ontological levels of the Levi narrative, Daniel narrative, Meghan narrative, and that of the reader themselves. Ultimately</w:t>
      </w:r>
      <w:r w:rsidR="00FC4805">
        <w:rPr>
          <w:rFonts w:ascii="Times New Roman" w:hAnsi="Times New Roman" w:cs="Times New Roman"/>
          <w:sz w:val="24"/>
          <w:szCs w:val="24"/>
        </w:rPr>
        <w:t>,</w:t>
      </w:r>
      <w:r>
        <w:rPr>
          <w:rFonts w:ascii="Times New Roman" w:hAnsi="Times New Roman" w:cs="Times New Roman"/>
          <w:sz w:val="24"/>
          <w:szCs w:val="24"/>
        </w:rPr>
        <w:t xml:space="preserve"> Southward’s text does not take what could be argued to be the postmodern stance of refusing to answer such a question, revelling in the ambiguity, but instead takes a hard swerve into the definitive by having his fictional characters reveal their knowledge of Southward himself, the true author of all narratives. In such a manner, the text demonstrates a rather metamodern sensibility, foregrounding the author himself from within the postmodern tradition in an attempt to emotionally engage the potential reader. </w:t>
      </w:r>
      <w:proofErr w:type="gramStart"/>
      <w:r>
        <w:rPr>
          <w:rFonts w:ascii="Times New Roman" w:hAnsi="Times New Roman" w:cs="Times New Roman"/>
          <w:sz w:val="24"/>
          <w:szCs w:val="24"/>
        </w:rPr>
        <w:t>Breaking the barrier between author and reader in order to draw them closer together.</w:t>
      </w:r>
      <w:proofErr w:type="gramEnd"/>
      <w:r>
        <w:rPr>
          <w:rFonts w:ascii="Times New Roman" w:hAnsi="Times New Roman" w:cs="Times New Roman"/>
          <w:sz w:val="24"/>
          <w:szCs w:val="24"/>
        </w:rPr>
        <w:t xml:space="preserve"> Thematically, this is also served by the emergence of something approaching a mono-myth that becomes increasingly present within the text, that of Daniel and Levi, the latter often dying while the former laments. In the Daniel narrative proper</w:t>
      </w:r>
      <w:r w:rsidR="00FC4805">
        <w:rPr>
          <w:rFonts w:ascii="Times New Roman" w:hAnsi="Times New Roman" w:cs="Times New Roman"/>
          <w:sz w:val="24"/>
          <w:szCs w:val="24"/>
        </w:rPr>
        <w:t>,</w:t>
      </w:r>
      <w:r>
        <w:rPr>
          <w:rFonts w:ascii="Times New Roman" w:hAnsi="Times New Roman" w:cs="Times New Roman"/>
          <w:sz w:val="24"/>
          <w:szCs w:val="24"/>
        </w:rPr>
        <w:t xml:space="preserve"> Levi, his brother, has died in the initial crash, while in the genre sections he appears in spectral, unseen, or suspicious forms, a role that sees a reversal in the Levi narrative. The monomyth seems to be of an individual controlled by a missing other, a haunting intrusive figure who, though often physically inaccessible, nonetheless commands the individual irrefutably in some manner, yet who brings only pain to their life. </w:t>
      </w:r>
      <w:r>
        <w:rPr>
          <w:rFonts w:ascii="Times New Roman" w:hAnsi="Times New Roman" w:cs="Times New Roman"/>
          <w:i/>
          <w:sz w:val="24"/>
          <w:szCs w:val="24"/>
        </w:rPr>
        <w:t>The Book of Levi</w:t>
      </w:r>
      <w:r>
        <w:rPr>
          <w:rFonts w:ascii="Times New Roman" w:hAnsi="Times New Roman" w:cs="Times New Roman"/>
          <w:sz w:val="24"/>
          <w:szCs w:val="24"/>
        </w:rPr>
        <w:t xml:space="preserve"> is then, in its very essence, a ghost story. </w:t>
      </w:r>
      <w:proofErr w:type="gramStart"/>
      <w:r>
        <w:rPr>
          <w:rFonts w:ascii="Times New Roman" w:hAnsi="Times New Roman" w:cs="Times New Roman"/>
          <w:sz w:val="24"/>
          <w:szCs w:val="24"/>
        </w:rPr>
        <w:t>A ghost story</w:t>
      </w:r>
      <w:proofErr w:type="gramEnd"/>
      <w:r>
        <w:rPr>
          <w:rFonts w:ascii="Times New Roman" w:hAnsi="Times New Roman" w:cs="Times New Roman"/>
          <w:sz w:val="24"/>
          <w:szCs w:val="24"/>
        </w:rPr>
        <w:t xml:space="preserve">, though, in which the haunted individual cannot, or will not, comprehend the figure beyond death which compels them to question their own existential nature. </w:t>
      </w:r>
      <w:proofErr w:type="gramStart"/>
      <w:r>
        <w:rPr>
          <w:rFonts w:ascii="Times New Roman" w:hAnsi="Times New Roman" w:cs="Times New Roman"/>
          <w:sz w:val="24"/>
          <w:szCs w:val="24"/>
        </w:rPr>
        <w:t>A ghost story hidden within a myriad and multitude of genres.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 ghost story with no true ghosts.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 truly metafictional undertaking.</w:t>
      </w:r>
      <w:proofErr w:type="gramEnd"/>
    </w:p>
    <w:p w14:paraId="2F58D40D" w14:textId="0DE10FDB" w:rsidR="00FE6587" w:rsidRDefault="00FE6587" w:rsidP="00DD5EC4">
      <w:pPr>
        <w:spacing w:line="480" w:lineRule="auto"/>
        <w:ind w:firstLine="720"/>
        <w:jc w:val="both"/>
        <w:rPr>
          <w:rFonts w:ascii="Times New Roman" w:hAnsi="Times New Roman" w:cs="Times New Roman"/>
          <w:sz w:val="24"/>
          <w:szCs w:val="24"/>
        </w:rPr>
      </w:pPr>
      <w:r>
        <w:rPr>
          <w:rFonts w:ascii="Times New Roman" w:hAnsi="Times New Roman" w:cs="Times New Roman"/>
          <w:i/>
          <w:sz w:val="24"/>
          <w:szCs w:val="24"/>
        </w:rPr>
        <w:t>The Book of Levi</w:t>
      </w:r>
      <w:r>
        <w:rPr>
          <w:rFonts w:ascii="Times New Roman" w:hAnsi="Times New Roman" w:cs="Times New Roman"/>
          <w:sz w:val="24"/>
          <w:szCs w:val="24"/>
        </w:rPr>
        <w:t xml:space="preserve"> also contains two examples of texts within Southward’s continuum of metafiction, though not necessarily the extremes by which the continuum is defined. Closer in scope to the Burlesque, we have the Levi narrative, with its flaunting of convention for the sake of parody and play, though always with a metamodern oscillation back to modernist sincerity of experimentation. While, conversely, The Daniel narrative falls closer to the Romantic extreme along the continuum, delivering metafictional tropes and techniques in an effort to engage the reader emotionally with the authorial intent, and again oscillating in that oh</w:t>
      </w:r>
      <w:r w:rsidR="00400A94">
        <w:rPr>
          <w:rFonts w:ascii="Times New Roman" w:hAnsi="Times New Roman" w:cs="Times New Roman"/>
          <w:sz w:val="24"/>
          <w:szCs w:val="24"/>
        </w:rPr>
        <w:t>-</w:t>
      </w:r>
      <w:r>
        <w:rPr>
          <w:rFonts w:ascii="Times New Roman" w:hAnsi="Times New Roman" w:cs="Times New Roman"/>
          <w:sz w:val="24"/>
          <w:szCs w:val="24"/>
        </w:rPr>
        <w:t xml:space="preserve">so metamodern fashion between this attempt and postmodern typographical and formal disruption. Southward’s own admission that we, as readers and writers, should ‘abandon the dancers’ is clearly represented through the less than satisfactory ending, for the protagonist to say nothing of the reader, of the Levi narrative in which this more postmodern style of fiction is seen as inadequate, as leading only inward to itself repeatedly, though there is a small hint of a more romantic metafictional motif in the assumed allegorical nature of Levi’s cyclical existence. The lesson being, naturally enough, that this state of affairs leads us nowhere, while the more romantic metafiction of the Daniel narrative resolves with peace and catharsis, with personal purpose and the realization of the Sisyphean ideal: </w:t>
      </w:r>
      <w:r w:rsidR="003105AD">
        <w:rPr>
          <w:rFonts w:ascii="Times New Roman" w:hAnsi="Times New Roman" w:cs="Times New Roman"/>
          <w:sz w:val="24"/>
          <w:szCs w:val="24"/>
        </w:rPr>
        <w:t>m</w:t>
      </w:r>
      <w:r>
        <w:rPr>
          <w:rFonts w:ascii="Times New Roman" w:hAnsi="Times New Roman" w:cs="Times New Roman"/>
          <w:sz w:val="24"/>
          <w:szCs w:val="24"/>
        </w:rPr>
        <w:t>eaning in an Absurd universe.</w:t>
      </w:r>
    </w:p>
    <w:p w14:paraId="5E8A4DDB" w14:textId="0E29EFF2" w:rsidR="00DD5EC4" w:rsidRDefault="00FE6587" w:rsidP="00FE65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closing, I think most of this sisyphism in particular. Southward’s text and his analytical essays are defined by their desire for meaning beyond the everyday, while always mitigated by the knowledge that the universe is essentially </w:t>
      </w:r>
      <w:r w:rsidR="003105AD">
        <w:rPr>
          <w:rFonts w:ascii="Times New Roman" w:hAnsi="Times New Roman" w:cs="Times New Roman"/>
          <w:sz w:val="24"/>
          <w:szCs w:val="24"/>
        </w:rPr>
        <w:t>a</w:t>
      </w:r>
      <w:r>
        <w:rPr>
          <w:rFonts w:ascii="Times New Roman" w:hAnsi="Times New Roman" w:cs="Times New Roman"/>
          <w:sz w:val="24"/>
          <w:szCs w:val="24"/>
        </w:rPr>
        <w:t>bsurd. In Southward’s writing there is no grand purpose to existence defined by some benevolent figure or force, rather meaning and purpose are created and formed individually in the interpersonal relations one weaves around oneself. That close comfort blanket of comrades who keep one sane when times become rough, and who</w:t>
      </w:r>
      <w:r w:rsidR="003105AD">
        <w:rPr>
          <w:rFonts w:ascii="Times New Roman" w:hAnsi="Times New Roman" w:cs="Times New Roman"/>
          <w:sz w:val="24"/>
          <w:szCs w:val="24"/>
        </w:rPr>
        <w:t>m</w:t>
      </w:r>
      <w:r>
        <w:rPr>
          <w:rFonts w:ascii="Times New Roman" w:hAnsi="Times New Roman" w:cs="Times New Roman"/>
          <w:sz w:val="24"/>
          <w:szCs w:val="24"/>
        </w:rPr>
        <w:t xml:space="preserve"> one may rely on to re-form the piecemeal collection of shattered shards of ego after such calamities befall us far too often in this vast, indifferent universe. His creative writing seeks to outline the problem and explore it, while his critical theorems seek to give definition and guidance in a world seemingly without end, even after the great disasters that are sure to come. </w:t>
      </w:r>
    </w:p>
    <w:p w14:paraId="0D43EA8D" w14:textId="0E9D6156" w:rsidR="00FE6587" w:rsidRDefault="00FE6587" w:rsidP="00FE65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I originally found these papers, Southward’s documents and his novel, there was </w:t>
      </w:r>
      <w:r w:rsidR="003105AD">
        <w:rPr>
          <w:rFonts w:ascii="Times New Roman" w:hAnsi="Times New Roman" w:cs="Times New Roman"/>
          <w:sz w:val="24"/>
          <w:szCs w:val="24"/>
        </w:rPr>
        <w:t xml:space="preserve">also included </w:t>
      </w:r>
      <w:r>
        <w:rPr>
          <w:rFonts w:ascii="Times New Roman" w:hAnsi="Times New Roman" w:cs="Times New Roman"/>
          <w:sz w:val="24"/>
          <w:szCs w:val="24"/>
        </w:rPr>
        <w:t xml:space="preserve">a dog-eared and clearly much beloved hand-written sheet of paper along which Southward seemed to have reproduced a lengthy speech. The passage is from a pre-Southwardian film, records of which no longer exist, but which seems to have been important to the tyrant in some manner. One must imagine Southward </w:t>
      </w:r>
      <w:r w:rsidR="003105AD">
        <w:rPr>
          <w:rFonts w:ascii="Times New Roman" w:hAnsi="Times New Roman" w:cs="Times New Roman"/>
          <w:sz w:val="24"/>
          <w:szCs w:val="24"/>
        </w:rPr>
        <w:t>glad whilst</w:t>
      </w:r>
      <w:r>
        <w:rPr>
          <w:rFonts w:ascii="Times New Roman" w:hAnsi="Times New Roman" w:cs="Times New Roman"/>
          <w:sz w:val="24"/>
          <w:szCs w:val="24"/>
        </w:rPr>
        <w:t xml:space="preserve"> reading these words for him to have included them with these documents, though I daresay a</w:t>
      </w:r>
      <w:r w:rsidR="003105AD">
        <w:rPr>
          <w:rFonts w:ascii="Times New Roman" w:hAnsi="Times New Roman" w:cs="Times New Roman"/>
          <w:sz w:val="24"/>
          <w:szCs w:val="24"/>
        </w:rPr>
        <w:t xml:space="preserve"> gladness</w:t>
      </w:r>
      <w:r>
        <w:rPr>
          <w:rFonts w:ascii="Times New Roman" w:hAnsi="Times New Roman" w:cs="Times New Roman"/>
          <w:sz w:val="24"/>
          <w:szCs w:val="24"/>
        </w:rPr>
        <w:t xml:space="preserve"> tempered by the repetition of the issues raised within both the speech and his own writings (just under eighty years later). An oddity, truly, given the terrors to come shortly after, but I include it here in the hope that it may affect you, dear reader, as it so dearly, and clearly, affected that once young, once naïve, man, who must have cherished these words, once, in happier days.</w:t>
      </w:r>
    </w:p>
    <w:p w14:paraId="2065DE0C" w14:textId="48018ECD" w:rsidR="00FE6587" w:rsidRDefault="00FE6587" w:rsidP="00FE65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must imagine Southward happy. </w:t>
      </w:r>
    </w:p>
    <w:p w14:paraId="5BC9953B" w14:textId="77777777" w:rsidR="00DD5EC4" w:rsidRPr="009A03C7" w:rsidRDefault="00DD5EC4" w:rsidP="00DD5EC4">
      <w:pPr>
        <w:spacing w:line="480" w:lineRule="auto"/>
        <w:jc w:val="right"/>
        <w:rPr>
          <w:rFonts w:asciiTheme="majorBidi" w:hAnsiTheme="majorBidi" w:cstheme="majorBidi"/>
          <w:sz w:val="24"/>
          <w:szCs w:val="24"/>
        </w:rPr>
      </w:pPr>
      <w:r w:rsidRPr="00505CF0">
        <w:rPr>
          <w:rFonts w:asciiTheme="majorBidi" w:eastAsia="Times New Roman" w:hAnsiTheme="majorBidi" w:cstheme="majorBidi"/>
          <w:sz w:val="32"/>
          <w:szCs w:val="32"/>
          <w:lang w:eastAsia="en-US"/>
        </w:rPr>
        <w:t>A</w:t>
      </w:r>
      <w:r w:rsidRPr="00505CF0">
        <w:rPr>
          <w:rFonts w:asciiTheme="majorBidi" w:eastAsia="Times New Roman" w:hAnsiTheme="majorBidi" w:cstheme="majorBidi"/>
          <w:sz w:val="24"/>
          <w:szCs w:val="24"/>
          <w:lang w:eastAsia="en-US"/>
        </w:rPr>
        <w:t>RCOT</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C.</w:t>
      </w:r>
      <w:r w:rsidRPr="00505CF0">
        <w:rPr>
          <w:rFonts w:asciiTheme="majorBidi" w:eastAsia="Times New Roman" w:hAnsiTheme="majorBidi" w:cstheme="majorBidi"/>
          <w:sz w:val="28"/>
          <w:szCs w:val="28"/>
          <w:lang w:eastAsia="en-US"/>
        </w:rPr>
        <w:t xml:space="preserve"> </w:t>
      </w:r>
      <w:r w:rsidRPr="00505CF0">
        <w:rPr>
          <w:rFonts w:asciiTheme="majorBidi" w:eastAsia="Times New Roman" w:hAnsiTheme="majorBidi" w:cstheme="majorBidi"/>
          <w:sz w:val="32"/>
          <w:szCs w:val="32"/>
          <w:lang w:eastAsia="en-US"/>
        </w:rPr>
        <w:t>O</w:t>
      </w:r>
      <w:r w:rsidRPr="00505CF0">
        <w:rPr>
          <w:rFonts w:asciiTheme="majorBidi" w:eastAsia="Times New Roman" w:hAnsiTheme="majorBidi" w:cstheme="majorBidi"/>
          <w:sz w:val="24"/>
          <w:szCs w:val="24"/>
          <w:lang w:eastAsia="en-US"/>
        </w:rPr>
        <w:t>SBEORN</w:t>
      </w:r>
    </w:p>
    <w:p w14:paraId="2EF7DBD8" w14:textId="2F8C029C" w:rsidR="00FE6587" w:rsidRDefault="00FE6587" w:rsidP="00DD5EC4">
      <w:pPr>
        <w:spacing w:line="480" w:lineRule="auto"/>
        <w:rPr>
          <w:rFonts w:ascii="Times New Roman" w:hAnsi="Times New Roman" w:cs="Times New Roman"/>
          <w:sz w:val="24"/>
          <w:szCs w:val="24"/>
        </w:rPr>
      </w:pPr>
    </w:p>
    <w:p w14:paraId="3ECFAC4D" w14:textId="592F9536" w:rsidR="00FE6587" w:rsidRDefault="00FE6587">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117C1F1F" w14:textId="27B0C697" w:rsidR="00FE6587" w:rsidRDefault="00FE6587" w:rsidP="00FE6587">
      <w:pPr>
        <w:spacing w:line="240" w:lineRule="auto"/>
        <w:ind w:firstLine="720"/>
        <w:jc w:val="center"/>
        <w:rPr>
          <w:rFonts w:ascii="Times New Roman" w:hAnsi="Times New Roman" w:cs="Times New Roman"/>
          <w:sz w:val="24"/>
          <w:szCs w:val="24"/>
        </w:rPr>
      </w:pPr>
      <w:r w:rsidRPr="00FE6587">
        <w:rPr>
          <w:rFonts w:ascii="Times New Roman" w:hAnsi="Times New Roman" w:cs="Times New Roman"/>
          <w:sz w:val="44"/>
          <w:szCs w:val="24"/>
        </w:rPr>
        <w:t>E</w:t>
      </w:r>
      <w:r w:rsidRPr="00FE6587">
        <w:rPr>
          <w:rFonts w:ascii="Times New Roman" w:hAnsi="Times New Roman" w:cs="Times New Roman"/>
          <w:sz w:val="32"/>
          <w:szCs w:val="24"/>
        </w:rPr>
        <w:t>PILOGUE</w:t>
      </w:r>
    </w:p>
    <w:p w14:paraId="43BF4BFF" w14:textId="07F956D1" w:rsidR="00FE6587" w:rsidRPr="00FE6587" w:rsidRDefault="00FE6587" w:rsidP="00FE6587">
      <w:pPr>
        <w:spacing w:line="240" w:lineRule="auto"/>
        <w:ind w:firstLine="720"/>
        <w:jc w:val="center"/>
        <w:rPr>
          <w:rFonts w:ascii="Times New Roman" w:hAnsi="Times New Roman" w:cs="Times New Roman"/>
          <w:szCs w:val="24"/>
        </w:rPr>
      </w:pPr>
      <w:r w:rsidRPr="00FE6587">
        <w:rPr>
          <w:rFonts w:ascii="Times New Roman" w:hAnsi="Times New Roman" w:cs="Times New Roman"/>
          <w:sz w:val="28"/>
          <w:szCs w:val="24"/>
        </w:rPr>
        <w:t>N</w:t>
      </w:r>
      <w:r w:rsidRPr="00FE6587">
        <w:rPr>
          <w:rFonts w:ascii="Times New Roman" w:hAnsi="Times New Roman" w:cs="Times New Roman"/>
          <w:szCs w:val="24"/>
        </w:rPr>
        <w:t xml:space="preserve">OTE </w:t>
      </w:r>
      <w:r w:rsidRPr="00FE6587">
        <w:rPr>
          <w:rFonts w:ascii="Times New Roman" w:hAnsi="Times New Roman" w:cs="Times New Roman"/>
          <w:sz w:val="28"/>
          <w:szCs w:val="24"/>
        </w:rPr>
        <w:t>F</w:t>
      </w:r>
      <w:r w:rsidRPr="00FE6587">
        <w:rPr>
          <w:rFonts w:ascii="Times New Roman" w:hAnsi="Times New Roman" w:cs="Times New Roman"/>
          <w:szCs w:val="24"/>
        </w:rPr>
        <w:t xml:space="preserve">OUND </w:t>
      </w:r>
      <w:r w:rsidRPr="00FE6587">
        <w:rPr>
          <w:rFonts w:ascii="Times New Roman" w:hAnsi="Times New Roman" w:cs="Times New Roman"/>
          <w:sz w:val="28"/>
          <w:szCs w:val="24"/>
        </w:rPr>
        <w:t>W</w:t>
      </w:r>
      <w:r w:rsidRPr="00FE6587">
        <w:rPr>
          <w:rFonts w:ascii="Times New Roman" w:hAnsi="Times New Roman" w:cs="Times New Roman"/>
          <w:szCs w:val="24"/>
        </w:rPr>
        <w:t xml:space="preserve">ITHIN THE </w:t>
      </w:r>
      <w:r w:rsidRPr="00FE6587">
        <w:rPr>
          <w:rFonts w:ascii="Times New Roman" w:hAnsi="Times New Roman" w:cs="Times New Roman"/>
          <w:sz w:val="28"/>
          <w:szCs w:val="24"/>
        </w:rPr>
        <w:t>A</w:t>
      </w:r>
      <w:r w:rsidRPr="00FE6587">
        <w:rPr>
          <w:rFonts w:ascii="Times New Roman" w:hAnsi="Times New Roman" w:cs="Times New Roman"/>
          <w:szCs w:val="24"/>
        </w:rPr>
        <w:t>RCHIVE</w:t>
      </w:r>
    </w:p>
    <w:p w14:paraId="34609CCC" w14:textId="77777777" w:rsidR="00FE6587" w:rsidRDefault="00FE6587" w:rsidP="00FE6587">
      <w:pPr>
        <w:spacing w:line="480" w:lineRule="auto"/>
        <w:ind w:firstLine="720"/>
        <w:jc w:val="center"/>
        <w:rPr>
          <w:rFonts w:ascii="Times New Roman" w:hAnsi="Times New Roman" w:cs="Times New Roman"/>
          <w:sz w:val="24"/>
          <w:szCs w:val="24"/>
        </w:rPr>
      </w:pPr>
    </w:p>
    <w:p w14:paraId="7F042A7A" w14:textId="687BC8D5" w:rsidR="00FE6587" w:rsidRDefault="00FE6587" w:rsidP="00FE6587">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I</w:t>
      </w:r>
      <w:r w:rsidRPr="00FF7EF9">
        <w:rPr>
          <w:rFonts w:ascii="Times New Roman" w:hAnsi="Times New Roman" w:cs="Times New Roman"/>
          <w:sz w:val="24"/>
          <w:szCs w:val="24"/>
        </w:rPr>
        <w:t>’m sorry, but I don’t want to be an emperor. That’s not my business. I don’t want to rule or conquer anyone. I should like to help everyone</w:t>
      </w:r>
      <w:r>
        <w:rPr>
          <w:rFonts w:ascii="Times New Roman" w:hAnsi="Times New Roman" w:cs="Times New Roman"/>
          <w:sz w:val="24"/>
          <w:szCs w:val="24"/>
        </w:rPr>
        <w:t>,</w:t>
      </w:r>
      <w:r w:rsidRPr="00FF7EF9">
        <w:rPr>
          <w:rFonts w:ascii="Times New Roman" w:hAnsi="Times New Roman" w:cs="Times New Roman"/>
          <w:sz w:val="24"/>
          <w:szCs w:val="24"/>
        </w:rPr>
        <w:t xml:space="preserve"> if possible</w:t>
      </w:r>
      <w:r w:rsidR="00A07BA1">
        <w:rPr>
          <w:rFonts w:ascii="Times New Roman" w:hAnsi="Times New Roman" w:cs="Times New Roman"/>
          <w:sz w:val="24"/>
          <w:szCs w:val="24"/>
        </w:rPr>
        <w:t>:</w:t>
      </w:r>
      <w:r w:rsidRPr="00FF7EF9">
        <w:rPr>
          <w:rFonts w:ascii="Times New Roman" w:hAnsi="Times New Roman" w:cs="Times New Roman"/>
          <w:sz w:val="24"/>
          <w:szCs w:val="24"/>
        </w:rPr>
        <w:t xml:space="preserve"> </w:t>
      </w:r>
      <w:r w:rsidR="00A07BA1">
        <w:rPr>
          <w:rFonts w:ascii="Times New Roman" w:hAnsi="Times New Roman" w:cs="Times New Roman"/>
          <w:sz w:val="24"/>
          <w:szCs w:val="24"/>
        </w:rPr>
        <w:t>J</w:t>
      </w:r>
      <w:r w:rsidRPr="00FF7EF9">
        <w:rPr>
          <w:rFonts w:ascii="Times New Roman" w:hAnsi="Times New Roman" w:cs="Times New Roman"/>
          <w:sz w:val="24"/>
          <w:szCs w:val="24"/>
        </w:rPr>
        <w:t xml:space="preserve">ew, </w:t>
      </w:r>
      <w:r>
        <w:rPr>
          <w:rFonts w:ascii="Times New Roman" w:hAnsi="Times New Roman" w:cs="Times New Roman"/>
          <w:sz w:val="24"/>
          <w:szCs w:val="24"/>
        </w:rPr>
        <w:t>g</w:t>
      </w:r>
      <w:r w:rsidRPr="00FF7EF9">
        <w:rPr>
          <w:rFonts w:ascii="Times New Roman" w:hAnsi="Times New Roman" w:cs="Times New Roman"/>
          <w:sz w:val="24"/>
          <w:szCs w:val="24"/>
        </w:rPr>
        <w:t>entile</w:t>
      </w:r>
      <w:r>
        <w:rPr>
          <w:rFonts w:ascii="Times New Roman" w:hAnsi="Times New Roman" w:cs="Times New Roman"/>
          <w:sz w:val="24"/>
          <w:szCs w:val="24"/>
        </w:rPr>
        <w:t>,</w:t>
      </w:r>
      <w:r w:rsidRPr="00FF7EF9">
        <w:rPr>
          <w:rFonts w:ascii="Times New Roman" w:hAnsi="Times New Roman" w:cs="Times New Roman"/>
          <w:sz w:val="24"/>
          <w:szCs w:val="24"/>
        </w:rPr>
        <w:t xml:space="preserve"> </w:t>
      </w:r>
      <w:r>
        <w:rPr>
          <w:rFonts w:ascii="Times New Roman" w:hAnsi="Times New Roman" w:cs="Times New Roman"/>
          <w:sz w:val="24"/>
          <w:szCs w:val="24"/>
        </w:rPr>
        <w:t>b</w:t>
      </w:r>
      <w:r w:rsidRPr="00FF7EF9">
        <w:rPr>
          <w:rFonts w:ascii="Times New Roman" w:hAnsi="Times New Roman" w:cs="Times New Roman"/>
          <w:sz w:val="24"/>
          <w:szCs w:val="24"/>
        </w:rPr>
        <w:t>lack man</w:t>
      </w:r>
      <w:r>
        <w:rPr>
          <w:rFonts w:ascii="Times New Roman" w:hAnsi="Times New Roman" w:cs="Times New Roman"/>
          <w:sz w:val="24"/>
          <w:szCs w:val="24"/>
        </w:rPr>
        <w:t xml:space="preserve">, </w:t>
      </w:r>
      <w:r w:rsidRPr="00FF7EF9">
        <w:rPr>
          <w:rFonts w:ascii="Times New Roman" w:hAnsi="Times New Roman" w:cs="Times New Roman"/>
          <w:sz w:val="24"/>
          <w:szCs w:val="24"/>
        </w:rPr>
        <w:t>white. We all want to help one another</w:t>
      </w:r>
      <w:r>
        <w:rPr>
          <w:rFonts w:ascii="Times New Roman" w:hAnsi="Times New Roman" w:cs="Times New Roman"/>
          <w:sz w:val="24"/>
          <w:szCs w:val="24"/>
        </w:rPr>
        <w:t>; h</w:t>
      </w:r>
      <w:r w:rsidRPr="00FF7EF9">
        <w:rPr>
          <w:rFonts w:ascii="Times New Roman" w:hAnsi="Times New Roman" w:cs="Times New Roman"/>
          <w:sz w:val="24"/>
          <w:szCs w:val="24"/>
        </w:rPr>
        <w:t>uman beings are like that. We want to live by each other’s happiness not by each other’s misery. We don’t want to hate and despise one another. In this world there is room for everyone</w:t>
      </w:r>
      <w:r>
        <w:rPr>
          <w:rFonts w:ascii="Times New Roman" w:hAnsi="Times New Roman" w:cs="Times New Roman"/>
          <w:sz w:val="24"/>
          <w:szCs w:val="24"/>
        </w:rPr>
        <w:t xml:space="preserve"> a</w:t>
      </w:r>
      <w:r w:rsidRPr="00FF7EF9">
        <w:rPr>
          <w:rFonts w:ascii="Times New Roman" w:hAnsi="Times New Roman" w:cs="Times New Roman"/>
          <w:sz w:val="24"/>
          <w:szCs w:val="24"/>
        </w:rPr>
        <w:t>nd the good earth is rich and can provide for everyone. The way of life can be free and beautiful, but we have lost the way.</w:t>
      </w:r>
      <w:r>
        <w:rPr>
          <w:rFonts w:ascii="Times New Roman" w:hAnsi="Times New Roman" w:cs="Times New Roman"/>
          <w:sz w:val="24"/>
          <w:szCs w:val="24"/>
        </w:rPr>
        <w:t xml:space="preserve"> </w:t>
      </w:r>
      <w:r w:rsidRPr="00FF7EF9">
        <w:rPr>
          <w:rFonts w:ascii="Times New Roman" w:hAnsi="Times New Roman" w:cs="Times New Roman"/>
          <w:sz w:val="24"/>
          <w:szCs w:val="24"/>
        </w:rPr>
        <w:t xml:space="preserve">Greed has poisoned men’s souls, has barricaded the world with hate, </w:t>
      </w:r>
      <w:proofErr w:type="gramStart"/>
      <w:r w:rsidRPr="00FF7EF9">
        <w:rPr>
          <w:rFonts w:ascii="Times New Roman" w:hAnsi="Times New Roman" w:cs="Times New Roman"/>
          <w:sz w:val="24"/>
          <w:szCs w:val="24"/>
        </w:rPr>
        <w:t>has</w:t>
      </w:r>
      <w:proofErr w:type="gramEnd"/>
      <w:r w:rsidRPr="00FF7EF9">
        <w:rPr>
          <w:rFonts w:ascii="Times New Roman" w:hAnsi="Times New Roman" w:cs="Times New Roman"/>
          <w:sz w:val="24"/>
          <w:szCs w:val="24"/>
        </w:rPr>
        <w:t xml:space="preserve"> goose-stepped us into misery and bloodshed. We have developed speed, but we have shut ourselves in. Machinery that gives abundance has left us in want. Our knowledge has made us cynical</w:t>
      </w:r>
      <w:r>
        <w:rPr>
          <w:rFonts w:ascii="Times New Roman" w:hAnsi="Times New Roman" w:cs="Times New Roman"/>
          <w:sz w:val="24"/>
          <w:szCs w:val="24"/>
        </w:rPr>
        <w:t>, o</w:t>
      </w:r>
      <w:r w:rsidRPr="00FF7EF9">
        <w:rPr>
          <w:rFonts w:ascii="Times New Roman" w:hAnsi="Times New Roman" w:cs="Times New Roman"/>
          <w:sz w:val="24"/>
          <w:szCs w:val="24"/>
        </w:rPr>
        <w:t>ur cleverness hard and unkind. We think too much and feel too little. More than machinery we need humanity. More than cleverness we need kindness and gentleness. Without these qualities, life will be violent and all will be los</w:t>
      </w:r>
      <w:r>
        <w:rPr>
          <w:rFonts w:ascii="Times New Roman" w:hAnsi="Times New Roman" w:cs="Times New Roman"/>
          <w:sz w:val="24"/>
          <w:szCs w:val="24"/>
        </w:rPr>
        <w:t xml:space="preserve">t. </w:t>
      </w:r>
    </w:p>
    <w:p w14:paraId="5DDE97E5" w14:textId="77777777" w:rsidR="00FE6587" w:rsidRDefault="00FE6587" w:rsidP="00FE6587">
      <w:pPr>
        <w:spacing w:line="480" w:lineRule="auto"/>
        <w:ind w:firstLine="720"/>
        <w:jc w:val="center"/>
        <w:rPr>
          <w:rFonts w:ascii="Times New Roman" w:hAnsi="Times New Roman" w:cs="Times New Roman"/>
          <w:sz w:val="24"/>
          <w:szCs w:val="24"/>
        </w:rPr>
      </w:pPr>
    </w:p>
    <w:p w14:paraId="3F76214E" w14:textId="77777777" w:rsidR="00FE6587" w:rsidRPr="00FF7EF9" w:rsidRDefault="00FE6587" w:rsidP="00FE6587">
      <w:pPr>
        <w:spacing w:line="480" w:lineRule="auto"/>
        <w:ind w:firstLine="720"/>
        <w:jc w:val="center"/>
        <w:rPr>
          <w:rFonts w:ascii="Times New Roman" w:hAnsi="Times New Roman" w:cs="Times New Roman"/>
          <w:sz w:val="24"/>
          <w:szCs w:val="24"/>
        </w:rPr>
      </w:pPr>
      <w:r w:rsidRPr="00FF7EF9">
        <w:rPr>
          <w:rFonts w:ascii="Times New Roman" w:hAnsi="Times New Roman" w:cs="Times New Roman"/>
          <w:sz w:val="24"/>
          <w:szCs w:val="24"/>
        </w:rPr>
        <w:t>The aeroplane and the radio have brought us closer together. The very nature of these inventions cries out for the goodness in men</w:t>
      </w:r>
      <w:r>
        <w:rPr>
          <w:rFonts w:ascii="Times New Roman" w:hAnsi="Times New Roman" w:cs="Times New Roman"/>
          <w:sz w:val="24"/>
          <w:szCs w:val="24"/>
        </w:rPr>
        <w:t>,</w:t>
      </w:r>
      <w:r w:rsidRPr="00FF7EF9">
        <w:rPr>
          <w:rFonts w:ascii="Times New Roman" w:hAnsi="Times New Roman" w:cs="Times New Roman"/>
          <w:sz w:val="24"/>
          <w:szCs w:val="24"/>
        </w:rPr>
        <w:t xml:space="preserve"> cries out for universal brotherhood</w:t>
      </w:r>
      <w:r>
        <w:rPr>
          <w:rFonts w:ascii="Times New Roman" w:hAnsi="Times New Roman" w:cs="Times New Roman"/>
          <w:sz w:val="24"/>
          <w:szCs w:val="24"/>
        </w:rPr>
        <w:t>,</w:t>
      </w:r>
      <w:r w:rsidRPr="00FF7EF9">
        <w:rPr>
          <w:rFonts w:ascii="Times New Roman" w:hAnsi="Times New Roman" w:cs="Times New Roman"/>
          <w:sz w:val="24"/>
          <w:szCs w:val="24"/>
        </w:rPr>
        <w:t xml:space="preserve"> for the unity of us all. Even now my voice is reaching millions throughout the world</w:t>
      </w:r>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FF7EF9">
        <w:rPr>
          <w:rFonts w:ascii="Times New Roman" w:hAnsi="Times New Roman" w:cs="Times New Roman"/>
          <w:sz w:val="24"/>
          <w:szCs w:val="24"/>
        </w:rPr>
        <w:t>illions of despairing men, women, and little children</w:t>
      </w:r>
      <w:r>
        <w:rPr>
          <w:rFonts w:ascii="Times New Roman" w:hAnsi="Times New Roman" w:cs="Times New Roman"/>
          <w:sz w:val="24"/>
          <w:szCs w:val="24"/>
        </w:rPr>
        <w:t>.</w:t>
      </w:r>
      <w:proofErr w:type="gramEnd"/>
      <w:r w:rsidRPr="00FF7EF9">
        <w:rPr>
          <w:rFonts w:ascii="Times New Roman" w:hAnsi="Times New Roman" w:cs="Times New Roman"/>
          <w:sz w:val="24"/>
          <w:szCs w:val="24"/>
        </w:rPr>
        <w:t xml:space="preserve"> </w:t>
      </w:r>
      <w:r>
        <w:rPr>
          <w:rFonts w:ascii="Times New Roman" w:hAnsi="Times New Roman" w:cs="Times New Roman"/>
          <w:sz w:val="24"/>
          <w:szCs w:val="24"/>
        </w:rPr>
        <w:t>V</w:t>
      </w:r>
      <w:r w:rsidRPr="00FF7EF9">
        <w:rPr>
          <w:rFonts w:ascii="Times New Roman" w:hAnsi="Times New Roman" w:cs="Times New Roman"/>
          <w:sz w:val="24"/>
          <w:szCs w:val="24"/>
        </w:rPr>
        <w:t>ictims of a system that makes men torture and imprison innocent people.</w:t>
      </w:r>
      <w:r>
        <w:rPr>
          <w:rFonts w:ascii="Times New Roman" w:hAnsi="Times New Roman" w:cs="Times New Roman"/>
          <w:sz w:val="24"/>
          <w:szCs w:val="24"/>
        </w:rPr>
        <w:t xml:space="preserve"> </w:t>
      </w:r>
      <w:r w:rsidRPr="00FF7EF9">
        <w:rPr>
          <w:rFonts w:ascii="Times New Roman" w:hAnsi="Times New Roman" w:cs="Times New Roman"/>
          <w:sz w:val="24"/>
          <w:szCs w:val="24"/>
        </w:rPr>
        <w:t>To those who can hear me I say</w:t>
      </w:r>
      <w:r>
        <w:rPr>
          <w:rFonts w:ascii="Times New Roman" w:hAnsi="Times New Roman" w:cs="Times New Roman"/>
          <w:sz w:val="24"/>
          <w:szCs w:val="24"/>
        </w:rPr>
        <w:t xml:space="preserve"> d</w:t>
      </w:r>
      <w:r w:rsidRPr="00FF7EF9">
        <w:rPr>
          <w:rFonts w:ascii="Times New Roman" w:hAnsi="Times New Roman" w:cs="Times New Roman"/>
          <w:sz w:val="24"/>
          <w:szCs w:val="24"/>
        </w:rPr>
        <w:t>o not despair. The misery that is now upon us is but the passing of greed</w:t>
      </w:r>
      <w:r>
        <w:rPr>
          <w:rFonts w:ascii="Times New Roman" w:hAnsi="Times New Roman" w:cs="Times New Roman"/>
          <w:sz w:val="24"/>
          <w:szCs w:val="24"/>
        </w:rPr>
        <w:t>,</w:t>
      </w:r>
      <w:r w:rsidRPr="00FF7EF9">
        <w:rPr>
          <w:rFonts w:ascii="Times New Roman" w:hAnsi="Times New Roman" w:cs="Times New Roman"/>
          <w:sz w:val="24"/>
          <w:szCs w:val="24"/>
        </w:rPr>
        <w:t xml:space="preserve"> the bitterness of men who fear the way of human progress. The hate of men will pass, and dictators die, and the power</w:t>
      </w:r>
      <w:r>
        <w:rPr>
          <w:rFonts w:ascii="Times New Roman" w:hAnsi="Times New Roman" w:cs="Times New Roman"/>
          <w:sz w:val="24"/>
          <w:szCs w:val="24"/>
        </w:rPr>
        <w:t xml:space="preserve"> </w:t>
      </w:r>
      <w:r w:rsidRPr="00FF7EF9">
        <w:rPr>
          <w:rFonts w:ascii="Times New Roman" w:hAnsi="Times New Roman" w:cs="Times New Roman"/>
          <w:sz w:val="24"/>
          <w:szCs w:val="24"/>
        </w:rPr>
        <w:t>they took from the people will return to the people. And so long as men die, liberty will never perish.</w:t>
      </w:r>
    </w:p>
    <w:p w14:paraId="31E88381" w14:textId="77777777" w:rsidR="00FE6587" w:rsidRDefault="00FE6587" w:rsidP="00FE6587">
      <w:pPr>
        <w:spacing w:line="480" w:lineRule="auto"/>
        <w:ind w:firstLine="720"/>
        <w:jc w:val="center"/>
        <w:rPr>
          <w:rFonts w:ascii="Times New Roman" w:hAnsi="Times New Roman" w:cs="Times New Roman"/>
          <w:sz w:val="24"/>
          <w:szCs w:val="24"/>
        </w:rPr>
      </w:pPr>
    </w:p>
    <w:p w14:paraId="4009C15B" w14:textId="46ABD0A5" w:rsidR="00FE6587" w:rsidRDefault="00FE6587" w:rsidP="00FE6587">
      <w:pPr>
        <w:spacing w:line="480" w:lineRule="auto"/>
        <w:ind w:firstLine="720"/>
        <w:jc w:val="center"/>
        <w:rPr>
          <w:rFonts w:ascii="Times New Roman" w:hAnsi="Times New Roman" w:cs="Times New Roman"/>
          <w:sz w:val="24"/>
          <w:szCs w:val="24"/>
        </w:rPr>
      </w:pPr>
      <w:r w:rsidRPr="00FF7EF9">
        <w:rPr>
          <w:rFonts w:ascii="Times New Roman" w:hAnsi="Times New Roman" w:cs="Times New Roman"/>
          <w:sz w:val="24"/>
          <w:szCs w:val="24"/>
        </w:rPr>
        <w:t xml:space="preserve">Soldiers! </w:t>
      </w:r>
      <w:proofErr w:type="gramStart"/>
      <w:r w:rsidRPr="00FF7EF9">
        <w:rPr>
          <w:rFonts w:ascii="Times New Roman" w:hAnsi="Times New Roman" w:cs="Times New Roman"/>
          <w:sz w:val="24"/>
          <w:szCs w:val="24"/>
        </w:rPr>
        <w:t>don’t</w:t>
      </w:r>
      <w:proofErr w:type="gramEnd"/>
      <w:r w:rsidRPr="00FF7EF9">
        <w:rPr>
          <w:rFonts w:ascii="Times New Roman" w:hAnsi="Times New Roman" w:cs="Times New Roman"/>
          <w:sz w:val="24"/>
          <w:szCs w:val="24"/>
        </w:rPr>
        <w:t xml:space="preserve"> give yourselves to brutes</w:t>
      </w:r>
      <w:r>
        <w:rPr>
          <w:rFonts w:ascii="Times New Roman" w:hAnsi="Times New Roman" w:cs="Times New Roman"/>
          <w:sz w:val="24"/>
          <w:szCs w:val="24"/>
        </w:rPr>
        <w:t>!</w:t>
      </w:r>
      <w:r w:rsidRPr="00FF7EF9">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FF7EF9">
        <w:rPr>
          <w:rFonts w:ascii="Times New Roman" w:hAnsi="Times New Roman" w:cs="Times New Roman"/>
          <w:sz w:val="24"/>
          <w:szCs w:val="24"/>
        </w:rPr>
        <w:t>en</w:t>
      </w:r>
      <w:proofErr w:type="gramEnd"/>
      <w:r w:rsidRPr="00FF7EF9">
        <w:rPr>
          <w:rFonts w:ascii="Times New Roman" w:hAnsi="Times New Roman" w:cs="Times New Roman"/>
          <w:sz w:val="24"/>
          <w:szCs w:val="24"/>
        </w:rPr>
        <w:t xml:space="preserve"> who despise you</w:t>
      </w:r>
      <w:r>
        <w:rPr>
          <w:rFonts w:ascii="Times New Roman" w:hAnsi="Times New Roman" w:cs="Times New Roman"/>
          <w:sz w:val="24"/>
          <w:szCs w:val="24"/>
        </w:rPr>
        <w:t>,</w:t>
      </w:r>
      <w:r w:rsidRPr="00FF7EF9">
        <w:rPr>
          <w:rFonts w:ascii="Times New Roman" w:hAnsi="Times New Roman" w:cs="Times New Roman"/>
          <w:sz w:val="24"/>
          <w:szCs w:val="24"/>
        </w:rPr>
        <w:t xml:space="preserve"> enslave you</w:t>
      </w:r>
      <w:r>
        <w:rPr>
          <w:rFonts w:ascii="Times New Roman" w:hAnsi="Times New Roman" w:cs="Times New Roman"/>
          <w:sz w:val="24"/>
          <w:szCs w:val="24"/>
        </w:rPr>
        <w:t>.</w:t>
      </w:r>
      <w:r w:rsidRPr="00FF7EF9">
        <w:rPr>
          <w:rFonts w:ascii="Times New Roman" w:hAnsi="Times New Roman" w:cs="Times New Roman"/>
          <w:sz w:val="24"/>
          <w:szCs w:val="24"/>
        </w:rPr>
        <w:t xml:space="preserve"> </w:t>
      </w:r>
      <w:r>
        <w:rPr>
          <w:rFonts w:ascii="Times New Roman" w:hAnsi="Times New Roman" w:cs="Times New Roman"/>
          <w:sz w:val="24"/>
          <w:szCs w:val="24"/>
        </w:rPr>
        <w:t>W</w:t>
      </w:r>
      <w:r w:rsidRPr="00FF7EF9">
        <w:rPr>
          <w:rFonts w:ascii="Times New Roman" w:hAnsi="Times New Roman" w:cs="Times New Roman"/>
          <w:sz w:val="24"/>
          <w:szCs w:val="24"/>
        </w:rPr>
        <w:t>ho regiment your lives</w:t>
      </w:r>
      <w:r>
        <w:rPr>
          <w:rFonts w:ascii="Times New Roman" w:hAnsi="Times New Roman" w:cs="Times New Roman"/>
          <w:sz w:val="24"/>
          <w:szCs w:val="24"/>
        </w:rPr>
        <w:t>,</w:t>
      </w:r>
      <w:r w:rsidRPr="00FF7EF9">
        <w:rPr>
          <w:rFonts w:ascii="Times New Roman" w:hAnsi="Times New Roman" w:cs="Times New Roman"/>
          <w:sz w:val="24"/>
          <w:szCs w:val="24"/>
        </w:rPr>
        <w:t xml:space="preserve"> tell you what to do</w:t>
      </w:r>
      <w:r>
        <w:rPr>
          <w:rFonts w:ascii="Times New Roman" w:hAnsi="Times New Roman" w:cs="Times New Roman"/>
          <w:sz w:val="24"/>
          <w:szCs w:val="24"/>
        </w:rPr>
        <w:t>,</w:t>
      </w:r>
      <w:r w:rsidRPr="00FF7EF9">
        <w:rPr>
          <w:rFonts w:ascii="Times New Roman" w:hAnsi="Times New Roman" w:cs="Times New Roman"/>
          <w:sz w:val="24"/>
          <w:szCs w:val="24"/>
        </w:rPr>
        <w:t xml:space="preserve"> what to think and what to feel! Who drill you</w:t>
      </w:r>
      <w:r>
        <w:rPr>
          <w:rFonts w:ascii="Times New Roman" w:hAnsi="Times New Roman" w:cs="Times New Roman"/>
          <w:sz w:val="24"/>
          <w:szCs w:val="24"/>
        </w:rPr>
        <w:t>,</w:t>
      </w:r>
      <w:r w:rsidRPr="00FF7EF9">
        <w:rPr>
          <w:rFonts w:ascii="Times New Roman" w:hAnsi="Times New Roman" w:cs="Times New Roman"/>
          <w:sz w:val="24"/>
          <w:szCs w:val="24"/>
        </w:rPr>
        <w:t xml:space="preserve"> diet you</w:t>
      </w:r>
      <w:r>
        <w:rPr>
          <w:rFonts w:ascii="Times New Roman" w:hAnsi="Times New Roman" w:cs="Times New Roman"/>
          <w:sz w:val="24"/>
          <w:szCs w:val="24"/>
        </w:rPr>
        <w:t xml:space="preserve">, </w:t>
      </w:r>
      <w:r w:rsidRPr="00FF7EF9">
        <w:rPr>
          <w:rFonts w:ascii="Times New Roman" w:hAnsi="Times New Roman" w:cs="Times New Roman"/>
          <w:sz w:val="24"/>
          <w:szCs w:val="24"/>
        </w:rPr>
        <w:t xml:space="preserve">treat you like cattle, </w:t>
      </w:r>
      <w:proofErr w:type="gramStart"/>
      <w:r w:rsidRPr="00FF7EF9">
        <w:rPr>
          <w:rFonts w:ascii="Times New Roman" w:hAnsi="Times New Roman" w:cs="Times New Roman"/>
          <w:sz w:val="24"/>
          <w:szCs w:val="24"/>
        </w:rPr>
        <w:t>use</w:t>
      </w:r>
      <w:proofErr w:type="gramEnd"/>
      <w:r w:rsidRPr="00FF7EF9">
        <w:rPr>
          <w:rFonts w:ascii="Times New Roman" w:hAnsi="Times New Roman" w:cs="Times New Roman"/>
          <w:sz w:val="24"/>
          <w:szCs w:val="24"/>
        </w:rPr>
        <w:t xml:space="preserve"> you as cannon fodder</w:t>
      </w:r>
      <w:r>
        <w:rPr>
          <w:rFonts w:ascii="Times New Roman" w:hAnsi="Times New Roman" w:cs="Times New Roman"/>
          <w:sz w:val="24"/>
          <w:szCs w:val="24"/>
        </w:rPr>
        <w:t>!</w:t>
      </w:r>
      <w:r w:rsidRPr="00FF7EF9">
        <w:rPr>
          <w:rFonts w:ascii="Times New Roman" w:hAnsi="Times New Roman" w:cs="Times New Roman"/>
          <w:sz w:val="24"/>
          <w:szCs w:val="24"/>
        </w:rPr>
        <w:t xml:space="preserve"> Don’t give yourselves to these unnatural men</w:t>
      </w:r>
      <w:r>
        <w:rPr>
          <w:rFonts w:ascii="Times New Roman" w:hAnsi="Times New Roman" w:cs="Times New Roman"/>
          <w:sz w:val="24"/>
          <w:szCs w:val="24"/>
        </w:rPr>
        <w:t>!</w:t>
      </w:r>
      <w:r w:rsidRPr="00FF7EF9">
        <w:rPr>
          <w:rFonts w:ascii="Times New Roman" w:hAnsi="Times New Roman" w:cs="Times New Roman"/>
          <w:sz w:val="24"/>
          <w:szCs w:val="24"/>
        </w:rPr>
        <w:t xml:space="preserve"> </w:t>
      </w:r>
      <w:r>
        <w:rPr>
          <w:rFonts w:ascii="Times New Roman" w:hAnsi="Times New Roman" w:cs="Times New Roman"/>
          <w:sz w:val="24"/>
          <w:szCs w:val="24"/>
        </w:rPr>
        <w:t>M</w:t>
      </w:r>
      <w:r w:rsidRPr="00FF7EF9">
        <w:rPr>
          <w:rFonts w:ascii="Times New Roman" w:hAnsi="Times New Roman" w:cs="Times New Roman"/>
          <w:sz w:val="24"/>
          <w:szCs w:val="24"/>
        </w:rPr>
        <w:t>achine men with machine minds and machine hearts! You are not machines! You are not cattle! You are men! You have the love of humanity in your hearts! You don’t hate</w:t>
      </w:r>
      <w:r>
        <w:rPr>
          <w:rFonts w:ascii="Times New Roman" w:hAnsi="Times New Roman" w:cs="Times New Roman"/>
          <w:sz w:val="24"/>
          <w:szCs w:val="24"/>
        </w:rPr>
        <w:t xml:space="preserve"> </w:t>
      </w:r>
      <w:r w:rsidR="00A37671">
        <w:t>–</w:t>
      </w:r>
      <w:r>
        <w:rPr>
          <w:rFonts w:ascii="Times New Roman" w:hAnsi="Times New Roman" w:cs="Times New Roman"/>
          <w:sz w:val="24"/>
          <w:szCs w:val="24"/>
        </w:rPr>
        <w:t xml:space="preserve"> o</w:t>
      </w:r>
      <w:r w:rsidRPr="00FF7EF9">
        <w:rPr>
          <w:rFonts w:ascii="Times New Roman" w:hAnsi="Times New Roman" w:cs="Times New Roman"/>
          <w:sz w:val="24"/>
          <w:szCs w:val="24"/>
        </w:rPr>
        <w:t>nly the unloved hat</w:t>
      </w:r>
      <w:r>
        <w:rPr>
          <w:rFonts w:ascii="Times New Roman" w:hAnsi="Times New Roman" w:cs="Times New Roman"/>
          <w:sz w:val="24"/>
          <w:szCs w:val="24"/>
        </w:rPr>
        <w:t xml:space="preserve">e. </w:t>
      </w:r>
      <w:proofErr w:type="gramStart"/>
      <w:r>
        <w:rPr>
          <w:rFonts w:ascii="Times New Roman" w:hAnsi="Times New Roman" w:cs="Times New Roman"/>
          <w:sz w:val="24"/>
          <w:szCs w:val="24"/>
        </w:rPr>
        <w:t>T</w:t>
      </w:r>
      <w:r w:rsidRPr="00FF7EF9">
        <w:rPr>
          <w:rFonts w:ascii="Times New Roman" w:hAnsi="Times New Roman" w:cs="Times New Roman"/>
          <w:sz w:val="24"/>
          <w:szCs w:val="24"/>
        </w:rPr>
        <w:t>he unloved and the unnatural</w:t>
      </w:r>
      <w:r>
        <w:rPr>
          <w:rFonts w:ascii="Times New Roman" w:hAnsi="Times New Roman" w:cs="Times New Roman"/>
          <w:sz w:val="24"/>
          <w:szCs w:val="24"/>
        </w:rPr>
        <w:t>.</w:t>
      </w:r>
      <w:proofErr w:type="gramEnd"/>
    </w:p>
    <w:p w14:paraId="514BA390" w14:textId="77777777" w:rsidR="00FE6587" w:rsidRDefault="00FE6587" w:rsidP="00FE6587">
      <w:pPr>
        <w:spacing w:line="480" w:lineRule="auto"/>
        <w:ind w:firstLine="720"/>
        <w:jc w:val="center"/>
        <w:rPr>
          <w:rFonts w:ascii="Times New Roman" w:hAnsi="Times New Roman" w:cs="Times New Roman"/>
          <w:sz w:val="24"/>
          <w:szCs w:val="24"/>
        </w:rPr>
      </w:pPr>
    </w:p>
    <w:p w14:paraId="5DCEAD8B" w14:textId="77777777" w:rsidR="00FE6587" w:rsidRDefault="00FE6587" w:rsidP="00FE6587">
      <w:pPr>
        <w:spacing w:line="480" w:lineRule="auto"/>
        <w:ind w:firstLine="720"/>
        <w:jc w:val="center"/>
        <w:rPr>
          <w:rFonts w:ascii="Times New Roman" w:hAnsi="Times New Roman" w:cs="Times New Roman"/>
          <w:sz w:val="24"/>
          <w:szCs w:val="24"/>
        </w:rPr>
      </w:pPr>
      <w:r w:rsidRPr="00FF7EF9">
        <w:rPr>
          <w:rFonts w:ascii="Times New Roman" w:hAnsi="Times New Roman" w:cs="Times New Roman"/>
          <w:sz w:val="24"/>
          <w:szCs w:val="24"/>
        </w:rPr>
        <w:t>Soldiers! Don’t fight for slavery! Fight for liberty!</w:t>
      </w:r>
      <w:r>
        <w:rPr>
          <w:rFonts w:ascii="Times New Roman" w:hAnsi="Times New Roman" w:cs="Times New Roman"/>
          <w:sz w:val="24"/>
          <w:szCs w:val="24"/>
        </w:rPr>
        <w:t xml:space="preserve"> </w:t>
      </w:r>
      <w:r w:rsidRPr="00FF7EF9">
        <w:rPr>
          <w:rFonts w:ascii="Times New Roman" w:hAnsi="Times New Roman" w:cs="Times New Roman"/>
          <w:sz w:val="24"/>
          <w:szCs w:val="24"/>
        </w:rPr>
        <w:t>In the 17th Chapter of St Luke it is written</w:t>
      </w:r>
      <w:r>
        <w:rPr>
          <w:rFonts w:ascii="Times New Roman" w:hAnsi="Times New Roman" w:cs="Times New Roman"/>
          <w:sz w:val="24"/>
          <w:szCs w:val="24"/>
        </w:rPr>
        <w:t xml:space="preserve"> ‘</w:t>
      </w:r>
      <w:r w:rsidRPr="00FF7EF9">
        <w:rPr>
          <w:rFonts w:ascii="Times New Roman" w:hAnsi="Times New Roman" w:cs="Times New Roman"/>
          <w:sz w:val="24"/>
          <w:szCs w:val="24"/>
        </w:rPr>
        <w:t>the Kingdom of God is within man</w:t>
      </w:r>
      <w:r>
        <w:rPr>
          <w:rFonts w:ascii="Times New Roman" w:hAnsi="Times New Roman" w:cs="Times New Roman"/>
          <w:sz w:val="24"/>
          <w:szCs w:val="24"/>
        </w:rPr>
        <w:t>,’</w:t>
      </w:r>
      <w:r w:rsidRPr="00FF7EF9">
        <w:rPr>
          <w:rFonts w:ascii="Times New Roman" w:hAnsi="Times New Roman" w:cs="Times New Roman"/>
          <w:sz w:val="24"/>
          <w:szCs w:val="24"/>
        </w:rPr>
        <w:t xml:space="preserve"> not one man</w:t>
      </w:r>
      <w:r>
        <w:rPr>
          <w:rFonts w:ascii="Times New Roman" w:hAnsi="Times New Roman" w:cs="Times New Roman"/>
          <w:sz w:val="24"/>
          <w:szCs w:val="24"/>
        </w:rPr>
        <w:t>,</w:t>
      </w:r>
      <w:r w:rsidRPr="00FF7EF9">
        <w:rPr>
          <w:rFonts w:ascii="Times New Roman" w:hAnsi="Times New Roman" w:cs="Times New Roman"/>
          <w:sz w:val="24"/>
          <w:szCs w:val="24"/>
        </w:rPr>
        <w:t xml:space="preserve"> nor a group of men, but in all men! In you! You, the people</w:t>
      </w:r>
      <w:r>
        <w:rPr>
          <w:rFonts w:ascii="Times New Roman" w:hAnsi="Times New Roman" w:cs="Times New Roman"/>
          <w:sz w:val="24"/>
          <w:szCs w:val="24"/>
        </w:rPr>
        <w:t>,</w:t>
      </w:r>
      <w:r w:rsidRPr="00FF7EF9">
        <w:rPr>
          <w:rFonts w:ascii="Times New Roman" w:hAnsi="Times New Roman" w:cs="Times New Roman"/>
          <w:sz w:val="24"/>
          <w:szCs w:val="24"/>
        </w:rPr>
        <w:t xml:space="preserve"> have the power</w:t>
      </w:r>
      <w:r>
        <w:rPr>
          <w:rFonts w:ascii="Times New Roman" w:hAnsi="Times New Roman" w:cs="Times New Roman"/>
          <w:sz w:val="24"/>
          <w:szCs w:val="24"/>
        </w:rPr>
        <w:t>.</w:t>
      </w:r>
      <w:r w:rsidRPr="00FF7EF9">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FF7EF9">
        <w:rPr>
          <w:rFonts w:ascii="Times New Roman" w:hAnsi="Times New Roman" w:cs="Times New Roman"/>
          <w:sz w:val="24"/>
          <w:szCs w:val="24"/>
        </w:rPr>
        <w:t>he power to create machines.</w:t>
      </w:r>
      <w:proofErr w:type="gramEnd"/>
      <w:r w:rsidRPr="00FF7EF9">
        <w:rPr>
          <w:rFonts w:ascii="Times New Roman" w:hAnsi="Times New Roman" w:cs="Times New Roman"/>
          <w:sz w:val="24"/>
          <w:szCs w:val="24"/>
        </w:rPr>
        <w:t xml:space="preserve"> </w:t>
      </w:r>
      <w:proofErr w:type="gramStart"/>
      <w:r w:rsidRPr="00FF7EF9">
        <w:rPr>
          <w:rFonts w:ascii="Times New Roman" w:hAnsi="Times New Roman" w:cs="Times New Roman"/>
          <w:sz w:val="24"/>
          <w:szCs w:val="24"/>
        </w:rPr>
        <w:t>The power to create happiness</w:t>
      </w:r>
      <w:r>
        <w:rPr>
          <w:rFonts w:ascii="Times New Roman" w:hAnsi="Times New Roman" w:cs="Times New Roman"/>
          <w:sz w:val="24"/>
          <w:szCs w:val="24"/>
        </w:rPr>
        <w:t>.</w:t>
      </w:r>
      <w:proofErr w:type="gramEnd"/>
      <w:r w:rsidRPr="00FF7EF9">
        <w:rPr>
          <w:rFonts w:ascii="Times New Roman" w:hAnsi="Times New Roman" w:cs="Times New Roman"/>
          <w:sz w:val="24"/>
          <w:szCs w:val="24"/>
        </w:rPr>
        <w:t xml:space="preserve"> You, the people, have the power to make this life free and beautiful, to make this life a wonderful adventure.</w:t>
      </w:r>
      <w:r>
        <w:rPr>
          <w:rFonts w:ascii="Times New Roman" w:hAnsi="Times New Roman" w:cs="Times New Roman"/>
          <w:sz w:val="24"/>
          <w:szCs w:val="24"/>
        </w:rPr>
        <w:t xml:space="preserve"> </w:t>
      </w:r>
      <w:r w:rsidRPr="00FF7EF9">
        <w:rPr>
          <w:rFonts w:ascii="Times New Roman" w:hAnsi="Times New Roman" w:cs="Times New Roman"/>
          <w:sz w:val="24"/>
          <w:szCs w:val="24"/>
        </w:rPr>
        <w:t>Then in the name of democracy let us use that power</w:t>
      </w:r>
      <w:r>
        <w:rPr>
          <w:rFonts w:ascii="Times New Roman" w:hAnsi="Times New Roman" w:cs="Times New Roman"/>
          <w:sz w:val="24"/>
          <w:szCs w:val="24"/>
        </w:rPr>
        <w:t>,</w:t>
      </w:r>
      <w:r w:rsidRPr="00FF7EF9">
        <w:rPr>
          <w:rFonts w:ascii="Times New Roman" w:hAnsi="Times New Roman" w:cs="Times New Roman"/>
          <w:sz w:val="24"/>
          <w:szCs w:val="24"/>
        </w:rPr>
        <w:t xml:space="preserve"> let us all unite</w:t>
      </w:r>
      <w:r>
        <w:rPr>
          <w:rFonts w:ascii="Times New Roman" w:hAnsi="Times New Roman" w:cs="Times New Roman"/>
          <w:sz w:val="24"/>
          <w:szCs w:val="24"/>
        </w:rPr>
        <w:t>!</w:t>
      </w:r>
      <w:r w:rsidRPr="00FF7EF9">
        <w:rPr>
          <w:rFonts w:ascii="Times New Roman" w:hAnsi="Times New Roman" w:cs="Times New Roman"/>
          <w:sz w:val="24"/>
          <w:szCs w:val="24"/>
        </w:rPr>
        <w:t xml:space="preserve"> Let us fight for a new world</w:t>
      </w:r>
      <w:r>
        <w:rPr>
          <w:rFonts w:ascii="Times New Roman" w:hAnsi="Times New Roman" w:cs="Times New Roman"/>
          <w:sz w:val="24"/>
          <w:szCs w:val="24"/>
        </w:rPr>
        <w:t>,</w:t>
      </w:r>
      <w:r w:rsidRPr="00FF7EF9">
        <w:rPr>
          <w:rFonts w:ascii="Times New Roman" w:hAnsi="Times New Roman" w:cs="Times New Roman"/>
          <w:sz w:val="24"/>
          <w:szCs w:val="24"/>
        </w:rPr>
        <w:t xml:space="preserve"> a decent world that will give men a chance to </w:t>
      </w:r>
      <w:proofErr w:type="gramStart"/>
      <w:r w:rsidRPr="00FF7EF9">
        <w:rPr>
          <w:rFonts w:ascii="Times New Roman" w:hAnsi="Times New Roman" w:cs="Times New Roman"/>
          <w:sz w:val="24"/>
          <w:szCs w:val="24"/>
        </w:rPr>
        <w:t>work</w:t>
      </w:r>
      <w:r>
        <w:rPr>
          <w:rFonts w:ascii="Times New Roman" w:hAnsi="Times New Roman" w:cs="Times New Roman"/>
          <w:sz w:val="24"/>
          <w:szCs w:val="24"/>
        </w:rPr>
        <w:t>,</w:t>
      </w:r>
      <w:r w:rsidRPr="00FF7EF9">
        <w:rPr>
          <w:rFonts w:ascii="Times New Roman" w:hAnsi="Times New Roman" w:cs="Times New Roman"/>
          <w:sz w:val="24"/>
          <w:szCs w:val="24"/>
        </w:rPr>
        <w:t xml:space="preserve"> that</w:t>
      </w:r>
      <w:proofErr w:type="gramEnd"/>
      <w:r w:rsidRPr="00FF7EF9">
        <w:rPr>
          <w:rFonts w:ascii="Times New Roman" w:hAnsi="Times New Roman" w:cs="Times New Roman"/>
          <w:sz w:val="24"/>
          <w:szCs w:val="24"/>
        </w:rPr>
        <w:t xml:space="preserve"> will give youth a future</w:t>
      </w:r>
      <w:r>
        <w:rPr>
          <w:rFonts w:ascii="Times New Roman" w:hAnsi="Times New Roman" w:cs="Times New Roman"/>
          <w:sz w:val="24"/>
          <w:szCs w:val="24"/>
        </w:rPr>
        <w:t>,</w:t>
      </w:r>
      <w:r w:rsidRPr="00FF7EF9">
        <w:rPr>
          <w:rFonts w:ascii="Times New Roman" w:hAnsi="Times New Roman" w:cs="Times New Roman"/>
          <w:sz w:val="24"/>
          <w:szCs w:val="24"/>
        </w:rPr>
        <w:t xml:space="preserve"> and old age a security. By the promise of these things, brutes have risen to power. But they lie! They do not fulfil that promise. They never will!</w:t>
      </w:r>
      <w:r>
        <w:rPr>
          <w:rFonts w:ascii="Times New Roman" w:hAnsi="Times New Roman" w:cs="Times New Roman"/>
          <w:sz w:val="24"/>
          <w:szCs w:val="24"/>
        </w:rPr>
        <w:t xml:space="preserve"> </w:t>
      </w:r>
      <w:r w:rsidRPr="00FF7EF9">
        <w:rPr>
          <w:rFonts w:ascii="Times New Roman" w:hAnsi="Times New Roman" w:cs="Times New Roman"/>
          <w:sz w:val="24"/>
          <w:szCs w:val="24"/>
        </w:rPr>
        <w:t>Dictators free themselves but they enslave the people! Now let us fight to fulfil that promise! Let us fight to free the world</w:t>
      </w:r>
      <w:r>
        <w:rPr>
          <w:rFonts w:ascii="Times New Roman" w:hAnsi="Times New Roman" w:cs="Times New Roman"/>
          <w:sz w:val="24"/>
          <w:szCs w:val="24"/>
        </w:rPr>
        <w:t xml:space="preserve">, </w:t>
      </w:r>
      <w:r w:rsidRPr="00FF7EF9">
        <w:rPr>
          <w:rFonts w:ascii="Times New Roman" w:hAnsi="Times New Roman" w:cs="Times New Roman"/>
          <w:sz w:val="24"/>
          <w:szCs w:val="24"/>
        </w:rPr>
        <w:t>to do away with national barriers</w:t>
      </w:r>
      <w:r>
        <w:rPr>
          <w:rFonts w:ascii="Times New Roman" w:hAnsi="Times New Roman" w:cs="Times New Roman"/>
          <w:sz w:val="24"/>
          <w:szCs w:val="24"/>
        </w:rPr>
        <w:t xml:space="preserve">, </w:t>
      </w:r>
      <w:r w:rsidRPr="00FF7EF9">
        <w:rPr>
          <w:rFonts w:ascii="Times New Roman" w:hAnsi="Times New Roman" w:cs="Times New Roman"/>
          <w:sz w:val="24"/>
          <w:szCs w:val="24"/>
        </w:rPr>
        <w:t>to do away with greed, with hate and intolerance. Let us fight for a world of reason, a world where science and progress will lead to all men’s happiness.</w:t>
      </w:r>
    </w:p>
    <w:p w14:paraId="46E95740" w14:textId="77777777" w:rsidR="00FE6587" w:rsidRDefault="00FE6587" w:rsidP="00FE6587">
      <w:pPr>
        <w:spacing w:line="480" w:lineRule="auto"/>
        <w:jc w:val="center"/>
        <w:rPr>
          <w:rFonts w:ascii="Times New Roman" w:hAnsi="Times New Roman" w:cs="Times New Roman"/>
          <w:sz w:val="24"/>
          <w:szCs w:val="24"/>
        </w:rPr>
      </w:pPr>
      <w:r w:rsidRPr="00FF7EF9">
        <w:rPr>
          <w:rFonts w:ascii="Times New Roman" w:hAnsi="Times New Roman" w:cs="Times New Roman"/>
          <w:sz w:val="24"/>
          <w:szCs w:val="24"/>
        </w:rPr>
        <w:t xml:space="preserve">Soldiers! </w:t>
      </w:r>
      <w:r>
        <w:rPr>
          <w:rFonts w:ascii="Times New Roman" w:hAnsi="Times New Roman" w:cs="Times New Roman"/>
          <w:sz w:val="24"/>
          <w:szCs w:val="24"/>
        </w:rPr>
        <w:t>I</w:t>
      </w:r>
      <w:r w:rsidRPr="00FF7EF9">
        <w:rPr>
          <w:rFonts w:ascii="Times New Roman" w:hAnsi="Times New Roman" w:cs="Times New Roman"/>
          <w:sz w:val="24"/>
          <w:szCs w:val="24"/>
        </w:rPr>
        <w:t>n the name of democracy, let us all unite!</w:t>
      </w:r>
    </w:p>
    <w:p w14:paraId="00C50413" w14:textId="77777777" w:rsidR="00FE6587" w:rsidRPr="00B73C66" w:rsidRDefault="00FE6587" w:rsidP="00FE6587">
      <w:pPr>
        <w:spacing w:line="480" w:lineRule="auto"/>
        <w:jc w:val="right"/>
        <w:rPr>
          <w:rFonts w:ascii="Times New Roman" w:hAnsi="Times New Roman" w:cs="Times New Roman"/>
          <w:i/>
          <w:sz w:val="24"/>
          <w:szCs w:val="24"/>
        </w:rPr>
      </w:pPr>
      <w:r>
        <w:rPr>
          <w:rFonts w:ascii="Times New Roman" w:hAnsi="Times New Roman" w:cs="Times New Roman"/>
          <w:i/>
          <w:sz w:val="24"/>
          <w:szCs w:val="24"/>
        </w:rPr>
        <w:t>The Great Dictator (1940)</w:t>
      </w:r>
    </w:p>
    <w:p w14:paraId="28FDFFA4" w14:textId="03DFC882" w:rsidR="00B9022C" w:rsidRDefault="00B9022C" w:rsidP="001314F1">
      <w:pPr>
        <w:spacing w:line="240" w:lineRule="auto"/>
        <w:jc w:val="center"/>
        <w:rPr>
          <w:rFonts w:asciiTheme="majorBidi" w:hAnsiTheme="majorBidi" w:cstheme="majorBidi"/>
          <w:b/>
          <w:sz w:val="32"/>
          <w:szCs w:val="32"/>
          <w:u w:val="single"/>
        </w:rPr>
      </w:pPr>
      <w:r>
        <w:rPr>
          <w:rFonts w:asciiTheme="majorBidi" w:hAnsiTheme="majorBidi" w:cstheme="majorBidi"/>
          <w:b/>
          <w:sz w:val="32"/>
          <w:szCs w:val="32"/>
          <w:u w:val="single"/>
        </w:rPr>
        <w:br w:type="page"/>
      </w:r>
    </w:p>
    <w:p w14:paraId="266458D0" w14:textId="77777777" w:rsidR="00FE6587" w:rsidRDefault="00FE6587" w:rsidP="00FE6587">
      <w:pPr>
        <w:spacing w:line="240" w:lineRule="auto"/>
        <w:jc w:val="center"/>
        <w:rPr>
          <w:rFonts w:asciiTheme="majorBidi" w:hAnsiTheme="majorBidi" w:cstheme="majorBidi"/>
          <w:b/>
          <w:sz w:val="32"/>
          <w:szCs w:val="32"/>
          <w:u w:val="single"/>
        </w:rPr>
      </w:pPr>
    </w:p>
    <w:p w14:paraId="3692552A" w14:textId="77777777" w:rsidR="00FE6587" w:rsidRDefault="00FE6587" w:rsidP="00FE6587">
      <w:pPr>
        <w:spacing w:line="240" w:lineRule="auto"/>
        <w:jc w:val="center"/>
        <w:rPr>
          <w:rFonts w:asciiTheme="majorBidi" w:hAnsiTheme="majorBidi" w:cstheme="majorBidi"/>
          <w:i/>
          <w:iCs/>
          <w:sz w:val="24"/>
          <w:szCs w:val="24"/>
        </w:rPr>
      </w:pPr>
    </w:p>
    <w:p w14:paraId="169FEBA5" w14:textId="77777777" w:rsidR="00FE6587" w:rsidRDefault="00FE6587" w:rsidP="00FE6587">
      <w:pPr>
        <w:spacing w:line="240" w:lineRule="auto"/>
        <w:jc w:val="center"/>
        <w:rPr>
          <w:rFonts w:asciiTheme="majorBidi" w:hAnsiTheme="majorBidi" w:cstheme="majorBidi"/>
          <w:i/>
          <w:iCs/>
          <w:sz w:val="24"/>
          <w:szCs w:val="24"/>
        </w:rPr>
      </w:pPr>
    </w:p>
    <w:p w14:paraId="5933841F" w14:textId="77777777" w:rsidR="00FE6587" w:rsidRDefault="00FE6587" w:rsidP="00FE6587">
      <w:pPr>
        <w:spacing w:line="240" w:lineRule="auto"/>
        <w:jc w:val="center"/>
        <w:rPr>
          <w:rFonts w:asciiTheme="majorBidi" w:hAnsiTheme="majorBidi" w:cstheme="majorBidi"/>
          <w:i/>
          <w:iCs/>
          <w:sz w:val="24"/>
          <w:szCs w:val="24"/>
        </w:rPr>
      </w:pPr>
    </w:p>
    <w:p w14:paraId="5B64A93A" w14:textId="77777777" w:rsidR="00FE6587" w:rsidRDefault="00FE6587" w:rsidP="00FE6587">
      <w:pPr>
        <w:spacing w:line="240" w:lineRule="auto"/>
        <w:jc w:val="center"/>
        <w:rPr>
          <w:rFonts w:asciiTheme="majorBidi" w:hAnsiTheme="majorBidi" w:cstheme="majorBidi"/>
          <w:i/>
          <w:iCs/>
          <w:sz w:val="24"/>
          <w:szCs w:val="24"/>
        </w:rPr>
      </w:pPr>
    </w:p>
    <w:p w14:paraId="7CA7629F" w14:textId="77777777" w:rsidR="00FE6587" w:rsidRDefault="00FE6587" w:rsidP="00FE6587">
      <w:pPr>
        <w:spacing w:line="240" w:lineRule="auto"/>
        <w:jc w:val="center"/>
        <w:rPr>
          <w:rFonts w:asciiTheme="majorBidi" w:hAnsiTheme="majorBidi" w:cstheme="majorBidi"/>
          <w:i/>
          <w:iCs/>
          <w:sz w:val="24"/>
          <w:szCs w:val="24"/>
        </w:rPr>
      </w:pPr>
    </w:p>
    <w:p w14:paraId="18D3E1A0" w14:textId="77777777" w:rsidR="00FE6587" w:rsidRDefault="00FE6587" w:rsidP="00FE6587">
      <w:pPr>
        <w:spacing w:line="240" w:lineRule="auto"/>
        <w:jc w:val="center"/>
        <w:rPr>
          <w:rFonts w:asciiTheme="majorBidi" w:hAnsiTheme="majorBidi" w:cstheme="majorBidi"/>
          <w:i/>
          <w:iCs/>
          <w:sz w:val="24"/>
          <w:szCs w:val="24"/>
        </w:rPr>
      </w:pPr>
    </w:p>
    <w:p w14:paraId="619F50BF" w14:textId="77777777" w:rsidR="00FE6587" w:rsidRDefault="00FE6587" w:rsidP="00FE6587">
      <w:pPr>
        <w:spacing w:line="240" w:lineRule="auto"/>
        <w:jc w:val="center"/>
        <w:rPr>
          <w:rFonts w:asciiTheme="majorBidi" w:hAnsiTheme="majorBidi" w:cstheme="majorBidi"/>
          <w:i/>
          <w:iCs/>
          <w:sz w:val="24"/>
          <w:szCs w:val="24"/>
        </w:rPr>
      </w:pPr>
    </w:p>
    <w:p w14:paraId="72DD80E2" w14:textId="77777777" w:rsidR="00FE6587" w:rsidRDefault="00FE6587" w:rsidP="00FE6587">
      <w:pPr>
        <w:spacing w:line="240" w:lineRule="auto"/>
        <w:jc w:val="center"/>
        <w:rPr>
          <w:rFonts w:asciiTheme="majorBidi" w:hAnsiTheme="majorBidi" w:cstheme="majorBidi"/>
          <w:i/>
          <w:iCs/>
          <w:sz w:val="24"/>
          <w:szCs w:val="24"/>
        </w:rPr>
      </w:pPr>
    </w:p>
    <w:p w14:paraId="6800F382" w14:textId="77777777" w:rsidR="00FE6587" w:rsidRDefault="00FE6587" w:rsidP="00FE6587">
      <w:pPr>
        <w:spacing w:line="240" w:lineRule="auto"/>
        <w:jc w:val="center"/>
        <w:rPr>
          <w:rFonts w:asciiTheme="majorBidi" w:hAnsiTheme="majorBidi" w:cstheme="majorBidi"/>
          <w:i/>
          <w:iCs/>
          <w:sz w:val="24"/>
          <w:szCs w:val="24"/>
        </w:rPr>
      </w:pPr>
    </w:p>
    <w:p w14:paraId="18A0DDD2" w14:textId="77777777" w:rsidR="00FE6587" w:rsidRDefault="00FE6587" w:rsidP="00FE6587">
      <w:pPr>
        <w:spacing w:line="240" w:lineRule="auto"/>
        <w:jc w:val="center"/>
        <w:rPr>
          <w:rFonts w:asciiTheme="majorBidi" w:hAnsiTheme="majorBidi" w:cstheme="majorBidi"/>
          <w:i/>
          <w:iCs/>
          <w:sz w:val="24"/>
          <w:szCs w:val="24"/>
        </w:rPr>
      </w:pPr>
    </w:p>
    <w:p w14:paraId="1E3DFF70" w14:textId="77777777" w:rsidR="00FE6587" w:rsidRDefault="00FE6587" w:rsidP="00FE6587">
      <w:pPr>
        <w:spacing w:line="240" w:lineRule="auto"/>
        <w:jc w:val="center"/>
        <w:rPr>
          <w:rFonts w:asciiTheme="majorBidi" w:hAnsiTheme="majorBidi" w:cstheme="majorBidi"/>
          <w:i/>
          <w:iCs/>
          <w:sz w:val="24"/>
          <w:szCs w:val="24"/>
        </w:rPr>
      </w:pPr>
    </w:p>
    <w:p w14:paraId="5A97AB95" w14:textId="77777777" w:rsidR="00FE6587" w:rsidRDefault="00FE6587" w:rsidP="00FE6587">
      <w:pPr>
        <w:spacing w:line="240" w:lineRule="auto"/>
        <w:jc w:val="center"/>
        <w:rPr>
          <w:rFonts w:asciiTheme="majorBidi" w:hAnsiTheme="majorBidi" w:cstheme="majorBidi"/>
          <w:i/>
          <w:iCs/>
          <w:sz w:val="24"/>
          <w:szCs w:val="24"/>
        </w:rPr>
      </w:pPr>
    </w:p>
    <w:p w14:paraId="148B5E7E" w14:textId="77777777" w:rsidR="00FE6587" w:rsidRDefault="00FE6587" w:rsidP="00FE6587">
      <w:pPr>
        <w:spacing w:line="240" w:lineRule="auto"/>
        <w:jc w:val="center"/>
        <w:rPr>
          <w:rFonts w:asciiTheme="majorBidi" w:hAnsiTheme="majorBidi" w:cstheme="majorBidi"/>
          <w:i/>
          <w:iCs/>
          <w:sz w:val="24"/>
          <w:szCs w:val="24"/>
        </w:rPr>
      </w:pPr>
    </w:p>
    <w:p w14:paraId="6B45B41D" w14:textId="77777777" w:rsidR="00FE6587" w:rsidRDefault="00FE6587" w:rsidP="00FE6587">
      <w:pPr>
        <w:spacing w:line="240" w:lineRule="auto"/>
        <w:jc w:val="center"/>
        <w:rPr>
          <w:rFonts w:asciiTheme="majorBidi" w:hAnsiTheme="majorBidi" w:cstheme="majorBidi"/>
          <w:i/>
          <w:iCs/>
          <w:sz w:val="24"/>
          <w:szCs w:val="24"/>
        </w:rPr>
      </w:pPr>
    </w:p>
    <w:p w14:paraId="3675C4FB" w14:textId="77777777" w:rsidR="00FE6587" w:rsidRDefault="00FE6587" w:rsidP="00FE6587">
      <w:pPr>
        <w:spacing w:line="240" w:lineRule="auto"/>
        <w:jc w:val="center"/>
        <w:rPr>
          <w:rFonts w:asciiTheme="majorBidi" w:hAnsiTheme="majorBidi" w:cstheme="majorBidi"/>
          <w:i/>
          <w:iCs/>
          <w:sz w:val="24"/>
          <w:szCs w:val="24"/>
        </w:rPr>
      </w:pPr>
    </w:p>
    <w:p w14:paraId="352C30E8" w14:textId="77777777" w:rsidR="00FE6587" w:rsidRDefault="00FE6587" w:rsidP="00FE6587">
      <w:pPr>
        <w:spacing w:line="240" w:lineRule="auto"/>
        <w:jc w:val="center"/>
        <w:rPr>
          <w:rFonts w:asciiTheme="majorBidi" w:hAnsiTheme="majorBidi" w:cstheme="majorBidi"/>
          <w:i/>
          <w:iCs/>
          <w:sz w:val="24"/>
          <w:szCs w:val="24"/>
        </w:rPr>
      </w:pPr>
    </w:p>
    <w:p w14:paraId="4D0EF7D5" w14:textId="77777777" w:rsidR="00FE6587" w:rsidRDefault="00FE6587" w:rsidP="00FE6587">
      <w:pPr>
        <w:spacing w:line="240" w:lineRule="auto"/>
        <w:jc w:val="center"/>
        <w:rPr>
          <w:rFonts w:asciiTheme="majorBidi" w:hAnsiTheme="majorBidi" w:cstheme="majorBidi"/>
          <w:i/>
          <w:iCs/>
          <w:sz w:val="24"/>
          <w:szCs w:val="24"/>
        </w:rPr>
      </w:pPr>
    </w:p>
    <w:p w14:paraId="6439FB5C" w14:textId="77777777" w:rsidR="00FE6587" w:rsidRDefault="00FE6587" w:rsidP="00FE6587">
      <w:pPr>
        <w:spacing w:line="240" w:lineRule="auto"/>
        <w:jc w:val="center"/>
        <w:rPr>
          <w:rFonts w:asciiTheme="majorBidi" w:hAnsiTheme="majorBidi" w:cstheme="majorBidi"/>
          <w:i/>
          <w:iCs/>
          <w:sz w:val="24"/>
          <w:szCs w:val="24"/>
        </w:rPr>
      </w:pPr>
    </w:p>
    <w:p w14:paraId="4FDDC134" w14:textId="77777777" w:rsidR="00FE6587" w:rsidRDefault="00FE6587" w:rsidP="00FE6587">
      <w:pPr>
        <w:spacing w:line="240" w:lineRule="auto"/>
        <w:jc w:val="center"/>
        <w:rPr>
          <w:rFonts w:asciiTheme="majorBidi" w:hAnsiTheme="majorBidi" w:cstheme="majorBidi"/>
          <w:i/>
          <w:iCs/>
          <w:sz w:val="24"/>
          <w:szCs w:val="24"/>
        </w:rPr>
      </w:pPr>
    </w:p>
    <w:p w14:paraId="0E84252D" w14:textId="77777777" w:rsidR="00FE6587" w:rsidRDefault="00FE6587" w:rsidP="00FE6587">
      <w:pPr>
        <w:spacing w:line="240" w:lineRule="auto"/>
        <w:jc w:val="center"/>
        <w:rPr>
          <w:rFonts w:asciiTheme="majorBidi" w:hAnsiTheme="majorBidi" w:cstheme="majorBidi"/>
          <w:i/>
          <w:iCs/>
          <w:sz w:val="24"/>
          <w:szCs w:val="24"/>
        </w:rPr>
      </w:pPr>
    </w:p>
    <w:p w14:paraId="5AD8FC26" w14:textId="77777777" w:rsidR="00FE6587" w:rsidRDefault="00FE6587" w:rsidP="00FE6587">
      <w:pPr>
        <w:spacing w:line="240" w:lineRule="auto"/>
        <w:jc w:val="center"/>
        <w:rPr>
          <w:rFonts w:asciiTheme="majorBidi" w:hAnsiTheme="majorBidi" w:cstheme="majorBidi"/>
          <w:i/>
          <w:iCs/>
          <w:sz w:val="24"/>
          <w:szCs w:val="24"/>
        </w:rPr>
      </w:pPr>
    </w:p>
    <w:p w14:paraId="71A37E71" w14:textId="77777777" w:rsidR="00FE6587" w:rsidRDefault="00FE6587" w:rsidP="00FE6587">
      <w:pPr>
        <w:spacing w:line="240" w:lineRule="auto"/>
        <w:jc w:val="center"/>
        <w:rPr>
          <w:rFonts w:asciiTheme="majorBidi" w:hAnsiTheme="majorBidi" w:cstheme="majorBidi"/>
          <w:i/>
          <w:iCs/>
          <w:sz w:val="24"/>
          <w:szCs w:val="24"/>
        </w:rPr>
      </w:pPr>
    </w:p>
    <w:p w14:paraId="3D4843EA" w14:textId="77777777" w:rsidR="00FE6587" w:rsidRDefault="00FE6587" w:rsidP="00FE6587">
      <w:pPr>
        <w:spacing w:line="240" w:lineRule="auto"/>
        <w:jc w:val="center"/>
        <w:rPr>
          <w:rFonts w:asciiTheme="majorBidi" w:hAnsiTheme="majorBidi" w:cstheme="majorBidi"/>
          <w:i/>
          <w:iCs/>
          <w:sz w:val="24"/>
          <w:szCs w:val="24"/>
        </w:rPr>
      </w:pPr>
    </w:p>
    <w:p w14:paraId="3E618A4E" w14:textId="77777777" w:rsidR="00FE6587" w:rsidRDefault="00FE6587" w:rsidP="00FE6587">
      <w:pPr>
        <w:spacing w:line="240" w:lineRule="auto"/>
        <w:jc w:val="center"/>
        <w:rPr>
          <w:rFonts w:asciiTheme="majorBidi" w:hAnsiTheme="majorBidi" w:cstheme="majorBidi"/>
          <w:i/>
          <w:iCs/>
          <w:sz w:val="24"/>
          <w:szCs w:val="24"/>
        </w:rPr>
      </w:pPr>
    </w:p>
    <w:p w14:paraId="51122A2D" w14:textId="77777777" w:rsidR="00FE6587" w:rsidRDefault="00FE6587" w:rsidP="00FE6587">
      <w:pPr>
        <w:spacing w:line="240" w:lineRule="auto"/>
        <w:jc w:val="center"/>
        <w:rPr>
          <w:rFonts w:asciiTheme="majorBidi" w:hAnsiTheme="majorBidi" w:cstheme="majorBidi"/>
          <w:i/>
          <w:iCs/>
          <w:sz w:val="24"/>
          <w:szCs w:val="24"/>
        </w:rPr>
      </w:pPr>
    </w:p>
    <w:p w14:paraId="14619154" w14:textId="77777777" w:rsidR="00FE6587" w:rsidRDefault="00FE6587" w:rsidP="00FE6587">
      <w:pPr>
        <w:spacing w:line="240" w:lineRule="auto"/>
        <w:jc w:val="center"/>
        <w:rPr>
          <w:rFonts w:asciiTheme="majorBidi" w:hAnsiTheme="majorBidi" w:cstheme="majorBidi"/>
          <w:i/>
          <w:iCs/>
          <w:sz w:val="24"/>
          <w:szCs w:val="24"/>
        </w:rPr>
      </w:pPr>
    </w:p>
    <w:p w14:paraId="62B2415E" w14:textId="77777777" w:rsidR="00FE6587" w:rsidRDefault="00FE6587" w:rsidP="00FE6587">
      <w:pPr>
        <w:spacing w:line="240" w:lineRule="auto"/>
        <w:jc w:val="center"/>
        <w:rPr>
          <w:rFonts w:asciiTheme="majorBidi" w:hAnsiTheme="majorBidi" w:cstheme="majorBidi"/>
          <w:i/>
          <w:iCs/>
          <w:sz w:val="24"/>
          <w:szCs w:val="24"/>
        </w:rPr>
      </w:pPr>
    </w:p>
    <w:p w14:paraId="0507BBC4" w14:textId="77777777" w:rsidR="00FE6587" w:rsidRDefault="00FE6587" w:rsidP="00FE6587">
      <w:pPr>
        <w:spacing w:line="240" w:lineRule="auto"/>
        <w:jc w:val="center"/>
        <w:rPr>
          <w:rFonts w:asciiTheme="majorBidi" w:hAnsiTheme="majorBidi" w:cstheme="majorBidi"/>
          <w:i/>
          <w:iCs/>
          <w:sz w:val="24"/>
          <w:szCs w:val="24"/>
        </w:rPr>
      </w:pPr>
    </w:p>
    <w:p w14:paraId="459816DE" w14:textId="77777777" w:rsidR="00FE6587" w:rsidRDefault="00FE6587" w:rsidP="00FE6587">
      <w:pPr>
        <w:spacing w:line="240" w:lineRule="auto"/>
        <w:jc w:val="center"/>
        <w:rPr>
          <w:rFonts w:asciiTheme="majorBidi" w:hAnsiTheme="majorBidi" w:cstheme="majorBidi"/>
          <w:i/>
          <w:iCs/>
          <w:sz w:val="24"/>
          <w:szCs w:val="24"/>
        </w:rPr>
      </w:pPr>
    </w:p>
    <w:p w14:paraId="5CCF4462" w14:textId="77777777" w:rsidR="00FE6587" w:rsidRDefault="00FE6587" w:rsidP="00FE6587">
      <w:pPr>
        <w:spacing w:line="240" w:lineRule="auto"/>
        <w:jc w:val="center"/>
        <w:rPr>
          <w:rFonts w:asciiTheme="majorBidi" w:hAnsiTheme="majorBidi" w:cstheme="majorBidi"/>
          <w:i/>
          <w:iCs/>
          <w:sz w:val="24"/>
          <w:szCs w:val="24"/>
        </w:rPr>
      </w:pPr>
    </w:p>
    <w:p w14:paraId="346E5A2E" w14:textId="77777777" w:rsidR="00FE6587" w:rsidRDefault="00FE6587" w:rsidP="00FE6587">
      <w:pPr>
        <w:spacing w:line="240" w:lineRule="auto"/>
        <w:jc w:val="center"/>
        <w:rPr>
          <w:rFonts w:asciiTheme="majorBidi" w:hAnsiTheme="majorBidi" w:cstheme="majorBidi"/>
          <w:i/>
          <w:iCs/>
          <w:sz w:val="24"/>
          <w:szCs w:val="24"/>
        </w:rPr>
      </w:pPr>
    </w:p>
    <w:p w14:paraId="1DA754BC" w14:textId="77777777" w:rsidR="00FE6587" w:rsidRDefault="00FE6587" w:rsidP="00FE6587">
      <w:pPr>
        <w:spacing w:line="240" w:lineRule="auto"/>
        <w:jc w:val="center"/>
        <w:rPr>
          <w:rFonts w:asciiTheme="majorBidi" w:hAnsiTheme="majorBidi" w:cstheme="majorBidi"/>
          <w:i/>
          <w:iCs/>
          <w:sz w:val="24"/>
          <w:szCs w:val="24"/>
        </w:rPr>
      </w:pPr>
    </w:p>
    <w:p w14:paraId="1B7CC61B" w14:textId="77777777" w:rsidR="00FE6587" w:rsidRDefault="00FE6587" w:rsidP="00FE6587">
      <w:pPr>
        <w:spacing w:line="240" w:lineRule="auto"/>
        <w:jc w:val="center"/>
        <w:rPr>
          <w:rFonts w:asciiTheme="majorBidi" w:hAnsiTheme="majorBidi" w:cstheme="majorBidi"/>
          <w:i/>
          <w:iCs/>
          <w:sz w:val="24"/>
          <w:szCs w:val="24"/>
        </w:rPr>
      </w:pPr>
    </w:p>
    <w:p w14:paraId="10937E7F" w14:textId="77777777" w:rsidR="00FE6587" w:rsidRDefault="00FE6587" w:rsidP="00FE6587">
      <w:pPr>
        <w:spacing w:line="240" w:lineRule="auto"/>
        <w:jc w:val="center"/>
        <w:rPr>
          <w:rFonts w:asciiTheme="majorBidi" w:hAnsiTheme="majorBidi" w:cstheme="majorBidi"/>
          <w:i/>
          <w:iCs/>
          <w:sz w:val="24"/>
          <w:szCs w:val="24"/>
        </w:rPr>
      </w:pPr>
    </w:p>
    <w:p w14:paraId="50F9A8CA" w14:textId="77777777" w:rsidR="00FE6587" w:rsidRDefault="00FE6587" w:rsidP="00FE6587">
      <w:pPr>
        <w:spacing w:line="240" w:lineRule="auto"/>
        <w:jc w:val="center"/>
        <w:rPr>
          <w:rFonts w:asciiTheme="majorBidi" w:hAnsiTheme="majorBidi" w:cstheme="majorBidi"/>
          <w:i/>
          <w:iCs/>
          <w:sz w:val="24"/>
          <w:szCs w:val="24"/>
        </w:rPr>
      </w:pPr>
    </w:p>
    <w:p w14:paraId="1FF3408F" w14:textId="77777777" w:rsidR="00FE6587" w:rsidRDefault="00FE6587" w:rsidP="00FE6587">
      <w:pPr>
        <w:spacing w:line="240" w:lineRule="auto"/>
        <w:jc w:val="center"/>
        <w:rPr>
          <w:rFonts w:asciiTheme="majorBidi" w:hAnsiTheme="majorBidi" w:cstheme="majorBidi"/>
          <w:i/>
          <w:iCs/>
          <w:sz w:val="24"/>
          <w:szCs w:val="24"/>
        </w:rPr>
      </w:pPr>
    </w:p>
    <w:p w14:paraId="1B00FB17" w14:textId="77777777" w:rsidR="00FE6587" w:rsidRDefault="00FE6587" w:rsidP="00FE6587">
      <w:pPr>
        <w:spacing w:line="240" w:lineRule="auto"/>
        <w:jc w:val="center"/>
        <w:rPr>
          <w:rFonts w:asciiTheme="majorBidi" w:hAnsiTheme="majorBidi" w:cstheme="majorBidi"/>
          <w:i/>
          <w:iCs/>
          <w:sz w:val="24"/>
          <w:szCs w:val="24"/>
        </w:rPr>
      </w:pPr>
    </w:p>
    <w:p w14:paraId="0B9D987E" w14:textId="77777777" w:rsidR="00FE6587" w:rsidRDefault="00FE6587" w:rsidP="00FE6587">
      <w:pPr>
        <w:spacing w:line="240" w:lineRule="auto"/>
        <w:jc w:val="center"/>
        <w:rPr>
          <w:rFonts w:asciiTheme="majorBidi" w:hAnsiTheme="majorBidi" w:cstheme="majorBidi"/>
          <w:i/>
          <w:iCs/>
          <w:sz w:val="24"/>
          <w:szCs w:val="24"/>
        </w:rPr>
      </w:pPr>
    </w:p>
    <w:p w14:paraId="659827F0" w14:textId="77777777" w:rsidR="00FE6587" w:rsidRDefault="00FE6587" w:rsidP="00FE6587">
      <w:pPr>
        <w:spacing w:line="240" w:lineRule="auto"/>
        <w:jc w:val="center"/>
        <w:rPr>
          <w:rFonts w:asciiTheme="majorBidi" w:hAnsiTheme="majorBidi" w:cstheme="majorBidi"/>
          <w:i/>
          <w:iCs/>
          <w:sz w:val="24"/>
          <w:szCs w:val="24"/>
        </w:rPr>
      </w:pPr>
    </w:p>
    <w:p w14:paraId="069C38ED" w14:textId="77777777" w:rsidR="00FE6587" w:rsidRDefault="00FE6587" w:rsidP="00FE6587">
      <w:pPr>
        <w:spacing w:line="240" w:lineRule="auto"/>
        <w:jc w:val="center"/>
        <w:rPr>
          <w:rFonts w:asciiTheme="majorBidi" w:hAnsiTheme="majorBidi" w:cstheme="majorBidi"/>
          <w:i/>
          <w:iCs/>
          <w:sz w:val="24"/>
          <w:szCs w:val="24"/>
        </w:rPr>
      </w:pPr>
    </w:p>
    <w:p w14:paraId="28A5B45F" w14:textId="77777777" w:rsidR="00FE6587" w:rsidRDefault="00FE6587" w:rsidP="00FE6587">
      <w:pPr>
        <w:spacing w:line="240" w:lineRule="auto"/>
        <w:jc w:val="center"/>
        <w:rPr>
          <w:rFonts w:asciiTheme="majorBidi" w:hAnsiTheme="majorBidi" w:cstheme="majorBidi"/>
          <w:i/>
          <w:iCs/>
          <w:sz w:val="24"/>
          <w:szCs w:val="24"/>
        </w:rPr>
      </w:pPr>
    </w:p>
    <w:p w14:paraId="2B40A576" w14:textId="77777777" w:rsidR="00FE6587" w:rsidRDefault="00FE6587" w:rsidP="00FE6587">
      <w:pPr>
        <w:spacing w:line="240" w:lineRule="auto"/>
        <w:jc w:val="center"/>
        <w:rPr>
          <w:rFonts w:asciiTheme="majorBidi" w:hAnsiTheme="majorBidi" w:cstheme="majorBidi"/>
          <w:i/>
          <w:iCs/>
          <w:sz w:val="24"/>
          <w:szCs w:val="24"/>
        </w:rPr>
      </w:pPr>
    </w:p>
    <w:p w14:paraId="47D80586" w14:textId="77777777" w:rsidR="00FE6587" w:rsidRDefault="00FE6587" w:rsidP="00FE6587">
      <w:pPr>
        <w:spacing w:line="240" w:lineRule="auto"/>
        <w:jc w:val="center"/>
        <w:rPr>
          <w:rFonts w:asciiTheme="majorBidi" w:hAnsiTheme="majorBidi" w:cstheme="majorBidi"/>
          <w:i/>
          <w:iCs/>
          <w:sz w:val="24"/>
          <w:szCs w:val="24"/>
        </w:rPr>
      </w:pPr>
    </w:p>
    <w:p w14:paraId="0433C1EB" w14:textId="77777777" w:rsidR="00FE6587" w:rsidRDefault="00FE6587" w:rsidP="00FE6587">
      <w:pPr>
        <w:spacing w:line="240" w:lineRule="auto"/>
        <w:jc w:val="center"/>
        <w:rPr>
          <w:rFonts w:asciiTheme="majorBidi" w:hAnsiTheme="majorBidi" w:cstheme="majorBidi"/>
          <w:i/>
          <w:iCs/>
          <w:sz w:val="24"/>
          <w:szCs w:val="24"/>
        </w:rPr>
      </w:pPr>
    </w:p>
    <w:p w14:paraId="377A17A8" w14:textId="77777777" w:rsidR="00FE6587" w:rsidRDefault="00FE6587" w:rsidP="00FE6587">
      <w:pPr>
        <w:spacing w:line="240" w:lineRule="auto"/>
        <w:jc w:val="center"/>
        <w:rPr>
          <w:rFonts w:asciiTheme="majorBidi" w:hAnsiTheme="majorBidi" w:cstheme="majorBidi"/>
          <w:i/>
          <w:iCs/>
          <w:sz w:val="24"/>
          <w:szCs w:val="24"/>
        </w:rPr>
      </w:pPr>
    </w:p>
    <w:p w14:paraId="2E54AB5B" w14:textId="77777777" w:rsidR="00FE6587" w:rsidRDefault="00FE6587" w:rsidP="00FE6587">
      <w:pPr>
        <w:spacing w:line="240" w:lineRule="auto"/>
        <w:jc w:val="center"/>
        <w:rPr>
          <w:rFonts w:asciiTheme="majorBidi" w:hAnsiTheme="majorBidi" w:cstheme="majorBidi"/>
          <w:i/>
          <w:iCs/>
          <w:sz w:val="24"/>
          <w:szCs w:val="24"/>
        </w:rPr>
      </w:pPr>
    </w:p>
    <w:p w14:paraId="0C8B5950" w14:textId="77777777" w:rsidR="00FE6587" w:rsidRDefault="00FE6587" w:rsidP="00FE6587">
      <w:pPr>
        <w:spacing w:line="240" w:lineRule="auto"/>
        <w:jc w:val="center"/>
        <w:rPr>
          <w:rFonts w:asciiTheme="majorBidi" w:hAnsiTheme="majorBidi" w:cstheme="majorBidi"/>
          <w:i/>
          <w:iCs/>
          <w:sz w:val="24"/>
          <w:szCs w:val="24"/>
        </w:rPr>
      </w:pPr>
    </w:p>
    <w:p w14:paraId="349843F4" w14:textId="77777777" w:rsidR="00FE6587" w:rsidRDefault="00FE6587" w:rsidP="00FE6587">
      <w:pPr>
        <w:spacing w:line="240" w:lineRule="auto"/>
        <w:jc w:val="center"/>
        <w:rPr>
          <w:rFonts w:asciiTheme="majorBidi" w:hAnsiTheme="majorBidi" w:cstheme="majorBidi"/>
          <w:i/>
          <w:iCs/>
          <w:sz w:val="24"/>
          <w:szCs w:val="24"/>
        </w:rPr>
      </w:pPr>
    </w:p>
    <w:p w14:paraId="42C3C614" w14:textId="2A3DA1B5" w:rsidR="00FE6587" w:rsidRPr="00C30008" w:rsidRDefault="00FE6587" w:rsidP="00FE6587">
      <w:pPr>
        <w:spacing w:line="240" w:lineRule="auto"/>
        <w:jc w:val="center"/>
        <w:rPr>
          <w:rFonts w:asciiTheme="majorBidi" w:hAnsiTheme="majorBidi" w:cstheme="majorBidi"/>
          <w:i/>
          <w:iCs/>
          <w:sz w:val="24"/>
          <w:szCs w:val="24"/>
        </w:rPr>
      </w:pPr>
      <w:r w:rsidRPr="00C30008">
        <w:rPr>
          <w:rFonts w:asciiTheme="majorBidi" w:hAnsiTheme="majorBidi" w:cstheme="majorBidi"/>
          <w:i/>
          <w:iCs/>
          <w:sz w:val="24"/>
          <w:szCs w:val="24"/>
        </w:rPr>
        <w:t>(This page left intentionally blank)</w:t>
      </w:r>
    </w:p>
    <w:p w14:paraId="1C228017" w14:textId="77AC5321" w:rsidR="008A4AA9" w:rsidRDefault="008A4AA9">
      <w:pPr>
        <w:spacing w:line="240" w:lineRule="auto"/>
        <w:rPr>
          <w:rFonts w:asciiTheme="majorBidi" w:hAnsiTheme="majorBidi" w:cstheme="majorBidi"/>
          <w:b/>
          <w:sz w:val="32"/>
          <w:szCs w:val="32"/>
          <w:u w:val="single"/>
        </w:rPr>
      </w:pPr>
    </w:p>
    <w:p w14:paraId="5350DD2B" w14:textId="77777777" w:rsidR="00FE6587" w:rsidRDefault="00FE6587">
      <w:pPr>
        <w:spacing w:line="240" w:lineRule="auto"/>
        <w:rPr>
          <w:rFonts w:asciiTheme="majorBidi" w:hAnsiTheme="majorBidi" w:cstheme="majorBidi"/>
          <w:bCs/>
          <w:sz w:val="44"/>
          <w:szCs w:val="32"/>
        </w:rPr>
      </w:pPr>
      <w:r>
        <w:rPr>
          <w:rFonts w:asciiTheme="majorBidi" w:hAnsiTheme="majorBidi" w:cstheme="majorBidi"/>
          <w:bCs/>
          <w:sz w:val="44"/>
          <w:szCs w:val="32"/>
        </w:rPr>
        <w:br w:type="page"/>
      </w:r>
    </w:p>
    <w:p w14:paraId="38554D8D" w14:textId="77FA2B02" w:rsidR="009F32A6" w:rsidRPr="00B9022C" w:rsidRDefault="009F32A6" w:rsidP="00B9022C">
      <w:pPr>
        <w:jc w:val="center"/>
        <w:rPr>
          <w:rFonts w:asciiTheme="majorBidi" w:hAnsiTheme="majorBidi" w:cstheme="majorBidi"/>
          <w:bCs/>
          <w:sz w:val="32"/>
          <w:szCs w:val="32"/>
        </w:rPr>
      </w:pPr>
      <w:r w:rsidRPr="009F32A6">
        <w:rPr>
          <w:rFonts w:asciiTheme="majorBidi" w:hAnsiTheme="majorBidi" w:cstheme="majorBidi"/>
          <w:bCs/>
          <w:sz w:val="44"/>
          <w:szCs w:val="32"/>
        </w:rPr>
        <w:t>B</w:t>
      </w:r>
      <w:r>
        <w:rPr>
          <w:rFonts w:asciiTheme="majorBidi" w:hAnsiTheme="majorBidi" w:cstheme="majorBidi"/>
          <w:bCs/>
          <w:sz w:val="32"/>
          <w:szCs w:val="32"/>
        </w:rPr>
        <w:t>IBLIOGRAPHY</w:t>
      </w:r>
    </w:p>
    <w:p w14:paraId="1724BF3C" w14:textId="77777777" w:rsidR="00252349" w:rsidRDefault="00252349" w:rsidP="004C3EE0">
      <w:pPr>
        <w:jc w:val="both"/>
        <w:rPr>
          <w:rFonts w:asciiTheme="majorBidi" w:hAnsiTheme="majorBidi" w:cstheme="majorBidi"/>
          <w:b/>
          <w:sz w:val="24"/>
          <w:szCs w:val="24"/>
          <w:u w:val="single"/>
        </w:rPr>
      </w:pPr>
    </w:p>
    <w:p w14:paraId="4AEBCC78" w14:textId="77777777" w:rsidR="00B9022C" w:rsidRPr="00B9022C" w:rsidRDefault="00B9022C" w:rsidP="004C3EE0">
      <w:pPr>
        <w:jc w:val="both"/>
        <w:rPr>
          <w:rFonts w:asciiTheme="majorBidi" w:hAnsiTheme="majorBidi" w:cstheme="majorBidi"/>
          <w:b/>
          <w:sz w:val="24"/>
          <w:szCs w:val="24"/>
          <w:u w:val="single"/>
        </w:rPr>
      </w:pPr>
    </w:p>
    <w:p w14:paraId="77C914F2" w14:textId="26A01E0C" w:rsidR="00252349" w:rsidRDefault="009F32A6" w:rsidP="00752070">
      <w:pPr>
        <w:jc w:val="center"/>
        <w:rPr>
          <w:rFonts w:asciiTheme="majorBidi" w:hAnsiTheme="majorBidi" w:cstheme="majorBidi"/>
          <w:bCs/>
          <w:sz w:val="28"/>
          <w:szCs w:val="28"/>
        </w:rPr>
      </w:pPr>
      <w:r w:rsidRPr="009F32A6">
        <w:rPr>
          <w:rFonts w:asciiTheme="majorBidi" w:hAnsiTheme="majorBidi" w:cstheme="majorBidi"/>
          <w:bCs/>
          <w:sz w:val="36"/>
          <w:szCs w:val="28"/>
        </w:rPr>
        <w:t>P</w:t>
      </w:r>
      <w:r>
        <w:rPr>
          <w:rFonts w:asciiTheme="majorBidi" w:hAnsiTheme="majorBidi" w:cstheme="majorBidi"/>
          <w:bCs/>
          <w:sz w:val="28"/>
          <w:szCs w:val="28"/>
        </w:rPr>
        <w:t xml:space="preserve">RIMARY </w:t>
      </w:r>
      <w:r w:rsidRPr="009F32A6">
        <w:rPr>
          <w:rFonts w:asciiTheme="majorBidi" w:hAnsiTheme="majorBidi" w:cstheme="majorBidi"/>
          <w:bCs/>
          <w:sz w:val="36"/>
          <w:szCs w:val="28"/>
        </w:rPr>
        <w:t>S</w:t>
      </w:r>
      <w:r>
        <w:rPr>
          <w:rFonts w:asciiTheme="majorBidi" w:hAnsiTheme="majorBidi" w:cstheme="majorBidi"/>
          <w:bCs/>
          <w:sz w:val="28"/>
          <w:szCs w:val="28"/>
        </w:rPr>
        <w:t>OURCES</w:t>
      </w:r>
    </w:p>
    <w:p w14:paraId="25BAB26A" w14:textId="77777777" w:rsidR="00752070" w:rsidRPr="00B9022C" w:rsidRDefault="00752070" w:rsidP="004C3EE0">
      <w:pPr>
        <w:jc w:val="both"/>
        <w:rPr>
          <w:rFonts w:asciiTheme="majorBidi" w:hAnsiTheme="majorBidi" w:cstheme="majorBidi"/>
          <w:bCs/>
          <w:sz w:val="28"/>
          <w:szCs w:val="28"/>
        </w:rPr>
      </w:pPr>
    </w:p>
    <w:p w14:paraId="3560DEED"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Abrams, J.J., and Doug Dorst, </w:t>
      </w:r>
      <w:r w:rsidRPr="00505CF0">
        <w:rPr>
          <w:rFonts w:asciiTheme="majorBidi" w:hAnsiTheme="majorBidi" w:cstheme="majorBidi"/>
          <w:i/>
          <w:iCs/>
        </w:rPr>
        <w:t>S</w:t>
      </w:r>
      <w:r w:rsidRPr="00505CF0">
        <w:rPr>
          <w:rFonts w:asciiTheme="majorBidi" w:hAnsiTheme="majorBidi" w:cstheme="majorBidi"/>
        </w:rPr>
        <w:t xml:space="preserve"> (New York: Hachette Book Group, 2013)</w:t>
      </w:r>
    </w:p>
    <w:p w14:paraId="6162BE82" w14:textId="77777777" w:rsidR="00C067F2" w:rsidRDefault="00C067F2" w:rsidP="00C067F2">
      <w:pPr>
        <w:pStyle w:val="NormalWeb"/>
        <w:ind w:left="480" w:hanging="480"/>
      </w:pPr>
      <w:r>
        <w:t xml:space="preserve">Alighieri, Dante, </w:t>
      </w:r>
      <w:proofErr w:type="gramStart"/>
      <w:r>
        <w:rPr>
          <w:i/>
          <w:iCs/>
        </w:rPr>
        <w:t>The</w:t>
      </w:r>
      <w:proofErr w:type="gramEnd"/>
      <w:r>
        <w:rPr>
          <w:i/>
          <w:iCs/>
        </w:rPr>
        <w:t xml:space="preserve"> Divine Comedy</w:t>
      </w:r>
      <w:r>
        <w:t>, trans. by Charles S. Singleton (Princeton: Princeton University Press, 1989)</w:t>
      </w:r>
    </w:p>
    <w:p w14:paraId="605502BC"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Alpin, Marc, ‘Scott Lynch Interview’, </w:t>
      </w:r>
      <w:r w:rsidRPr="00505CF0">
        <w:rPr>
          <w:rFonts w:asciiTheme="majorBidi" w:hAnsiTheme="majorBidi" w:cstheme="majorBidi"/>
          <w:i/>
          <w:iCs/>
        </w:rPr>
        <w:t>Fantasy Faction</w:t>
      </w:r>
      <w:r w:rsidRPr="00505CF0">
        <w:rPr>
          <w:rFonts w:asciiTheme="majorBidi" w:hAnsiTheme="majorBidi" w:cstheme="majorBidi"/>
        </w:rPr>
        <w:t>, 2011 &lt;www.fantasy-faction.com/2011/scott-lynch-interveiw&gt; [accessed 26 August 2015]</w:t>
      </w:r>
    </w:p>
    <w:p w14:paraId="024D92F9" w14:textId="5740C84D" w:rsidR="0070466E" w:rsidRPr="0070466E" w:rsidRDefault="0070466E" w:rsidP="006B5C76">
      <w:pPr>
        <w:pStyle w:val="NormalWeb"/>
        <w:ind w:left="480" w:hanging="480"/>
        <w:rPr>
          <w:rFonts w:asciiTheme="majorBidi" w:hAnsiTheme="majorBidi" w:cstheme="majorBidi"/>
        </w:rPr>
      </w:pPr>
      <w:r>
        <w:rPr>
          <w:rFonts w:asciiTheme="majorBidi" w:hAnsiTheme="majorBidi" w:cstheme="majorBidi"/>
        </w:rPr>
        <w:t xml:space="preserve">Amis, Martin, </w:t>
      </w:r>
      <w:proofErr w:type="gramStart"/>
      <w:r>
        <w:rPr>
          <w:rFonts w:asciiTheme="majorBidi" w:hAnsiTheme="majorBidi" w:cstheme="majorBidi"/>
          <w:i/>
          <w:iCs/>
        </w:rPr>
        <w:t>Time’s</w:t>
      </w:r>
      <w:proofErr w:type="gramEnd"/>
      <w:r>
        <w:rPr>
          <w:rFonts w:asciiTheme="majorBidi" w:hAnsiTheme="majorBidi" w:cstheme="majorBidi"/>
          <w:i/>
          <w:iCs/>
        </w:rPr>
        <w:t xml:space="preserve"> Arrow</w:t>
      </w:r>
      <w:r>
        <w:rPr>
          <w:rFonts w:asciiTheme="majorBidi" w:hAnsiTheme="majorBidi" w:cstheme="majorBidi"/>
        </w:rPr>
        <w:t xml:space="preserve"> (London: Vintage, 2003)</w:t>
      </w:r>
    </w:p>
    <w:p w14:paraId="3856E1EE" w14:textId="478B6710"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Aspinall, J.B., </w:t>
      </w:r>
      <w:r w:rsidRPr="00505CF0">
        <w:rPr>
          <w:rFonts w:asciiTheme="majorBidi" w:hAnsiTheme="majorBidi" w:cstheme="majorBidi"/>
          <w:i/>
          <w:iCs/>
        </w:rPr>
        <w:t>Sycorax</w:t>
      </w:r>
      <w:r w:rsidRPr="00505CF0">
        <w:rPr>
          <w:rFonts w:asciiTheme="majorBidi" w:hAnsiTheme="majorBidi" w:cstheme="majorBidi"/>
        </w:rPr>
        <w:t xml:space="preserve"> (London: Peter Ow</w:t>
      </w:r>
      <w:r w:rsidR="00F37D4E">
        <w:rPr>
          <w:rFonts w:asciiTheme="majorBidi" w:hAnsiTheme="majorBidi" w:cstheme="majorBidi"/>
        </w:rPr>
        <w:t>en</w:t>
      </w:r>
      <w:r w:rsidRPr="00505CF0">
        <w:rPr>
          <w:rFonts w:asciiTheme="majorBidi" w:hAnsiTheme="majorBidi" w:cstheme="majorBidi"/>
        </w:rPr>
        <w:t>, 2006)</w:t>
      </w:r>
    </w:p>
    <w:p w14:paraId="21B9AB86" w14:textId="0931FAEF" w:rsidR="0070466E" w:rsidRPr="0070466E" w:rsidRDefault="0070466E" w:rsidP="006B5C76">
      <w:pPr>
        <w:pStyle w:val="NormalWeb"/>
        <w:ind w:left="480" w:hanging="480"/>
        <w:rPr>
          <w:rFonts w:asciiTheme="majorBidi" w:hAnsiTheme="majorBidi" w:cstheme="majorBidi"/>
        </w:rPr>
      </w:pPr>
      <w:r>
        <w:rPr>
          <w:rFonts w:asciiTheme="majorBidi" w:hAnsiTheme="majorBidi" w:cstheme="majorBidi"/>
        </w:rPr>
        <w:t xml:space="preserve">Auster, Paul, </w:t>
      </w:r>
      <w:proofErr w:type="gramStart"/>
      <w:r>
        <w:rPr>
          <w:rFonts w:asciiTheme="majorBidi" w:hAnsiTheme="majorBidi" w:cstheme="majorBidi"/>
          <w:i/>
          <w:iCs/>
        </w:rPr>
        <w:t>The</w:t>
      </w:r>
      <w:proofErr w:type="gramEnd"/>
      <w:r>
        <w:rPr>
          <w:rFonts w:asciiTheme="majorBidi" w:hAnsiTheme="majorBidi" w:cstheme="majorBidi"/>
          <w:i/>
          <w:iCs/>
        </w:rPr>
        <w:t xml:space="preserve"> New York Trilogy </w:t>
      </w:r>
      <w:r>
        <w:rPr>
          <w:rFonts w:asciiTheme="majorBidi" w:hAnsiTheme="majorBidi" w:cstheme="majorBidi"/>
        </w:rPr>
        <w:t>(London: Faber and Faber, 2004)</w:t>
      </w:r>
    </w:p>
    <w:p w14:paraId="0B3C1476" w14:textId="4C4F854D" w:rsidR="0070466E" w:rsidRDefault="0070466E" w:rsidP="006B5C76">
      <w:pPr>
        <w:pStyle w:val="NormalWeb"/>
        <w:ind w:left="480" w:hanging="480"/>
        <w:rPr>
          <w:rFonts w:asciiTheme="majorBidi" w:hAnsiTheme="majorBidi" w:cstheme="majorBidi"/>
        </w:rPr>
      </w:pPr>
      <w:r>
        <w:rPr>
          <w:rFonts w:asciiTheme="majorBidi" w:hAnsiTheme="majorBidi" w:cstheme="majorBidi"/>
        </w:rPr>
        <w:t xml:space="preserve">Atwood, Margaret, </w:t>
      </w:r>
      <w:r>
        <w:rPr>
          <w:rFonts w:asciiTheme="majorBidi" w:hAnsiTheme="majorBidi" w:cstheme="majorBidi"/>
          <w:i/>
          <w:iCs/>
        </w:rPr>
        <w:t>The Handmaid’s Tale</w:t>
      </w:r>
      <w:r>
        <w:rPr>
          <w:rFonts w:asciiTheme="majorBidi" w:hAnsiTheme="majorBidi" w:cstheme="majorBidi"/>
        </w:rPr>
        <w:t xml:space="preserve"> (London: Vintage Classics, 2017)</w:t>
      </w:r>
    </w:p>
    <w:p w14:paraId="7FCE78A6" w14:textId="7ADC9428" w:rsidR="00B23E68" w:rsidRPr="00B23E68" w:rsidRDefault="00B23E68" w:rsidP="006B5C76">
      <w:pPr>
        <w:pStyle w:val="NormalWeb"/>
        <w:ind w:left="480" w:hanging="480"/>
        <w:rPr>
          <w:rFonts w:asciiTheme="majorBidi" w:hAnsiTheme="majorBidi" w:cstheme="majorBidi"/>
        </w:rPr>
      </w:pPr>
      <w:r>
        <w:rPr>
          <w:rFonts w:asciiTheme="majorBidi" w:hAnsiTheme="majorBidi" w:cstheme="majorBidi"/>
        </w:rPr>
        <w:t xml:space="preserve">Bailey, Melissa, </w:t>
      </w:r>
      <w:proofErr w:type="gramStart"/>
      <w:r>
        <w:rPr>
          <w:rFonts w:asciiTheme="majorBidi" w:hAnsiTheme="majorBidi" w:cstheme="majorBidi"/>
          <w:i/>
          <w:iCs/>
        </w:rPr>
        <w:t>The</w:t>
      </w:r>
      <w:proofErr w:type="gramEnd"/>
      <w:r>
        <w:rPr>
          <w:rFonts w:asciiTheme="majorBidi" w:hAnsiTheme="majorBidi" w:cstheme="majorBidi"/>
          <w:i/>
          <w:iCs/>
        </w:rPr>
        <w:t xml:space="preserve"> Medici Mirror </w:t>
      </w:r>
      <w:r>
        <w:rPr>
          <w:rFonts w:asciiTheme="majorBidi" w:hAnsiTheme="majorBidi" w:cstheme="majorBidi"/>
        </w:rPr>
        <w:t>(London: Arrow, 2013)</w:t>
      </w:r>
    </w:p>
    <w:p w14:paraId="3B96CF40" w14:textId="35089062" w:rsidR="0070466E" w:rsidRPr="0070466E" w:rsidRDefault="0070466E" w:rsidP="006B5C76">
      <w:pPr>
        <w:pStyle w:val="NormalWeb"/>
        <w:ind w:left="480" w:hanging="480"/>
        <w:rPr>
          <w:rFonts w:asciiTheme="majorBidi" w:hAnsiTheme="majorBidi" w:cstheme="majorBidi"/>
        </w:rPr>
      </w:pPr>
      <w:r>
        <w:rPr>
          <w:rFonts w:asciiTheme="majorBidi" w:hAnsiTheme="majorBidi" w:cstheme="majorBidi"/>
        </w:rPr>
        <w:t xml:space="preserve">Barnes, Julian, </w:t>
      </w:r>
      <w:proofErr w:type="gramStart"/>
      <w:r>
        <w:rPr>
          <w:rFonts w:asciiTheme="majorBidi" w:hAnsiTheme="majorBidi" w:cstheme="majorBidi"/>
          <w:i/>
          <w:iCs/>
        </w:rPr>
        <w:t>A</w:t>
      </w:r>
      <w:proofErr w:type="gramEnd"/>
      <w:r>
        <w:rPr>
          <w:rFonts w:asciiTheme="majorBidi" w:hAnsiTheme="majorBidi" w:cstheme="majorBidi"/>
          <w:i/>
          <w:iCs/>
        </w:rPr>
        <w:t xml:space="preserve"> History of the World in 10 ½ Chapters </w:t>
      </w:r>
      <w:r>
        <w:rPr>
          <w:rFonts w:asciiTheme="majorBidi" w:hAnsiTheme="majorBidi" w:cstheme="majorBidi"/>
        </w:rPr>
        <w:t>(London: Vintage, 2009)</w:t>
      </w:r>
    </w:p>
    <w:p w14:paraId="7826360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Bauman, Zygmunt, and Lukasz Galecki, ‘The Unwinnable War: An Interview with Zygmunt Bauman’, </w:t>
      </w:r>
      <w:r w:rsidRPr="00505CF0">
        <w:rPr>
          <w:rFonts w:asciiTheme="majorBidi" w:hAnsiTheme="majorBidi" w:cstheme="majorBidi"/>
          <w:i/>
          <w:iCs/>
        </w:rPr>
        <w:t>openDemocracy</w:t>
      </w:r>
      <w:r w:rsidRPr="00505CF0">
        <w:rPr>
          <w:rFonts w:asciiTheme="majorBidi" w:hAnsiTheme="majorBidi" w:cstheme="majorBidi"/>
        </w:rPr>
        <w:t>, 2005 &lt;https://www.opendemocracy.net/globalization-vision_reflections/modernity_3082.jsp&gt; [accessed 15 August 2017]</w:t>
      </w:r>
    </w:p>
    <w:p w14:paraId="6CF4CC0A"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Barker, Clive, </w:t>
      </w:r>
      <w:r w:rsidRPr="00505CF0">
        <w:rPr>
          <w:rFonts w:asciiTheme="majorBidi" w:hAnsiTheme="majorBidi" w:cstheme="majorBidi"/>
          <w:i/>
          <w:iCs/>
        </w:rPr>
        <w:t>Mister B. Gone</w:t>
      </w:r>
      <w:r w:rsidRPr="00505CF0">
        <w:rPr>
          <w:rFonts w:asciiTheme="majorBidi" w:hAnsiTheme="majorBidi" w:cstheme="majorBidi"/>
        </w:rPr>
        <w:t xml:space="preserve"> (London: Harper Voyager, 2007)</w:t>
      </w:r>
    </w:p>
    <w:p w14:paraId="600CD238" w14:textId="0669EB8B" w:rsid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Barth, John, </w:t>
      </w:r>
      <w:r>
        <w:rPr>
          <w:rFonts w:asciiTheme="majorBidi" w:hAnsiTheme="majorBidi" w:cstheme="majorBidi"/>
          <w:i/>
          <w:iCs/>
        </w:rPr>
        <w:t>Lost in the Funhouse</w:t>
      </w:r>
      <w:r>
        <w:rPr>
          <w:rFonts w:asciiTheme="majorBidi" w:hAnsiTheme="majorBidi" w:cstheme="majorBidi"/>
        </w:rPr>
        <w:t xml:space="preserve"> (Harmondsworth: Penguin, 1972)</w:t>
      </w:r>
    </w:p>
    <w:p w14:paraId="5FD69864" w14:textId="2B785DFB" w:rsidR="00F37D4E" w:rsidRP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Barthelme, Donald, </w:t>
      </w:r>
      <w:r>
        <w:rPr>
          <w:rFonts w:asciiTheme="majorBidi" w:hAnsiTheme="majorBidi" w:cstheme="majorBidi"/>
          <w:i/>
          <w:iCs/>
        </w:rPr>
        <w:t>Sixty Stories</w:t>
      </w:r>
      <w:r>
        <w:rPr>
          <w:rFonts w:asciiTheme="majorBidi" w:hAnsiTheme="majorBidi" w:cstheme="majorBidi"/>
        </w:rPr>
        <w:t xml:space="preserve"> (London: Penguin, 2005)</w:t>
      </w:r>
    </w:p>
    <w:p w14:paraId="06449FBC"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Blot-Labarrère, Christiane, ‘A Letter Ending the Affair’, in </w:t>
      </w:r>
      <w:r w:rsidRPr="00505CF0">
        <w:rPr>
          <w:rFonts w:asciiTheme="majorBidi" w:hAnsiTheme="majorBidi" w:cstheme="majorBidi"/>
          <w:i/>
          <w:iCs/>
        </w:rPr>
        <w:t>Take Care of Yourself</w:t>
      </w:r>
      <w:r w:rsidRPr="00505CF0">
        <w:rPr>
          <w:rFonts w:asciiTheme="majorBidi" w:hAnsiTheme="majorBidi" w:cstheme="majorBidi"/>
        </w:rPr>
        <w:t>, ed. by Sophie Calle (France: Actes Sud, 2007)</w:t>
      </w:r>
    </w:p>
    <w:p w14:paraId="09304CD8" w14:textId="0D1845F7" w:rsidR="0086651B" w:rsidRPr="0086651B" w:rsidRDefault="0086651B" w:rsidP="006B5C76">
      <w:pPr>
        <w:pStyle w:val="NormalWeb"/>
        <w:ind w:left="480" w:hanging="480"/>
        <w:rPr>
          <w:rFonts w:asciiTheme="majorBidi" w:hAnsiTheme="majorBidi" w:cstheme="majorBidi"/>
        </w:rPr>
      </w:pPr>
      <w:r w:rsidRPr="0086651B">
        <w:rPr>
          <w:rFonts w:asciiTheme="majorBidi" w:hAnsiTheme="majorBidi" w:cstheme="majorBidi"/>
        </w:rPr>
        <w:t xml:space="preserve">Borges, Jorge Luis, </w:t>
      </w:r>
      <w:r w:rsidRPr="0086651B">
        <w:rPr>
          <w:rFonts w:asciiTheme="majorBidi" w:hAnsiTheme="majorBidi" w:cstheme="majorBidi"/>
          <w:i/>
          <w:iCs/>
        </w:rPr>
        <w:t>Fictions</w:t>
      </w:r>
      <w:r w:rsidRPr="0086651B">
        <w:rPr>
          <w:rFonts w:asciiTheme="majorBidi" w:hAnsiTheme="majorBidi" w:cstheme="majorBidi"/>
        </w:rPr>
        <w:t>, trans. by And</w:t>
      </w:r>
      <w:r w:rsidR="00F37D4E">
        <w:rPr>
          <w:rFonts w:asciiTheme="majorBidi" w:hAnsiTheme="majorBidi" w:cstheme="majorBidi"/>
        </w:rPr>
        <w:t>rew Hurley (</w:t>
      </w:r>
      <w:proofErr w:type="gramStart"/>
      <w:r w:rsidR="00F37D4E">
        <w:rPr>
          <w:rFonts w:asciiTheme="majorBidi" w:hAnsiTheme="majorBidi" w:cstheme="majorBidi"/>
        </w:rPr>
        <w:t>London :</w:t>
      </w:r>
      <w:proofErr w:type="gramEnd"/>
      <w:r w:rsidR="00F37D4E">
        <w:rPr>
          <w:rFonts w:asciiTheme="majorBidi" w:hAnsiTheme="majorBidi" w:cstheme="majorBidi"/>
        </w:rPr>
        <w:t xml:space="preserve"> Penguin</w:t>
      </w:r>
      <w:r w:rsidRPr="0086651B">
        <w:rPr>
          <w:rFonts w:asciiTheme="majorBidi" w:hAnsiTheme="majorBidi" w:cstheme="majorBidi"/>
        </w:rPr>
        <w:t>, 2000</w:t>
      </w:r>
      <w:r>
        <w:rPr>
          <w:rFonts w:asciiTheme="majorBidi" w:hAnsiTheme="majorBidi" w:cstheme="majorBidi"/>
        </w:rPr>
        <w:t>)</w:t>
      </w:r>
    </w:p>
    <w:p w14:paraId="11B0ABC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Braidotti, Rosi, ‘The Humanities in Europe Interview Series - Timotheus Vermeulen’, </w:t>
      </w:r>
      <w:r w:rsidRPr="00505CF0">
        <w:rPr>
          <w:rFonts w:asciiTheme="majorBidi" w:hAnsiTheme="majorBidi" w:cstheme="majorBidi"/>
          <w:i/>
          <w:iCs/>
        </w:rPr>
        <w:t>Centre for the Humanities Utrecht University</w:t>
      </w:r>
      <w:r w:rsidRPr="00505CF0">
        <w:rPr>
          <w:rFonts w:asciiTheme="majorBidi" w:hAnsiTheme="majorBidi" w:cstheme="majorBidi"/>
        </w:rPr>
        <w:t>, 2015 &lt;https://www.youtube.com/watch?v=5b_6D3xxdzQ&gt; [accessed 19 October 2017]</w:t>
      </w:r>
    </w:p>
    <w:p w14:paraId="41BA4815" w14:textId="362FEAF1"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Burnside, John, </w:t>
      </w:r>
      <w:proofErr w:type="gramStart"/>
      <w:r w:rsidRPr="00505CF0">
        <w:rPr>
          <w:rFonts w:asciiTheme="majorBidi" w:hAnsiTheme="majorBidi" w:cstheme="majorBidi"/>
          <w:i/>
          <w:iCs/>
        </w:rPr>
        <w:t>Glister</w:t>
      </w:r>
      <w:proofErr w:type="gramEnd"/>
      <w:r w:rsidRPr="00505CF0">
        <w:rPr>
          <w:rFonts w:asciiTheme="majorBidi" w:hAnsiTheme="majorBidi" w:cstheme="majorBidi"/>
        </w:rPr>
        <w:t xml:space="preserve"> (London: Vinta</w:t>
      </w:r>
      <w:r w:rsidR="00F37D4E">
        <w:rPr>
          <w:rFonts w:asciiTheme="majorBidi" w:hAnsiTheme="majorBidi" w:cstheme="majorBidi"/>
        </w:rPr>
        <w:t>ge</w:t>
      </w:r>
      <w:r w:rsidRPr="00505CF0">
        <w:rPr>
          <w:rFonts w:asciiTheme="majorBidi" w:hAnsiTheme="majorBidi" w:cstheme="majorBidi"/>
        </w:rPr>
        <w:t>, 2009)</w:t>
      </w:r>
    </w:p>
    <w:p w14:paraId="079BFC21" w14:textId="68E56825" w:rsidR="0086651B" w:rsidRPr="0086651B" w:rsidRDefault="0086651B" w:rsidP="006B5C76">
      <w:pPr>
        <w:pStyle w:val="NormalWeb"/>
        <w:ind w:left="480" w:hanging="480"/>
        <w:rPr>
          <w:rFonts w:asciiTheme="majorBidi" w:hAnsiTheme="majorBidi" w:cstheme="majorBidi"/>
        </w:rPr>
      </w:pPr>
      <w:r>
        <w:rPr>
          <w:rFonts w:asciiTheme="majorBidi" w:hAnsiTheme="majorBidi" w:cstheme="majorBidi"/>
        </w:rPr>
        <w:t xml:space="preserve">Burroughs, William S., </w:t>
      </w:r>
      <w:proofErr w:type="gramStart"/>
      <w:r>
        <w:rPr>
          <w:rFonts w:asciiTheme="majorBidi" w:hAnsiTheme="majorBidi" w:cstheme="majorBidi"/>
          <w:i/>
          <w:iCs/>
        </w:rPr>
        <w:t>Naked</w:t>
      </w:r>
      <w:proofErr w:type="gramEnd"/>
      <w:r>
        <w:rPr>
          <w:rFonts w:asciiTheme="majorBidi" w:hAnsiTheme="majorBidi" w:cstheme="majorBidi"/>
          <w:i/>
          <w:iCs/>
        </w:rPr>
        <w:t xml:space="preserve"> Lunch</w:t>
      </w:r>
      <w:r w:rsidR="00F37D4E">
        <w:rPr>
          <w:rFonts w:asciiTheme="majorBidi" w:hAnsiTheme="majorBidi" w:cstheme="majorBidi"/>
        </w:rPr>
        <w:t xml:space="preserve"> (London: Penguin</w:t>
      </w:r>
      <w:r>
        <w:rPr>
          <w:rFonts w:asciiTheme="majorBidi" w:hAnsiTheme="majorBidi" w:cstheme="majorBidi"/>
        </w:rPr>
        <w:t>, 2015)</w:t>
      </w:r>
    </w:p>
    <w:p w14:paraId="226C2B37" w14:textId="7F9F6CDE"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Butler, Robert Olen, </w:t>
      </w:r>
      <w:r w:rsidRPr="00505CF0">
        <w:rPr>
          <w:rFonts w:asciiTheme="majorBidi" w:hAnsiTheme="majorBidi" w:cstheme="majorBidi"/>
          <w:i/>
          <w:iCs/>
        </w:rPr>
        <w:t>From Where You Dream</w:t>
      </w:r>
      <w:r w:rsidR="00A66B9E">
        <w:rPr>
          <w:rFonts w:asciiTheme="majorBidi" w:hAnsiTheme="majorBidi" w:cstheme="majorBidi"/>
        </w:rPr>
        <w:t xml:space="preserve"> (New York: Grove</w:t>
      </w:r>
      <w:r w:rsidRPr="00505CF0">
        <w:rPr>
          <w:rFonts w:asciiTheme="majorBidi" w:hAnsiTheme="majorBidi" w:cstheme="majorBidi"/>
        </w:rPr>
        <w:t>, 2005)</w:t>
      </w:r>
    </w:p>
    <w:p w14:paraId="2AC2B1CD"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Calle, Sophie, </w:t>
      </w:r>
      <w:r w:rsidRPr="00505CF0">
        <w:rPr>
          <w:rFonts w:asciiTheme="majorBidi" w:hAnsiTheme="majorBidi" w:cstheme="majorBidi"/>
          <w:i/>
          <w:iCs/>
        </w:rPr>
        <w:t>Take Care of Yourself</w:t>
      </w:r>
      <w:r w:rsidRPr="00505CF0">
        <w:rPr>
          <w:rFonts w:asciiTheme="majorBidi" w:hAnsiTheme="majorBidi" w:cstheme="majorBidi"/>
        </w:rPr>
        <w:t xml:space="preserve"> (Arles: Actes Sud, 2007)</w:t>
      </w:r>
    </w:p>
    <w:p w14:paraId="2A245A9A" w14:textId="29B85096" w:rsidR="00F37D4E" w:rsidRP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Calvino, Italo, </w:t>
      </w:r>
      <w:r>
        <w:rPr>
          <w:rFonts w:asciiTheme="majorBidi" w:hAnsiTheme="majorBidi" w:cstheme="majorBidi"/>
          <w:i/>
          <w:iCs/>
        </w:rPr>
        <w:t xml:space="preserve">If </w:t>
      </w:r>
      <w:proofErr w:type="gramStart"/>
      <w:r>
        <w:rPr>
          <w:rFonts w:asciiTheme="majorBidi" w:hAnsiTheme="majorBidi" w:cstheme="majorBidi"/>
          <w:i/>
          <w:iCs/>
        </w:rPr>
        <w:t>On</w:t>
      </w:r>
      <w:proofErr w:type="gramEnd"/>
      <w:r>
        <w:rPr>
          <w:rFonts w:asciiTheme="majorBidi" w:hAnsiTheme="majorBidi" w:cstheme="majorBidi"/>
          <w:i/>
          <w:iCs/>
        </w:rPr>
        <w:t xml:space="preserve"> a Winter’s Night a Traveller</w:t>
      </w:r>
      <w:r>
        <w:rPr>
          <w:rFonts w:asciiTheme="majorBidi" w:hAnsiTheme="majorBidi" w:cstheme="majorBidi"/>
        </w:rPr>
        <w:t>, trans. by William Weaver (London: Vintage, 1992)</w:t>
      </w:r>
    </w:p>
    <w:p w14:paraId="0A2BD0A1" w14:textId="588C20D5" w:rsidR="00252349" w:rsidRPr="00505CF0" w:rsidRDefault="00252349" w:rsidP="00A66B9E">
      <w:pPr>
        <w:pStyle w:val="NormalWeb"/>
        <w:ind w:left="480" w:hanging="480"/>
        <w:rPr>
          <w:rFonts w:asciiTheme="majorBidi" w:hAnsiTheme="majorBidi" w:cstheme="majorBidi"/>
        </w:rPr>
      </w:pPr>
      <w:r w:rsidRPr="00505CF0">
        <w:rPr>
          <w:rFonts w:asciiTheme="majorBidi" w:hAnsiTheme="majorBidi" w:cstheme="majorBidi"/>
        </w:rPr>
        <w:t xml:space="preserve">Camus, Albert,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Myth of Sisyphus</w:t>
      </w:r>
      <w:r w:rsidRPr="00505CF0">
        <w:rPr>
          <w:rFonts w:asciiTheme="majorBidi" w:hAnsiTheme="majorBidi" w:cstheme="majorBidi"/>
        </w:rPr>
        <w:t>, trans. by</w:t>
      </w:r>
      <w:r w:rsidR="00A66B9E">
        <w:rPr>
          <w:rFonts w:asciiTheme="majorBidi" w:hAnsiTheme="majorBidi" w:cstheme="majorBidi"/>
        </w:rPr>
        <w:t xml:space="preserve"> Justin O’Brien (London: Penguin</w:t>
      </w:r>
      <w:r w:rsidRPr="00505CF0">
        <w:rPr>
          <w:rFonts w:asciiTheme="majorBidi" w:hAnsiTheme="majorBidi" w:cstheme="majorBidi"/>
        </w:rPr>
        <w:t>, 2013)</w:t>
      </w:r>
    </w:p>
    <w:p w14:paraId="4DEF6B15"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Chaplin, Charlie,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Great Dictator</w:t>
      </w:r>
      <w:r w:rsidRPr="00505CF0">
        <w:rPr>
          <w:rFonts w:asciiTheme="majorBidi" w:hAnsiTheme="majorBidi" w:cstheme="majorBidi"/>
        </w:rPr>
        <w:t xml:space="preserve"> (United States: United Artists, 1940)</w:t>
      </w:r>
    </w:p>
    <w:p w14:paraId="258CF7EE" w14:textId="4F364E53" w:rsidR="002B21DF" w:rsidRPr="002B21DF" w:rsidRDefault="002B21DF" w:rsidP="006B5C76">
      <w:pPr>
        <w:pStyle w:val="NormalWeb"/>
        <w:ind w:left="480" w:hanging="480"/>
        <w:rPr>
          <w:rFonts w:asciiTheme="majorBidi" w:hAnsiTheme="majorBidi" w:cstheme="majorBidi"/>
        </w:rPr>
      </w:pPr>
      <w:r>
        <w:rPr>
          <w:rFonts w:asciiTheme="majorBidi" w:hAnsiTheme="majorBidi" w:cstheme="majorBidi"/>
        </w:rPr>
        <w:t xml:space="preserve">Carson, Anne, </w:t>
      </w:r>
      <w:proofErr w:type="gramStart"/>
      <w:r>
        <w:rPr>
          <w:rFonts w:asciiTheme="majorBidi" w:hAnsiTheme="majorBidi" w:cstheme="majorBidi"/>
          <w:i/>
          <w:iCs/>
        </w:rPr>
        <w:t>Nox</w:t>
      </w:r>
      <w:proofErr w:type="gramEnd"/>
      <w:r>
        <w:rPr>
          <w:rFonts w:asciiTheme="majorBidi" w:hAnsiTheme="majorBidi" w:cstheme="majorBidi"/>
        </w:rPr>
        <w:t xml:space="preserve"> (New York: New Directions, 2009)</w:t>
      </w:r>
    </w:p>
    <w:p w14:paraId="622AE1FC" w14:textId="12D47F39" w:rsidR="00C067F2" w:rsidRPr="00C067F2" w:rsidRDefault="00C067F2" w:rsidP="00A66B9E">
      <w:pPr>
        <w:pStyle w:val="NormalWeb"/>
        <w:ind w:left="480" w:hanging="480"/>
        <w:rPr>
          <w:rFonts w:asciiTheme="majorBidi" w:hAnsiTheme="majorBidi" w:cstheme="majorBidi"/>
        </w:rPr>
      </w:pPr>
      <w:r>
        <w:rPr>
          <w:rFonts w:asciiTheme="majorBidi" w:hAnsiTheme="majorBidi" w:cstheme="majorBidi"/>
        </w:rPr>
        <w:t xml:space="preserve">Chaucer, Geoffrey, </w:t>
      </w:r>
      <w:proofErr w:type="gramStart"/>
      <w:r>
        <w:rPr>
          <w:rFonts w:asciiTheme="majorBidi" w:hAnsiTheme="majorBidi" w:cstheme="majorBidi"/>
          <w:i/>
          <w:iCs/>
        </w:rPr>
        <w:t>The</w:t>
      </w:r>
      <w:proofErr w:type="gramEnd"/>
      <w:r>
        <w:rPr>
          <w:rFonts w:asciiTheme="majorBidi" w:hAnsiTheme="majorBidi" w:cstheme="majorBidi"/>
          <w:i/>
          <w:iCs/>
        </w:rPr>
        <w:t xml:space="preserve"> Canterbury Tales</w:t>
      </w:r>
      <w:r>
        <w:rPr>
          <w:rFonts w:asciiTheme="majorBidi" w:hAnsiTheme="majorBidi" w:cstheme="majorBidi"/>
        </w:rPr>
        <w:t>, trans. by Nevill Coghill (London: Penguin, 2013)</w:t>
      </w:r>
    </w:p>
    <w:p w14:paraId="74EBE01D" w14:textId="7D215A23" w:rsidR="00252349" w:rsidRDefault="00252349" w:rsidP="00A66B9E">
      <w:pPr>
        <w:pStyle w:val="NormalWeb"/>
        <w:ind w:left="480" w:hanging="480"/>
        <w:rPr>
          <w:rFonts w:asciiTheme="majorBidi" w:hAnsiTheme="majorBidi" w:cstheme="majorBidi"/>
        </w:rPr>
      </w:pPr>
      <w:r w:rsidRPr="00505CF0">
        <w:rPr>
          <w:rFonts w:asciiTheme="majorBidi" w:hAnsiTheme="majorBidi" w:cstheme="majorBidi"/>
        </w:rPr>
        <w:t xml:space="preserve">Clarke, Susanna, </w:t>
      </w:r>
      <w:r w:rsidRPr="00505CF0">
        <w:rPr>
          <w:rFonts w:asciiTheme="majorBidi" w:hAnsiTheme="majorBidi" w:cstheme="majorBidi"/>
          <w:i/>
          <w:iCs/>
        </w:rPr>
        <w:t>Jonathan Strange &amp; Mr. Norrell</w:t>
      </w:r>
      <w:r w:rsidRPr="00505CF0">
        <w:rPr>
          <w:rFonts w:asciiTheme="majorBidi" w:hAnsiTheme="majorBidi" w:cstheme="majorBidi"/>
        </w:rPr>
        <w:t xml:space="preserve"> (London: Bloomsbury, 2005)</w:t>
      </w:r>
    </w:p>
    <w:p w14:paraId="1801B06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Connolly, John,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Book of Lost Things</w:t>
      </w:r>
      <w:r w:rsidRPr="00505CF0">
        <w:rPr>
          <w:rFonts w:asciiTheme="majorBidi" w:hAnsiTheme="majorBidi" w:cstheme="majorBidi"/>
        </w:rPr>
        <w:t xml:space="preserve"> (London: Hodder and Stoughton, 2006)</w:t>
      </w:r>
    </w:p>
    <w:p w14:paraId="13D9EAB1" w14:textId="3600C16B" w:rsidR="00252349" w:rsidRPr="00505CF0" w:rsidRDefault="00252349" w:rsidP="00A66B9E">
      <w:pPr>
        <w:pStyle w:val="NormalWeb"/>
        <w:ind w:left="480" w:hanging="480"/>
        <w:rPr>
          <w:rFonts w:asciiTheme="majorBidi" w:hAnsiTheme="majorBidi" w:cstheme="majorBidi"/>
        </w:rPr>
      </w:pPr>
      <w:r w:rsidRPr="00505CF0">
        <w:rPr>
          <w:rFonts w:asciiTheme="majorBidi" w:hAnsiTheme="majorBidi" w:cstheme="majorBidi"/>
        </w:rPr>
        <w:t xml:space="preserve">Coupland, Douglas, </w:t>
      </w:r>
      <w:proofErr w:type="gramStart"/>
      <w:r w:rsidR="00B23E68">
        <w:rPr>
          <w:rFonts w:asciiTheme="majorBidi" w:hAnsiTheme="majorBidi" w:cstheme="majorBidi"/>
          <w:i/>
          <w:iCs/>
        </w:rPr>
        <w:t>JP</w:t>
      </w:r>
      <w:r w:rsidRPr="00505CF0">
        <w:rPr>
          <w:rFonts w:asciiTheme="majorBidi" w:hAnsiTheme="majorBidi" w:cstheme="majorBidi"/>
          <w:i/>
          <w:iCs/>
        </w:rPr>
        <w:t>od</w:t>
      </w:r>
      <w:proofErr w:type="gramEnd"/>
      <w:r w:rsidRPr="00505CF0">
        <w:rPr>
          <w:rFonts w:asciiTheme="majorBidi" w:hAnsiTheme="majorBidi" w:cstheme="majorBidi"/>
        </w:rPr>
        <w:t xml:space="preserve"> (St Ives: Bloomsbury, 2006)</w:t>
      </w:r>
    </w:p>
    <w:p w14:paraId="2A0D386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Danielewski, Mark Z., </w:t>
      </w:r>
      <w:r w:rsidRPr="00505CF0">
        <w:rPr>
          <w:rFonts w:asciiTheme="majorBidi" w:hAnsiTheme="majorBidi" w:cstheme="majorBidi"/>
          <w:i/>
          <w:iCs/>
        </w:rPr>
        <w:t>House of Leaves by Zampanò with Introduction and Notes by Johnny Truant</w:t>
      </w:r>
      <w:r w:rsidRPr="00505CF0">
        <w:rPr>
          <w:rFonts w:asciiTheme="majorBidi" w:hAnsiTheme="majorBidi" w:cstheme="majorBidi"/>
        </w:rPr>
        <w:t>, Color 2nd (New York: Random House, 2000)</w:t>
      </w:r>
    </w:p>
    <w:p w14:paraId="5839B8C9" w14:textId="28FFAC0E" w:rsidR="00252349" w:rsidRDefault="00252349" w:rsidP="00A66B9E">
      <w:pPr>
        <w:pStyle w:val="NormalWeb"/>
        <w:ind w:left="480" w:hanging="480"/>
        <w:rPr>
          <w:rFonts w:asciiTheme="majorBidi" w:hAnsiTheme="majorBidi" w:cstheme="majorBidi"/>
        </w:rPr>
      </w:pPr>
      <w:bookmarkStart w:id="7" w:name="_Hlk506212907"/>
      <w:r w:rsidRPr="00505CF0">
        <w:rPr>
          <w:rFonts w:asciiTheme="majorBidi" w:hAnsiTheme="majorBidi" w:cstheme="majorBidi"/>
        </w:rPr>
        <w:t xml:space="preserve">– – –, </w:t>
      </w:r>
      <w:bookmarkEnd w:id="7"/>
      <w:r w:rsidRPr="00505CF0">
        <w:rPr>
          <w:rFonts w:asciiTheme="majorBidi" w:hAnsiTheme="majorBidi" w:cstheme="majorBidi"/>
          <w:i/>
          <w:iCs/>
        </w:rPr>
        <w:t>The Fifty Year Sword</w:t>
      </w:r>
      <w:r w:rsidRPr="00505CF0">
        <w:rPr>
          <w:rFonts w:asciiTheme="majorBidi" w:hAnsiTheme="majorBidi" w:cstheme="majorBidi"/>
        </w:rPr>
        <w:t xml:space="preserve"> (Glasgow: Cargo, 2014)</w:t>
      </w:r>
    </w:p>
    <w:p w14:paraId="78D9C367" w14:textId="35C953AE" w:rsidR="00736CB2" w:rsidRDefault="00736CB2" w:rsidP="006B5C76">
      <w:pPr>
        <w:pStyle w:val="NormalWeb"/>
        <w:ind w:left="480" w:hanging="480"/>
        <w:rPr>
          <w:rFonts w:asciiTheme="majorBidi" w:hAnsiTheme="majorBidi" w:cstheme="majorBidi"/>
        </w:rPr>
      </w:pPr>
      <w:r>
        <w:rPr>
          <w:rFonts w:asciiTheme="majorBidi" w:hAnsiTheme="majorBidi" w:cstheme="majorBidi"/>
        </w:rPr>
        <w:t xml:space="preserve">De Cervantes Saavedra, Miguel, </w:t>
      </w:r>
      <w:r>
        <w:rPr>
          <w:rFonts w:asciiTheme="majorBidi" w:hAnsiTheme="majorBidi" w:cstheme="majorBidi"/>
          <w:i/>
          <w:iCs/>
        </w:rPr>
        <w:t>Don Quixote</w:t>
      </w:r>
      <w:r>
        <w:rPr>
          <w:rFonts w:asciiTheme="majorBidi" w:hAnsiTheme="majorBidi" w:cstheme="majorBidi"/>
        </w:rPr>
        <w:t>, trans. by Peter Motteux (Hertfordshire: Wordsworth Editions Ltd., 2008)</w:t>
      </w:r>
    </w:p>
    <w:p w14:paraId="079BF9AE" w14:textId="17B855B5" w:rsidR="00736CB2" w:rsidRDefault="00736CB2" w:rsidP="006B5C76">
      <w:pPr>
        <w:pStyle w:val="NormalWeb"/>
        <w:ind w:left="480" w:hanging="480"/>
        <w:rPr>
          <w:rFonts w:asciiTheme="majorBidi" w:hAnsiTheme="majorBidi" w:cstheme="majorBidi"/>
        </w:rPr>
      </w:pPr>
      <w:r w:rsidRPr="00FE7EAF">
        <w:rPr>
          <w:rFonts w:asciiTheme="majorBidi" w:hAnsiTheme="majorBidi" w:cstheme="majorBidi"/>
        </w:rPr>
        <w:t xml:space="preserve">De Laclos, Choderlos, </w:t>
      </w:r>
      <w:r w:rsidRPr="00FE7EAF">
        <w:rPr>
          <w:rFonts w:asciiTheme="majorBidi" w:hAnsiTheme="majorBidi" w:cstheme="majorBidi"/>
          <w:i/>
          <w:iCs/>
        </w:rPr>
        <w:t xml:space="preserve">Les Liaisons Dangereuses, </w:t>
      </w:r>
      <w:proofErr w:type="gramStart"/>
      <w:r w:rsidRPr="00FE7EAF">
        <w:rPr>
          <w:rFonts w:asciiTheme="majorBidi" w:hAnsiTheme="majorBidi" w:cstheme="majorBidi"/>
        </w:rPr>
        <w:t>trans</w:t>
      </w:r>
      <w:proofErr w:type="gramEnd"/>
      <w:r w:rsidRPr="00FE7EAF">
        <w:rPr>
          <w:rFonts w:asciiTheme="majorBidi" w:hAnsiTheme="majorBidi" w:cstheme="majorBidi"/>
        </w:rPr>
        <w:t xml:space="preserve">. </w:t>
      </w:r>
      <w:r w:rsidRPr="00736CB2">
        <w:rPr>
          <w:rFonts w:asciiTheme="majorBidi" w:hAnsiTheme="majorBidi" w:cstheme="majorBidi"/>
        </w:rPr>
        <w:t>By Douglas Parmée (</w:t>
      </w:r>
      <w:proofErr w:type="gramStart"/>
      <w:r w:rsidRPr="00736CB2">
        <w:rPr>
          <w:rFonts w:asciiTheme="majorBidi" w:hAnsiTheme="majorBidi" w:cstheme="majorBidi"/>
        </w:rPr>
        <w:t>Oxford :</w:t>
      </w:r>
      <w:proofErr w:type="gramEnd"/>
      <w:r w:rsidRPr="00736CB2">
        <w:rPr>
          <w:rFonts w:asciiTheme="majorBidi" w:hAnsiTheme="majorBidi" w:cstheme="majorBidi"/>
        </w:rPr>
        <w:t xml:space="preserve"> Oxford University Press, </w:t>
      </w:r>
      <w:r w:rsidR="00532A07">
        <w:rPr>
          <w:rFonts w:asciiTheme="majorBidi" w:hAnsiTheme="majorBidi" w:cstheme="majorBidi"/>
        </w:rPr>
        <w:t>1998)</w:t>
      </w:r>
    </w:p>
    <w:p w14:paraId="2B15ADAC" w14:textId="0DEE2A56" w:rsidR="00532A07" w:rsidRDefault="00532A07" w:rsidP="006B5C76">
      <w:pPr>
        <w:pStyle w:val="NormalWeb"/>
        <w:ind w:left="480" w:hanging="480"/>
        <w:rPr>
          <w:rFonts w:asciiTheme="majorBidi" w:hAnsiTheme="majorBidi" w:cstheme="majorBidi"/>
        </w:rPr>
      </w:pPr>
      <w:r>
        <w:rPr>
          <w:rFonts w:asciiTheme="majorBidi" w:hAnsiTheme="majorBidi" w:cstheme="majorBidi"/>
        </w:rPr>
        <w:t xml:space="preserve">De Unamuno, Miguel, </w:t>
      </w:r>
      <w:r>
        <w:rPr>
          <w:rFonts w:asciiTheme="majorBidi" w:hAnsiTheme="majorBidi" w:cstheme="majorBidi"/>
          <w:i/>
          <w:iCs/>
        </w:rPr>
        <w:t>Mist</w:t>
      </w:r>
      <w:r>
        <w:rPr>
          <w:rFonts w:asciiTheme="majorBidi" w:hAnsiTheme="majorBidi" w:cstheme="majorBidi"/>
        </w:rPr>
        <w:t>, trans. by John Macklin (Oxford: Aris &amp; Phillips, 2014)</w:t>
      </w:r>
    </w:p>
    <w:p w14:paraId="0E88BD8D" w14:textId="580C0D79" w:rsidR="00B23E68" w:rsidRPr="00B23E68" w:rsidRDefault="00B23E68" w:rsidP="006B5C76">
      <w:pPr>
        <w:pStyle w:val="NormalWeb"/>
        <w:ind w:left="480" w:hanging="480"/>
        <w:rPr>
          <w:rFonts w:asciiTheme="majorBidi" w:hAnsiTheme="majorBidi" w:cstheme="majorBidi"/>
        </w:rPr>
      </w:pPr>
      <w:r>
        <w:rPr>
          <w:rFonts w:asciiTheme="majorBidi" w:hAnsiTheme="majorBidi" w:cstheme="majorBidi"/>
        </w:rPr>
        <w:t xml:space="preserve">Dodson, Zachary Thomas, </w:t>
      </w:r>
      <w:r>
        <w:rPr>
          <w:rFonts w:asciiTheme="majorBidi" w:hAnsiTheme="majorBidi" w:cstheme="majorBidi"/>
          <w:i/>
          <w:iCs/>
        </w:rPr>
        <w:t>Bats of the Republic</w:t>
      </w:r>
      <w:r>
        <w:rPr>
          <w:rFonts w:asciiTheme="majorBidi" w:hAnsiTheme="majorBidi" w:cstheme="majorBidi"/>
        </w:rPr>
        <w:t xml:space="preserve"> (London: Doubleday, 2015)</w:t>
      </w:r>
    </w:p>
    <w:p w14:paraId="3972CA0A"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Díaz, Junot,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Brief Wondrous Life of Oscar Wao</w:t>
      </w:r>
      <w:r w:rsidRPr="00505CF0">
        <w:rPr>
          <w:rFonts w:asciiTheme="majorBidi" w:hAnsiTheme="majorBidi" w:cstheme="majorBidi"/>
        </w:rPr>
        <w:t xml:space="preserve"> (London: Faber and Faber, 2008)</w:t>
      </w:r>
    </w:p>
    <w:p w14:paraId="396EC538" w14:textId="0F035962" w:rsidR="00B23E68" w:rsidRPr="00B23E68" w:rsidRDefault="00B23E68" w:rsidP="006B5C76">
      <w:pPr>
        <w:pStyle w:val="NormalWeb"/>
        <w:ind w:left="480" w:hanging="480"/>
        <w:rPr>
          <w:rFonts w:asciiTheme="majorBidi" w:hAnsiTheme="majorBidi" w:cstheme="majorBidi"/>
        </w:rPr>
      </w:pPr>
      <w:r>
        <w:rPr>
          <w:rFonts w:asciiTheme="majorBidi" w:hAnsiTheme="majorBidi" w:cstheme="majorBidi"/>
        </w:rPr>
        <w:t xml:space="preserve">Dyson, Jeremy, </w:t>
      </w:r>
      <w:proofErr w:type="gramStart"/>
      <w:r>
        <w:rPr>
          <w:rFonts w:asciiTheme="majorBidi" w:hAnsiTheme="majorBidi" w:cstheme="majorBidi"/>
          <w:i/>
          <w:iCs/>
        </w:rPr>
        <w:t>The</w:t>
      </w:r>
      <w:proofErr w:type="gramEnd"/>
      <w:r>
        <w:rPr>
          <w:rFonts w:asciiTheme="majorBidi" w:hAnsiTheme="majorBidi" w:cstheme="majorBidi"/>
          <w:i/>
          <w:iCs/>
        </w:rPr>
        <w:t xml:space="preserve"> Haunted Book</w:t>
      </w:r>
      <w:r>
        <w:rPr>
          <w:rFonts w:asciiTheme="majorBidi" w:hAnsiTheme="majorBidi" w:cstheme="majorBidi"/>
        </w:rPr>
        <w:t xml:space="preserve"> (Edinburgh: Canongate, 2012)</w:t>
      </w:r>
    </w:p>
    <w:p w14:paraId="1EF85AF8" w14:textId="4A1341F8" w:rsid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Eco, Umberto, </w:t>
      </w:r>
      <w:proofErr w:type="gramStart"/>
      <w:r>
        <w:rPr>
          <w:rFonts w:asciiTheme="majorBidi" w:hAnsiTheme="majorBidi" w:cstheme="majorBidi"/>
          <w:i/>
          <w:iCs/>
        </w:rPr>
        <w:t>The</w:t>
      </w:r>
      <w:proofErr w:type="gramEnd"/>
      <w:r>
        <w:rPr>
          <w:rFonts w:asciiTheme="majorBidi" w:hAnsiTheme="majorBidi" w:cstheme="majorBidi"/>
          <w:i/>
          <w:iCs/>
        </w:rPr>
        <w:t xml:space="preserve"> Name of the Rose</w:t>
      </w:r>
      <w:r>
        <w:rPr>
          <w:rFonts w:asciiTheme="majorBidi" w:hAnsiTheme="majorBidi" w:cstheme="majorBidi"/>
        </w:rPr>
        <w:t>, trans. by William Weaver (San Diego: Harcourt Brace, 1994)</w:t>
      </w:r>
    </w:p>
    <w:p w14:paraId="36705ADA" w14:textId="78A12767" w:rsidR="00B23E68" w:rsidRPr="00B23E68" w:rsidRDefault="00B23E68" w:rsidP="006B5C76">
      <w:pPr>
        <w:pStyle w:val="NormalWeb"/>
        <w:ind w:left="480" w:hanging="480"/>
        <w:rPr>
          <w:rFonts w:asciiTheme="majorBidi" w:hAnsiTheme="majorBidi" w:cstheme="majorBidi"/>
        </w:rPr>
      </w:pPr>
      <w:r w:rsidRPr="00505CF0">
        <w:rPr>
          <w:rFonts w:asciiTheme="majorBidi" w:hAnsiTheme="majorBidi" w:cstheme="majorBidi"/>
        </w:rPr>
        <w:t>– – –,</w:t>
      </w:r>
      <w:r>
        <w:rPr>
          <w:rFonts w:asciiTheme="majorBidi" w:hAnsiTheme="majorBidi" w:cstheme="majorBidi"/>
        </w:rPr>
        <w:t xml:space="preserve"> </w:t>
      </w:r>
      <w:r>
        <w:rPr>
          <w:rFonts w:asciiTheme="majorBidi" w:hAnsiTheme="majorBidi" w:cstheme="majorBidi"/>
          <w:i/>
          <w:iCs/>
        </w:rPr>
        <w:t>Numero Zero</w:t>
      </w:r>
      <w:r>
        <w:rPr>
          <w:rFonts w:asciiTheme="majorBidi" w:hAnsiTheme="majorBidi" w:cstheme="majorBidi"/>
        </w:rPr>
        <w:t>, trans. by Richard Dixon (London: Vintage, 2016)</w:t>
      </w:r>
    </w:p>
    <w:p w14:paraId="03BDC55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Ellis, Bret Easton, </w:t>
      </w:r>
      <w:proofErr w:type="gramStart"/>
      <w:r w:rsidRPr="00505CF0">
        <w:rPr>
          <w:rFonts w:asciiTheme="majorBidi" w:hAnsiTheme="majorBidi" w:cstheme="majorBidi"/>
          <w:i/>
          <w:iCs/>
        </w:rPr>
        <w:t>Lunar</w:t>
      </w:r>
      <w:proofErr w:type="gramEnd"/>
      <w:r w:rsidRPr="00505CF0">
        <w:rPr>
          <w:rFonts w:asciiTheme="majorBidi" w:hAnsiTheme="majorBidi" w:cstheme="majorBidi"/>
          <w:i/>
          <w:iCs/>
        </w:rPr>
        <w:t xml:space="preserve"> Park</w:t>
      </w:r>
      <w:r w:rsidRPr="00505CF0">
        <w:rPr>
          <w:rFonts w:asciiTheme="majorBidi" w:hAnsiTheme="majorBidi" w:cstheme="majorBidi"/>
        </w:rPr>
        <w:t xml:space="preserve"> (London: Picador, 2005)</w:t>
      </w:r>
    </w:p>
    <w:p w14:paraId="2249518F" w14:textId="73786675" w:rsidR="00252349" w:rsidRDefault="00252349" w:rsidP="00A66B9E">
      <w:pPr>
        <w:pStyle w:val="NormalWeb"/>
        <w:ind w:left="480" w:hanging="480"/>
        <w:rPr>
          <w:rFonts w:asciiTheme="majorBidi" w:hAnsiTheme="majorBidi" w:cstheme="majorBidi"/>
        </w:rPr>
      </w:pPr>
      <w:r w:rsidRPr="00505CF0">
        <w:rPr>
          <w:rFonts w:asciiTheme="majorBidi" w:hAnsiTheme="majorBidi" w:cstheme="majorBidi"/>
        </w:rPr>
        <w:t xml:space="preserve">Elton, Charles, </w:t>
      </w:r>
      <w:proofErr w:type="gramStart"/>
      <w:r w:rsidRPr="00505CF0">
        <w:rPr>
          <w:rFonts w:asciiTheme="majorBidi" w:hAnsiTheme="majorBidi" w:cstheme="majorBidi"/>
          <w:i/>
          <w:iCs/>
        </w:rPr>
        <w:t>Mr</w:t>
      </w:r>
      <w:proofErr w:type="gramEnd"/>
      <w:r w:rsidRPr="00505CF0">
        <w:rPr>
          <w:rFonts w:asciiTheme="majorBidi" w:hAnsiTheme="majorBidi" w:cstheme="majorBidi"/>
          <w:i/>
          <w:iCs/>
        </w:rPr>
        <w:t>. Toppit</w:t>
      </w:r>
      <w:r w:rsidRPr="00505CF0">
        <w:rPr>
          <w:rFonts w:asciiTheme="majorBidi" w:hAnsiTheme="majorBidi" w:cstheme="majorBidi"/>
        </w:rPr>
        <w:t xml:space="preserve"> (London: Penguin, 2009)</w:t>
      </w:r>
    </w:p>
    <w:p w14:paraId="15BCBB80" w14:textId="4D4FE0CE" w:rsidR="00532A07" w:rsidRPr="00532A07" w:rsidRDefault="00532A07" w:rsidP="00A66B9E">
      <w:pPr>
        <w:pStyle w:val="NormalWeb"/>
        <w:ind w:left="480" w:hanging="480"/>
        <w:rPr>
          <w:rFonts w:asciiTheme="majorBidi" w:hAnsiTheme="majorBidi" w:cstheme="majorBidi"/>
        </w:rPr>
      </w:pPr>
      <w:r>
        <w:rPr>
          <w:rFonts w:asciiTheme="majorBidi" w:hAnsiTheme="majorBidi" w:cstheme="majorBidi"/>
        </w:rPr>
        <w:t xml:space="preserve">Féval, Paul, </w:t>
      </w:r>
      <w:r>
        <w:rPr>
          <w:rFonts w:asciiTheme="majorBidi" w:hAnsiTheme="majorBidi" w:cstheme="majorBidi"/>
          <w:i/>
          <w:iCs/>
        </w:rPr>
        <w:t>Vampire City</w:t>
      </w:r>
      <w:r>
        <w:rPr>
          <w:rFonts w:asciiTheme="majorBidi" w:hAnsiTheme="majorBidi" w:cstheme="majorBidi"/>
        </w:rPr>
        <w:t xml:space="preserve">, </w:t>
      </w:r>
      <w:proofErr w:type="gramStart"/>
      <w:r>
        <w:rPr>
          <w:rFonts w:asciiTheme="majorBidi" w:hAnsiTheme="majorBidi" w:cstheme="majorBidi"/>
        </w:rPr>
        <w:t>trans</w:t>
      </w:r>
      <w:proofErr w:type="gramEnd"/>
      <w:r>
        <w:rPr>
          <w:rFonts w:asciiTheme="majorBidi" w:hAnsiTheme="majorBidi" w:cstheme="majorBidi"/>
        </w:rPr>
        <w:t xml:space="preserve"> by. Brian Stableford (Mountain Ash: Sarob</w:t>
      </w:r>
      <w:r w:rsidR="00A66B9E">
        <w:rPr>
          <w:rFonts w:asciiTheme="majorBidi" w:hAnsiTheme="majorBidi" w:cstheme="majorBidi"/>
        </w:rPr>
        <w:t xml:space="preserve"> Press</w:t>
      </w:r>
      <w:r>
        <w:rPr>
          <w:rFonts w:asciiTheme="majorBidi" w:hAnsiTheme="majorBidi" w:cstheme="majorBidi"/>
        </w:rPr>
        <w:t>, 1999)</w:t>
      </w:r>
    </w:p>
    <w:p w14:paraId="71CAAD7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Flanagan, Richard, </w:t>
      </w:r>
      <w:proofErr w:type="gramStart"/>
      <w:r w:rsidRPr="00505CF0">
        <w:rPr>
          <w:rFonts w:asciiTheme="majorBidi" w:hAnsiTheme="majorBidi" w:cstheme="majorBidi"/>
          <w:i/>
          <w:iCs/>
        </w:rPr>
        <w:t>Gould’s</w:t>
      </w:r>
      <w:proofErr w:type="gramEnd"/>
      <w:r w:rsidRPr="00505CF0">
        <w:rPr>
          <w:rFonts w:asciiTheme="majorBidi" w:hAnsiTheme="majorBidi" w:cstheme="majorBidi"/>
          <w:i/>
          <w:iCs/>
        </w:rPr>
        <w:t xml:space="preserve"> Book of Fish</w:t>
      </w:r>
      <w:r w:rsidRPr="00505CF0">
        <w:rPr>
          <w:rFonts w:asciiTheme="majorBidi" w:hAnsiTheme="majorBidi" w:cstheme="majorBidi"/>
        </w:rPr>
        <w:t xml:space="preserve"> (London: Atlantic Books, 2014)</w:t>
      </w:r>
    </w:p>
    <w:p w14:paraId="076CC7BB" w14:textId="2006E063" w:rsidR="00252349" w:rsidRDefault="00252349" w:rsidP="00A66B9E">
      <w:pPr>
        <w:pStyle w:val="NormalWeb"/>
        <w:ind w:left="480" w:hanging="480"/>
        <w:rPr>
          <w:rFonts w:asciiTheme="majorBidi" w:hAnsiTheme="majorBidi" w:cstheme="majorBidi"/>
        </w:rPr>
      </w:pPr>
      <w:r w:rsidRPr="00505CF0">
        <w:rPr>
          <w:rFonts w:asciiTheme="majorBidi" w:hAnsiTheme="majorBidi" w:cstheme="majorBidi"/>
        </w:rPr>
        <w:t xml:space="preserve">Foer, Jonathan Safran, </w:t>
      </w:r>
      <w:r w:rsidRPr="00505CF0">
        <w:rPr>
          <w:rFonts w:asciiTheme="majorBidi" w:hAnsiTheme="majorBidi" w:cstheme="majorBidi"/>
          <w:i/>
          <w:iCs/>
        </w:rPr>
        <w:t>Everything Is Illuminated</w:t>
      </w:r>
      <w:r w:rsidRPr="00505CF0">
        <w:rPr>
          <w:rFonts w:asciiTheme="majorBidi" w:hAnsiTheme="majorBidi" w:cstheme="majorBidi"/>
        </w:rPr>
        <w:t xml:space="preserve"> (London: Penguin, 2003) </w:t>
      </w:r>
    </w:p>
    <w:p w14:paraId="287DDA29" w14:textId="20498C27" w:rsid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Fowles, John, </w:t>
      </w:r>
      <w:r>
        <w:rPr>
          <w:rFonts w:asciiTheme="majorBidi" w:hAnsiTheme="majorBidi" w:cstheme="majorBidi"/>
          <w:i/>
          <w:iCs/>
        </w:rPr>
        <w:t xml:space="preserve">The French Lieutenant’s Woman </w:t>
      </w:r>
      <w:r>
        <w:rPr>
          <w:rFonts w:asciiTheme="majorBidi" w:hAnsiTheme="majorBidi" w:cstheme="majorBidi"/>
        </w:rPr>
        <w:t>(London: Vintage Classics, 2010)</w:t>
      </w:r>
    </w:p>
    <w:p w14:paraId="329B3F25" w14:textId="67B887D3" w:rsidR="00F37D4E" w:rsidRPr="00F37D4E" w:rsidRDefault="00F37D4E" w:rsidP="006B5C76">
      <w:pPr>
        <w:pStyle w:val="NormalWeb"/>
        <w:ind w:left="480" w:hanging="480"/>
        <w:rPr>
          <w:rFonts w:asciiTheme="majorBidi" w:hAnsiTheme="majorBidi" w:cstheme="majorBidi"/>
        </w:rPr>
      </w:pPr>
      <w:r>
        <w:rPr>
          <w:rFonts w:asciiTheme="majorBidi" w:hAnsiTheme="majorBidi" w:cstheme="majorBidi"/>
        </w:rPr>
        <w:t xml:space="preserve">Gardner, John, </w:t>
      </w:r>
      <w:proofErr w:type="gramStart"/>
      <w:r>
        <w:rPr>
          <w:rFonts w:asciiTheme="majorBidi" w:hAnsiTheme="majorBidi" w:cstheme="majorBidi"/>
          <w:i/>
          <w:iCs/>
        </w:rPr>
        <w:t>Grendel</w:t>
      </w:r>
      <w:proofErr w:type="gramEnd"/>
      <w:r>
        <w:rPr>
          <w:rFonts w:asciiTheme="majorBidi" w:hAnsiTheme="majorBidi" w:cstheme="majorBidi"/>
        </w:rPr>
        <w:t xml:space="preserve"> (London: Gollancz, 2015)</w:t>
      </w:r>
    </w:p>
    <w:p w14:paraId="73371830" w14:textId="50D9C463"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Gass, William H.,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Tunnel</w:t>
      </w:r>
      <w:r w:rsidR="00A66B9E">
        <w:rPr>
          <w:rFonts w:asciiTheme="majorBidi" w:hAnsiTheme="majorBidi" w:cstheme="majorBidi"/>
        </w:rPr>
        <w:t xml:space="preserve"> (Illinois: Dalkey Archiv</w:t>
      </w:r>
      <w:r w:rsidRPr="00505CF0">
        <w:rPr>
          <w:rFonts w:asciiTheme="majorBidi" w:hAnsiTheme="majorBidi" w:cstheme="majorBidi"/>
        </w:rPr>
        <w:t>e Press, 1999)</w:t>
      </w:r>
    </w:p>
    <w:p w14:paraId="02FFF317" w14:textId="7FF7D6B3" w:rsidR="0086651B" w:rsidRPr="0086651B" w:rsidRDefault="0086651B" w:rsidP="006B5C76">
      <w:pPr>
        <w:pStyle w:val="NormalWeb"/>
        <w:ind w:left="480" w:hanging="480"/>
        <w:rPr>
          <w:rFonts w:asciiTheme="majorBidi" w:hAnsiTheme="majorBidi" w:cstheme="majorBidi"/>
        </w:rPr>
      </w:pPr>
      <w:r w:rsidRPr="00505CF0">
        <w:rPr>
          <w:rFonts w:asciiTheme="majorBidi" w:hAnsiTheme="majorBidi" w:cstheme="majorBidi"/>
        </w:rPr>
        <w:t>– – –,</w:t>
      </w:r>
      <w:r>
        <w:rPr>
          <w:rFonts w:asciiTheme="majorBidi" w:hAnsiTheme="majorBidi" w:cstheme="majorBidi"/>
        </w:rPr>
        <w:t xml:space="preserve"> </w:t>
      </w:r>
      <w:r>
        <w:rPr>
          <w:rFonts w:asciiTheme="majorBidi" w:hAnsiTheme="majorBidi" w:cstheme="majorBidi"/>
          <w:i/>
          <w:iCs/>
        </w:rPr>
        <w:t>Willie Masters’ Lonesome Wife</w:t>
      </w:r>
      <w:r>
        <w:rPr>
          <w:rFonts w:asciiTheme="majorBidi" w:hAnsiTheme="majorBidi" w:cstheme="majorBidi"/>
        </w:rPr>
        <w:t xml:space="preserve"> (Champaign: Dalkey Archive Press, 2014)</w:t>
      </w:r>
    </w:p>
    <w:p w14:paraId="23A7DFA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Givens, Mark, ‘Remodernism: Inspiration and Honesty in Art. An Interview with Matt Bray’, </w:t>
      </w:r>
      <w:r w:rsidRPr="00505CF0">
        <w:rPr>
          <w:rFonts w:asciiTheme="majorBidi" w:hAnsiTheme="majorBidi" w:cstheme="majorBidi"/>
          <w:i/>
          <w:iCs/>
        </w:rPr>
        <w:t>Mungbeing</w:t>
      </w:r>
      <w:r w:rsidRPr="00505CF0">
        <w:rPr>
          <w:rFonts w:asciiTheme="majorBidi" w:hAnsiTheme="majorBidi" w:cstheme="majorBidi"/>
        </w:rPr>
        <w:t>, 2008 &lt;http://www.mungbeing.com/issue_22.html?page=40#1733&gt; [accessed 6 September 2017]</w:t>
      </w:r>
    </w:p>
    <w:p w14:paraId="7A3CBB9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Golding, William, </w:t>
      </w:r>
      <w:r w:rsidRPr="00505CF0">
        <w:rPr>
          <w:rFonts w:asciiTheme="majorBidi" w:hAnsiTheme="majorBidi" w:cstheme="majorBidi"/>
          <w:i/>
          <w:iCs/>
        </w:rPr>
        <w:t>Pincher Martin</w:t>
      </w:r>
      <w:r w:rsidRPr="00505CF0">
        <w:rPr>
          <w:rFonts w:asciiTheme="majorBidi" w:hAnsiTheme="majorBidi" w:cstheme="majorBidi"/>
        </w:rPr>
        <w:t xml:space="preserve"> (London: Faber and Faber, 1974)</w:t>
      </w:r>
    </w:p>
    <w:p w14:paraId="06F5CEED"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Granville, Eliza, </w:t>
      </w:r>
      <w:r w:rsidRPr="00505CF0">
        <w:rPr>
          <w:rFonts w:asciiTheme="majorBidi" w:hAnsiTheme="majorBidi" w:cstheme="majorBidi"/>
          <w:i/>
          <w:iCs/>
        </w:rPr>
        <w:t>Gretel and the Dark</w:t>
      </w:r>
      <w:r w:rsidRPr="00505CF0">
        <w:rPr>
          <w:rFonts w:asciiTheme="majorBidi" w:hAnsiTheme="majorBidi" w:cstheme="majorBidi"/>
        </w:rPr>
        <w:t xml:space="preserve"> (London: Hamish Hamilton, 2014)</w:t>
      </w:r>
    </w:p>
    <w:p w14:paraId="5608F239" w14:textId="3B474D57" w:rsidR="00B23E68" w:rsidRPr="00B23E68" w:rsidRDefault="00B23E68" w:rsidP="006B5C76">
      <w:pPr>
        <w:pStyle w:val="NormalWeb"/>
        <w:ind w:left="480" w:hanging="480"/>
        <w:rPr>
          <w:rFonts w:asciiTheme="majorBidi" w:hAnsiTheme="majorBidi" w:cstheme="majorBidi"/>
        </w:rPr>
      </w:pPr>
      <w:r>
        <w:rPr>
          <w:rFonts w:asciiTheme="majorBidi" w:hAnsiTheme="majorBidi" w:cstheme="majorBidi"/>
        </w:rPr>
        <w:t xml:space="preserve">Hall, Steven, </w:t>
      </w:r>
      <w:proofErr w:type="gramStart"/>
      <w:r>
        <w:rPr>
          <w:rFonts w:asciiTheme="majorBidi" w:hAnsiTheme="majorBidi" w:cstheme="majorBidi"/>
          <w:i/>
          <w:iCs/>
        </w:rPr>
        <w:t>The</w:t>
      </w:r>
      <w:proofErr w:type="gramEnd"/>
      <w:r>
        <w:rPr>
          <w:rFonts w:asciiTheme="majorBidi" w:hAnsiTheme="majorBidi" w:cstheme="majorBidi"/>
          <w:i/>
          <w:iCs/>
        </w:rPr>
        <w:t xml:space="preserve"> Raw Shark Texts</w:t>
      </w:r>
      <w:r>
        <w:rPr>
          <w:rFonts w:asciiTheme="majorBidi" w:hAnsiTheme="majorBidi" w:cstheme="majorBidi"/>
        </w:rPr>
        <w:t xml:space="preserve"> (Edinburgh: Canongate, 2007)</w:t>
      </w:r>
    </w:p>
    <w:p w14:paraId="1F1014C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Heiser, Jorg, Timotheus Vermeulen, and Robin van den Akker, ‘What Is Metamodernism?</w:t>
      </w:r>
      <w:proofErr w:type="gramStart"/>
      <w:r w:rsidRPr="00505CF0">
        <w:rPr>
          <w:rFonts w:asciiTheme="majorBidi" w:hAnsiTheme="majorBidi" w:cstheme="majorBidi"/>
        </w:rPr>
        <w:t>’,</w:t>
      </w:r>
      <w:proofErr w:type="gramEnd"/>
      <w:r w:rsidRPr="00505CF0">
        <w:rPr>
          <w:rFonts w:asciiTheme="majorBidi" w:hAnsiTheme="majorBidi" w:cstheme="majorBidi"/>
        </w:rPr>
        <w:t xml:space="preserve"> </w:t>
      </w:r>
      <w:r w:rsidRPr="00505CF0">
        <w:rPr>
          <w:rFonts w:asciiTheme="majorBidi" w:hAnsiTheme="majorBidi" w:cstheme="majorBidi"/>
          <w:i/>
          <w:iCs/>
        </w:rPr>
        <w:t>Frieze</w:t>
      </w:r>
      <w:r w:rsidRPr="00505CF0">
        <w:rPr>
          <w:rFonts w:asciiTheme="majorBidi" w:hAnsiTheme="majorBidi" w:cstheme="majorBidi"/>
        </w:rPr>
        <w:t>, 2014 &lt;https://www.youtube.com/watch?v=dH6zJULTVgQ&gt; [accessed 19 October 2017]</w:t>
      </w:r>
    </w:p>
    <w:p w14:paraId="46F985A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Hogg, James,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Private Memoirs and Confessions of a Justified Sinner</w:t>
      </w:r>
      <w:r w:rsidRPr="00505CF0">
        <w:rPr>
          <w:rFonts w:asciiTheme="majorBidi" w:hAnsiTheme="majorBidi" w:cstheme="majorBidi"/>
        </w:rPr>
        <w:t xml:space="preserve"> (New York: Oxford University Press, 2010)</w:t>
      </w:r>
    </w:p>
    <w:p w14:paraId="6D8971C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Hudspeth, E.B.,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Resurrectionist: The Lost Work of Dr. Spencer Black</w:t>
      </w:r>
      <w:r w:rsidRPr="00505CF0">
        <w:rPr>
          <w:rFonts w:asciiTheme="majorBidi" w:hAnsiTheme="majorBidi" w:cstheme="majorBidi"/>
        </w:rPr>
        <w:t xml:space="preserve"> (Philadelphia: Quirk Books, 2013)</w:t>
      </w:r>
    </w:p>
    <w:p w14:paraId="4CDF6AF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Hurley, Andrew Michael,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Loney</w:t>
      </w:r>
      <w:r w:rsidRPr="00505CF0">
        <w:rPr>
          <w:rFonts w:asciiTheme="majorBidi" w:hAnsiTheme="majorBidi" w:cstheme="majorBidi"/>
        </w:rPr>
        <w:t xml:space="preserve"> (London: John Murray, 2015)</w:t>
      </w:r>
    </w:p>
    <w:p w14:paraId="616DC26E" w14:textId="480DB6D6" w:rsidR="00B23E68" w:rsidRDefault="00252349" w:rsidP="006B5C76">
      <w:pPr>
        <w:pStyle w:val="NormalWeb"/>
        <w:ind w:left="480" w:hanging="480"/>
        <w:rPr>
          <w:rFonts w:asciiTheme="majorBidi" w:hAnsiTheme="majorBidi" w:cstheme="majorBidi"/>
        </w:rPr>
      </w:pPr>
      <w:r w:rsidRPr="00505CF0">
        <w:rPr>
          <w:rFonts w:asciiTheme="majorBidi" w:hAnsiTheme="majorBidi" w:cstheme="majorBidi"/>
        </w:rPr>
        <w:t>Johnson, B.S.,</w:t>
      </w:r>
      <w:r w:rsidR="00B23E68">
        <w:rPr>
          <w:rFonts w:asciiTheme="majorBidi" w:hAnsiTheme="majorBidi" w:cstheme="majorBidi"/>
        </w:rPr>
        <w:t xml:space="preserve"> </w:t>
      </w:r>
      <w:proofErr w:type="gramStart"/>
      <w:r w:rsidR="00B23E68">
        <w:rPr>
          <w:rFonts w:asciiTheme="majorBidi" w:hAnsiTheme="majorBidi" w:cstheme="majorBidi"/>
          <w:i/>
          <w:iCs/>
        </w:rPr>
        <w:t>Albert</w:t>
      </w:r>
      <w:proofErr w:type="gramEnd"/>
      <w:r w:rsidR="00B23E68">
        <w:rPr>
          <w:rFonts w:asciiTheme="majorBidi" w:hAnsiTheme="majorBidi" w:cstheme="majorBidi"/>
          <w:i/>
          <w:iCs/>
        </w:rPr>
        <w:t xml:space="preserve"> Angelo</w:t>
      </w:r>
      <w:r w:rsidR="00B23E68">
        <w:rPr>
          <w:rFonts w:asciiTheme="majorBidi" w:hAnsiTheme="majorBidi" w:cstheme="majorBidi"/>
        </w:rPr>
        <w:t xml:space="preserve"> (London: Picador, 2013)</w:t>
      </w:r>
      <w:r w:rsidRPr="00505CF0">
        <w:rPr>
          <w:rFonts w:asciiTheme="majorBidi" w:hAnsiTheme="majorBidi" w:cstheme="majorBidi"/>
        </w:rPr>
        <w:t xml:space="preserve"> </w:t>
      </w:r>
    </w:p>
    <w:p w14:paraId="32164C22" w14:textId="19B56526" w:rsidR="00252349" w:rsidRDefault="00B23E68"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sidR="00252349" w:rsidRPr="00505CF0">
        <w:rPr>
          <w:rFonts w:asciiTheme="majorBidi" w:hAnsiTheme="majorBidi" w:cstheme="majorBidi"/>
          <w:i/>
          <w:iCs/>
        </w:rPr>
        <w:t>The Unfortunates</w:t>
      </w:r>
      <w:r w:rsidR="00252349" w:rsidRPr="00505CF0">
        <w:rPr>
          <w:rFonts w:asciiTheme="majorBidi" w:hAnsiTheme="majorBidi" w:cstheme="majorBidi"/>
        </w:rPr>
        <w:t xml:space="preserve"> (New York: New Directions, 2009)</w:t>
      </w:r>
    </w:p>
    <w:p w14:paraId="5965ABC6" w14:textId="30EB14BA" w:rsidR="00532A07" w:rsidRPr="00532A07" w:rsidRDefault="00532A07" w:rsidP="006B5C76">
      <w:pPr>
        <w:pStyle w:val="NormalWeb"/>
        <w:ind w:left="480" w:hanging="480"/>
        <w:rPr>
          <w:rFonts w:asciiTheme="majorBidi" w:hAnsiTheme="majorBidi" w:cstheme="majorBidi"/>
        </w:rPr>
      </w:pPr>
      <w:r>
        <w:rPr>
          <w:rFonts w:asciiTheme="majorBidi" w:hAnsiTheme="majorBidi" w:cstheme="majorBidi"/>
        </w:rPr>
        <w:t xml:space="preserve">Joyce, James, </w:t>
      </w:r>
      <w:proofErr w:type="gramStart"/>
      <w:r>
        <w:rPr>
          <w:rFonts w:asciiTheme="majorBidi" w:hAnsiTheme="majorBidi" w:cstheme="majorBidi"/>
          <w:i/>
          <w:iCs/>
        </w:rPr>
        <w:t>Finnegans</w:t>
      </w:r>
      <w:proofErr w:type="gramEnd"/>
      <w:r>
        <w:rPr>
          <w:rFonts w:asciiTheme="majorBidi" w:hAnsiTheme="majorBidi" w:cstheme="majorBidi"/>
          <w:i/>
          <w:iCs/>
        </w:rPr>
        <w:t xml:space="preserve"> Wake </w:t>
      </w:r>
      <w:r>
        <w:rPr>
          <w:rFonts w:asciiTheme="majorBidi" w:hAnsiTheme="majorBidi" w:cstheme="majorBidi"/>
        </w:rPr>
        <w:t>(Hertfordshire: Wordsworth Editions Ltd., 2012)</w:t>
      </w:r>
    </w:p>
    <w:p w14:paraId="54C1EDD2" w14:textId="223E3F45" w:rsidR="00532A07" w:rsidRPr="00532A07" w:rsidRDefault="00532A07"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Pr>
          <w:rFonts w:asciiTheme="majorBidi" w:hAnsiTheme="majorBidi" w:cstheme="majorBidi"/>
          <w:i/>
          <w:iCs/>
        </w:rPr>
        <w:t>Ulysses</w:t>
      </w:r>
      <w:r>
        <w:rPr>
          <w:rFonts w:asciiTheme="majorBidi" w:hAnsiTheme="majorBidi" w:cstheme="majorBidi"/>
        </w:rPr>
        <w:t xml:space="preserve"> (Luton: Andrews UK Ltd., 2012)</w:t>
      </w:r>
    </w:p>
    <w:p w14:paraId="1C73911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Kant, Immanuel, ‘Answering the Question: What Is Enlightenment?</w:t>
      </w:r>
      <w:proofErr w:type="gramStart"/>
      <w:r w:rsidRPr="00505CF0">
        <w:rPr>
          <w:rFonts w:asciiTheme="majorBidi" w:hAnsiTheme="majorBidi" w:cstheme="majorBidi"/>
        </w:rPr>
        <w:t>’,</w:t>
      </w:r>
      <w:proofErr w:type="gramEnd"/>
      <w:r w:rsidRPr="00505CF0">
        <w:rPr>
          <w:rFonts w:asciiTheme="majorBidi" w:hAnsiTheme="majorBidi" w:cstheme="majorBidi"/>
        </w:rPr>
        <w:t xml:space="preserve"> </w:t>
      </w:r>
      <w:r w:rsidRPr="00505CF0">
        <w:rPr>
          <w:rFonts w:asciiTheme="majorBidi" w:hAnsiTheme="majorBidi" w:cstheme="majorBidi"/>
          <w:i/>
          <w:iCs/>
        </w:rPr>
        <w:t>The Foucalt Reader</w:t>
      </w:r>
      <w:r w:rsidRPr="00505CF0">
        <w:rPr>
          <w:rFonts w:asciiTheme="majorBidi" w:hAnsiTheme="majorBidi" w:cstheme="majorBidi"/>
        </w:rPr>
        <w:t xml:space="preserve">, 1984 </w:t>
      </w:r>
    </w:p>
    <w:p w14:paraId="1892DA6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King, Stephen, </w:t>
      </w:r>
      <w:r w:rsidRPr="00505CF0">
        <w:rPr>
          <w:rFonts w:asciiTheme="majorBidi" w:hAnsiTheme="majorBidi" w:cstheme="majorBidi"/>
          <w:i/>
          <w:iCs/>
        </w:rPr>
        <w:t>On Writing</w:t>
      </w:r>
      <w:r w:rsidRPr="00505CF0">
        <w:rPr>
          <w:rFonts w:asciiTheme="majorBidi" w:hAnsiTheme="majorBidi" w:cstheme="majorBidi"/>
        </w:rPr>
        <w:t xml:space="preserve"> (London: Hodder and Stoughton, 2000)</w:t>
      </w:r>
    </w:p>
    <w:p w14:paraId="54D28015"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Kingsnorth, Paul, </w:t>
      </w:r>
      <w:r w:rsidRPr="00505CF0">
        <w:rPr>
          <w:rFonts w:asciiTheme="majorBidi" w:hAnsiTheme="majorBidi" w:cstheme="majorBidi"/>
          <w:i/>
          <w:iCs/>
        </w:rPr>
        <w:t>Beast</w:t>
      </w:r>
      <w:r w:rsidRPr="00505CF0">
        <w:rPr>
          <w:rFonts w:asciiTheme="majorBidi" w:hAnsiTheme="majorBidi" w:cstheme="majorBidi"/>
        </w:rPr>
        <w:t xml:space="preserve"> (London: Faber and Faber, 2016)</w:t>
      </w:r>
    </w:p>
    <w:p w14:paraId="4266FF0F" w14:textId="0582DDCF" w:rsidR="00293DC0" w:rsidRPr="00293DC0" w:rsidRDefault="00293DC0" w:rsidP="006B5C76">
      <w:pPr>
        <w:pStyle w:val="NormalWeb"/>
        <w:ind w:left="480" w:hanging="480"/>
        <w:rPr>
          <w:rFonts w:asciiTheme="majorBidi" w:hAnsiTheme="majorBidi" w:cstheme="majorBidi"/>
        </w:rPr>
      </w:pPr>
      <w:r>
        <w:rPr>
          <w:rFonts w:asciiTheme="majorBidi" w:hAnsiTheme="majorBidi" w:cstheme="majorBidi"/>
        </w:rPr>
        <w:t xml:space="preserve">Layner, Mark, </w:t>
      </w:r>
      <w:proofErr w:type="gramStart"/>
      <w:r>
        <w:rPr>
          <w:rFonts w:asciiTheme="majorBidi" w:hAnsiTheme="majorBidi" w:cstheme="majorBidi"/>
          <w:i/>
          <w:iCs/>
        </w:rPr>
        <w:t>The</w:t>
      </w:r>
      <w:proofErr w:type="gramEnd"/>
      <w:r>
        <w:rPr>
          <w:rFonts w:asciiTheme="majorBidi" w:hAnsiTheme="majorBidi" w:cstheme="majorBidi"/>
          <w:i/>
          <w:iCs/>
        </w:rPr>
        <w:t xml:space="preserve"> Tetherballs of Bougainville</w:t>
      </w:r>
      <w:r>
        <w:rPr>
          <w:rFonts w:asciiTheme="majorBidi" w:hAnsiTheme="majorBidi" w:cstheme="majorBidi"/>
        </w:rPr>
        <w:t xml:space="preserve"> (London: Random House, 1997)</w:t>
      </w:r>
    </w:p>
    <w:p w14:paraId="2A88827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Lovecraft, H.P., ‘The Unnamable’, </w:t>
      </w:r>
      <w:r w:rsidRPr="00505CF0">
        <w:rPr>
          <w:rFonts w:asciiTheme="majorBidi" w:hAnsiTheme="majorBidi" w:cstheme="majorBidi"/>
          <w:i/>
          <w:iCs/>
        </w:rPr>
        <w:t>The H.P. Lovecraft Archive</w:t>
      </w:r>
      <w:r w:rsidRPr="00505CF0">
        <w:rPr>
          <w:rFonts w:asciiTheme="majorBidi" w:hAnsiTheme="majorBidi" w:cstheme="majorBidi"/>
        </w:rPr>
        <w:t>, 1925 &lt;http://www.hplovecraft.com/writings/texts/fiction/u.aspx&gt; [accessed 2 January 2018]</w:t>
      </w:r>
    </w:p>
    <w:p w14:paraId="5201EB17" w14:textId="77777777" w:rsidR="00252349" w:rsidRPr="00505CF0" w:rsidRDefault="00252349" w:rsidP="006B5C76">
      <w:pPr>
        <w:pStyle w:val="NormalWeb"/>
        <w:ind w:left="480" w:hanging="480"/>
        <w:rPr>
          <w:rFonts w:asciiTheme="majorBidi" w:hAnsiTheme="majorBidi" w:cstheme="majorBidi"/>
        </w:rPr>
      </w:pPr>
      <w:bookmarkStart w:id="8" w:name="_Hlk506213538"/>
      <w:r w:rsidRPr="00505CF0">
        <w:rPr>
          <w:rFonts w:asciiTheme="majorBidi" w:hAnsiTheme="majorBidi" w:cstheme="majorBidi"/>
        </w:rPr>
        <w:t xml:space="preserve">– – –, </w:t>
      </w:r>
      <w:bookmarkEnd w:id="8"/>
      <w:r w:rsidRPr="00505CF0">
        <w:rPr>
          <w:rFonts w:asciiTheme="majorBidi" w:hAnsiTheme="majorBidi" w:cstheme="majorBidi"/>
        </w:rPr>
        <w:t xml:space="preserve">‘The Call of Cthulhu’, </w:t>
      </w:r>
      <w:r w:rsidRPr="00505CF0">
        <w:rPr>
          <w:rFonts w:asciiTheme="majorBidi" w:hAnsiTheme="majorBidi" w:cstheme="majorBidi"/>
          <w:i/>
          <w:iCs/>
        </w:rPr>
        <w:t>HPLovecraft.com</w:t>
      </w:r>
      <w:r w:rsidRPr="00505CF0">
        <w:rPr>
          <w:rFonts w:asciiTheme="majorBidi" w:hAnsiTheme="majorBidi" w:cstheme="majorBidi"/>
        </w:rPr>
        <w:t xml:space="preserve"> &lt;http://www.hplovecraft.com/writings/texts/fiction/cc.aspx&gt; [accessed 29 December 2017]</w:t>
      </w:r>
    </w:p>
    <w:p w14:paraId="2EA4C5B8" w14:textId="29931684" w:rsidR="00252349" w:rsidRPr="00505CF0" w:rsidRDefault="00252349" w:rsidP="0070466E">
      <w:pPr>
        <w:pStyle w:val="NormalWeb"/>
        <w:ind w:left="480" w:hanging="480"/>
        <w:rPr>
          <w:rFonts w:asciiTheme="majorBidi" w:hAnsiTheme="majorBidi" w:cstheme="majorBidi"/>
        </w:rPr>
      </w:pPr>
      <w:r w:rsidRPr="00505CF0">
        <w:rPr>
          <w:rFonts w:asciiTheme="majorBidi" w:hAnsiTheme="majorBidi" w:cstheme="majorBidi"/>
        </w:rPr>
        <w:t xml:space="preserve">McGrath, Patrick, </w:t>
      </w:r>
      <w:r w:rsidRPr="00505CF0">
        <w:rPr>
          <w:rFonts w:asciiTheme="majorBidi" w:hAnsiTheme="majorBidi" w:cstheme="majorBidi"/>
          <w:i/>
          <w:iCs/>
        </w:rPr>
        <w:t>Spider</w:t>
      </w:r>
      <w:r w:rsidRPr="00505CF0">
        <w:rPr>
          <w:rFonts w:asciiTheme="majorBidi" w:hAnsiTheme="majorBidi" w:cstheme="majorBidi"/>
        </w:rPr>
        <w:t xml:space="preserve"> (London: Penguin, 1992)</w:t>
      </w:r>
    </w:p>
    <w:p w14:paraId="0242010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Ghost Town</w:t>
      </w:r>
      <w:r w:rsidRPr="00505CF0">
        <w:rPr>
          <w:rFonts w:asciiTheme="majorBidi" w:hAnsiTheme="majorBidi" w:cstheme="majorBidi"/>
        </w:rPr>
        <w:t xml:space="preserve"> (London: Bloomsbury Publishing Plc, 2005)</w:t>
      </w:r>
    </w:p>
    <w:p w14:paraId="392F4E6D" w14:textId="77777777" w:rsidR="00252349" w:rsidRPr="00505CF0" w:rsidRDefault="00252349" w:rsidP="004C3EE0">
      <w:pPr>
        <w:pStyle w:val="NormalWeb"/>
        <w:ind w:left="480" w:hanging="480"/>
        <w:jc w:val="both"/>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Trauma</w:t>
      </w:r>
      <w:r w:rsidRPr="00505CF0">
        <w:rPr>
          <w:rFonts w:asciiTheme="majorBidi" w:hAnsiTheme="majorBidi" w:cstheme="majorBidi"/>
        </w:rPr>
        <w:t xml:space="preserve"> (London: Bloomsbury Publishing Plc, 2009)</w:t>
      </w:r>
    </w:p>
    <w:p w14:paraId="66E08B5B" w14:textId="77777777" w:rsidR="00252349" w:rsidRPr="00505CF0" w:rsidRDefault="00252349" w:rsidP="004C3EE0">
      <w:pPr>
        <w:pStyle w:val="NormalWeb"/>
        <w:ind w:left="480" w:hanging="480"/>
        <w:jc w:val="both"/>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Constance</w:t>
      </w:r>
      <w:r w:rsidRPr="00505CF0">
        <w:rPr>
          <w:rFonts w:asciiTheme="majorBidi" w:hAnsiTheme="majorBidi" w:cstheme="majorBidi"/>
        </w:rPr>
        <w:t xml:space="preserve"> (London: Bloomsbury Publishing Plc, 2013)</w:t>
      </w:r>
    </w:p>
    <w:p w14:paraId="4F4F1825" w14:textId="77777777" w:rsidR="00252349" w:rsidRDefault="00252349" w:rsidP="004C3EE0">
      <w:pPr>
        <w:pStyle w:val="NormalWeb"/>
        <w:ind w:left="480" w:hanging="480"/>
        <w:jc w:val="both"/>
        <w:rPr>
          <w:rFonts w:asciiTheme="majorBidi" w:hAnsiTheme="majorBidi" w:cstheme="majorBidi"/>
        </w:rPr>
      </w:pPr>
      <w:bookmarkStart w:id="9" w:name="_Hlk506213781"/>
      <w:r w:rsidRPr="00505CF0">
        <w:rPr>
          <w:rFonts w:asciiTheme="majorBidi" w:hAnsiTheme="majorBidi" w:cstheme="majorBidi"/>
        </w:rPr>
        <w:t xml:space="preserve">– – –, </w:t>
      </w:r>
      <w:bookmarkEnd w:id="9"/>
      <w:r w:rsidRPr="00505CF0">
        <w:rPr>
          <w:rFonts w:asciiTheme="majorBidi" w:hAnsiTheme="majorBidi" w:cstheme="majorBidi"/>
          <w:i/>
          <w:iCs/>
        </w:rPr>
        <w:t>The Wardrobe Mistress</w:t>
      </w:r>
      <w:r w:rsidRPr="00505CF0">
        <w:rPr>
          <w:rFonts w:asciiTheme="majorBidi" w:hAnsiTheme="majorBidi" w:cstheme="majorBidi"/>
        </w:rPr>
        <w:t xml:space="preserve"> (London: Random House, 2017)</w:t>
      </w:r>
    </w:p>
    <w:p w14:paraId="339C2A78" w14:textId="56E50DD1" w:rsidR="0086651B" w:rsidRPr="0086651B" w:rsidRDefault="0086651B" w:rsidP="004C3EE0">
      <w:pPr>
        <w:pStyle w:val="NormalWeb"/>
        <w:ind w:left="480" w:hanging="480"/>
        <w:jc w:val="both"/>
        <w:rPr>
          <w:rFonts w:asciiTheme="majorBidi" w:hAnsiTheme="majorBidi" w:cstheme="majorBidi"/>
        </w:rPr>
      </w:pPr>
      <w:r>
        <w:rPr>
          <w:rFonts w:asciiTheme="majorBidi" w:hAnsiTheme="majorBidi" w:cstheme="majorBidi"/>
        </w:rPr>
        <w:t xml:space="preserve">Milligan, Spike, </w:t>
      </w:r>
      <w:r>
        <w:rPr>
          <w:rFonts w:asciiTheme="majorBidi" w:hAnsiTheme="majorBidi" w:cstheme="majorBidi"/>
          <w:i/>
          <w:iCs/>
        </w:rPr>
        <w:t>Puckoon</w:t>
      </w:r>
      <w:r>
        <w:rPr>
          <w:rFonts w:asciiTheme="majorBidi" w:hAnsiTheme="majorBidi" w:cstheme="majorBidi"/>
        </w:rPr>
        <w:t xml:space="preserve"> (London: Penguin Books, 1963)</w:t>
      </w:r>
    </w:p>
    <w:p w14:paraId="285E2779" w14:textId="77777777" w:rsidR="00252349" w:rsidRDefault="00252349" w:rsidP="004C3EE0">
      <w:pPr>
        <w:pStyle w:val="NormalWeb"/>
        <w:ind w:left="480" w:hanging="480"/>
        <w:jc w:val="both"/>
        <w:rPr>
          <w:rFonts w:asciiTheme="majorBidi" w:hAnsiTheme="majorBidi" w:cstheme="majorBidi"/>
        </w:rPr>
      </w:pPr>
      <w:r w:rsidRPr="00505CF0">
        <w:rPr>
          <w:rFonts w:asciiTheme="majorBidi" w:hAnsiTheme="majorBidi" w:cstheme="majorBidi"/>
        </w:rPr>
        <w:t xml:space="preserve">Mitchell, David, </w:t>
      </w:r>
      <w:r w:rsidRPr="00505CF0">
        <w:rPr>
          <w:rFonts w:asciiTheme="majorBidi" w:hAnsiTheme="majorBidi" w:cstheme="majorBidi"/>
          <w:i/>
          <w:iCs/>
        </w:rPr>
        <w:t>Number9Dream</w:t>
      </w:r>
      <w:r w:rsidRPr="00505CF0">
        <w:rPr>
          <w:rFonts w:asciiTheme="majorBidi" w:hAnsiTheme="majorBidi" w:cstheme="majorBidi"/>
        </w:rPr>
        <w:t xml:space="preserve"> (Kent: Hodder and Stoughton, 2001)</w:t>
      </w:r>
    </w:p>
    <w:p w14:paraId="5971930D" w14:textId="49348B3D" w:rsidR="00B23E68" w:rsidRPr="00B23E68" w:rsidRDefault="00B23E68" w:rsidP="004C3EE0">
      <w:pPr>
        <w:pStyle w:val="NormalWeb"/>
        <w:ind w:left="480" w:hanging="480"/>
        <w:jc w:val="both"/>
        <w:rPr>
          <w:rFonts w:asciiTheme="majorBidi" w:hAnsiTheme="majorBidi" w:cstheme="majorBidi"/>
        </w:rPr>
      </w:pPr>
      <w:r>
        <w:rPr>
          <w:rFonts w:asciiTheme="majorBidi" w:hAnsiTheme="majorBidi" w:cstheme="majorBidi"/>
        </w:rPr>
        <w:t xml:space="preserve">Morris, Janet, </w:t>
      </w:r>
      <w:r>
        <w:rPr>
          <w:rFonts w:asciiTheme="majorBidi" w:hAnsiTheme="majorBidi" w:cstheme="majorBidi"/>
          <w:i/>
          <w:iCs/>
        </w:rPr>
        <w:t xml:space="preserve">I, </w:t>
      </w:r>
      <w:proofErr w:type="gramStart"/>
      <w:r>
        <w:rPr>
          <w:rFonts w:asciiTheme="majorBidi" w:hAnsiTheme="majorBidi" w:cstheme="majorBidi"/>
          <w:i/>
          <w:iCs/>
        </w:rPr>
        <w:t>The</w:t>
      </w:r>
      <w:proofErr w:type="gramEnd"/>
      <w:r>
        <w:rPr>
          <w:rFonts w:asciiTheme="majorBidi" w:hAnsiTheme="majorBidi" w:cstheme="majorBidi"/>
          <w:i/>
          <w:iCs/>
        </w:rPr>
        <w:t xml:space="preserve"> Sun</w:t>
      </w:r>
      <w:r>
        <w:rPr>
          <w:rFonts w:asciiTheme="majorBidi" w:hAnsiTheme="majorBidi" w:cstheme="majorBidi"/>
        </w:rPr>
        <w:t xml:space="preserve"> (Centerville: Perseid Press, 2014)</w:t>
      </w:r>
    </w:p>
    <w:p w14:paraId="6BE991B1" w14:textId="1AB60A9D" w:rsidR="00532A07" w:rsidRPr="00532A07" w:rsidRDefault="00532A07" w:rsidP="004C3EE0">
      <w:pPr>
        <w:pStyle w:val="NormalWeb"/>
        <w:ind w:left="480" w:hanging="480"/>
        <w:jc w:val="both"/>
        <w:rPr>
          <w:rFonts w:asciiTheme="majorBidi" w:hAnsiTheme="majorBidi" w:cstheme="majorBidi"/>
        </w:rPr>
      </w:pPr>
      <w:r>
        <w:rPr>
          <w:rFonts w:asciiTheme="majorBidi" w:hAnsiTheme="majorBidi" w:cstheme="majorBidi"/>
        </w:rPr>
        <w:t xml:space="preserve">Morris, William, </w:t>
      </w:r>
      <w:proofErr w:type="gramStart"/>
      <w:r>
        <w:rPr>
          <w:rFonts w:asciiTheme="majorBidi" w:hAnsiTheme="majorBidi" w:cstheme="majorBidi"/>
          <w:i/>
          <w:iCs/>
        </w:rPr>
        <w:t>The</w:t>
      </w:r>
      <w:proofErr w:type="gramEnd"/>
      <w:r>
        <w:rPr>
          <w:rFonts w:asciiTheme="majorBidi" w:hAnsiTheme="majorBidi" w:cstheme="majorBidi"/>
          <w:i/>
          <w:iCs/>
        </w:rPr>
        <w:t xml:space="preserve"> Story of the Glittering Plain</w:t>
      </w:r>
      <w:r>
        <w:rPr>
          <w:rFonts w:asciiTheme="majorBidi" w:hAnsiTheme="majorBidi" w:cstheme="majorBidi"/>
        </w:rPr>
        <w:t xml:space="preserve"> (London: Prior, 1979)</w:t>
      </w:r>
    </w:p>
    <w:p w14:paraId="3F1D133D" w14:textId="03576A76" w:rsidR="00252349" w:rsidRPr="00505CF0" w:rsidRDefault="00252349" w:rsidP="0070466E">
      <w:pPr>
        <w:pStyle w:val="NormalWeb"/>
        <w:jc w:val="both"/>
        <w:rPr>
          <w:rFonts w:asciiTheme="majorBidi" w:hAnsiTheme="majorBidi" w:cstheme="majorBidi"/>
        </w:rPr>
      </w:pPr>
      <w:r w:rsidRPr="00505CF0">
        <w:rPr>
          <w:rFonts w:asciiTheme="majorBidi" w:hAnsiTheme="majorBidi" w:cstheme="majorBidi"/>
        </w:rPr>
        <w:t xml:space="preserve">Nabokov, Vladimir, </w:t>
      </w:r>
      <w:proofErr w:type="gramStart"/>
      <w:r w:rsidRPr="00505CF0">
        <w:rPr>
          <w:rFonts w:asciiTheme="majorBidi" w:hAnsiTheme="majorBidi" w:cstheme="majorBidi"/>
          <w:i/>
          <w:iCs/>
        </w:rPr>
        <w:t>Pale</w:t>
      </w:r>
      <w:proofErr w:type="gramEnd"/>
      <w:r w:rsidRPr="00505CF0">
        <w:rPr>
          <w:rFonts w:asciiTheme="majorBidi" w:hAnsiTheme="majorBidi" w:cstheme="majorBidi"/>
          <w:i/>
          <w:iCs/>
        </w:rPr>
        <w:t xml:space="preserve"> Fire</w:t>
      </w:r>
      <w:r w:rsidR="0070466E">
        <w:rPr>
          <w:rFonts w:asciiTheme="majorBidi" w:hAnsiTheme="majorBidi" w:cstheme="majorBidi"/>
        </w:rPr>
        <w:t xml:space="preserve"> (London: Penguin</w:t>
      </w:r>
      <w:r w:rsidRPr="00505CF0">
        <w:rPr>
          <w:rFonts w:asciiTheme="majorBidi" w:hAnsiTheme="majorBidi" w:cstheme="majorBidi"/>
        </w:rPr>
        <w:t>, 2011)</w:t>
      </w:r>
    </w:p>
    <w:p w14:paraId="5977F389" w14:textId="4B9BD0F0" w:rsidR="00252349" w:rsidRPr="00505CF0" w:rsidRDefault="00252349" w:rsidP="0070466E">
      <w:pPr>
        <w:pStyle w:val="NormalWeb"/>
        <w:ind w:left="480" w:hanging="480"/>
        <w:jc w:val="both"/>
        <w:rPr>
          <w:rFonts w:asciiTheme="majorBidi" w:hAnsiTheme="majorBidi" w:cstheme="majorBidi"/>
        </w:rPr>
      </w:pPr>
      <w:r w:rsidRPr="00505CF0">
        <w:rPr>
          <w:rFonts w:asciiTheme="majorBidi" w:hAnsiTheme="majorBidi" w:cstheme="majorBidi"/>
        </w:rPr>
        <w:t xml:space="preserve">Ness, Patrick, </w:t>
      </w:r>
      <w:r w:rsidRPr="00505CF0">
        <w:rPr>
          <w:rFonts w:asciiTheme="majorBidi" w:hAnsiTheme="majorBidi" w:cstheme="majorBidi"/>
          <w:i/>
          <w:iCs/>
        </w:rPr>
        <w:t xml:space="preserve">More </w:t>
      </w:r>
      <w:proofErr w:type="gramStart"/>
      <w:r w:rsidRPr="00505CF0">
        <w:rPr>
          <w:rFonts w:asciiTheme="majorBidi" w:hAnsiTheme="majorBidi" w:cstheme="majorBidi"/>
          <w:i/>
          <w:iCs/>
        </w:rPr>
        <w:t>Than</w:t>
      </w:r>
      <w:proofErr w:type="gramEnd"/>
      <w:r w:rsidRPr="00505CF0">
        <w:rPr>
          <w:rFonts w:asciiTheme="majorBidi" w:hAnsiTheme="majorBidi" w:cstheme="majorBidi"/>
          <w:i/>
          <w:iCs/>
        </w:rPr>
        <w:t xml:space="preserve"> This</w:t>
      </w:r>
      <w:r w:rsidRPr="00505CF0">
        <w:rPr>
          <w:rFonts w:asciiTheme="majorBidi" w:hAnsiTheme="majorBidi" w:cstheme="majorBidi"/>
        </w:rPr>
        <w:t xml:space="preserve"> (London: Walker, 2013)</w:t>
      </w:r>
    </w:p>
    <w:p w14:paraId="69C6A995" w14:textId="33AB5723" w:rsidR="00252349" w:rsidRPr="00505CF0" w:rsidRDefault="00252349" w:rsidP="0070466E">
      <w:pPr>
        <w:pStyle w:val="NormalWeb"/>
        <w:ind w:left="480" w:hanging="480"/>
        <w:jc w:val="both"/>
        <w:rPr>
          <w:rFonts w:asciiTheme="majorBidi" w:hAnsiTheme="majorBidi" w:cstheme="majorBidi"/>
        </w:rPr>
      </w:pPr>
      <w:bookmarkStart w:id="10" w:name="_Hlk506213859"/>
      <w:r w:rsidRPr="00505CF0">
        <w:rPr>
          <w:rFonts w:asciiTheme="majorBidi" w:hAnsiTheme="majorBidi" w:cstheme="majorBidi"/>
        </w:rPr>
        <w:t xml:space="preserve">– – –, </w:t>
      </w:r>
      <w:bookmarkEnd w:id="10"/>
      <w:r w:rsidRPr="00505CF0">
        <w:rPr>
          <w:rFonts w:asciiTheme="majorBidi" w:hAnsiTheme="majorBidi" w:cstheme="majorBidi"/>
          <w:i/>
          <w:iCs/>
        </w:rPr>
        <w:t>The Crane Wife</w:t>
      </w:r>
      <w:r w:rsidRPr="00505CF0">
        <w:rPr>
          <w:rFonts w:asciiTheme="majorBidi" w:hAnsiTheme="majorBidi" w:cstheme="majorBidi"/>
        </w:rPr>
        <w:t xml:space="preserve"> (Edinburgh: Canongate, 2013)</w:t>
      </w:r>
    </w:p>
    <w:p w14:paraId="056498AB" w14:textId="77777777" w:rsidR="00252349" w:rsidRPr="00505CF0" w:rsidRDefault="00252349" w:rsidP="004C3EE0">
      <w:pPr>
        <w:pStyle w:val="NormalWeb"/>
        <w:ind w:left="480" w:hanging="480"/>
        <w:jc w:val="both"/>
        <w:rPr>
          <w:rFonts w:asciiTheme="majorBidi" w:hAnsiTheme="majorBidi" w:cstheme="majorBidi"/>
        </w:rPr>
      </w:pPr>
      <w:r w:rsidRPr="00505CF0">
        <w:rPr>
          <w:rFonts w:asciiTheme="majorBidi" w:hAnsiTheme="majorBidi" w:cstheme="majorBidi"/>
        </w:rPr>
        <w:t xml:space="preserve">Ngai, Sianne, </w:t>
      </w:r>
      <w:r w:rsidRPr="00505CF0">
        <w:rPr>
          <w:rFonts w:asciiTheme="majorBidi" w:hAnsiTheme="majorBidi" w:cstheme="majorBidi"/>
          <w:i/>
          <w:iCs/>
        </w:rPr>
        <w:t>Ugly Feelings</w:t>
      </w:r>
      <w:r w:rsidRPr="00505CF0">
        <w:rPr>
          <w:rFonts w:asciiTheme="majorBidi" w:hAnsiTheme="majorBidi" w:cstheme="majorBidi"/>
        </w:rPr>
        <w:t xml:space="preserve"> (Cambridge: Harvard University Press, 2007)</w:t>
      </w:r>
    </w:p>
    <w:p w14:paraId="7F417BEF" w14:textId="4F3AAC49" w:rsidR="00252349" w:rsidRDefault="00252349" w:rsidP="0070466E">
      <w:pPr>
        <w:pStyle w:val="NormalWeb"/>
        <w:ind w:left="480" w:hanging="480"/>
        <w:jc w:val="both"/>
        <w:rPr>
          <w:rFonts w:asciiTheme="majorBidi" w:hAnsiTheme="majorBidi" w:cstheme="majorBidi"/>
        </w:rPr>
      </w:pPr>
      <w:r w:rsidRPr="00505CF0">
        <w:rPr>
          <w:rFonts w:asciiTheme="majorBidi" w:hAnsiTheme="majorBidi" w:cstheme="majorBidi"/>
        </w:rPr>
        <w:t xml:space="preserve">Palahniuk, Chuck, </w:t>
      </w:r>
      <w:r w:rsidRPr="00505CF0">
        <w:rPr>
          <w:rFonts w:asciiTheme="majorBidi" w:hAnsiTheme="majorBidi" w:cstheme="majorBidi"/>
          <w:i/>
          <w:iCs/>
        </w:rPr>
        <w:t>Haunted</w:t>
      </w:r>
      <w:r w:rsidRPr="00505CF0">
        <w:rPr>
          <w:rFonts w:asciiTheme="majorBidi" w:hAnsiTheme="majorBidi" w:cstheme="majorBidi"/>
        </w:rPr>
        <w:t xml:space="preserve"> (London: Vintage, 2006)</w:t>
      </w:r>
    </w:p>
    <w:p w14:paraId="409274FB" w14:textId="57439A2E" w:rsidR="00F37D4E" w:rsidRPr="00F37D4E" w:rsidRDefault="00F37D4E" w:rsidP="004C3EE0">
      <w:pPr>
        <w:pStyle w:val="NormalWeb"/>
        <w:ind w:left="480" w:hanging="480"/>
        <w:jc w:val="both"/>
        <w:rPr>
          <w:rFonts w:asciiTheme="majorBidi" w:hAnsiTheme="majorBidi" w:cstheme="majorBidi"/>
        </w:rPr>
      </w:pPr>
      <w:r>
        <w:rPr>
          <w:rFonts w:asciiTheme="majorBidi" w:hAnsiTheme="majorBidi" w:cstheme="majorBidi"/>
        </w:rPr>
        <w:t xml:space="preserve">Perec, Georges, </w:t>
      </w:r>
      <w:r>
        <w:rPr>
          <w:rFonts w:asciiTheme="majorBidi" w:hAnsiTheme="majorBidi" w:cstheme="majorBidi"/>
          <w:i/>
          <w:iCs/>
        </w:rPr>
        <w:t>A Void</w:t>
      </w:r>
      <w:r>
        <w:rPr>
          <w:rFonts w:asciiTheme="majorBidi" w:hAnsiTheme="majorBidi" w:cstheme="majorBidi"/>
        </w:rPr>
        <w:t xml:space="preserve">, </w:t>
      </w:r>
      <w:proofErr w:type="gramStart"/>
      <w:r>
        <w:rPr>
          <w:rFonts w:asciiTheme="majorBidi" w:hAnsiTheme="majorBidi" w:cstheme="majorBidi"/>
        </w:rPr>
        <w:t>trans</w:t>
      </w:r>
      <w:proofErr w:type="gramEnd"/>
      <w:r>
        <w:rPr>
          <w:rFonts w:asciiTheme="majorBidi" w:hAnsiTheme="majorBidi" w:cstheme="majorBidi"/>
        </w:rPr>
        <w:t xml:space="preserve"> by. Gilbert Adair (London: Harvill, 1994)</w:t>
      </w:r>
    </w:p>
    <w:p w14:paraId="0E3C7949" w14:textId="77777777" w:rsidR="00252349" w:rsidRPr="00505CF0" w:rsidRDefault="00252349" w:rsidP="004C3EE0">
      <w:pPr>
        <w:pStyle w:val="NormalWeb"/>
        <w:ind w:left="480" w:hanging="480"/>
        <w:jc w:val="both"/>
        <w:rPr>
          <w:rFonts w:asciiTheme="majorBidi" w:hAnsiTheme="majorBidi" w:cstheme="majorBidi"/>
        </w:rPr>
      </w:pPr>
      <w:r w:rsidRPr="00505CF0">
        <w:rPr>
          <w:rFonts w:asciiTheme="majorBidi" w:hAnsiTheme="majorBidi" w:cstheme="majorBidi"/>
        </w:rPr>
        <w:t xml:space="preserve">Pierre, DBC, </w:t>
      </w:r>
      <w:r w:rsidRPr="00505CF0">
        <w:rPr>
          <w:rFonts w:asciiTheme="majorBidi" w:hAnsiTheme="majorBidi" w:cstheme="majorBidi"/>
          <w:i/>
          <w:iCs/>
        </w:rPr>
        <w:t>Ludmila’s Broken English</w:t>
      </w:r>
      <w:r w:rsidRPr="00505CF0">
        <w:rPr>
          <w:rFonts w:asciiTheme="majorBidi" w:hAnsiTheme="majorBidi" w:cstheme="majorBidi"/>
        </w:rPr>
        <w:t xml:space="preserve"> (London: Faber and Faber, 2006)</w:t>
      </w:r>
    </w:p>
    <w:p w14:paraId="4105A9EE" w14:textId="18F04CCE" w:rsidR="00252349" w:rsidRDefault="00252349" w:rsidP="0070466E">
      <w:pPr>
        <w:pStyle w:val="NormalWeb"/>
        <w:ind w:left="480" w:hanging="480"/>
        <w:rPr>
          <w:rFonts w:asciiTheme="majorBidi" w:hAnsiTheme="majorBidi" w:cstheme="majorBidi"/>
        </w:rPr>
      </w:pPr>
      <w:r w:rsidRPr="00505CF0">
        <w:rPr>
          <w:rFonts w:asciiTheme="majorBidi" w:hAnsiTheme="majorBidi" w:cstheme="majorBidi"/>
        </w:rPr>
        <w:t xml:space="preserve">Piñol, Albert Sánchez, </w:t>
      </w:r>
      <w:r w:rsidRPr="00505CF0">
        <w:rPr>
          <w:rFonts w:asciiTheme="majorBidi" w:hAnsiTheme="majorBidi" w:cstheme="majorBidi"/>
          <w:i/>
          <w:iCs/>
        </w:rPr>
        <w:t>Cold Skin</w:t>
      </w:r>
      <w:r w:rsidRPr="00505CF0">
        <w:rPr>
          <w:rFonts w:asciiTheme="majorBidi" w:hAnsiTheme="majorBidi" w:cstheme="majorBidi"/>
        </w:rPr>
        <w:t>, trans. by Cheryl Leah Morgan (Edinburgh: Canongate, 2006)</w:t>
      </w:r>
    </w:p>
    <w:p w14:paraId="2D3F9A7F" w14:textId="1A863823" w:rsidR="00F37D4E" w:rsidRPr="00F37D4E" w:rsidRDefault="0086651B" w:rsidP="0086651B">
      <w:pPr>
        <w:pStyle w:val="NormalWeb"/>
        <w:ind w:left="480" w:hanging="480"/>
        <w:rPr>
          <w:rFonts w:asciiTheme="majorBidi" w:hAnsiTheme="majorBidi" w:cstheme="majorBidi"/>
        </w:rPr>
      </w:pPr>
      <w:r>
        <w:rPr>
          <w:rFonts w:asciiTheme="majorBidi" w:hAnsiTheme="majorBidi" w:cstheme="majorBidi"/>
        </w:rPr>
        <w:t xml:space="preserve">Pynchon, Thomas, </w:t>
      </w:r>
      <w:r w:rsidR="00F37D4E">
        <w:rPr>
          <w:rFonts w:asciiTheme="majorBidi" w:hAnsiTheme="majorBidi" w:cstheme="majorBidi"/>
          <w:i/>
          <w:iCs/>
        </w:rPr>
        <w:t>Gravity’s Rainbow</w:t>
      </w:r>
      <w:r w:rsidR="00F37D4E">
        <w:rPr>
          <w:rFonts w:asciiTheme="majorBidi" w:hAnsiTheme="majorBidi" w:cstheme="majorBidi"/>
        </w:rPr>
        <w:t xml:space="preserve"> (London: Cape, 1973)</w:t>
      </w:r>
    </w:p>
    <w:p w14:paraId="2C4FF9BF" w14:textId="55BF3DF8" w:rsidR="0086651B" w:rsidRPr="0086651B" w:rsidRDefault="00F37D4E" w:rsidP="0070466E">
      <w:pPr>
        <w:pStyle w:val="NormalWeb"/>
        <w:ind w:left="480" w:hanging="480"/>
        <w:rPr>
          <w:rFonts w:asciiTheme="majorBidi" w:hAnsiTheme="majorBidi" w:cstheme="majorBidi"/>
        </w:rPr>
      </w:pPr>
      <w:r w:rsidRPr="00505CF0">
        <w:rPr>
          <w:rFonts w:asciiTheme="majorBidi" w:hAnsiTheme="majorBidi" w:cstheme="majorBidi"/>
        </w:rPr>
        <w:t xml:space="preserve">– – –, </w:t>
      </w:r>
      <w:r w:rsidR="0086651B">
        <w:rPr>
          <w:rFonts w:asciiTheme="majorBidi" w:hAnsiTheme="majorBidi" w:cstheme="majorBidi"/>
          <w:i/>
          <w:iCs/>
        </w:rPr>
        <w:t>The Crying of Lot 49</w:t>
      </w:r>
      <w:r w:rsidR="0086651B">
        <w:rPr>
          <w:rFonts w:asciiTheme="majorBidi" w:hAnsiTheme="majorBidi" w:cstheme="majorBidi"/>
        </w:rPr>
        <w:t xml:space="preserve"> (London: Vintage, 1996)</w:t>
      </w:r>
    </w:p>
    <w:p w14:paraId="1154E316" w14:textId="24B949B5" w:rsidR="00252349" w:rsidRDefault="00252349" w:rsidP="0070466E">
      <w:pPr>
        <w:pStyle w:val="NormalWeb"/>
        <w:ind w:left="480" w:hanging="480"/>
        <w:rPr>
          <w:rFonts w:asciiTheme="majorBidi" w:hAnsiTheme="majorBidi" w:cstheme="majorBidi"/>
        </w:rPr>
      </w:pPr>
      <w:r w:rsidRPr="00505CF0">
        <w:rPr>
          <w:rFonts w:asciiTheme="majorBidi" w:hAnsiTheme="majorBidi" w:cstheme="majorBidi"/>
        </w:rPr>
        <w:t xml:space="preserve">Robertson, James,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Testament of Gideon Mack</w:t>
      </w:r>
      <w:r w:rsidRPr="00505CF0">
        <w:rPr>
          <w:rFonts w:asciiTheme="majorBidi" w:hAnsiTheme="majorBidi" w:cstheme="majorBidi"/>
        </w:rPr>
        <w:t xml:space="preserve"> (London: Penguin, 2006)</w:t>
      </w:r>
    </w:p>
    <w:p w14:paraId="5D74577F" w14:textId="5525C05B" w:rsidR="0070466E" w:rsidRPr="0070466E" w:rsidRDefault="0070466E" w:rsidP="0070466E">
      <w:pPr>
        <w:pStyle w:val="NormalWeb"/>
        <w:ind w:left="480" w:hanging="480"/>
        <w:rPr>
          <w:rFonts w:asciiTheme="majorBidi" w:hAnsiTheme="majorBidi" w:cstheme="majorBidi"/>
        </w:rPr>
      </w:pPr>
      <w:r>
        <w:rPr>
          <w:rFonts w:asciiTheme="majorBidi" w:hAnsiTheme="majorBidi" w:cstheme="majorBidi"/>
        </w:rPr>
        <w:t xml:space="preserve">Rushdie, Salman, </w:t>
      </w:r>
      <w:r>
        <w:rPr>
          <w:rFonts w:asciiTheme="majorBidi" w:hAnsiTheme="majorBidi" w:cstheme="majorBidi"/>
          <w:i/>
          <w:iCs/>
        </w:rPr>
        <w:t>Midnight’s Children</w:t>
      </w:r>
      <w:r>
        <w:rPr>
          <w:rFonts w:asciiTheme="majorBidi" w:hAnsiTheme="majorBidi" w:cstheme="majorBidi"/>
        </w:rPr>
        <w:t xml:space="preserve"> (London: Vintage, 2008)</w:t>
      </w:r>
    </w:p>
    <w:p w14:paraId="00986B6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Ryan, Bartholemew, ‘Altermodern: A Conversation with Nicolas Bourriaud’, </w:t>
      </w:r>
      <w:r w:rsidRPr="00505CF0">
        <w:rPr>
          <w:rFonts w:asciiTheme="majorBidi" w:hAnsiTheme="majorBidi" w:cstheme="majorBidi"/>
          <w:i/>
          <w:iCs/>
        </w:rPr>
        <w:t>Art in America</w:t>
      </w:r>
      <w:r w:rsidRPr="00505CF0">
        <w:rPr>
          <w:rFonts w:asciiTheme="majorBidi" w:hAnsiTheme="majorBidi" w:cstheme="majorBidi"/>
        </w:rPr>
        <w:t>, 2009 &lt;http://www.artinamericamagazine.com/news-features/interviews/altermodern-a-conversation-with-nicolas-bourriaud/&gt; [accessed 15 August 2017]</w:t>
      </w:r>
    </w:p>
    <w:p w14:paraId="725C3E6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Sabolo, Monica, </w:t>
      </w:r>
      <w:r w:rsidRPr="00505CF0">
        <w:rPr>
          <w:rFonts w:asciiTheme="majorBidi" w:hAnsiTheme="majorBidi" w:cstheme="majorBidi"/>
          <w:i/>
          <w:iCs/>
        </w:rPr>
        <w:t xml:space="preserve">All This Has Nothing </w:t>
      </w:r>
      <w:proofErr w:type="gramStart"/>
      <w:r w:rsidRPr="00505CF0">
        <w:rPr>
          <w:rFonts w:asciiTheme="majorBidi" w:hAnsiTheme="majorBidi" w:cstheme="majorBidi"/>
          <w:i/>
          <w:iCs/>
        </w:rPr>
        <w:t>To</w:t>
      </w:r>
      <w:proofErr w:type="gramEnd"/>
      <w:r w:rsidRPr="00505CF0">
        <w:rPr>
          <w:rFonts w:asciiTheme="majorBidi" w:hAnsiTheme="majorBidi" w:cstheme="majorBidi"/>
          <w:i/>
          <w:iCs/>
        </w:rPr>
        <w:t xml:space="preserve"> Do With Me</w:t>
      </w:r>
      <w:r w:rsidRPr="00505CF0">
        <w:rPr>
          <w:rFonts w:asciiTheme="majorBidi" w:hAnsiTheme="majorBidi" w:cstheme="majorBidi"/>
        </w:rPr>
        <w:t>, trans. by Georgina Collins (London: Picador, 2015)</w:t>
      </w:r>
    </w:p>
    <w:p w14:paraId="57D2F146"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Scott, Walter, </w:t>
      </w:r>
      <w:proofErr w:type="gramStart"/>
      <w:r w:rsidRPr="00505CF0">
        <w:rPr>
          <w:rFonts w:asciiTheme="majorBidi" w:hAnsiTheme="majorBidi" w:cstheme="majorBidi"/>
          <w:i/>
          <w:iCs/>
        </w:rPr>
        <w:t>Redgauntlet</w:t>
      </w:r>
      <w:proofErr w:type="gramEnd"/>
      <w:r w:rsidRPr="00505CF0">
        <w:rPr>
          <w:rFonts w:asciiTheme="majorBidi" w:hAnsiTheme="majorBidi" w:cstheme="majorBidi"/>
        </w:rPr>
        <w:t xml:space="preserve"> (New York: Oxford University Press, 2011)</w:t>
      </w:r>
    </w:p>
    <w:p w14:paraId="5DDA73B5" w14:textId="37B8209E" w:rsidR="00C067F2" w:rsidRPr="00C067F2" w:rsidRDefault="00C067F2" w:rsidP="006B5C76">
      <w:pPr>
        <w:pStyle w:val="NormalWeb"/>
        <w:ind w:left="480" w:hanging="480"/>
        <w:rPr>
          <w:rFonts w:asciiTheme="majorBidi" w:hAnsiTheme="majorBidi" w:cstheme="majorBidi"/>
        </w:rPr>
      </w:pPr>
      <w:r>
        <w:rPr>
          <w:rFonts w:asciiTheme="majorBidi" w:hAnsiTheme="majorBidi" w:cstheme="majorBidi"/>
        </w:rPr>
        <w:t xml:space="preserve">Shakespeare, William, </w:t>
      </w:r>
      <w:proofErr w:type="gramStart"/>
      <w:r>
        <w:rPr>
          <w:rFonts w:asciiTheme="majorBidi" w:hAnsiTheme="majorBidi" w:cstheme="majorBidi"/>
          <w:i/>
          <w:iCs/>
        </w:rPr>
        <w:t>Hamlet</w:t>
      </w:r>
      <w:proofErr w:type="gramEnd"/>
      <w:r>
        <w:rPr>
          <w:rFonts w:asciiTheme="majorBidi" w:hAnsiTheme="majorBidi" w:cstheme="majorBidi"/>
        </w:rPr>
        <w:t xml:space="preserve"> (</w:t>
      </w:r>
      <w:r w:rsidR="00736CB2">
        <w:rPr>
          <w:rFonts w:asciiTheme="majorBidi" w:hAnsiTheme="majorBidi" w:cstheme="majorBidi"/>
        </w:rPr>
        <w:t>Basingstoke: Palgrave Macmillan, 2008)</w:t>
      </w:r>
    </w:p>
    <w:p w14:paraId="527EF98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Shelley, Mary, </w:t>
      </w:r>
      <w:r w:rsidRPr="00505CF0">
        <w:rPr>
          <w:rFonts w:asciiTheme="majorBidi" w:hAnsiTheme="majorBidi" w:cstheme="majorBidi"/>
          <w:i/>
          <w:iCs/>
        </w:rPr>
        <w:t xml:space="preserve">Frankenstein or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Modern Prometheus, 1818 Text</w:t>
      </w:r>
      <w:r w:rsidRPr="00505CF0">
        <w:rPr>
          <w:rFonts w:asciiTheme="majorBidi" w:hAnsiTheme="majorBidi" w:cstheme="majorBidi"/>
        </w:rPr>
        <w:t>, ed. by Marilyn Butler (New York: Oxford University Press, 2008)</w:t>
      </w:r>
    </w:p>
    <w:p w14:paraId="6C38580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Simmons, Dan,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Terror</w:t>
      </w:r>
      <w:r w:rsidRPr="00505CF0">
        <w:rPr>
          <w:rFonts w:asciiTheme="majorBidi" w:hAnsiTheme="majorBidi" w:cstheme="majorBidi"/>
        </w:rPr>
        <w:t xml:space="preserve"> (Reading: Bantam Press, 2007)</w:t>
      </w:r>
    </w:p>
    <w:p w14:paraId="489530FF" w14:textId="734D6CD5" w:rsidR="00252349" w:rsidRPr="00505CF0" w:rsidRDefault="00252349" w:rsidP="0070466E">
      <w:pPr>
        <w:pStyle w:val="NormalWeb"/>
        <w:ind w:left="480" w:hanging="480"/>
        <w:rPr>
          <w:rFonts w:asciiTheme="majorBidi" w:hAnsiTheme="majorBidi" w:cstheme="majorBidi"/>
        </w:rPr>
      </w:pPr>
      <w:r w:rsidRPr="00505CF0">
        <w:rPr>
          <w:rFonts w:asciiTheme="majorBidi" w:hAnsiTheme="majorBidi" w:cstheme="majorBidi"/>
        </w:rPr>
        <w:t xml:space="preserve">Spark, Muriel,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Driver’s Seat</w:t>
      </w:r>
      <w:r w:rsidRPr="00505CF0">
        <w:rPr>
          <w:rFonts w:asciiTheme="majorBidi" w:hAnsiTheme="majorBidi" w:cstheme="majorBidi"/>
        </w:rPr>
        <w:t xml:space="preserve"> (St Ives: Penguin, 1974)</w:t>
      </w:r>
    </w:p>
    <w:p w14:paraId="1E85929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Sterne, Laurence, </w:t>
      </w:r>
      <w:r w:rsidRPr="00505CF0">
        <w:rPr>
          <w:rFonts w:asciiTheme="majorBidi" w:hAnsiTheme="majorBidi" w:cstheme="majorBidi"/>
          <w:i/>
          <w:iCs/>
        </w:rPr>
        <w:t>Tristram Shandy</w:t>
      </w:r>
      <w:r w:rsidRPr="00505CF0">
        <w:rPr>
          <w:rFonts w:asciiTheme="majorBidi" w:hAnsiTheme="majorBidi" w:cstheme="majorBidi"/>
        </w:rPr>
        <w:t xml:space="preserve"> (New York: The New American Library of World Literature, inc., 1960)</w:t>
      </w:r>
    </w:p>
    <w:p w14:paraId="05563AB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Swift, T, ‘An Interview with Luke Turner &amp; Nastja Säde Rönkkö’, </w:t>
      </w:r>
      <w:r w:rsidRPr="00505CF0">
        <w:rPr>
          <w:rFonts w:asciiTheme="majorBidi" w:hAnsiTheme="majorBidi" w:cstheme="majorBidi"/>
          <w:i/>
          <w:iCs/>
        </w:rPr>
        <w:t>AQNB</w:t>
      </w:r>
      <w:r w:rsidRPr="00505CF0">
        <w:rPr>
          <w:rFonts w:asciiTheme="majorBidi" w:hAnsiTheme="majorBidi" w:cstheme="majorBidi"/>
        </w:rPr>
        <w:t>, 2014</w:t>
      </w:r>
    </w:p>
    <w:p w14:paraId="5816983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Thompson, Alice, </w:t>
      </w:r>
      <w:proofErr w:type="gramStart"/>
      <w:r w:rsidRPr="00505CF0">
        <w:rPr>
          <w:rFonts w:asciiTheme="majorBidi" w:hAnsiTheme="majorBidi" w:cstheme="majorBidi"/>
          <w:i/>
          <w:iCs/>
        </w:rPr>
        <w:t>Pharos</w:t>
      </w:r>
      <w:proofErr w:type="gramEnd"/>
      <w:r w:rsidRPr="00505CF0">
        <w:rPr>
          <w:rFonts w:asciiTheme="majorBidi" w:hAnsiTheme="majorBidi" w:cstheme="majorBidi"/>
        </w:rPr>
        <w:t xml:space="preserve"> (London: Virago Press, 2002)</w:t>
      </w:r>
    </w:p>
    <w:p w14:paraId="75D9DF0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Vonnegut, Kurt, ‘Breakfast of Champions’, in </w:t>
      </w:r>
      <w:r w:rsidRPr="00505CF0">
        <w:rPr>
          <w:rFonts w:asciiTheme="majorBidi" w:hAnsiTheme="majorBidi" w:cstheme="majorBidi"/>
          <w:i/>
          <w:iCs/>
        </w:rPr>
        <w:t>Vonnegut Novels &amp; Stories 1963-73</w:t>
      </w:r>
      <w:r w:rsidRPr="00505CF0">
        <w:rPr>
          <w:rFonts w:asciiTheme="majorBidi" w:hAnsiTheme="majorBidi" w:cstheme="majorBidi"/>
        </w:rPr>
        <w:t>, ed. by Sidney Offit (New York: The Library of America, 2011), pp. 491–733</w:t>
      </w:r>
    </w:p>
    <w:p w14:paraId="424EDF99" w14:textId="7C551D8A" w:rsidR="00252349" w:rsidRPr="00505CF0" w:rsidRDefault="00252349" w:rsidP="0070466E">
      <w:pPr>
        <w:pStyle w:val="NormalWeb"/>
        <w:ind w:left="480" w:hanging="480"/>
        <w:rPr>
          <w:rFonts w:asciiTheme="majorBidi" w:hAnsiTheme="majorBidi" w:cstheme="majorBidi"/>
        </w:rPr>
      </w:pPr>
      <w:bookmarkStart w:id="11" w:name="_Hlk506214524"/>
      <w:r w:rsidRPr="00505CF0">
        <w:rPr>
          <w:rFonts w:asciiTheme="majorBidi" w:hAnsiTheme="majorBidi" w:cstheme="majorBidi"/>
        </w:rPr>
        <w:t xml:space="preserve">– – –, </w:t>
      </w:r>
      <w:bookmarkEnd w:id="11"/>
      <w:r w:rsidRPr="00505CF0">
        <w:rPr>
          <w:rFonts w:asciiTheme="majorBidi" w:hAnsiTheme="majorBidi" w:cstheme="majorBidi"/>
          <w:i/>
          <w:iCs/>
        </w:rPr>
        <w:t xml:space="preserve">A Man </w:t>
      </w:r>
      <w:proofErr w:type="gramStart"/>
      <w:r w:rsidRPr="00505CF0">
        <w:rPr>
          <w:rFonts w:asciiTheme="majorBidi" w:hAnsiTheme="majorBidi" w:cstheme="majorBidi"/>
          <w:i/>
          <w:iCs/>
        </w:rPr>
        <w:t>Without</w:t>
      </w:r>
      <w:proofErr w:type="gramEnd"/>
      <w:r w:rsidRPr="00505CF0">
        <w:rPr>
          <w:rFonts w:asciiTheme="majorBidi" w:hAnsiTheme="majorBidi" w:cstheme="majorBidi"/>
          <w:i/>
          <w:iCs/>
        </w:rPr>
        <w:t xml:space="preserve"> a Country</w:t>
      </w:r>
      <w:r w:rsidRPr="00505CF0">
        <w:rPr>
          <w:rFonts w:asciiTheme="majorBidi" w:hAnsiTheme="majorBidi" w:cstheme="majorBidi"/>
        </w:rPr>
        <w:t xml:space="preserve"> (London: Bloomsbury, 2007)</w:t>
      </w:r>
    </w:p>
    <w:p w14:paraId="66E4BD6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Wallace, David Foster, ‘E. Unibus Plurum’, </w:t>
      </w:r>
      <w:r w:rsidRPr="00505CF0">
        <w:rPr>
          <w:rFonts w:asciiTheme="majorBidi" w:hAnsiTheme="majorBidi" w:cstheme="majorBidi"/>
          <w:i/>
          <w:iCs/>
        </w:rPr>
        <w:t>Review of Contemporary Fiction</w:t>
      </w:r>
      <w:r w:rsidRPr="00505CF0">
        <w:rPr>
          <w:rFonts w:asciiTheme="majorBidi" w:hAnsiTheme="majorBidi" w:cstheme="majorBidi"/>
        </w:rPr>
        <w:t xml:space="preserve">, 13 (1993), 151–94 </w:t>
      </w:r>
    </w:p>
    <w:p w14:paraId="7042396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‘Consider the Lobster’, in </w:t>
      </w:r>
      <w:r w:rsidRPr="00505CF0">
        <w:rPr>
          <w:rFonts w:asciiTheme="majorBidi" w:hAnsiTheme="majorBidi" w:cstheme="majorBidi"/>
          <w:i/>
          <w:iCs/>
        </w:rPr>
        <w:t>Gourmet</w:t>
      </w:r>
      <w:r w:rsidRPr="00505CF0">
        <w:rPr>
          <w:rFonts w:asciiTheme="majorBidi" w:hAnsiTheme="majorBidi" w:cstheme="majorBidi"/>
        </w:rPr>
        <w:t xml:space="preserve">, 2000, pp. 1–12 </w:t>
      </w:r>
    </w:p>
    <w:p w14:paraId="37A13EB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‘Certainly the End of Something or Other’, in </w:t>
      </w:r>
      <w:r w:rsidRPr="00505CF0">
        <w:rPr>
          <w:rFonts w:asciiTheme="majorBidi" w:hAnsiTheme="majorBidi" w:cstheme="majorBidi"/>
          <w:i/>
          <w:iCs/>
        </w:rPr>
        <w:t>Consider the Lobster</w:t>
      </w:r>
      <w:r w:rsidRPr="00505CF0">
        <w:rPr>
          <w:rFonts w:asciiTheme="majorBidi" w:hAnsiTheme="majorBidi" w:cstheme="majorBidi"/>
        </w:rPr>
        <w:t xml:space="preserve"> (London: Hachette Digital, 2006)</w:t>
      </w:r>
    </w:p>
    <w:p w14:paraId="3FEF0C81" w14:textId="77777777" w:rsidR="00252349" w:rsidRDefault="00252349" w:rsidP="006B5C76">
      <w:pPr>
        <w:pStyle w:val="NormalWeb"/>
        <w:ind w:left="480" w:hanging="480"/>
        <w:rPr>
          <w:rFonts w:asciiTheme="majorBidi" w:hAnsiTheme="majorBidi" w:cstheme="majorBidi"/>
        </w:rPr>
      </w:pPr>
      <w:bookmarkStart w:id="12" w:name="_Hlk506214612"/>
      <w:r w:rsidRPr="00505CF0">
        <w:rPr>
          <w:rFonts w:asciiTheme="majorBidi" w:hAnsiTheme="majorBidi" w:cstheme="majorBidi"/>
        </w:rPr>
        <w:t xml:space="preserve">– – –, </w:t>
      </w:r>
      <w:bookmarkEnd w:id="12"/>
      <w:r w:rsidRPr="00505CF0">
        <w:rPr>
          <w:rFonts w:asciiTheme="majorBidi" w:hAnsiTheme="majorBidi" w:cstheme="majorBidi"/>
        </w:rPr>
        <w:t xml:space="preserve">‘How Tracy Austin Broke My Heart’, in </w:t>
      </w:r>
      <w:r w:rsidRPr="00505CF0">
        <w:rPr>
          <w:rFonts w:asciiTheme="majorBidi" w:hAnsiTheme="majorBidi" w:cstheme="majorBidi"/>
          <w:i/>
          <w:iCs/>
        </w:rPr>
        <w:t>Consider the Lobster</w:t>
      </w:r>
      <w:r w:rsidRPr="00505CF0">
        <w:rPr>
          <w:rFonts w:asciiTheme="majorBidi" w:hAnsiTheme="majorBidi" w:cstheme="majorBidi"/>
        </w:rPr>
        <w:t xml:space="preserve"> (London: Hachette Digital, 2006) </w:t>
      </w:r>
    </w:p>
    <w:p w14:paraId="24514451" w14:textId="367505A9" w:rsidR="0070466E" w:rsidRPr="00293DC0" w:rsidRDefault="0070466E" w:rsidP="006B5C76">
      <w:pPr>
        <w:pStyle w:val="NormalWeb"/>
        <w:ind w:left="480" w:hanging="480"/>
        <w:rPr>
          <w:rFonts w:asciiTheme="majorBidi" w:hAnsiTheme="majorBidi" w:cstheme="majorBidi"/>
          <w:lang w:val="fr-FR"/>
        </w:rPr>
      </w:pPr>
      <w:r w:rsidRPr="00293DC0">
        <w:rPr>
          <w:rFonts w:asciiTheme="majorBidi" w:hAnsiTheme="majorBidi" w:cstheme="majorBidi"/>
          <w:lang w:val="fr-FR"/>
        </w:rPr>
        <w:t xml:space="preserve">– – –, </w:t>
      </w:r>
      <w:r w:rsidRPr="00293DC0">
        <w:rPr>
          <w:rFonts w:asciiTheme="majorBidi" w:hAnsiTheme="majorBidi" w:cstheme="majorBidi"/>
          <w:i/>
          <w:iCs/>
          <w:lang w:val="fr-FR"/>
        </w:rPr>
        <w:t>Infinite Jest</w:t>
      </w:r>
      <w:r w:rsidRPr="00293DC0">
        <w:rPr>
          <w:rFonts w:asciiTheme="majorBidi" w:hAnsiTheme="majorBidi" w:cstheme="majorBidi"/>
          <w:lang w:val="fr-FR"/>
        </w:rPr>
        <w:t xml:space="preserve"> (</w:t>
      </w:r>
      <w:r w:rsidR="00293DC0" w:rsidRPr="00293DC0">
        <w:rPr>
          <w:rFonts w:asciiTheme="majorBidi" w:hAnsiTheme="majorBidi" w:cstheme="majorBidi"/>
          <w:lang w:val="fr-FR"/>
        </w:rPr>
        <w:t>London: Hachette Digital, 2011)</w:t>
      </w:r>
    </w:p>
    <w:p w14:paraId="50BF828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Walpole, Horace,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Castle of Otranto</w:t>
      </w:r>
      <w:r w:rsidRPr="00505CF0">
        <w:rPr>
          <w:rFonts w:asciiTheme="majorBidi" w:hAnsiTheme="majorBidi" w:cstheme="majorBidi"/>
        </w:rPr>
        <w:t>, ed. by W. S. Lewis (Oxford: Oxford University Press, 2008)</w:t>
      </w:r>
    </w:p>
    <w:p w14:paraId="5DFF9B2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Waters, Tom, ‘Interview with Bret Easton Ellis’, </w:t>
      </w:r>
      <w:r w:rsidRPr="00505CF0">
        <w:rPr>
          <w:rFonts w:asciiTheme="majorBidi" w:hAnsiTheme="majorBidi" w:cstheme="majorBidi"/>
          <w:i/>
          <w:iCs/>
        </w:rPr>
        <w:t>Acid Logic</w:t>
      </w:r>
      <w:r w:rsidRPr="00505CF0">
        <w:rPr>
          <w:rFonts w:asciiTheme="majorBidi" w:hAnsiTheme="majorBidi" w:cstheme="majorBidi"/>
        </w:rPr>
        <w:t>, 2005 &lt;http://www.acidlogic.com/bret_easton_ellis.htm&gt; [accessed 15 July 2015]</w:t>
      </w:r>
    </w:p>
    <w:p w14:paraId="31F0421F" w14:textId="685B2234" w:rsidR="00252349" w:rsidRPr="00505CF0" w:rsidRDefault="00252349" w:rsidP="0070466E">
      <w:pPr>
        <w:pStyle w:val="NormalWeb"/>
        <w:ind w:left="480" w:hanging="480"/>
        <w:rPr>
          <w:rFonts w:asciiTheme="majorBidi" w:hAnsiTheme="majorBidi" w:cstheme="majorBidi"/>
        </w:rPr>
      </w:pPr>
      <w:r w:rsidRPr="00505CF0">
        <w:rPr>
          <w:rFonts w:asciiTheme="majorBidi" w:hAnsiTheme="majorBidi" w:cstheme="majorBidi"/>
        </w:rPr>
        <w:t xml:space="preserve">Welsh, Irvine, </w:t>
      </w:r>
      <w:proofErr w:type="gramStart"/>
      <w:r w:rsidRPr="00505CF0">
        <w:rPr>
          <w:rFonts w:asciiTheme="majorBidi" w:hAnsiTheme="majorBidi" w:cstheme="majorBidi"/>
          <w:i/>
          <w:iCs/>
        </w:rPr>
        <w:t>Filth</w:t>
      </w:r>
      <w:proofErr w:type="gramEnd"/>
      <w:r w:rsidRPr="00505CF0">
        <w:rPr>
          <w:rFonts w:asciiTheme="majorBidi" w:hAnsiTheme="majorBidi" w:cstheme="majorBidi"/>
        </w:rPr>
        <w:t xml:space="preserve"> (London: Vintage, 2013)</w:t>
      </w:r>
    </w:p>
    <w:p w14:paraId="69256B03" w14:textId="1552E404" w:rsidR="00252349" w:rsidRPr="00505CF0" w:rsidRDefault="006B5C76" w:rsidP="006B5C76">
      <w:pPr>
        <w:pStyle w:val="NormalWeb"/>
        <w:ind w:left="480" w:hanging="480"/>
        <w:rPr>
          <w:rFonts w:asciiTheme="majorBidi" w:hAnsiTheme="majorBidi" w:cstheme="majorBidi"/>
        </w:rPr>
      </w:pPr>
      <w:r w:rsidRPr="00505CF0">
        <w:rPr>
          <w:rFonts w:asciiTheme="majorBidi" w:hAnsiTheme="majorBidi" w:cstheme="majorBidi"/>
        </w:rPr>
        <w:t xml:space="preserve">‘Optimistic </w:t>
      </w:r>
      <w:r w:rsidR="00252349" w:rsidRPr="00505CF0">
        <w:rPr>
          <w:rFonts w:asciiTheme="majorBidi" w:hAnsiTheme="majorBidi" w:cstheme="majorBidi"/>
        </w:rPr>
        <w:t xml:space="preserve">Nihilism’, </w:t>
      </w:r>
      <w:r w:rsidR="00252349" w:rsidRPr="00505CF0">
        <w:rPr>
          <w:rFonts w:asciiTheme="majorBidi" w:hAnsiTheme="majorBidi" w:cstheme="majorBidi"/>
          <w:i/>
          <w:iCs/>
        </w:rPr>
        <w:t>Kurzgesagt</w:t>
      </w:r>
      <w:r w:rsidR="00252349" w:rsidRPr="00505CF0">
        <w:rPr>
          <w:rFonts w:asciiTheme="majorBidi" w:hAnsiTheme="majorBidi" w:cstheme="majorBidi"/>
        </w:rPr>
        <w:t>, 2017</w:t>
      </w:r>
      <w:r w:rsidRPr="00505CF0">
        <w:rPr>
          <w:rFonts w:asciiTheme="majorBidi" w:hAnsiTheme="majorBidi" w:cstheme="majorBidi"/>
        </w:rPr>
        <w:t xml:space="preserve"> </w:t>
      </w:r>
      <w:r w:rsidR="00252349" w:rsidRPr="00505CF0">
        <w:rPr>
          <w:rFonts w:asciiTheme="majorBidi" w:hAnsiTheme="majorBidi" w:cstheme="majorBidi"/>
        </w:rPr>
        <w:t>&lt;https://www.youtube.com/watch?v=MBRqu0YOH14&gt; [accessed 6 December 2017]</w:t>
      </w:r>
    </w:p>
    <w:p w14:paraId="5B87446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‘Samurai Jack’ (United States: Warner Bros. Television Distribution, 2001)</w:t>
      </w:r>
    </w:p>
    <w:p w14:paraId="6F5910D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‘Captain Planet and the Planeteers’ (United States: Warner Bros. Television Distribution, 1990)</w:t>
      </w:r>
    </w:p>
    <w:p w14:paraId="46E802FD" w14:textId="77777777" w:rsidR="00252349" w:rsidRDefault="00252349" w:rsidP="006B5C76">
      <w:pPr>
        <w:pStyle w:val="NormalWeb"/>
        <w:ind w:left="480" w:hanging="480"/>
        <w:rPr>
          <w:rFonts w:asciiTheme="majorBidi" w:hAnsiTheme="majorBidi" w:cstheme="majorBidi"/>
        </w:rPr>
      </w:pPr>
      <w:r w:rsidRPr="00505CF0">
        <w:rPr>
          <w:rFonts w:asciiTheme="majorBidi" w:hAnsiTheme="majorBidi" w:cstheme="majorBidi"/>
        </w:rPr>
        <w:t>‘The Transformers’ (United States: Hasbro Studios, 1984)</w:t>
      </w:r>
    </w:p>
    <w:p w14:paraId="6F1C82F9" w14:textId="498BB2D6" w:rsidR="00C067F2" w:rsidRDefault="00C067F2" w:rsidP="00C067F2">
      <w:pPr>
        <w:pStyle w:val="NormalWeb"/>
        <w:ind w:left="480" w:hanging="480"/>
        <w:rPr>
          <w:rFonts w:asciiTheme="majorBidi" w:hAnsiTheme="majorBidi" w:cstheme="majorBidi"/>
        </w:rPr>
      </w:pPr>
      <w:r>
        <w:rPr>
          <w:rFonts w:asciiTheme="majorBidi" w:hAnsiTheme="majorBidi" w:cstheme="majorBidi"/>
          <w:i/>
          <w:iCs/>
        </w:rPr>
        <w:t xml:space="preserve">The Holy Bible, </w:t>
      </w:r>
      <w:r>
        <w:rPr>
          <w:rFonts w:asciiTheme="majorBidi" w:hAnsiTheme="majorBidi" w:cstheme="majorBidi"/>
        </w:rPr>
        <w:t>New International Version, (Michigan: Zondervan Publishing House, 1984)</w:t>
      </w:r>
    </w:p>
    <w:p w14:paraId="2DC817A7" w14:textId="68434C7A" w:rsidR="00736CB2" w:rsidRPr="00736CB2" w:rsidRDefault="00736CB2" w:rsidP="00C067F2">
      <w:pPr>
        <w:pStyle w:val="NormalWeb"/>
        <w:ind w:left="480" w:hanging="480"/>
        <w:rPr>
          <w:rFonts w:asciiTheme="majorBidi" w:hAnsiTheme="majorBidi" w:cstheme="majorBidi"/>
        </w:rPr>
      </w:pPr>
      <w:r>
        <w:rPr>
          <w:rFonts w:asciiTheme="majorBidi" w:hAnsiTheme="majorBidi" w:cstheme="majorBidi"/>
          <w:i/>
          <w:iCs/>
        </w:rPr>
        <w:t>The Arabian Nights</w:t>
      </w:r>
      <w:r>
        <w:rPr>
          <w:rFonts w:asciiTheme="majorBidi" w:hAnsiTheme="majorBidi" w:cstheme="majorBidi"/>
        </w:rPr>
        <w:t>, trans. by Richard F. Burton, (New York: Random House Inc., 2004)</w:t>
      </w:r>
    </w:p>
    <w:p w14:paraId="525E5E99" w14:textId="77777777" w:rsidR="00C067F2" w:rsidRPr="00C067F2" w:rsidRDefault="00C067F2" w:rsidP="00C067F2">
      <w:pPr>
        <w:pStyle w:val="NormalWeb"/>
        <w:ind w:left="480" w:hanging="480"/>
        <w:rPr>
          <w:rFonts w:asciiTheme="majorBidi" w:hAnsiTheme="majorBidi" w:cstheme="majorBidi"/>
        </w:rPr>
      </w:pPr>
    </w:p>
    <w:p w14:paraId="1FEE4B7C" w14:textId="3827F478" w:rsidR="00252349" w:rsidRPr="00505CF0" w:rsidRDefault="00252349" w:rsidP="006B5C76">
      <w:pPr>
        <w:pStyle w:val="NormalWeb"/>
        <w:ind w:left="480" w:hanging="480"/>
        <w:rPr>
          <w:rFonts w:asciiTheme="majorBidi" w:hAnsiTheme="majorBidi" w:cstheme="majorBidi"/>
        </w:rPr>
      </w:pPr>
    </w:p>
    <w:p w14:paraId="6FDA62F4" w14:textId="049DA080" w:rsidR="00252349" w:rsidRPr="00505CF0" w:rsidRDefault="00252349" w:rsidP="006B5C76">
      <w:pPr>
        <w:pStyle w:val="NormalWeb"/>
        <w:ind w:left="480" w:hanging="480"/>
        <w:rPr>
          <w:rFonts w:asciiTheme="majorBidi" w:hAnsiTheme="majorBidi" w:cstheme="majorBidi"/>
        </w:rPr>
      </w:pPr>
    </w:p>
    <w:p w14:paraId="2E230640" w14:textId="7B54932B" w:rsidR="00252349" w:rsidRPr="00505CF0" w:rsidRDefault="00252349" w:rsidP="006B5C76">
      <w:pPr>
        <w:pStyle w:val="NormalWeb"/>
        <w:ind w:left="480" w:hanging="480"/>
        <w:rPr>
          <w:rFonts w:asciiTheme="majorBidi" w:hAnsiTheme="majorBidi" w:cstheme="majorBidi"/>
        </w:rPr>
      </w:pPr>
    </w:p>
    <w:p w14:paraId="769ED17A" w14:textId="70B0AFB6" w:rsidR="00252349" w:rsidRPr="00505CF0" w:rsidRDefault="00252349" w:rsidP="006B5C76">
      <w:pPr>
        <w:pStyle w:val="NormalWeb"/>
        <w:ind w:left="480" w:hanging="480"/>
        <w:rPr>
          <w:rFonts w:asciiTheme="majorBidi" w:hAnsiTheme="majorBidi" w:cstheme="majorBidi"/>
        </w:rPr>
      </w:pPr>
    </w:p>
    <w:p w14:paraId="4551D845" w14:textId="0E1DE460" w:rsidR="00252349" w:rsidRPr="00505CF0" w:rsidRDefault="00252349" w:rsidP="006B5C76">
      <w:pPr>
        <w:pStyle w:val="NormalWeb"/>
        <w:ind w:left="480" w:hanging="480"/>
        <w:rPr>
          <w:rFonts w:asciiTheme="majorBidi" w:hAnsiTheme="majorBidi" w:cstheme="majorBidi"/>
        </w:rPr>
      </w:pPr>
    </w:p>
    <w:p w14:paraId="2BCEFCDC" w14:textId="44E67447" w:rsidR="00252349" w:rsidRPr="00505CF0" w:rsidRDefault="00252349" w:rsidP="006B5C76">
      <w:pPr>
        <w:pStyle w:val="NormalWeb"/>
        <w:ind w:left="480" w:hanging="480"/>
        <w:rPr>
          <w:rFonts w:asciiTheme="majorBidi" w:hAnsiTheme="majorBidi" w:cstheme="majorBidi"/>
        </w:rPr>
      </w:pPr>
    </w:p>
    <w:p w14:paraId="5807AEE5" w14:textId="06CE5C5E" w:rsidR="00252349" w:rsidRPr="00505CF0" w:rsidRDefault="00252349" w:rsidP="006B5C76">
      <w:pPr>
        <w:pStyle w:val="NormalWeb"/>
        <w:ind w:left="480" w:hanging="480"/>
        <w:rPr>
          <w:rFonts w:asciiTheme="majorBidi" w:hAnsiTheme="majorBidi" w:cstheme="majorBidi"/>
        </w:rPr>
      </w:pPr>
    </w:p>
    <w:p w14:paraId="35BA4762" w14:textId="64D0C281" w:rsidR="00252349" w:rsidRDefault="00252349" w:rsidP="006B5C76">
      <w:pPr>
        <w:pStyle w:val="NormalWeb"/>
        <w:ind w:left="480" w:hanging="480"/>
        <w:rPr>
          <w:rFonts w:asciiTheme="majorBidi" w:hAnsiTheme="majorBidi" w:cstheme="majorBidi"/>
        </w:rPr>
      </w:pPr>
    </w:p>
    <w:p w14:paraId="5968E4D7" w14:textId="77777777" w:rsidR="00174BDA" w:rsidRDefault="00174BDA" w:rsidP="006B5C76">
      <w:pPr>
        <w:pStyle w:val="NormalWeb"/>
        <w:ind w:left="480" w:hanging="480"/>
        <w:rPr>
          <w:rFonts w:asciiTheme="majorBidi" w:hAnsiTheme="majorBidi" w:cstheme="majorBidi"/>
        </w:rPr>
      </w:pPr>
    </w:p>
    <w:p w14:paraId="281FDF94" w14:textId="77777777" w:rsidR="00174BDA" w:rsidRDefault="00174BDA" w:rsidP="006B5C76">
      <w:pPr>
        <w:pStyle w:val="NormalWeb"/>
        <w:ind w:left="480" w:hanging="480"/>
        <w:rPr>
          <w:rFonts w:asciiTheme="majorBidi" w:hAnsiTheme="majorBidi" w:cstheme="majorBidi"/>
        </w:rPr>
      </w:pPr>
    </w:p>
    <w:p w14:paraId="69D0F194" w14:textId="77777777" w:rsidR="00174BDA" w:rsidRDefault="00174BDA" w:rsidP="006B5C76">
      <w:pPr>
        <w:pStyle w:val="NormalWeb"/>
        <w:ind w:left="480" w:hanging="480"/>
        <w:rPr>
          <w:rFonts w:asciiTheme="majorBidi" w:hAnsiTheme="majorBidi" w:cstheme="majorBidi"/>
        </w:rPr>
      </w:pPr>
    </w:p>
    <w:p w14:paraId="0FD0992E" w14:textId="77777777" w:rsidR="00174BDA" w:rsidRDefault="00174BDA" w:rsidP="006B5C76">
      <w:pPr>
        <w:pStyle w:val="NormalWeb"/>
        <w:ind w:left="480" w:hanging="480"/>
        <w:rPr>
          <w:rFonts w:asciiTheme="majorBidi" w:hAnsiTheme="majorBidi" w:cstheme="majorBidi"/>
        </w:rPr>
      </w:pPr>
    </w:p>
    <w:p w14:paraId="50912817" w14:textId="77777777" w:rsidR="00174BDA" w:rsidRDefault="00174BDA" w:rsidP="006B5C76">
      <w:pPr>
        <w:pStyle w:val="NormalWeb"/>
        <w:ind w:left="480" w:hanging="480"/>
        <w:rPr>
          <w:rFonts w:asciiTheme="majorBidi" w:hAnsiTheme="majorBidi" w:cstheme="majorBidi"/>
        </w:rPr>
      </w:pPr>
    </w:p>
    <w:p w14:paraId="6BBBE4E7" w14:textId="77777777" w:rsidR="00174BDA" w:rsidRPr="00505CF0" w:rsidRDefault="00174BDA" w:rsidP="006B5C76">
      <w:pPr>
        <w:pStyle w:val="NormalWeb"/>
        <w:ind w:left="480" w:hanging="480"/>
        <w:rPr>
          <w:rFonts w:asciiTheme="majorBidi" w:hAnsiTheme="majorBidi" w:cstheme="majorBidi"/>
        </w:rPr>
      </w:pPr>
    </w:p>
    <w:p w14:paraId="37C2C121" w14:textId="77777777" w:rsidR="00256D8E" w:rsidRPr="00505CF0" w:rsidRDefault="00256D8E" w:rsidP="006B5C76">
      <w:pPr>
        <w:pStyle w:val="NormalWeb"/>
        <w:ind w:left="480" w:hanging="480"/>
        <w:rPr>
          <w:rFonts w:asciiTheme="majorBidi" w:hAnsiTheme="majorBidi" w:cstheme="majorBidi"/>
        </w:rPr>
      </w:pPr>
    </w:p>
    <w:p w14:paraId="577A1A8E" w14:textId="77777777" w:rsidR="00252349" w:rsidRPr="00505CF0" w:rsidRDefault="00252349" w:rsidP="006B5C76">
      <w:pPr>
        <w:pStyle w:val="NormalWeb"/>
        <w:ind w:left="480" w:hanging="480"/>
        <w:rPr>
          <w:rFonts w:asciiTheme="majorBidi" w:hAnsiTheme="majorBidi" w:cstheme="majorBidi"/>
        </w:rPr>
      </w:pPr>
    </w:p>
    <w:p w14:paraId="0E9A71DF" w14:textId="0039847E" w:rsidR="00252349" w:rsidRDefault="00252349" w:rsidP="00752070">
      <w:pPr>
        <w:jc w:val="center"/>
        <w:rPr>
          <w:rFonts w:asciiTheme="majorBidi" w:hAnsiTheme="majorBidi" w:cstheme="majorBidi"/>
          <w:bCs/>
          <w:sz w:val="28"/>
          <w:szCs w:val="28"/>
        </w:rPr>
      </w:pPr>
      <w:r w:rsidRPr="009F32A6">
        <w:rPr>
          <w:rFonts w:asciiTheme="majorBidi" w:hAnsiTheme="majorBidi" w:cstheme="majorBidi"/>
          <w:bCs/>
          <w:sz w:val="36"/>
          <w:szCs w:val="28"/>
        </w:rPr>
        <w:t>S</w:t>
      </w:r>
      <w:r w:rsidR="009F32A6" w:rsidRPr="009F32A6">
        <w:rPr>
          <w:rFonts w:asciiTheme="majorBidi" w:hAnsiTheme="majorBidi" w:cstheme="majorBidi"/>
          <w:bCs/>
          <w:sz w:val="28"/>
          <w:szCs w:val="28"/>
        </w:rPr>
        <w:t>ECONDARY</w:t>
      </w:r>
      <w:r w:rsidR="009F32A6">
        <w:rPr>
          <w:rFonts w:asciiTheme="majorBidi" w:hAnsiTheme="majorBidi" w:cstheme="majorBidi"/>
          <w:bCs/>
          <w:sz w:val="36"/>
          <w:szCs w:val="28"/>
        </w:rPr>
        <w:t xml:space="preserve"> S</w:t>
      </w:r>
      <w:r w:rsidR="009F32A6" w:rsidRPr="009F32A6">
        <w:rPr>
          <w:rFonts w:asciiTheme="majorBidi" w:hAnsiTheme="majorBidi" w:cstheme="majorBidi"/>
          <w:bCs/>
          <w:sz w:val="28"/>
          <w:szCs w:val="28"/>
        </w:rPr>
        <w:t>OURCES</w:t>
      </w:r>
    </w:p>
    <w:p w14:paraId="4FEF5F8F" w14:textId="2B623509" w:rsidR="009F32A6" w:rsidRDefault="009F32A6" w:rsidP="00752070">
      <w:pPr>
        <w:jc w:val="center"/>
        <w:rPr>
          <w:rFonts w:asciiTheme="majorBidi" w:hAnsiTheme="majorBidi" w:cstheme="majorBidi"/>
          <w:bCs/>
          <w:sz w:val="28"/>
          <w:szCs w:val="28"/>
        </w:rPr>
      </w:pPr>
    </w:p>
    <w:p w14:paraId="719966FE" w14:textId="77777777" w:rsidR="009F32A6" w:rsidRPr="00B9022C" w:rsidRDefault="009F32A6" w:rsidP="00752070">
      <w:pPr>
        <w:jc w:val="center"/>
        <w:rPr>
          <w:rFonts w:asciiTheme="majorBidi" w:hAnsiTheme="majorBidi" w:cstheme="majorBidi"/>
          <w:bCs/>
          <w:sz w:val="28"/>
          <w:szCs w:val="28"/>
        </w:rPr>
      </w:pPr>
    </w:p>
    <w:p w14:paraId="560F3B8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Abercrombie, Alec, ‘The Altermodern’, </w:t>
      </w:r>
      <w:r w:rsidRPr="00505CF0">
        <w:rPr>
          <w:rFonts w:asciiTheme="majorBidi" w:hAnsiTheme="majorBidi" w:cstheme="majorBidi"/>
          <w:i/>
          <w:iCs/>
        </w:rPr>
        <w:t>A-Lab</w:t>
      </w:r>
      <w:r w:rsidRPr="00505CF0">
        <w:rPr>
          <w:rFonts w:asciiTheme="majorBidi" w:hAnsiTheme="majorBidi" w:cstheme="majorBidi"/>
        </w:rPr>
        <w:t>, 2011 &lt;http://cargocollective.com/alab/The-Altermodern&gt; [accessed 10 September 2017]</w:t>
      </w:r>
    </w:p>
    <w:p w14:paraId="216B506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Abramson, Seth, ‘The Metamodernist Manifesto: The Rebirth of the Author’, </w:t>
      </w:r>
      <w:r w:rsidRPr="00505CF0">
        <w:rPr>
          <w:rFonts w:asciiTheme="majorBidi" w:hAnsiTheme="majorBidi" w:cstheme="majorBidi"/>
          <w:i/>
          <w:iCs/>
        </w:rPr>
        <w:t>Huffington Post</w:t>
      </w:r>
      <w:r w:rsidRPr="00505CF0">
        <w:rPr>
          <w:rFonts w:asciiTheme="majorBidi" w:hAnsiTheme="majorBidi" w:cstheme="majorBidi"/>
        </w:rPr>
        <w:t>, 2014 &lt;https://www.huffingtonpost.com/seth-abramson/the-metamodernist-manifes_b_5641097.html&gt; [accessed 30 October 2017]</w:t>
      </w:r>
    </w:p>
    <w:p w14:paraId="2CF87F9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 ‘Metamodernism 101’, </w:t>
      </w:r>
      <w:r w:rsidRPr="00505CF0">
        <w:rPr>
          <w:rFonts w:asciiTheme="majorBidi" w:hAnsiTheme="majorBidi" w:cstheme="majorBidi"/>
          <w:i/>
          <w:iCs/>
        </w:rPr>
        <w:t>Medium</w:t>
      </w:r>
      <w:r w:rsidRPr="00505CF0">
        <w:rPr>
          <w:rFonts w:asciiTheme="majorBidi" w:hAnsiTheme="majorBidi" w:cstheme="majorBidi"/>
        </w:rPr>
        <w:t>, 2015 &lt;https://medium.com/just-words/metamodernism-101-8cdb8563e0&gt; [accessed 30 October 2017]</w:t>
      </w:r>
    </w:p>
    <w:p w14:paraId="5444C86F" w14:textId="77777777" w:rsidR="00252349" w:rsidRPr="00505CF0" w:rsidRDefault="00252349" w:rsidP="006B5C76">
      <w:pPr>
        <w:pStyle w:val="NormalWeb"/>
        <w:ind w:left="480" w:hanging="480"/>
        <w:rPr>
          <w:rFonts w:asciiTheme="majorBidi" w:hAnsiTheme="majorBidi" w:cstheme="majorBidi"/>
        </w:rPr>
      </w:pPr>
      <w:bookmarkStart w:id="13" w:name="_Hlk506212499"/>
      <w:r w:rsidRPr="00505CF0">
        <w:rPr>
          <w:rFonts w:asciiTheme="majorBidi" w:hAnsiTheme="majorBidi" w:cstheme="majorBidi"/>
        </w:rPr>
        <w:t xml:space="preserve">– – –, </w:t>
      </w:r>
      <w:bookmarkEnd w:id="13"/>
      <w:r w:rsidRPr="00505CF0">
        <w:rPr>
          <w:rFonts w:asciiTheme="majorBidi" w:hAnsiTheme="majorBidi" w:cstheme="majorBidi"/>
        </w:rPr>
        <w:t>‘What Is Metamodernism?</w:t>
      </w:r>
      <w:proofErr w:type="gramStart"/>
      <w:r w:rsidRPr="00505CF0">
        <w:rPr>
          <w:rFonts w:asciiTheme="majorBidi" w:hAnsiTheme="majorBidi" w:cstheme="majorBidi"/>
        </w:rPr>
        <w:t>’,</w:t>
      </w:r>
      <w:proofErr w:type="gramEnd"/>
      <w:r w:rsidRPr="00505CF0">
        <w:rPr>
          <w:rFonts w:asciiTheme="majorBidi" w:hAnsiTheme="majorBidi" w:cstheme="majorBidi"/>
        </w:rPr>
        <w:t xml:space="preserve"> </w:t>
      </w:r>
      <w:r w:rsidRPr="00505CF0">
        <w:rPr>
          <w:rFonts w:asciiTheme="majorBidi" w:hAnsiTheme="majorBidi" w:cstheme="majorBidi"/>
          <w:i/>
          <w:iCs/>
        </w:rPr>
        <w:t>Huffington Post</w:t>
      </w:r>
      <w:r w:rsidRPr="00505CF0">
        <w:rPr>
          <w:rFonts w:asciiTheme="majorBidi" w:hAnsiTheme="majorBidi" w:cstheme="majorBidi"/>
        </w:rPr>
        <w:t>, 2017 &lt;https://www.huffingtonpost.com/entry/what-is-metamodernism_us_586e7075e4b0a5e600a788cd&gt; [accessed 30 October 2017]</w:t>
      </w:r>
    </w:p>
    <w:p w14:paraId="6DCA23B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Adiseshiah, Siân, and Rupert Hildyard, eds., </w:t>
      </w:r>
      <w:r w:rsidRPr="00505CF0">
        <w:rPr>
          <w:rFonts w:asciiTheme="majorBidi" w:hAnsiTheme="majorBidi" w:cstheme="majorBidi"/>
          <w:i/>
          <w:iCs/>
        </w:rPr>
        <w:t>Twenty-First Century Fiction</w:t>
      </w:r>
      <w:r w:rsidRPr="00505CF0">
        <w:rPr>
          <w:rFonts w:asciiTheme="majorBidi" w:hAnsiTheme="majorBidi" w:cstheme="majorBidi"/>
        </w:rPr>
        <w:t xml:space="preserve"> (Basingstoke: Palgrave Macmillan, 2013)</w:t>
      </w:r>
    </w:p>
    <w:p w14:paraId="7EC8F1B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Allen, Stephanie, ‘Mary Shelley’s Frankenstein Is a Cautionary Tale on the Monstrosity of Which Humans Are Capable’, </w:t>
      </w:r>
      <w:r w:rsidRPr="00505CF0">
        <w:rPr>
          <w:rFonts w:asciiTheme="majorBidi" w:hAnsiTheme="majorBidi" w:cstheme="majorBidi"/>
          <w:i/>
          <w:iCs/>
        </w:rPr>
        <w:t>Oxford Royal Academy</w:t>
      </w:r>
      <w:r w:rsidRPr="00505CF0">
        <w:rPr>
          <w:rFonts w:asciiTheme="majorBidi" w:hAnsiTheme="majorBidi" w:cstheme="majorBidi"/>
        </w:rPr>
        <w:t>, 2014 &lt;https://www.oxford-royale.co.uk/articles/shelley-frankenstein.html&gt; [accessed 17 September 2015]</w:t>
      </w:r>
    </w:p>
    <w:p w14:paraId="7DED788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Alter, Robert, </w:t>
      </w:r>
      <w:r w:rsidRPr="00505CF0">
        <w:rPr>
          <w:rFonts w:asciiTheme="majorBidi" w:hAnsiTheme="majorBidi" w:cstheme="majorBidi"/>
          <w:i/>
          <w:iCs/>
        </w:rPr>
        <w:t xml:space="preserve">Partial Magic;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Novel as a Self-Conscious Genre</w:t>
      </w:r>
      <w:r w:rsidRPr="00505CF0">
        <w:rPr>
          <w:rFonts w:asciiTheme="majorBidi" w:hAnsiTheme="majorBidi" w:cstheme="majorBidi"/>
        </w:rPr>
        <w:t xml:space="preserve"> (London: University of California Press, 1975)</w:t>
      </w:r>
    </w:p>
    <w:p w14:paraId="1A34DF4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Amerika, Mark, and Lance Olsen, ‘An Introduction, of Sorts’, in </w:t>
      </w:r>
      <w:r w:rsidRPr="00505CF0">
        <w:rPr>
          <w:rFonts w:asciiTheme="majorBidi" w:hAnsiTheme="majorBidi" w:cstheme="majorBidi"/>
          <w:i/>
          <w:iCs/>
        </w:rPr>
        <w:t>In Memoriam to Postmodernism: Essays on the Avant-Pop</w:t>
      </w:r>
      <w:r w:rsidRPr="00505CF0">
        <w:rPr>
          <w:rFonts w:asciiTheme="majorBidi" w:hAnsiTheme="majorBidi" w:cstheme="majorBidi"/>
        </w:rPr>
        <w:t>, ed. by Mark Amerika and Lance Olsen (San Diego: San Diego University Press, 1995)</w:t>
      </w:r>
    </w:p>
    <w:p w14:paraId="79668EB7" w14:textId="364277BD"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Editorial, ‘How “Pokemon Go” Highlights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Problem with </w:t>
      </w:r>
      <w:r w:rsidR="006B5C76" w:rsidRPr="00505CF0">
        <w:rPr>
          <w:rFonts w:asciiTheme="majorBidi" w:hAnsiTheme="majorBidi" w:cstheme="majorBidi"/>
        </w:rPr>
        <w:t>Millennials</w:t>
      </w:r>
      <w:r w:rsidRPr="00505CF0">
        <w:rPr>
          <w:rFonts w:asciiTheme="majorBidi" w:hAnsiTheme="majorBidi" w:cstheme="majorBidi"/>
        </w:rPr>
        <w:t xml:space="preserve">’, </w:t>
      </w:r>
      <w:r w:rsidRPr="00505CF0">
        <w:rPr>
          <w:rFonts w:asciiTheme="majorBidi" w:hAnsiTheme="majorBidi" w:cstheme="majorBidi"/>
          <w:i/>
          <w:iCs/>
        </w:rPr>
        <w:t>The Brofessional</w:t>
      </w:r>
      <w:r w:rsidRPr="00505CF0">
        <w:rPr>
          <w:rFonts w:asciiTheme="majorBidi" w:hAnsiTheme="majorBidi" w:cstheme="majorBidi"/>
        </w:rPr>
        <w:t>, 2016 &lt;http://www.thebrofessional.net/resurgence-pokemon-highlights-problem-millennials/&gt; [accessed 10 October 2017]</w:t>
      </w:r>
    </w:p>
    <w:p w14:paraId="6E7E003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Baccolini, Raffaella, and Tom Moylan, eds., </w:t>
      </w:r>
      <w:r w:rsidRPr="00505CF0">
        <w:rPr>
          <w:rFonts w:asciiTheme="majorBidi" w:hAnsiTheme="majorBidi" w:cstheme="majorBidi"/>
          <w:i/>
          <w:iCs/>
        </w:rPr>
        <w:t>Dark Horizons: Science Fiction and the Dystopian Imagination</w:t>
      </w:r>
      <w:r w:rsidRPr="00505CF0">
        <w:rPr>
          <w:rFonts w:asciiTheme="majorBidi" w:hAnsiTheme="majorBidi" w:cstheme="majorBidi"/>
        </w:rPr>
        <w:t xml:space="preserve"> (London: Routledge, 2003)</w:t>
      </w:r>
    </w:p>
    <w:p w14:paraId="72DAE9A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Baker, Timothy C., </w:t>
      </w:r>
      <w:proofErr w:type="gramStart"/>
      <w:r w:rsidRPr="00505CF0">
        <w:rPr>
          <w:rFonts w:asciiTheme="majorBidi" w:hAnsiTheme="majorBidi" w:cstheme="majorBidi"/>
          <w:i/>
          <w:iCs/>
        </w:rPr>
        <w:t>Contemporary</w:t>
      </w:r>
      <w:proofErr w:type="gramEnd"/>
      <w:r w:rsidRPr="00505CF0">
        <w:rPr>
          <w:rFonts w:asciiTheme="majorBidi" w:hAnsiTheme="majorBidi" w:cstheme="majorBidi"/>
          <w:i/>
          <w:iCs/>
        </w:rPr>
        <w:t xml:space="preserve"> Scottish Gothic: Mourning, Authenticity, and Tradition</w:t>
      </w:r>
      <w:r w:rsidRPr="00505CF0">
        <w:rPr>
          <w:rFonts w:asciiTheme="majorBidi" w:hAnsiTheme="majorBidi" w:cstheme="majorBidi"/>
        </w:rPr>
        <w:t xml:space="preserve"> (Basingstoke: Palgrave Macmillan, 2014)</w:t>
      </w:r>
    </w:p>
    <w:p w14:paraId="5342F4B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Barth, John, ‘The Literature of Exhaustion’,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Friday Book: Essays and Other Non-Fiction</w:t>
      </w:r>
      <w:r w:rsidRPr="00505CF0">
        <w:rPr>
          <w:rFonts w:asciiTheme="majorBidi" w:hAnsiTheme="majorBidi" w:cstheme="majorBidi"/>
        </w:rPr>
        <w:t xml:space="preserve"> (London: The John Hopkins University Press, 1984), pp. 62–76</w:t>
      </w:r>
    </w:p>
    <w:p w14:paraId="4AB25E0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Barthes, Roland, ‘The Death of the Author’, in </w:t>
      </w:r>
      <w:r w:rsidRPr="00505CF0">
        <w:rPr>
          <w:rFonts w:asciiTheme="majorBidi" w:hAnsiTheme="majorBidi" w:cstheme="majorBidi"/>
          <w:i/>
          <w:iCs/>
        </w:rPr>
        <w:t>The Norton Anthology of Theory and Criticism</w:t>
      </w:r>
      <w:r w:rsidRPr="00505CF0">
        <w:rPr>
          <w:rFonts w:asciiTheme="majorBidi" w:hAnsiTheme="majorBidi" w:cstheme="majorBidi"/>
        </w:rPr>
        <w:t>, ed. by Vincent Leitch, 2nd edn (New York: W. W. Norton &amp; Co., 2010), pp. 1322–26</w:t>
      </w:r>
    </w:p>
    <w:p w14:paraId="37CF0F8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Bauman, Zygmunt, </w:t>
      </w:r>
      <w:r w:rsidRPr="00505CF0">
        <w:rPr>
          <w:rFonts w:asciiTheme="majorBidi" w:hAnsiTheme="majorBidi" w:cstheme="majorBidi"/>
          <w:i/>
          <w:iCs/>
        </w:rPr>
        <w:t>Liquid Modernity</w:t>
      </w:r>
      <w:r w:rsidRPr="00505CF0">
        <w:rPr>
          <w:rFonts w:asciiTheme="majorBidi" w:hAnsiTheme="majorBidi" w:cstheme="majorBidi"/>
        </w:rPr>
        <w:t>, 2nd edn (Malden: Polity Press, 2012)</w:t>
      </w:r>
    </w:p>
    <w:p w14:paraId="1D94BDF0" w14:textId="204DA204"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Baya, Adina, ‘Post-Postmodernism: Automodernity and Its Relevance to Understanding Contemporary Media Audiences’, </w:t>
      </w:r>
      <w:r w:rsidRPr="00505CF0">
        <w:rPr>
          <w:rFonts w:asciiTheme="majorBidi" w:hAnsiTheme="majorBidi" w:cstheme="majorBidi"/>
          <w:i/>
          <w:iCs/>
        </w:rPr>
        <w:t xml:space="preserve">Procedia- Social and </w:t>
      </w:r>
      <w:r w:rsidR="006B5C76" w:rsidRPr="00505CF0">
        <w:rPr>
          <w:rFonts w:asciiTheme="majorBidi" w:hAnsiTheme="majorBidi" w:cstheme="majorBidi"/>
          <w:i/>
          <w:iCs/>
        </w:rPr>
        <w:t>Behavioural</w:t>
      </w:r>
      <w:r w:rsidRPr="00505CF0">
        <w:rPr>
          <w:rFonts w:asciiTheme="majorBidi" w:hAnsiTheme="majorBidi" w:cstheme="majorBidi"/>
          <w:i/>
          <w:iCs/>
        </w:rPr>
        <w:t xml:space="preserve"> Sciences</w:t>
      </w:r>
      <w:r w:rsidRPr="00505CF0">
        <w:rPr>
          <w:rFonts w:asciiTheme="majorBidi" w:hAnsiTheme="majorBidi" w:cstheme="majorBidi"/>
        </w:rPr>
        <w:t>, 71 (2013), 154–59</w:t>
      </w:r>
    </w:p>
    <w:p w14:paraId="6E47639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Beck, Ulrich, ‘Varieties of Second Modernity and the Cosmopolitan Vision’, </w:t>
      </w:r>
      <w:r w:rsidRPr="00505CF0">
        <w:rPr>
          <w:rFonts w:asciiTheme="majorBidi" w:hAnsiTheme="majorBidi" w:cstheme="majorBidi"/>
          <w:i/>
          <w:iCs/>
        </w:rPr>
        <w:t>Theory, Culture &amp; Society</w:t>
      </w:r>
      <w:r w:rsidRPr="00505CF0">
        <w:rPr>
          <w:rFonts w:asciiTheme="majorBidi" w:hAnsiTheme="majorBidi" w:cstheme="majorBidi"/>
        </w:rPr>
        <w:t xml:space="preserve">, 33 (2016), 257–70 </w:t>
      </w:r>
    </w:p>
    <w:p w14:paraId="43C5B6E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Beck, Ulrich, and Edgar Grande, ‘Varieties of Second Modernity: The Cosmopolitan Turn in Social and Political Theory and Research’,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British Journal of Sociology</w:t>
      </w:r>
      <w:r w:rsidRPr="00505CF0">
        <w:rPr>
          <w:rFonts w:asciiTheme="majorBidi" w:hAnsiTheme="majorBidi" w:cstheme="majorBidi"/>
        </w:rPr>
        <w:t xml:space="preserve">, 61 (2010), 409–43 </w:t>
      </w:r>
    </w:p>
    <w:p w14:paraId="1305DA2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Beck, Ulrich, and Johannes Wiilms, ‘Conversation 1: Postmodernity or Second Modernity?</w:t>
      </w:r>
      <w:proofErr w:type="gramStart"/>
      <w:r w:rsidRPr="00505CF0">
        <w:rPr>
          <w:rFonts w:asciiTheme="majorBidi" w:hAnsiTheme="majorBidi" w:cstheme="majorBidi"/>
        </w:rPr>
        <w:t>’,</w:t>
      </w:r>
      <w:proofErr w:type="gramEnd"/>
      <w:r w:rsidRPr="00505CF0">
        <w:rPr>
          <w:rFonts w:asciiTheme="majorBidi" w:hAnsiTheme="majorBidi" w:cstheme="majorBidi"/>
        </w:rPr>
        <w:t xml:space="preserve"> in </w:t>
      </w:r>
      <w:r w:rsidRPr="00505CF0">
        <w:rPr>
          <w:rFonts w:asciiTheme="majorBidi" w:hAnsiTheme="majorBidi" w:cstheme="majorBidi"/>
          <w:i/>
          <w:iCs/>
        </w:rPr>
        <w:t>Conversations with Ulrich Beck</w:t>
      </w:r>
      <w:r w:rsidRPr="00505CF0">
        <w:rPr>
          <w:rFonts w:asciiTheme="majorBidi" w:hAnsiTheme="majorBidi" w:cstheme="majorBidi"/>
        </w:rPr>
        <w:t>, trans. by Michael Pollak (Oxford: Blackwell Publishing Ltd, 2004)</w:t>
      </w:r>
    </w:p>
    <w:p w14:paraId="628E48F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Beer, Carmen, ‘Nostalgia’s Comfort Is Shaping Contemporary Culture’, </w:t>
      </w:r>
      <w:r w:rsidRPr="00505CF0">
        <w:rPr>
          <w:rFonts w:asciiTheme="majorBidi" w:hAnsiTheme="majorBidi" w:cstheme="majorBidi"/>
          <w:i/>
          <w:iCs/>
        </w:rPr>
        <w:t>Lens</w:t>
      </w:r>
      <w:r w:rsidRPr="00505CF0">
        <w:rPr>
          <w:rFonts w:asciiTheme="majorBidi" w:hAnsiTheme="majorBidi" w:cstheme="majorBidi"/>
        </w:rPr>
        <w:t>, 2017 &lt;http://flamingogroup.com/nostalgias-comfort-is-shaping-contemporary-culture&gt; [accessed 10 October 2017]</w:t>
      </w:r>
    </w:p>
    <w:p w14:paraId="07929DF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Bellipanni, Jason,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Naked Story: Fiction about Fiction</w:t>
      </w:r>
      <w:r w:rsidRPr="00505CF0">
        <w:rPr>
          <w:rFonts w:asciiTheme="majorBidi" w:hAnsiTheme="majorBidi" w:cstheme="majorBidi"/>
        </w:rPr>
        <w:t xml:space="preserve"> (Mont Vernon: Story Review Press, 2013)</w:t>
      </w:r>
    </w:p>
    <w:p w14:paraId="1EC33CA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Beville, Maria, </w:t>
      </w:r>
      <w:r w:rsidRPr="00505CF0">
        <w:rPr>
          <w:rFonts w:asciiTheme="majorBidi" w:hAnsiTheme="majorBidi" w:cstheme="majorBidi"/>
          <w:i/>
          <w:iCs/>
        </w:rPr>
        <w:t>Gothic-Postmodernism : Voicing the Terrors of Postmodernity</w:t>
      </w:r>
      <w:r w:rsidRPr="00505CF0">
        <w:rPr>
          <w:rFonts w:asciiTheme="majorBidi" w:hAnsiTheme="majorBidi" w:cstheme="majorBidi"/>
        </w:rPr>
        <w:t>, ed. by Theo D’haen and Hans Bertens (Amsterdam: Rodopi, 2009)</w:t>
      </w:r>
    </w:p>
    <w:p w14:paraId="42FB0C1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Binney, Sara Helen, ‘Oscillating </w:t>
      </w:r>
      <w:proofErr w:type="gramStart"/>
      <w:r w:rsidRPr="00505CF0">
        <w:rPr>
          <w:rFonts w:asciiTheme="majorBidi" w:hAnsiTheme="majorBidi" w:cstheme="majorBidi"/>
        </w:rPr>
        <w:t>Towards</w:t>
      </w:r>
      <w:proofErr w:type="gramEnd"/>
      <w:r w:rsidRPr="00505CF0">
        <w:rPr>
          <w:rFonts w:asciiTheme="majorBidi" w:hAnsiTheme="majorBidi" w:cstheme="majorBidi"/>
        </w:rPr>
        <w:t xml:space="preserve"> the Sublime’, </w:t>
      </w:r>
      <w:r w:rsidRPr="00505CF0">
        <w:rPr>
          <w:rFonts w:asciiTheme="majorBidi" w:hAnsiTheme="majorBidi" w:cstheme="majorBidi"/>
          <w:i/>
          <w:iCs/>
        </w:rPr>
        <w:t>Notes on Metamodernism</w:t>
      </w:r>
      <w:r w:rsidRPr="00505CF0">
        <w:rPr>
          <w:rFonts w:asciiTheme="majorBidi" w:hAnsiTheme="majorBidi" w:cstheme="majorBidi"/>
        </w:rPr>
        <w:t>, 2015 &lt;http://www.metamodernism.com/2015/04/02/oscillating-towards-the-sublime-2/&gt; [accessed 30 October 2017]</w:t>
      </w:r>
    </w:p>
    <w:p w14:paraId="340CA3E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Blair, Walter, Morris Dickstein, and James R. Giles, ‘American Literature’, </w:t>
      </w:r>
      <w:r w:rsidRPr="00505CF0">
        <w:rPr>
          <w:rFonts w:asciiTheme="majorBidi" w:hAnsiTheme="majorBidi" w:cstheme="majorBidi"/>
          <w:i/>
          <w:iCs/>
        </w:rPr>
        <w:t>Encyclopaedia Britannica</w:t>
      </w:r>
      <w:r w:rsidRPr="00505CF0">
        <w:rPr>
          <w:rFonts w:asciiTheme="majorBidi" w:hAnsiTheme="majorBidi" w:cstheme="majorBidi"/>
        </w:rPr>
        <w:t>, 2017 &lt;https://www.britannica.com/art/American-literature&gt; [accessed 1 January 2018]</w:t>
      </w:r>
    </w:p>
    <w:p w14:paraId="63F7C56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Bogue, Ronald, </w:t>
      </w:r>
      <w:r w:rsidRPr="00505CF0">
        <w:rPr>
          <w:rFonts w:asciiTheme="majorBidi" w:hAnsiTheme="majorBidi" w:cstheme="majorBidi"/>
          <w:i/>
          <w:iCs/>
        </w:rPr>
        <w:t>Deleuzian Fabulation and the Scars of History</w:t>
      </w:r>
      <w:r w:rsidRPr="00505CF0">
        <w:rPr>
          <w:rFonts w:asciiTheme="majorBidi" w:hAnsiTheme="majorBidi" w:cstheme="majorBidi"/>
        </w:rPr>
        <w:t xml:space="preserve"> (Edinburgh: Edinburgh University Press, 2010)</w:t>
      </w:r>
    </w:p>
    <w:p w14:paraId="335DECD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Bonfiglioli, Catriona, ‘Digimodernism, Review’, </w:t>
      </w:r>
      <w:r w:rsidRPr="00505CF0">
        <w:rPr>
          <w:rFonts w:asciiTheme="majorBidi" w:hAnsiTheme="majorBidi" w:cstheme="majorBidi"/>
          <w:i/>
          <w:iCs/>
        </w:rPr>
        <w:t>Discourse &amp; Communication</w:t>
      </w:r>
      <w:r w:rsidRPr="00505CF0">
        <w:rPr>
          <w:rFonts w:asciiTheme="majorBidi" w:hAnsiTheme="majorBidi" w:cstheme="majorBidi"/>
        </w:rPr>
        <w:t xml:space="preserve">, 7 (2013), 248–51 </w:t>
      </w:r>
    </w:p>
    <w:p w14:paraId="3554EDA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Booth, Wayne C., </w:t>
      </w:r>
      <w:r w:rsidRPr="00505CF0">
        <w:rPr>
          <w:rFonts w:asciiTheme="majorBidi" w:hAnsiTheme="majorBidi" w:cstheme="majorBidi"/>
          <w:i/>
          <w:iCs/>
        </w:rPr>
        <w:t>The Rhetoric of Fiction</w:t>
      </w:r>
      <w:r w:rsidRPr="00505CF0">
        <w:rPr>
          <w:rFonts w:asciiTheme="majorBidi" w:hAnsiTheme="majorBidi" w:cstheme="majorBidi"/>
        </w:rPr>
        <w:t>, 2nd edn (New York: Penguin Books USA Inc., 1983)</w:t>
      </w:r>
    </w:p>
    <w:p w14:paraId="162E9DF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Bordo, Susan, ‘The Unbearable Weight; Feminism, Western Culture, and the Body’, in </w:t>
      </w:r>
      <w:r w:rsidRPr="00505CF0">
        <w:rPr>
          <w:rFonts w:asciiTheme="majorBidi" w:hAnsiTheme="majorBidi" w:cstheme="majorBidi"/>
          <w:i/>
          <w:iCs/>
        </w:rPr>
        <w:t>The Norton Anthology of Theory and Criticism</w:t>
      </w:r>
      <w:r w:rsidRPr="00505CF0">
        <w:rPr>
          <w:rFonts w:asciiTheme="majorBidi" w:hAnsiTheme="majorBidi" w:cstheme="majorBidi"/>
        </w:rPr>
        <w:t>, ed. by Vincent Leitch, 2nd edn (New York: W. W. Norton &amp; Co., 2010), pp. 2240–54</w:t>
      </w:r>
    </w:p>
    <w:p w14:paraId="156F460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Borges, Jorge Luis, </w:t>
      </w:r>
      <w:r w:rsidRPr="00505CF0">
        <w:rPr>
          <w:rFonts w:asciiTheme="majorBidi" w:hAnsiTheme="majorBidi" w:cstheme="majorBidi"/>
          <w:i/>
          <w:iCs/>
        </w:rPr>
        <w:t>Selected Nonfictions</w:t>
      </w:r>
      <w:r w:rsidRPr="00505CF0">
        <w:rPr>
          <w:rFonts w:asciiTheme="majorBidi" w:hAnsiTheme="majorBidi" w:cstheme="majorBidi"/>
        </w:rPr>
        <w:t>, ed. by Eliot Weinberger, trans. by Esther Allen, Suzanne Jill Levine, and Eliot Weinberger (New York: Penguin Books, 1999)</w:t>
      </w:r>
    </w:p>
    <w:p w14:paraId="68DE5BF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Botstein, Leon, ‘Elliot Carter: An Appreciation’,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Music Quarterly</w:t>
      </w:r>
      <w:r w:rsidRPr="00505CF0">
        <w:rPr>
          <w:rFonts w:asciiTheme="majorBidi" w:hAnsiTheme="majorBidi" w:cstheme="majorBidi"/>
        </w:rPr>
        <w:t>, 91 (2008), 151–57</w:t>
      </w:r>
    </w:p>
    <w:p w14:paraId="357A583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Botting, Fred, ‘Aftergothic: Consumption, Machines and Black Holes’,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Cambridge Companion to Gothic Fiction</w:t>
      </w:r>
      <w:r w:rsidRPr="00505CF0">
        <w:rPr>
          <w:rFonts w:asciiTheme="majorBidi" w:hAnsiTheme="majorBidi" w:cstheme="majorBidi"/>
        </w:rPr>
        <w:t>, ed. by Jerrold E. Hogle (Cambridge: Cambridge University Press, 2002), pp. 277–300</w:t>
      </w:r>
    </w:p>
    <w:p w14:paraId="3196EEC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Bourriaud, Nicolas, ‘Altermodern Explained: Manifesto’, </w:t>
      </w:r>
      <w:r w:rsidRPr="00505CF0">
        <w:rPr>
          <w:rFonts w:asciiTheme="majorBidi" w:hAnsiTheme="majorBidi" w:cstheme="majorBidi"/>
          <w:i/>
          <w:iCs/>
        </w:rPr>
        <w:t>Tate</w:t>
      </w:r>
      <w:r w:rsidRPr="00505CF0">
        <w:rPr>
          <w:rFonts w:asciiTheme="majorBidi" w:hAnsiTheme="majorBidi" w:cstheme="majorBidi"/>
        </w:rPr>
        <w:t>, 2009 &lt;www.tate.org.uk/whats-on/tate-britain/exhibition/altermodern/explain-altermodern/altermodern-explained-manifesto&gt; [accessed 4 August 2017]</w:t>
      </w:r>
    </w:p>
    <w:p w14:paraId="065315F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Bradbury, Malcom, ‘Graceful Combinations’,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Agony and the Ego</w:t>
      </w:r>
      <w:r w:rsidRPr="00505CF0">
        <w:rPr>
          <w:rFonts w:asciiTheme="majorBidi" w:hAnsiTheme="majorBidi" w:cstheme="majorBidi"/>
        </w:rPr>
        <w:t>, ed. by Clare Boylan (London: Penguin Books Ltd, 1993), pp. 55–63</w:t>
      </w:r>
    </w:p>
    <w:p w14:paraId="3C7F98F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Bruhm, Steven, ‘Contemporary Gothic: Why We Need It’,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Cambridge Companion to Gothic Fiction</w:t>
      </w:r>
      <w:r w:rsidRPr="00505CF0">
        <w:rPr>
          <w:rFonts w:asciiTheme="majorBidi" w:hAnsiTheme="majorBidi" w:cstheme="majorBidi"/>
        </w:rPr>
        <w:t>, ed. by Jerrold E. Hogle (Cambridge: Cambridge University Press, 2002), pp. 259–76</w:t>
      </w:r>
    </w:p>
    <w:p w14:paraId="061C714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Bunnell, Noah, ‘Oscillating from a Distance: A Study of Metamodernism in Theory and Practice’, </w:t>
      </w:r>
      <w:r w:rsidRPr="00505CF0">
        <w:rPr>
          <w:rFonts w:asciiTheme="majorBidi" w:hAnsiTheme="majorBidi" w:cstheme="majorBidi"/>
          <w:i/>
          <w:iCs/>
        </w:rPr>
        <w:t>Undergraduate Journal of Humanistic Studies</w:t>
      </w:r>
      <w:r w:rsidRPr="00505CF0">
        <w:rPr>
          <w:rFonts w:asciiTheme="majorBidi" w:hAnsiTheme="majorBidi" w:cstheme="majorBidi"/>
        </w:rPr>
        <w:t>, 1 (2015)</w:t>
      </w:r>
    </w:p>
    <w:p w14:paraId="0C32B56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Burn, Stephen J., ‘Second Generation Postmoderns’, in </w:t>
      </w:r>
      <w:r w:rsidRPr="00505CF0">
        <w:rPr>
          <w:rFonts w:asciiTheme="majorBidi" w:hAnsiTheme="majorBidi" w:cstheme="majorBidi"/>
          <w:i/>
          <w:iCs/>
        </w:rPr>
        <w:t>The Cambridge History of Postmodern Literature</w:t>
      </w:r>
      <w:r w:rsidRPr="00505CF0">
        <w:rPr>
          <w:rFonts w:asciiTheme="majorBidi" w:hAnsiTheme="majorBidi" w:cstheme="majorBidi"/>
        </w:rPr>
        <w:t>, ed. by Brian McHale and Len Platt (Cambridge: Cambridge University Press, 2016), pp. 450–64</w:t>
      </w:r>
    </w:p>
    <w:p w14:paraId="106690A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C.K, ‘Why America Has a Trust Problem’, </w:t>
      </w:r>
      <w:r w:rsidRPr="00505CF0">
        <w:rPr>
          <w:rFonts w:asciiTheme="majorBidi" w:hAnsiTheme="majorBidi" w:cstheme="majorBidi"/>
          <w:i/>
          <w:iCs/>
        </w:rPr>
        <w:t>The Economist</w:t>
      </w:r>
      <w:r w:rsidRPr="00505CF0">
        <w:rPr>
          <w:rFonts w:asciiTheme="majorBidi" w:hAnsiTheme="majorBidi" w:cstheme="majorBidi"/>
        </w:rPr>
        <w:t>, 2017 &lt;https://www.economist.com/blogs/democracyinamerica/2017/04/verify-then-trust&gt; [accessed 29 September 2017]</w:t>
      </w:r>
    </w:p>
    <w:p w14:paraId="49C92FA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Charles, Sebastien, ‘For a Humanism </w:t>
      </w:r>
      <w:proofErr w:type="gramStart"/>
      <w:r w:rsidRPr="00505CF0">
        <w:rPr>
          <w:rFonts w:asciiTheme="majorBidi" w:hAnsiTheme="majorBidi" w:cstheme="majorBidi"/>
        </w:rPr>
        <w:t>Amid</w:t>
      </w:r>
      <w:proofErr w:type="gramEnd"/>
      <w:r w:rsidRPr="00505CF0">
        <w:rPr>
          <w:rFonts w:asciiTheme="majorBidi" w:hAnsiTheme="majorBidi" w:cstheme="majorBidi"/>
        </w:rPr>
        <w:t xml:space="preserve"> Hypermodernity: From a Society of Knowledge to a Critical Knowledge of Society’, </w:t>
      </w:r>
      <w:r w:rsidRPr="00505CF0">
        <w:rPr>
          <w:rFonts w:asciiTheme="majorBidi" w:hAnsiTheme="majorBidi" w:cstheme="majorBidi"/>
          <w:i/>
          <w:iCs/>
        </w:rPr>
        <w:t>Axiomathes</w:t>
      </w:r>
      <w:r w:rsidRPr="00505CF0">
        <w:rPr>
          <w:rFonts w:asciiTheme="majorBidi" w:hAnsiTheme="majorBidi" w:cstheme="majorBidi"/>
        </w:rPr>
        <w:t>, 2009, 389–400</w:t>
      </w:r>
    </w:p>
    <w:p w14:paraId="4635648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Chesterton, George, ‘How Ed Sheeran Became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Biggest Male Popstar on the Planet’, </w:t>
      </w:r>
      <w:r w:rsidRPr="00505CF0">
        <w:rPr>
          <w:rFonts w:asciiTheme="majorBidi" w:hAnsiTheme="majorBidi" w:cstheme="majorBidi"/>
          <w:i/>
          <w:iCs/>
        </w:rPr>
        <w:t>GQ Magazine</w:t>
      </w:r>
      <w:r w:rsidRPr="00505CF0">
        <w:rPr>
          <w:rFonts w:asciiTheme="majorBidi" w:hAnsiTheme="majorBidi" w:cstheme="majorBidi"/>
        </w:rPr>
        <w:t>, 2017 &lt;http://www.gq-magazine.co.uk/article/ed-sheeran-new-album-divide&gt; [accessed 23 October 2017]</w:t>
      </w:r>
    </w:p>
    <w:p w14:paraId="095F0AA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Childish, Billy, and Charles Thomson, ‘Remodernism’, </w:t>
      </w:r>
      <w:r w:rsidRPr="00505CF0">
        <w:rPr>
          <w:rFonts w:asciiTheme="majorBidi" w:hAnsiTheme="majorBidi" w:cstheme="majorBidi"/>
          <w:i/>
          <w:iCs/>
        </w:rPr>
        <w:t>Stuckism.com</w:t>
      </w:r>
      <w:r w:rsidRPr="00505CF0">
        <w:rPr>
          <w:rFonts w:asciiTheme="majorBidi" w:hAnsiTheme="majorBidi" w:cstheme="majorBidi"/>
        </w:rPr>
        <w:t>, 2000 &lt;http://www.stuckism.com/remod.html&gt; [accessed 6 September 2017]</w:t>
      </w:r>
    </w:p>
    <w:p w14:paraId="1E28809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Ciccoricco, David, ‘What [in the World] Was Postmodernism? An Introduction’, </w:t>
      </w:r>
      <w:r w:rsidRPr="00505CF0">
        <w:rPr>
          <w:rFonts w:asciiTheme="majorBidi" w:hAnsiTheme="majorBidi" w:cstheme="majorBidi"/>
          <w:i/>
          <w:iCs/>
        </w:rPr>
        <w:t>Electronic Book Review</w:t>
      </w:r>
      <w:r w:rsidRPr="00505CF0">
        <w:rPr>
          <w:rFonts w:asciiTheme="majorBidi" w:hAnsiTheme="majorBidi" w:cstheme="majorBidi"/>
        </w:rPr>
        <w:t>, 2016 &lt;http://electronicbookreview.com/thread/endconstruction/what&gt; [accessed 7 June 2017]</w:t>
      </w:r>
    </w:p>
    <w:p w14:paraId="12D8CA4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Clark, Alex, ‘In the Hands of Madmen’, </w:t>
      </w:r>
      <w:r w:rsidRPr="00505CF0">
        <w:rPr>
          <w:rFonts w:asciiTheme="majorBidi" w:hAnsiTheme="majorBidi" w:cstheme="majorBidi"/>
          <w:i/>
          <w:iCs/>
        </w:rPr>
        <w:t>The Guardian</w:t>
      </w:r>
      <w:r w:rsidRPr="00505CF0">
        <w:rPr>
          <w:rFonts w:asciiTheme="majorBidi" w:hAnsiTheme="majorBidi" w:cstheme="majorBidi"/>
        </w:rPr>
        <w:t>, 2002 &lt;https://www.theguardian.com/books/2002/jun/01/featuresreviews.guardianreview23&gt; [accessed 31 December 2018]</w:t>
      </w:r>
    </w:p>
    <w:p w14:paraId="21D43DC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Coghlan, Niamh, ‘The End of Postmodernism’, </w:t>
      </w:r>
      <w:r w:rsidRPr="00505CF0">
        <w:rPr>
          <w:rFonts w:asciiTheme="majorBidi" w:hAnsiTheme="majorBidi" w:cstheme="majorBidi"/>
          <w:i/>
          <w:iCs/>
        </w:rPr>
        <w:t>Aesthetica</w:t>
      </w:r>
      <w:r w:rsidRPr="00505CF0">
        <w:rPr>
          <w:rFonts w:asciiTheme="majorBidi" w:hAnsiTheme="majorBidi" w:cstheme="majorBidi"/>
        </w:rPr>
        <w:t>, 2009 &lt;http://www.aestheticamagazine.com/the-end-of-postmodernism/&gt; [accessed 10 September 2017]</w:t>
      </w:r>
    </w:p>
    <w:p w14:paraId="665332DE" w14:textId="45C9F1EC"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Collado-Rodriguez, Francisco, ‘Historiographic Metafiction, Thermodynamics and the Middle That Was Not </w:t>
      </w:r>
      <w:r w:rsidR="006B5C76" w:rsidRPr="00505CF0">
        <w:rPr>
          <w:rFonts w:asciiTheme="majorBidi" w:hAnsiTheme="majorBidi" w:cstheme="majorBidi"/>
        </w:rPr>
        <w:t>Excluded</w:t>
      </w:r>
      <w:r w:rsidRPr="00505CF0">
        <w:rPr>
          <w:rFonts w:asciiTheme="majorBidi" w:hAnsiTheme="majorBidi" w:cstheme="majorBidi"/>
        </w:rPr>
        <w:t xml:space="preserve"> in Thomas Pynchon’s The Crying of Lot 49’, in </w:t>
      </w:r>
      <w:r w:rsidRPr="00505CF0">
        <w:rPr>
          <w:rFonts w:asciiTheme="majorBidi" w:hAnsiTheme="majorBidi" w:cstheme="majorBidi"/>
          <w:i/>
          <w:iCs/>
        </w:rPr>
        <w:t>Metahistorical Narratives &amp; Scientific Metafictions</w:t>
      </w:r>
      <w:r w:rsidRPr="00505CF0">
        <w:rPr>
          <w:rFonts w:asciiTheme="majorBidi" w:hAnsiTheme="majorBidi" w:cstheme="majorBidi"/>
        </w:rPr>
        <w:t>, ed. by Guiseppe Episcopo (Napoli: Cronopio, 2015), pp. 149–66</w:t>
      </w:r>
    </w:p>
    <w:p w14:paraId="20D3493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Cumming, Laura, ‘The World as a Waste of Space’, </w:t>
      </w:r>
      <w:r w:rsidRPr="00505CF0">
        <w:rPr>
          <w:rFonts w:asciiTheme="majorBidi" w:hAnsiTheme="majorBidi" w:cstheme="majorBidi"/>
          <w:i/>
          <w:iCs/>
        </w:rPr>
        <w:t>The Guardian</w:t>
      </w:r>
      <w:r w:rsidRPr="00505CF0">
        <w:rPr>
          <w:rFonts w:asciiTheme="majorBidi" w:hAnsiTheme="majorBidi" w:cstheme="majorBidi"/>
        </w:rPr>
        <w:t>, 2009 &lt;https://www.theguardian.com/artanddesign/2009/feb/08/altermodern-tate-britain-triennial-2009&gt; [accessed 15 August 2017]</w:t>
      </w:r>
    </w:p>
    <w:p w14:paraId="64AD73C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Cummings, Dolan, ‘The Trouble with Being Human These Days: Identity by Zygmunt Bauman’, </w:t>
      </w:r>
      <w:r w:rsidRPr="00505CF0">
        <w:rPr>
          <w:rFonts w:asciiTheme="majorBidi" w:hAnsiTheme="majorBidi" w:cstheme="majorBidi"/>
          <w:i/>
          <w:iCs/>
        </w:rPr>
        <w:t>Culture Wars</w:t>
      </w:r>
      <w:r w:rsidRPr="00505CF0">
        <w:rPr>
          <w:rFonts w:asciiTheme="majorBidi" w:hAnsiTheme="majorBidi" w:cstheme="majorBidi"/>
        </w:rPr>
        <w:t>, 2004 &lt;www.culturewars.org.uk/2004-02/identity.htm&gt; [accessed 15 August 2017]</w:t>
      </w:r>
    </w:p>
    <w:p w14:paraId="6D3FE2E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Currie, Mark, </w:t>
      </w:r>
      <w:r w:rsidRPr="00505CF0">
        <w:rPr>
          <w:rFonts w:asciiTheme="majorBidi" w:hAnsiTheme="majorBidi" w:cstheme="majorBidi"/>
          <w:i/>
          <w:iCs/>
        </w:rPr>
        <w:t>Metafiction</w:t>
      </w:r>
      <w:r w:rsidRPr="00505CF0">
        <w:rPr>
          <w:rFonts w:asciiTheme="majorBidi" w:hAnsiTheme="majorBidi" w:cstheme="majorBidi"/>
        </w:rPr>
        <w:t>, ed. by Mark Currie (Harlow: Longman Publishing Group, 1995)</w:t>
      </w:r>
    </w:p>
    <w:p w14:paraId="46F1701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 Mark, ‘Mark D’, </w:t>
      </w:r>
      <w:r w:rsidRPr="00505CF0">
        <w:rPr>
          <w:rFonts w:asciiTheme="majorBidi" w:hAnsiTheme="majorBidi" w:cstheme="majorBidi"/>
          <w:i/>
          <w:iCs/>
        </w:rPr>
        <w:t>Stuckism.com</w:t>
      </w:r>
      <w:r w:rsidRPr="00505CF0">
        <w:rPr>
          <w:rFonts w:asciiTheme="majorBidi" w:hAnsiTheme="majorBidi" w:cstheme="majorBidi"/>
        </w:rPr>
        <w:t>, 2011 &lt;http://www.stuckism.com/MarkD/IndexText.html&gt; [accessed 1 January 2018]</w:t>
      </w:r>
    </w:p>
    <w:p w14:paraId="3765319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Da Silva, Erick, ‘The Infantilization of Society and the Cult of Youth’, </w:t>
      </w:r>
      <w:r w:rsidRPr="00505CF0">
        <w:rPr>
          <w:rFonts w:asciiTheme="majorBidi" w:hAnsiTheme="majorBidi" w:cstheme="majorBidi"/>
          <w:i/>
          <w:iCs/>
        </w:rPr>
        <w:t>The Ivory Tower</w:t>
      </w:r>
      <w:r w:rsidRPr="00505CF0">
        <w:rPr>
          <w:rFonts w:asciiTheme="majorBidi" w:hAnsiTheme="majorBidi" w:cstheme="majorBidi"/>
        </w:rPr>
        <w:t>, 2015 &lt;http://the-ivory-tower.com/the-infantilization-of-society-and-the-cult-of-youth/&gt; [accessed 10 October 2017]</w:t>
      </w:r>
    </w:p>
    <w:p w14:paraId="402C398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Damico, Philip, ‘An Introduction to Metamodernism’, </w:t>
      </w:r>
      <w:r w:rsidRPr="00505CF0">
        <w:rPr>
          <w:rFonts w:asciiTheme="majorBidi" w:hAnsiTheme="majorBidi" w:cstheme="majorBidi"/>
          <w:i/>
          <w:iCs/>
        </w:rPr>
        <w:t>The Metamodernist</w:t>
      </w:r>
      <w:r w:rsidRPr="00505CF0">
        <w:rPr>
          <w:rFonts w:asciiTheme="majorBidi" w:hAnsiTheme="majorBidi" w:cstheme="majorBidi"/>
        </w:rPr>
        <w:t>, 2017 &lt;https://themetamodernist.com/2017/02/18/an-introduction-to-metamodernism/&gt; [accessed 30 October 2017]</w:t>
      </w:r>
    </w:p>
    <w:p w14:paraId="7BA801C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Darwent, Charles, ‘Altermodern: Tate Triennial, Tate Britain, London’, </w:t>
      </w:r>
      <w:r w:rsidRPr="00505CF0">
        <w:rPr>
          <w:rFonts w:asciiTheme="majorBidi" w:hAnsiTheme="majorBidi" w:cstheme="majorBidi"/>
          <w:i/>
          <w:iCs/>
        </w:rPr>
        <w:t>The Independent</w:t>
      </w:r>
      <w:r w:rsidRPr="00505CF0">
        <w:rPr>
          <w:rFonts w:asciiTheme="majorBidi" w:hAnsiTheme="majorBidi" w:cstheme="majorBidi"/>
        </w:rPr>
        <w:t>, 2009 &lt;http://www.independent.co.uk/arts-entertainment/art/reviews/altermodern-tate-triennial-tate-britain-london-1603717.html&gt; [accessed 15 August 2017]</w:t>
      </w:r>
    </w:p>
    <w:p w14:paraId="7759144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De Groot, Jerome,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Historical Novel</w:t>
      </w:r>
      <w:r w:rsidRPr="00505CF0">
        <w:rPr>
          <w:rFonts w:asciiTheme="majorBidi" w:hAnsiTheme="majorBidi" w:cstheme="majorBidi"/>
        </w:rPr>
        <w:t xml:space="preserve"> (New York: Routledge, 2010)</w:t>
      </w:r>
    </w:p>
    <w:p w14:paraId="2F6C7BC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De Stael, Germaine Necker, ‘Essay on Fictions’, in </w:t>
      </w:r>
      <w:r w:rsidRPr="00505CF0">
        <w:rPr>
          <w:rFonts w:asciiTheme="majorBidi" w:hAnsiTheme="majorBidi" w:cstheme="majorBidi"/>
          <w:i/>
          <w:iCs/>
        </w:rPr>
        <w:t>The Norton Anthology of Theory and Criticism</w:t>
      </w:r>
      <w:r w:rsidRPr="00505CF0">
        <w:rPr>
          <w:rFonts w:asciiTheme="majorBidi" w:hAnsiTheme="majorBidi" w:cstheme="majorBidi"/>
        </w:rPr>
        <w:t>, ed. by Vincent Leitch, 2nd edn (New York: W. W. Norton &amp; Co., 2010), pp. 507–15</w:t>
      </w:r>
    </w:p>
    <w:p w14:paraId="6FD4745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Dempsey, Brendan, ‘[Re</w:t>
      </w:r>
      <w:proofErr w:type="gramStart"/>
      <w:r w:rsidRPr="00505CF0">
        <w:rPr>
          <w:rFonts w:asciiTheme="majorBidi" w:hAnsiTheme="majorBidi" w:cstheme="majorBidi"/>
        </w:rPr>
        <w:t>]construction</w:t>
      </w:r>
      <w:proofErr w:type="gramEnd"/>
      <w:r w:rsidRPr="00505CF0">
        <w:rPr>
          <w:rFonts w:asciiTheme="majorBidi" w:hAnsiTheme="majorBidi" w:cstheme="majorBidi"/>
        </w:rPr>
        <w:t xml:space="preserve">: Metamodern “Transcendence” and the Return of Myth’, </w:t>
      </w:r>
      <w:r w:rsidRPr="00505CF0">
        <w:rPr>
          <w:rFonts w:asciiTheme="majorBidi" w:hAnsiTheme="majorBidi" w:cstheme="majorBidi"/>
          <w:i/>
          <w:iCs/>
        </w:rPr>
        <w:t>Notes on Metamodernism</w:t>
      </w:r>
      <w:r w:rsidRPr="00505CF0">
        <w:rPr>
          <w:rFonts w:asciiTheme="majorBidi" w:hAnsiTheme="majorBidi" w:cstheme="majorBidi"/>
        </w:rPr>
        <w:t>, 2015 &lt;http://www.metamodernism.com/2015/10/21/reconstruction-metamodern-transcendence-and-the-return-of-myth/&gt; [accessed 30 October 2017]</w:t>
      </w:r>
    </w:p>
    <w:p w14:paraId="4480875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Dennis, Helen M, ‘“Questions of Travel”; Elizabeth Bishop and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Negative Sublime’, in </w:t>
      </w:r>
      <w:r w:rsidRPr="00505CF0">
        <w:rPr>
          <w:rFonts w:asciiTheme="majorBidi" w:hAnsiTheme="majorBidi" w:cstheme="majorBidi"/>
          <w:i/>
          <w:iCs/>
        </w:rPr>
        <w:t>Poetry and the Sense of Panic. Critical Essays on Elizabeth Bishop and John Ashbery</w:t>
      </w:r>
      <w:r w:rsidRPr="00505CF0">
        <w:rPr>
          <w:rFonts w:asciiTheme="majorBidi" w:hAnsiTheme="majorBidi" w:cstheme="majorBidi"/>
        </w:rPr>
        <w:t>, ed. by Lionel Kelly (Amsterdam: Rodopi, 2000), pp. 53–63</w:t>
      </w:r>
    </w:p>
    <w:p w14:paraId="11D5357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Di Placido, Dani, ‘2016: The Year We Hit Peak Nostalgia’, </w:t>
      </w:r>
      <w:r w:rsidRPr="00505CF0">
        <w:rPr>
          <w:rFonts w:asciiTheme="majorBidi" w:hAnsiTheme="majorBidi" w:cstheme="majorBidi"/>
          <w:i/>
          <w:iCs/>
        </w:rPr>
        <w:t>Forbes</w:t>
      </w:r>
      <w:r w:rsidRPr="00505CF0">
        <w:rPr>
          <w:rFonts w:asciiTheme="majorBidi" w:hAnsiTheme="majorBidi" w:cstheme="majorBidi"/>
        </w:rPr>
        <w:t>, 2016 &lt;https://www.forbes.com/sites/danidiplacido/2016/12/30/2016-the-year-of-nostalgia/#66949fb97aec&gt; [accessed 10 October 2017]</w:t>
      </w:r>
    </w:p>
    <w:p w14:paraId="3B71627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Duncan, Ian, ‘Walter Scott, James Hogg, and Scottish Gothic’, in </w:t>
      </w:r>
      <w:proofErr w:type="gramStart"/>
      <w:r w:rsidRPr="00505CF0">
        <w:rPr>
          <w:rFonts w:asciiTheme="majorBidi" w:hAnsiTheme="majorBidi" w:cstheme="majorBidi"/>
          <w:i/>
          <w:iCs/>
        </w:rPr>
        <w:t>A</w:t>
      </w:r>
      <w:proofErr w:type="gramEnd"/>
      <w:r w:rsidRPr="00505CF0">
        <w:rPr>
          <w:rFonts w:asciiTheme="majorBidi" w:hAnsiTheme="majorBidi" w:cstheme="majorBidi"/>
          <w:i/>
          <w:iCs/>
        </w:rPr>
        <w:t xml:space="preserve"> Companion to the Gothic</w:t>
      </w:r>
      <w:r w:rsidRPr="00505CF0">
        <w:rPr>
          <w:rFonts w:asciiTheme="majorBidi" w:hAnsiTheme="majorBidi" w:cstheme="majorBidi"/>
        </w:rPr>
        <w:t xml:space="preserve"> (Oxford: Blackwell, 2001)</w:t>
      </w:r>
    </w:p>
    <w:p w14:paraId="07DC0EB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Dussel, Enrique, ‘Transmodernity and Interculturality: An Interpretation from the Perspective of Philosophy of Liberation’, </w:t>
      </w:r>
      <w:r w:rsidRPr="00505CF0">
        <w:rPr>
          <w:rFonts w:asciiTheme="majorBidi" w:hAnsiTheme="majorBidi" w:cstheme="majorBidi"/>
          <w:i/>
          <w:iCs/>
        </w:rPr>
        <w:t>TRANSMODERNITY: Journal of Peripheral Cultural Production of the Luso-Hispanic World</w:t>
      </w:r>
      <w:r w:rsidRPr="00505CF0">
        <w:rPr>
          <w:rFonts w:asciiTheme="majorBidi" w:hAnsiTheme="majorBidi" w:cstheme="majorBidi"/>
        </w:rPr>
        <w:t xml:space="preserve">, 1 (2012), 28–59 </w:t>
      </w:r>
    </w:p>
    <w:p w14:paraId="202DF40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Dussel, Enrique,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Invention of The Americas: Eclipse Of ‘the Other’ and the Myth of Modernity</w:t>
      </w:r>
      <w:r w:rsidRPr="00505CF0">
        <w:rPr>
          <w:rFonts w:asciiTheme="majorBidi" w:hAnsiTheme="majorBidi" w:cstheme="majorBidi"/>
        </w:rPr>
        <w:t xml:space="preserve"> (New York: Continuum, 1995)</w:t>
      </w:r>
    </w:p>
    <w:p w14:paraId="1DF8619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Editorial, ‘New Romanticism’, </w:t>
      </w:r>
      <w:r w:rsidRPr="00505CF0">
        <w:rPr>
          <w:rFonts w:asciiTheme="majorBidi" w:hAnsiTheme="majorBidi" w:cstheme="majorBidi"/>
          <w:i/>
          <w:iCs/>
        </w:rPr>
        <w:t>Notes on Metamodernism</w:t>
      </w:r>
      <w:r w:rsidRPr="00505CF0">
        <w:rPr>
          <w:rFonts w:asciiTheme="majorBidi" w:hAnsiTheme="majorBidi" w:cstheme="majorBidi"/>
        </w:rPr>
        <w:t>, 2010 &lt;http://www.metamodernism.com/2010/08/09/new-romanticism/&gt; [accessed 2 November 2017]</w:t>
      </w:r>
    </w:p>
    <w:p w14:paraId="5CC42FD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Edwards, Justin D., ‘British Gothic Nationhood, 1760-1830’,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Gothic World</w:t>
      </w:r>
      <w:r w:rsidRPr="00505CF0">
        <w:rPr>
          <w:rFonts w:asciiTheme="majorBidi" w:hAnsiTheme="majorBidi" w:cstheme="majorBidi"/>
        </w:rPr>
        <w:t>, ed. by Glennis Byron and Dale Townshend (New York, 2014), pp. 51–61</w:t>
      </w:r>
    </w:p>
    <w:p w14:paraId="6D6C83C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Epstein, Mikhail, ‘The Place of Postmodernism in Postmodernity’, in </w:t>
      </w:r>
      <w:r w:rsidRPr="00505CF0">
        <w:rPr>
          <w:rFonts w:asciiTheme="majorBidi" w:hAnsiTheme="majorBidi" w:cstheme="majorBidi"/>
          <w:i/>
          <w:iCs/>
        </w:rPr>
        <w:t>Russian Postmodernism: New Perspectives on Late Soviet and Post-Soviet Culture</w:t>
      </w:r>
      <w:r w:rsidRPr="00505CF0">
        <w:rPr>
          <w:rFonts w:asciiTheme="majorBidi" w:hAnsiTheme="majorBidi" w:cstheme="majorBidi"/>
        </w:rPr>
        <w:t xml:space="preserve">, ed. by Thomas Epstein, trans. by Slobodanka Vladiv-Glover (Oxford: Berghahn Books, 1998) </w:t>
      </w:r>
    </w:p>
    <w:p w14:paraId="770945D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Eshelman, Raoul, ‘Performatism, or the End of Postmodernism’, </w:t>
      </w:r>
      <w:r w:rsidRPr="00505CF0">
        <w:rPr>
          <w:rFonts w:asciiTheme="majorBidi" w:hAnsiTheme="majorBidi" w:cstheme="majorBidi"/>
          <w:i/>
          <w:iCs/>
        </w:rPr>
        <w:t>Anthropoetics</w:t>
      </w:r>
      <w:r w:rsidRPr="00505CF0">
        <w:rPr>
          <w:rFonts w:asciiTheme="majorBidi" w:hAnsiTheme="majorBidi" w:cstheme="majorBidi"/>
        </w:rPr>
        <w:t xml:space="preserve">, 6 (2001) </w:t>
      </w:r>
    </w:p>
    <w:p w14:paraId="39C9E276" w14:textId="77777777" w:rsidR="00252349" w:rsidRPr="00505CF0" w:rsidRDefault="00252349" w:rsidP="006B5C76">
      <w:pPr>
        <w:pStyle w:val="NormalWeb"/>
        <w:ind w:left="480" w:hanging="480"/>
        <w:rPr>
          <w:rFonts w:asciiTheme="majorBidi" w:hAnsiTheme="majorBidi" w:cstheme="majorBidi"/>
        </w:rPr>
      </w:pPr>
      <w:bookmarkStart w:id="14" w:name="_Hlk506212987"/>
      <w:r w:rsidRPr="00505CF0">
        <w:rPr>
          <w:rFonts w:asciiTheme="majorBidi" w:hAnsiTheme="majorBidi" w:cstheme="majorBidi"/>
        </w:rPr>
        <w:t xml:space="preserve">– – –, </w:t>
      </w:r>
      <w:bookmarkEnd w:id="14"/>
      <w:r w:rsidRPr="00505CF0">
        <w:rPr>
          <w:rFonts w:asciiTheme="majorBidi" w:hAnsiTheme="majorBidi" w:cstheme="majorBidi"/>
        </w:rPr>
        <w:t xml:space="preserve">‘What Is Performatism’, </w:t>
      </w:r>
      <w:r w:rsidRPr="00505CF0">
        <w:rPr>
          <w:rFonts w:asciiTheme="majorBidi" w:hAnsiTheme="majorBidi" w:cstheme="majorBidi"/>
          <w:i/>
          <w:iCs/>
        </w:rPr>
        <w:t>Performatism.de</w:t>
      </w:r>
      <w:r w:rsidRPr="00505CF0">
        <w:rPr>
          <w:rFonts w:asciiTheme="majorBidi" w:hAnsiTheme="majorBidi" w:cstheme="majorBidi"/>
        </w:rPr>
        <w:t>, 2015 &lt;http://www.performatism.de/What-is-Performatism&gt; [accessed 22 August 2017]</w:t>
      </w:r>
    </w:p>
    <w:p w14:paraId="1101A51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Evans, Polly, ‘Is Electronic Music a Threat to Culture’, </w:t>
      </w:r>
      <w:r w:rsidRPr="00505CF0">
        <w:rPr>
          <w:rFonts w:asciiTheme="majorBidi" w:hAnsiTheme="majorBidi" w:cstheme="majorBidi"/>
          <w:i/>
          <w:iCs/>
        </w:rPr>
        <w:t>Varsity</w:t>
      </w:r>
      <w:r w:rsidRPr="00505CF0">
        <w:rPr>
          <w:rFonts w:asciiTheme="majorBidi" w:hAnsiTheme="majorBidi" w:cstheme="majorBidi"/>
        </w:rPr>
        <w:t>, 2017 &lt;https://www.varsity.co.uk/science/11929&gt; [accessed 10 October 2017]</w:t>
      </w:r>
    </w:p>
    <w:p w14:paraId="0727C74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Falconer, Rachel,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Crossover Novel</w:t>
      </w:r>
      <w:r w:rsidRPr="00505CF0">
        <w:rPr>
          <w:rFonts w:asciiTheme="majorBidi" w:hAnsiTheme="majorBidi" w:cstheme="majorBidi"/>
        </w:rPr>
        <w:t xml:space="preserve"> (New York: Routledge, 2009)</w:t>
      </w:r>
    </w:p>
    <w:p w14:paraId="1C152A7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Federman, Raymond, ‘Critifictional Reflections on the Pathetic Condition of the Novel in Our Time’, </w:t>
      </w:r>
      <w:r w:rsidRPr="00505CF0">
        <w:rPr>
          <w:rFonts w:asciiTheme="majorBidi" w:hAnsiTheme="majorBidi" w:cstheme="majorBidi"/>
          <w:i/>
          <w:iCs/>
        </w:rPr>
        <w:t>Symploke</w:t>
      </w:r>
      <w:r w:rsidRPr="00505CF0">
        <w:rPr>
          <w:rFonts w:asciiTheme="majorBidi" w:hAnsiTheme="majorBidi" w:cstheme="majorBidi"/>
        </w:rPr>
        <w:t>, 12 (2004), 156–70</w:t>
      </w:r>
    </w:p>
    <w:p w14:paraId="730BD79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Federman, Raymond, ‘Avant-Pop: You’re Kidding, Or, The Real Begins Where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Spectacle End’, in </w:t>
      </w:r>
      <w:r w:rsidRPr="00505CF0">
        <w:rPr>
          <w:rFonts w:asciiTheme="majorBidi" w:hAnsiTheme="majorBidi" w:cstheme="majorBidi"/>
          <w:i/>
          <w:iCs/>
        </w:rPr>
        <w:t>In Memoriam to Postmodernism: Essays on the Avant-Pop</w:t>
      </w:r>
      <w:r w:rsidRPr="00505CF0">
        <w:rPr>
          <w:rFonts w:asciiTheme="majorBidi" w:hAnsiTheme="majorBidi" w:cstheme="majorBidi"/>
        </w:rPr>
        <w:t>, ed. by Mark Amerika and Lance Olsen (San Diego: San Diego University Press, 1995)</w:t>
      </w:r>
    </w:p>
    <w:p w14:paraId="285BE34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Feßler, Nadine, ‘Real Fiction (I)’, </w:t>
      </w:r>
      <w:r w:rsidRPr="00505CF0">
        <w:rPr>
          <w:rFonts w:asciiTheme="majorBidi" w:hAnsiTheme="majorBidi" w:cstheme="majorBidi"/>
          <w:i/>
          <w:iCs/>
        </w:rPr>
        <w:t>Notes on Metamodernism</w:t>
      </w:r>
      <w:r w:rsidRPr="00505CF0">
        <w:rPr>
          <w:rFonts w:asciiTheme="majorBidi" w:hAnsiTheme="majorBidi" w:cstheme="majorBidi"/>
        </w:rPr>
        <w:t>, 2011 &lt;http://www.metamodernism.com/2011/04/15/real-fiction-i/&gt; [accessed 13 November 2017]</w:t>
      </w:r>
    </w:p>
    <w:p w14:paraId="682ADFA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‘Real Fiction (II)’, </w:t>
      </w:r>
      <w:r w:rsidRPr="00505CF0">
        <w:rPr>
          <w:rFonts w:asciiTheme="majorBidi" w:hAnsiTheme="majorBidi" w:cstheme="majorBidi"/>
          <w:i/>
          <w:iCs/>
        </w:rPr>
        <w:t>Notes on Metamodernism</w:t>
      </w:r>
      <w:r w:rsidRPr="00505CF0">
        <w:rPr>
          <w:rFonts w:asciiTheme="majorBidi" w:hAnsiTheme="majorBidi" w:cstheme="majorBidi"/>
        </w:rPr>
        <w:t>, 2011 &lt;http://www.metamodernism.com/2011/05/19/real-fiction-ii/&gt; [accessed 13 November 2017]</w:t>
      </w:r>
    </w:p>
    <w:p w14:paraId="4FD2E0B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‘To Engage in Literature’, </w:t>
      </w:r>
      <w:r w:rsidRPr="00505CF0">
        <w:rPr>
          <w:rFonts w:asciiTheme="majorBidi" w:hAnsiTheme="majorBidi" w:cstheme="majorBidi"/>
          <w:i/>
          <w:iCs/>
        </w:rPr>
        <w:t>Notes on Metamodernism</w:t>
      </w:r>
      <w:r w:rsidRPr="00505CF0">
        <w:rPr>
          <w:rFonts w:asciiTheme="majorBidi" w:hAnsiTheme="majorBidi" w:cstheme="majorBidi"/>
        </w:rPr>
        <w:t>, 2012 &lt;http://www.metamodernism.com/2012/05/29/to-engage-in-literature/&gt; [accessed 13 November 2017]</w:t>
      </w:r>
    </w:p>
    <w:p w14:paraId="680468A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‘Illuminating Language’, </w:t>
      </w:r>
      <w:r w:rsidRPr="00505CF0">
        <w:rPr>
          <w:rFonts w:asciiTheme="majorBidi" w:hAnsiTheme="majorBidi" w:cstheme="majorBidi"/>
          <w:i/>
          <w:iCs/>
        </w:rPr>
        <w:t>Notes on Metamodernism</w:t>
      </w:r>
      <w:r w:rsidRPr="00505CF0">
        <w:rPr>
          <w:rFonts w:asciiTheme="majorBidi" w:hAnsiTheme="majorBidi" w:cstheme="majorBidi"/>
        </w:rPr>
        <w:t>, 2011 &lt;http://www.metamodernism.com/2011/09/29/illuminating-language/&gt; [accessed 13 November 2017]</w:t>
      </w:r>
    </w:p>
    <w:p w14:paraId="0C30D9F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Fitzgerald, Jonathan D., ‘Sincerity, Not Irony, Is Our Age’s Ethos’, </w:t>
      </w:r>
      <w:r w:rsidRPr="00505CF0">
        <w:rPr>
          <w:rFonts w:asciiTheme="majorBidi" w:hAnsiTheme="majorBidi" w:cstheme="majorBidi"/>
          <w:i/>
          <w:iCs/>
        </w:rPr>
        <w:t>The Atlantic</w:t>
      </w:r>
      <w:r w:rsidRPr="00505CF0">
        <w:rPr>
          <w:rFonts w:asciiTheme="majorBidi" w:hAnsiTheme="majorBidi" w:cstheme="majorBidi"/>
        </w:rPr>
        <w:t>, 2012 &lt;https://www.theatlantic.com/entertainment/archive/2012/11/sincerity-not-irony-is-our-ages-ethos/265466/&gt; [accessed 9 June 2017]</w:t>
      </w:r>
    </w:p>
    <w:p w14:paraId="4927A5A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Fowler, Alastair, </w:t>
      </w:r>
      <w:proofErr w:type="gramStart"/>
      <w:r w:rsidRPr="00505CF0">
        <w:rPr>
          <w:rFonts w:asciiTheme="majorBidi" w:hAnsiTheme="majorBidi" w:cstheme="majorBidi"/>
          <w:i/>
          <w:iCs/>
        </w:rPr>
        <w:t>A</w:t>
      </w:r>
      <w:proofErr w:type="gramEnd"/>
      <w:r w:rsidRPr="00505CF0">
        <w:rPr>
          <w:rFonts w:asciiTheme="majorBidi" w:hAnsiTheme="majorBidi" w:cstheme="majorBidi"/>
          <w:i/>
          <w:iCs/>
        </w:rPr>
        <w:t xml:space="preserve"> History of English Literature</w:t>
      </w:r>
      <w:r w:rsidRPr="00505CF0">
        <w:rPr>
          <w:rFonts w:asciiTheme="majorBidi" w:hAnsiTheme="majorBidi" w:cstheme="majorBidi"/>
        </w:rPr>
        <w:t xml:space="preserve"> (Oxford: Basil Blackwell, 1987)</w:t>
      </w:r>
    </w:p>
    <w:p w14:paraId="110A392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Fullerton, Huw, ‘Simon Pegg Criticises Science-Fiction and Genre Films for “Dumbing Down” Cinema’, </w:t>
      </w:r>
      <w:r w:rsidRPr="00505CF0">
        <w:rPr>
          <w:rFonts w:asciiTheme="majorBidi" w:hAnsiTheme="majorBidi" w:cstheme="majorBidi"/>
          <w:i/>
          <w:iCs/>
        </w:rPr>
        <w:t>RadioTimes</w:t>
      </w:r>
      <w:r w:rsidRPr="00505CF0">
        <w:rPr>
          <w:rFonts w:asciiTheme="majorBidi" w:hAnsiTheme="majorBidi" w:cstheme="majorBidi"/>
        </w:rPr>
        <w:t>, 2015 &lt;http://www.radiotimes.com/news/2015-05-19/simon-pegg-criticises-science-fiction-and-genre-films-for-dumbing-down-cinema/&gt; [accessed 13 October 2017]</w:t>
      </w:r>
    </w:p>
    <w:p w14:paraId="504060D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Furst, Lilian R., </w:t>
      </w:r>
      <w:r w:rsidRPr="00505CF0">
        <w:rPr>
          <w:rFonts w:asciiTheme="majorBidi" w:hAnsiTheme="majorBidi" w:cstheme="majorBidi"/>
          <w:i/>
          <w:iCs/>
        </w:rPr>
        <w:t>All Is True: The Claims and Strategies of Realist Fiction</w:t>
      </w:r>
      <w:r w:rsidRPr="00505CF0">
        <w:rPr>
          <w:rFonts w:asciiTheme="majorBidi" w:hAnsiTheme="majorBidi" w:cstheme="majorBidi"/>
        </w:rPr>
        <w:t xml:space="preserve"> (London: Duke University Press, 1995)</w:t>
      </w:r>
    </w:p>
    <w:p w14:paraId="50CF1A3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Gamer, Michael, ‘Gothic Fictions and Romantic Writing in Britain’,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Cambridge Companion to Gothic Fiction</w:t>
      </w:r>
      <w:r w:rsidRPr="00505CF0">
        <w:rPr>
          <w:rFonts w:asciiTheme="majorBidi" w:hAnsiTheme="majorBidi" w:cstheme="majorBidi"/>
        </w:rPr>
        <w:t>, ed. by Jerrold E. Hogle (Cambridge: Cambridge University Press, 2002), pp. 85–104</w:t>
      </w:r>
    </w:p>
    <w:p w14:paraId="342DF6EB" w14:textId="0B1EBC9A"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Gardner, John, </w:t>
      </w:r>
      <w:r w:rsidRPr="00505CF0">
        <w:rPr>
          <w:rFonts w:asciiTheme="majorBidi" w:hAnsiTheme="majorBidi" w:cstheme="majorBidi"/>
          <w:i/>
          <w:iCs/>
        </w:rPr>
        <w:t>On Moral Fiction</w:t>
      </w:r>
      <w:r w:rsidR="001924AE" w:rsidRPr="00505CF0">
        <w:rPr>
          <w:rFonts w:asciiTheme="majorBidi" w:hAnsiTheme="majorBidi" w:cstheme="majorBidi"/>
        </w:rPr>
        <w:t xml:space="preserve"> (New York: Basil</w:t>
      </w:r>
      <w:r w:rsidRPr="00505CF0">
        <w:rPr>
          <w:rFonts w:asciiTheme="majorBidi" w:hAnsiTheme="majorBidi" w:cstheme="majorBidi"/>
        </w:rPr>
        <w:t xml:space="preserve"> Books, Inc., 197</w:t>
      </w:r>
      <w:r w:rsidR="001924AE" w:rsidRPr="00505CF0">
        <w:rPr>
          <w:rFonts w:asciiTheme="majorBidi" w:hAnsiTheme="majorBidi" w:cstheme="majorBidi"/>
        </w:rPr>
        <w:t>7</w:t>
      </w:r>
      <w:r w:rsidRPr="00505CF0">
        <w:rPr>
          <w:rFonts w:asciiTheme="majorBidi" w:hAnsiTheme="majorBidi" w:cstheme="majorBidi"/>
        </w:rPr>
        <w:t>)</w:t>
      </w:r>
    </w:p>
    <w:p w14:paraId="626652A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Gass, William H., ‘Philosophy and the Form of Fiction’, in </w:t>
      </w:r>
      <w:r w:rsidRPr="00505CF0">
        <w:rPr>
          <w:rFonts w:asciiTheme="majorBidi" w:hAnsiTheme="majorBidi" w:cstheme="majorBidi"/>
          <w:i/>
          <w:iCs/>
        </w:rPr>
        <w:t>Fiction and the Figures of Life</w:t>
      </w:r>
      <w:r w:rsidRPr="00505CF0">
        <w:rPr>
          <w:rFonts w:asciiTheme="majorBidi" w:hAnsiTheme="majorBidi" w:cstheme="majorBidi"/>
        </w:rPr>
        <w:t xml:space="preserve"> (New York: Knopf, 1970)</w:t>
      </w:r>
    </w:p>
    <w:p w14:paraId="0A7E0D9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‘Philosophy and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Future of Fiction’, </w:t>
      </w:r>
      <w:r w:rsidRPr="00505CF0">
        <w:rPr>
          <w:rFonts w:asciiTheme="majorBidi" w:hAnsiTheme="majorBidi" w:cstheme="majorBidi"/>
          <w:i/>
          <w:iCs/>
        </w:rPr>
        <w:t>Syracuse Scholar</w:t>
      </w:r>
      <w:r w:rsidRPr="00505CF0">
        <w:rPr>
          <w:rFonts w:asciiTheme="majorBidi" w:hAnsiTheme="majorBidi" w:cstheme="majorBidi"/>
        </w:rPr>
        <w:t>, 1 (1980)</w:t>
      </w:r>
    </w:p>
    <w:p w14:paraId="20DB23E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Gibbons, Alison, </w:t>
      </w:r>
      <w:r w:rsidRPr="00505CF0">
        <w:rPr>
          <w:rFonts w:asciiTheme="majorBidi" w:hAnsiTheme="majorBidi" w:cstheme="majorBidi"/>
          <w:i/>
          <w:iCs/>
        </w:rPr>
        <w:t>Multimodality, Cognition, and Experimental Literature</w:t>
      </w:r>
      <w:r w:rsidRPr="00505CF0">
        <w:rPr>
          <w:rFonts w:asciiTheme="majorBidi" w:hAnsiTheme="majorBidi" w:cstheme="majorBidi"/>
        </w:rPr>
        <w:t xml:space="preserve"> (New York: Routledge, 2012)</w:t>
      </w:r>
    </w:p>
    <w:p w14:paraId="11FE3A6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 –, ‘“Take That You Intellectuals!” and “kaPOW!</w:t>
      </w:r>
      <w:proofErr w:type="gramStart"/>
      <w:r w:rsidRPr="00505CF0">
        <w:rPr>
          <w:rFonts w:asciiTheme="majorBidi" w:hAnsiTheme="majorBidi" w:cstheme="majorBidi"/>
        </w:rPr>
        <w:t>”:</w:t>
      </w:r>
      <w:proofErr w:type="gramEnd"/>
      <w:r w:rsidRPr="00505CF0">
        <w:rPr>
          <w:rFonts w:asciiTheme="majorBidi" w:hAnsiTheme="majorBidi" w:cstheme="majorBidi"/>
        </w:rPr>
        <w:t xml:space="preserve"> Adam Thirlwell and the Metamodernist Future of Style’, </w:t>
      </w:r>
      <w:r w:rsidRPr="00505CF0">
        <w:rPr>
          <w:rFonts w:asciiTheme="majorBidi" w:hAnsiTheme="majorBidi" w:cstheme="majorBidi"/>
          <w:i/>
          <w:iCs/>
        </w:rPr>
        <w:t>Studia Neophilologica</w:t>
      </w:r>
      <w:r w:rsidRPr="00505CF0">
        <w:rPr>
          <w:rFonts w:asciiTheme="majorBidi" w:hAnsiTheme="majorBidi" w:cstheme="majorBidi"/>
        </w:rPr>
        <w:t xml:space="preserve">, 87 (2015), 29–43 </w:t>
      </w:r>
    </w:p>
    <w:p w14:paraId="61134C3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 –, ‘Postmodernism Is Dead. What Comes Next?</w:t>
      </w:r>
      <w:proofErr w:type="gramStart"/>
      <w:r w:rsidRPr="00505CF0">
        <w:rPr>
          <w:rFonts w:asciiTheme="majorBidi" w:hAnsiTheme="majorBidi" w:cstheme="majorBidi"/>
        </w:rPr>
        <w:t>’,</w:t>
      </w:r>
      <w:proofErr w:type="gramEnd"/>
      <w:r w:rsidRPr="00505CF0">
        <w:rPr>
          <w:rFonts w:asciiTheme="majorBidi" w:hAnsiTheme="majorBidi" w:cstheme="majorBidi"/>
        </w:rPr>
        <w:t xml:space="preserve"> </w:t>
      </w:r>
      <w:r w:rsidRPr="00505CF0">
        <w:rPr>
          <w:rFonts w:asciiTheme="majorBidi" w:hAnsiTheme="majorBidi" w:cstheme="majorBidi"/>
          <w:i/>
          <w:iCs/>
        </w:rPr>
        <w:t>TLS Online</w:t>
      </w:r>
      <w:r w:rsidRPr="00505CF0">
        <w:rPr>
          <w:rFonts w:asciiTheme="majorBidi" w:hAnsiTheme="majorBidi" w:cstheme="majorBidi"/>
        </w:rPr>
        <w:t>, 2017 &lt;https://www.the-tls.co.uk/articles/public/postmodernism-dead-comes-next/&gt; [accessed 24 August 2017]</w:t>
      </w:r>
    </w:p>
    <w:p w14:paraId="3C5EFEA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Giridharadas, Anand, ‘Millenials, Government and Mistrust’, </w:t>
      </w:r>
      <w:r w:rsidRPr="00505CF0">
        <w:rPr>
          <w:rFonts w:asciiTheme="majorBidi" w:hAnsiTheme="majorBidi" w:cstheme="majorBidi"/>
          <w:i/>
          <w:iCs/>
        </w:rPr>
        <w:t>The New York Times</w:t>
      </w:r>
      <w:r w:rsidRPr="00505CF0">
        <w:rPr>
          <w:rFonts w:asciiTheme="majorBidi" w:hAnsiTheme="majorBidi" w:cstheme="majorBidi"/>
        </w:rPr>
        <w:t>, 2014 &lt;https://www.nytimes.com/2014/07/22/us/millennials-government-and-mistrust.html?mcubz=3&gt; [accessed 29 September 2017]</w:t>
      </w:r>
    </w:p>
    <w:p w14:paraId="235BC9A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Glazov, Jamie, ‘The Death of the Grown-Up’, </w:t>
      </w:r>
      <w:r w:rsidRPr="00505CF0">
        <w:rPr>
          <w:rFonts w:asciiTheme="majorBidi" w:hAnsiTheme="majorBidi" w:cstheme="majorBidi"/>
          <w:i/>
          <w:iCs/>
        </w:rPr>
        <w:t>OrthodoxyToday</w:t>
      </w:r>
      <w:r w:rsidRPr="00505CF0">
        <w:rPr>
          <w:rFonts w:asciiTheme="majorBidi" w:hAnsiTheme="majorBidi" w:cstheme="majorBidi"/>
        </w:rPr>
        <w:t>, 2007 &lt;http://www.orthodoxytoday.org/articles7/GlazovGrownup.php&gt; [accessed 10 October 2017]</w:t>
      </w:r>
    </w:p>
    <w:p w14:paraId="13549B2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Goldhill, Simon, ‘Look Back with Danger’, </w:t>
      </w:r>
      <w:r w:rsidRPr="00505CF0">
        <w:rPr>
          <w:rFonts w:asciiTheme="majorBidi" w:hAnsiTheme="majorBidi" w:cstheme="majorBidi"/>
          <w:i/>
          <w:iCs/>
        </w:rPr>
        <w:t>TLS Online</w:t>
      </w:r>
      <w:r w:rsidRPr="00505CF0">
        <w:rPr>
          <w:rFonts w:asciiTheme="majorBidi" w:hAnsiTheme="majorBidi" w:cstheme="majorBidi"/>
        </w:rPr>
        <w:t>, 2017 &lt;https://www.the-tls.co.uk/articles/public/look-back-with-danger/&gt; [accessed 9 October 2017]</w:t>
      </w:r>
    </w:p>
    <w:p w14:paraId="2FD0446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Gordin, Michael D., Helen Tilley, and Gyan Prakash, eds., </w:t>
      </w:r>
      <w:r w:rsidRPr="00505CF0">
        <w:rPr>
          <w:rFonts w:asciiTheme="majorBidi" w:hAnsiTheme="majorBidi" w:cstheme="majorBidi"/>
          <w:i/>
          <w:iCs/>
        </w:rPr>
        <w:t>Utopia/Dystopia: Conditions of Historical Possibility</w:t>
      </w:r>
      <w:r w:rsidRPr="00505CF0">
        <w:rPr>
          <w:rFonts w:asciiTheme="majorBidi" w:hAnsiTheme="majorBidi" w:cstheme="majorBidi"/>
        </w:rPr>
        <w:t xml:space="preserve"> (Princeton: Princeton University Press, 2010)</w:t>
      </w:r>
    </w:p>
    <w:p w14:paraId="63DD60E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Grausam, Daniel, ‘Games People Play: Metafiction, Defense Strategy, and the Cultures of Simulation’, </w:t>
      </w:r>
      <w:r w:rsidRPr="00505CF0">
        <w:rPr>
          <w:rFonts w:asciiTheme="majorBidi" w:hAnsiTheme="majorBidi" w:cstheme="majorBidi"/>
          <w:i/>
          <w:iCs/>
        </w:rPr>
        <w:t>ELH</w:t>
      </w:r>
      <w:r w:rsidRPr="00505CF0">
        <w:rPr>
          <w:rFonts w:asciiTheme="majorBidi" w:hAnsiTheme="majorBidi" w:cstheme="majorBidi"/>
        </w:rPr>
        <w:t>, 78 (2011), 507–32</w:t>
      </w:r>
    </w:p>
    <w:p w14:paraId="3EDBB2A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Hampson, Robert, ‘</w:t>
      </w:r>
      <w:proofErr w:type="gramStart"/>
      <w:r w:rsidRPr="00505CF0">
        <w:rPr>
          <w:rFonts w:asciiTheme="majorBidi" w:hAnsiTheme="majorBidi" w:cstheme="majorBidi"/>
        </w:rPr>
        <w:t>The</w:t>
      </w:r>
      <w:proofErr w:type="gramEnd"/>
      <w:r w:rsidRPr="00505CF0">
        <w:rPr>
          <w:rFonts w:asciiTheme="majorBidi" w:hAnsiTheme="majorBidi" w:cstheme="majorBidi"/>
        </w:rPr>
        <w:t xml:space="preserve"> Unshared Ideal of Self: An Outcast of the Islands’, in </w:t>
      </w:r>
      <w:r w:rsidRPr="00505CF0">
        <w:rPr>
          <w:rFonts w:asciiTheme="majorBidi" w:hAnsiTheme="majorBidi" w:cstheme="majorBidi"/>
          <w:i/>
          <w:iCs/>
        </w:rPr>
        <w:t>Joseph Conrad: Betrayal and Identity</w:t>
      </w:r>
      <w:r w:rsidRPr="00505CF0">
        <w:rPr>
          <w:rFonts w:asciiTheme="majorBidi" w:hAnsiTheme="majorBidi" w:cstheme="majorBidi"/>
        </w:rPr>
        <w:t xml:space="preserve"> (London: Palgrave Macmillan, 1992), pp. 32–66</w:t>
      </w:r>
    </w:p>
    <w:p w14:paraId="0D61424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Harrikari, Timo, Pirkko-Liisa Rauhala, and Elina Virokannas, ‘Social Theory and the Second Modernity’, in </w:t>
      </w:r>
      <w:r w:rsidRPr="00505CF0">
        <w:rPr>
          <w:rFonts w:asciiTheme="majorBidi" w:hAnsiTheme="majorBidi" w:cstheme="majorBidi"/>
          <w:i/>
          <w:iCs/>
        </w:rPr>
        <w:t>Social Change and Social Work</w:t>
      </w:r>
      <w:r w:rsidRPr="00505CF0">
        <w:rPr>
          <w:rFonts w:asciiTheme="majorBidi" w:hAnsiTheme="majorBidi" w:cstheme="majorBidi"/>
        </w:rPr>
        <w:t>, ed. by Timo Harrikari, Pirkko-Liisa Rauhala, and Elina Virokannas (Oxon: Routledge, 2014)</w:t>
      </w:r>
    </w:p>
    <w:p w14:paraId="67386B9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Hecq, Domnique, ‘Creative Writing and Theory: Theory without Credentials’, in </w:t>
      </w:r>
      <w:r w:rsidRPr="00505CF0">
        <w:rPr>
          <w:rFonts w:asciiTheme="majorBidi" w:hAnsiTheme="majorBidi" w:cstheme="majorBidi"/>
          <w:i/>
          <w:iCs/>
        </w:rPr>
        <w:t>Research Methods in Creative Writing</w:t>
      </w:r>
      <w:r w:rsidRPr="00505CF0">
        <w:rPr>
          <w:rFonts w:asciiTheme="majorBidi" w:hAnsiTheme="majorBidi" w:cstheme="majorBidi"/>
        </w:rPr>
        <w:t>, ed. by Jeri Kroll and Graeme Harper (New York: Palgrave Macmillan, 2013), pp. 175–200</w:t>
      </w:r>
    </w:p>
    <w:p w14:paraId="7A83885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Heymach, John, and Lada Krilov, </w:t>
      </w:r>
      <w:r w:rsidRPr="00505CF0">
        <w:rPr>
          <w:rFonts w:asciiTheme="majorBidi" w:hAnsiTheme="majorBidi" w:cstheme="majorBidi"/>
          <w:i/>
          <w:iCs/>
        </w:rPr>
        <w:t xml:space="preserve">Clinical Cancer Advances 2018: Annual Report on Progress </w:t>
      </w:r>
      <w:proofErr w:type="gramStart"/>
      <w:r w:rsidRPr="00505CF0">
        <w:rPr>
          <w:rFonts w:asciiTheme="majorBidi" w:hAnsiTheme="majorBidi" w:cstheme="majorBidi"/>
          <w:i/>
          <w:iCs/>
        </w:rPr>
        <w:t>Against</w:t>
      </w:r>
      <w:proofErr w:type="gramEnd"/>
      <w:r w:rsidRPr="00505CF0">
        <w:rPr>
          <w:rFonts w:asciiTheme="majorBidi" w:hAnsiTheme="majorBidi" w:cstheme="majorBidi"/>
          <w:i/>
          <w:iCs/>
        </w:rPr>
        <w:t xml:space="preserve"> Cancer</w:t>
      </w:r>
      <w:r w:rsidRPr="00505CF0">
        <w:rPr>
          <w:rFonts w:asciiTheme="majorBidi" w:hAnsiTheme="majorBidi" w:cstheme="majorBidi"/>
        </w:rPr>
        <w:t xml:space="preserve">, </w:t>
      </w:r>
      <w:r w:rsidRPr="00505CF0">
        <w:rPr>
          <w:rFonts w:asciiTheme="majorBidi" w:hAnsiTheme="majorBidi" w:cstheme="majorBidi"/>
          <w:i/>
          <w:iCs/>
        </w:rPr>
        <w:t>Journal of Clinical Oncology</w:t>
      </w:r>
      <w:r w:rsidRPr="00505CF0">
        <w:rPr>
          <w:rFonts w:asciiTheme="majorBidi" w:hAnsiTheme="majorBidi" w:cstheme="majorBidi"/>
        </w:rPr>
        <w:t xml:space="preserve">, 2017 </w:t>
      </w:r>
    </w:p>
    <w:p w14:paraId="23127CA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Hirschorn, ‘Irony, The End of’, </w:t>
      </w:r>
      <w:r w:rsidRPr="00505CF0">
        <w:rPr>
          <w:rFonts w:asciiTheme="majorBidi" w:hAnsiTheme="majorBidi" w:cstheme="majorBidi"/>
          <w:i/>
          <w:iCs/>
        </w:rPr>
        <w:t>NYMag.com</w:t>
      </w:r>
      <w:r w:rsidRPr="00505CF0">
        <w:rPr>
          <w:rFonts w:asciiTheme="majorBidi" w:hAnsiTheme="majorBidi" w:cstheme="majorBidi"/>
        </w:rPr>
        <w:t>, 2011 &lt;http://nymag.com/news/9-11/10th-anniversary/irony/&gt; [accessed 21 October 2017]</w:t>
      </w:r>
    </w:p>
    <w:p w14:paraId="1745B11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Hoberek, Andrew, ‘Epilogue: 2001, 2008, and after’, in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Cambridge History of Postmodern Literature</w:t>
      </w:r>
      <w:r w:rsidRPr="00505CF0">
        <w:rPr>
          <w:rFonts w:asciiTheme="majorBidi" w:hAnsiTheme="majorBidi" w:cstheme="majorBidi"/>
        </w:rPr>
        <w:t>, ed. by Brian McHale and Len Platt (Cambridge: Cambridge University Press, 2016), pp. 497–514</w:t>
      </w:r>
    </w:p>
    <w:p w14:paraId="67A8B58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Hodgson, Jennifer, ‘“Such a Thing as Avant-Garde Has Ceased to Exist”: The Hidden Legacies of the British Experimental Novel’, in </w:t>
      </w:r>
      <w:r w:rsidRPr="00505CF0">
        <w:rPr>
          <w:rFonts w:asciiTheme="majorBidi" w:hAnsiTheme="majorBidi" w:cstheme="majorBidi"/>
          <w:i/>
          <w:iCs/>
        </w:rPr>
        <w:t>Twenty-First Century Fiction</w:t>
      </w:r>
      <w:r w:rsidRPr="00505CF0">
        <w:rPr>
          <w:rFonts w:asciiTheme="majorBidi" w:hAnsiTheme="majorBidi" w:cstheme="majorBidi"/>
        </w:rPr>
        <w:t>, ed. by Sian Adiseshiah and Rupert Hildyard (Basingstoke: Palgrave Macmillan, 2013), pp. 15–33</w:t>
      </w:r>
    </w:p>
    <w:p w14:paraId="4E499A0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Hogan, Michael, and Ed Cumming, ‘Have Our Cultural Tastes Become Too Childish’, </w:t>
      </w:r>
      <w:r w:rsidRPr="00505CF0">
        <w:rPr>
          <w:rFonts w:asciiTheme="majorBidi" w:hAnsiTheme="majorBidi" w:cstheme="majorBidi"/>
          <w:i/>
          <w:iCs/>
        </w:rPr>
        <w:t>The Guardian</w:t>
      </w:r>
      <w:r w:rsidRPr="00505CF0">
        <w:rPr>
          <w:rFonts w:asciiTheme="majorBidi" w:hAnsiTheme="majorBidi" w:cstheme="majorBidi"/>
        </w:rPr>
        <w:t>, 2015 &lt;https://www.theguardian.com/commentisfree/2015/may/23/have-our-cultural-tastes-become-too-childish&gt; [accessed 13 October 2017]</w:t>
      </w:r>
    </w:p>
    <w:p w14:paraId="78A77E3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Hogle, Jerrold E., ed.,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Cambridge Companion to Gothic Fiction</w:t>
      </w:r>
      <w:r w:rsidRPr="00505CF0">
        <w:rPr>
          <w:rFonts w:asciiTheme="majorBidi" w:hAnsiTheme="majorBidi" w:cstheme="majorBidi"/>
        </w:rPr>
        <w:t xml:space="preserve"> (Cambridge: Cambridge University Press, 2002)</w:t>
      </w:r>
    </w:p>
    <w:p w14:paraId="4CA13B1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 xml:space="preserve">The Cambridge Companion to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Modern Gothic</w:t>
      </w:r>
      <w:r w:rsidRPr="00505CF0">
        <w:rPr>
          <w:rFonts w:asciiTheme="majorBidi" w:hAnsiTheme="majorBidi" w:cstheme="majorBidi"/>
        </w:rPr>
        <w:t xml:space="preserve"> (Cambridge: Cambridge University Press, 2014)</w:t>
      </w:r>
    </w:p>
    <w:p w14:paraId="60642BE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Holmes, Lindsay, ‘A Quick Lesson on What Trigger Warnings Actually Do’, </w:t>
      </w:r>
      <w:r w:rsidRPr="00505CF0">
        <w:rPr>
          <w:rFonts w:asciiTheme="majorBidi" w:hAnsiTheme="majorBidi" w:cstheme="majorBidi"/>
          <w:i/>
          <w:iCs/>
        </w:rPr>
        <w:t>Huffington Post</w:t>
      </w:r>
      <w:r w:rsidRPr="00505CF0">
        <w:rPr>
          <w:rFonts w:asciiTheme="majorBidi" w:hAnsiTheme="majorBidi" w:cstheme="majorBidi"/>
        </w:rPr>
        <w:t>, 2016 &lt;http://www.huffingtonpost.co.uk/entry/university-of-chicago-trigger-warning_us_57bf16d9e4b085c1ff28176d&gt; [accessed 24 October 2017]</w:t>
      </w:r>
    </w:p>
    <w:p w14:paraId="7DF6361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Hood, Robert, ‘Making Fish </w:t>
      </w:r>
      <w:proofErr w:type="gramStart"/>
      <w:r w:rsidRPr="00505CF0">
        <w:rPr>
          <w:rFonts w:asciiTheme="majorBidi" w:hAnsiTheme="majorBidi" w:cstheme="majorBidi"/>
        </w:rPr>
        <w:t>Out</w:t>
      </w:r>
      <w:proofErr w:type="gramEnd"/>
      <w:r w:rsidRPr="00505CF0">
        <w:rPr>
          <w:rFonts w:asciiTheme="majorBidi" w:hAnsiTheme="majorBidi" w:cstheme="majorBidi"/>
        </w:rPr>
        <w:t xml:space="preserve"> of Men: Gothic Uncertainty in Gould’s Book of Fish by Richard Flanagan’, in </w:t>
      </w:r>
      <w:r w:rsidRPr="00505CF0">
        <w:rPr>
          <w:rFonts w:asciiTheme="majorBidi" w:hAnsiTheme="majorBidi" w:cstheme="majorBidi"/>
          <w:i/>
          <w:iCs/>
        </w:rPr>
        <w:t>21st-Century Gothic: Great Gothic Novels since 2000</w:t>
      </w:r>
      <w:r w:rsidRPr="00505CF0">
        <w:rPr>
          <w:rFonts w:asciiTheme="majorBidi" w:hAnsiTheme="majorBidi" w:cstheme="majorBidi"/>
        </w:rPr>
        <w:t>, ed. by Daniel Olson (Plymouth: The Scarecrow Press, inc., 2011), pp. 258–69</w:t>
      </w:r>
    </w:p>
    <w:p w14:paraId="6986922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Hopper, Keith, </w:t>
      </w:r>
      <w:r w:rsidRPr="00505CF0">
        <w:rPr>
          <w:rFonts w:asciiTheme="majorBidi" w:hAnsiTheme="majorBidi" w:cstheme="majorBidi"/>
          <w:i/>
          <w:iCs/>
        </w:rPr>
        <w:t>Flann O Brien: A Portrait of the Artist as a Young Post-Modernist</w:t>
      </w:r>
      <w:r w:rsidRPr="00505CF0">
        <w:rPr>
          <w:rFonts w:asciiTheme="majorBidi" w:hAnsiTheme="majorBidi" w:cstheme="majorBidi"/>
        </w:rPr>
        <w:t>, 2nd edn (Cork: Cork University Press, 2009)</w:t>
      </w:r>
    </w:p>
    <w:p w14:paraId="6AA2EFF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Hume, Robert D., ‘Gothic Versus Romantic: A Revaluation of the Gothic Novel’, </w:t>
      </w:r>
      <w:r w:rsidRPr="00505CF0">
        <w:rPr>
          <w:rFonts w:asciiTheme="majorBidi" w:hAnsiTheme="majorBidi" w:cstheme="majorBidi"/>
          <w:i/>
          <w:iCs/>
        </w:rPr>
        <w:t>PMLA</w:t>
      </w:r>
      <w:r w:rsidRPr="00505CF0">
        <w:rPr>
          <w:rFonts w:asciiTheme="majorBidi" w:hAnsiTheme="majorBidi" w:cstheme="majorBidi"/>
        </w:rPr>
        <w:t>, 84 (1969), 282–90</w:t>
      </w:r>
    </w:p>
    <w:p w14:paraId="07DC96D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Hutcheon, Linda, </w:t>
      </w:r>
      <w:r w:rsidRPr="00505CF0">
        <w:rPr>
          <w:rFonts w:asciiTheme="majorBidi" w:hAnsiTheme="majorBidi" w:cstheme="majorBidi"/>
          <w:i/>
          <w:iCs/>
        </w:rPr>
        <w:t xml:space="preserve">The Politics </w:t>
      </w:r>
      <w:proofErr w:type="gramStart"/>
      <w:r w:rsidRPr="00505CF0">
        <w:rPr>
          <w:rFonts w:asciiTheme="majorBidi" w:hAnsiTheme="majorBidi" w:cstheme="majorBidi"/>
          <w:i/>
          <w:iCs/>
        </w:rPr>
        <w:t>Of</w:t>
      </w:r>
      <w:proofErr w:type="gramEnd"/>
      <w:r w:rsidRPr="00505CF0">
        <w:rPr>
          <w:rFonts w:asciiTheme="majorBidi" w:hAnsiTheme="majorBidi" w:cstheme="majorBidi"/>
          <w:i/>
          <w:iCs/>
        </w:rPr>
        <w:t xml:space="preserve"> Postmodernism</w:t>
      </w:r>
      <w:r w:rsidRPr="00505CF0">
        <w:rPr>
          <w:rFonts w:asciiTheme="majorBidi" w:hAnsiTheme="majorBidi" w:cstheme="majorBidi"/>
        </w:rPr>
        <w:t>, 2nd edn (Abingdon: Routledge, 2002)</w:t>
      </w:r>
    </w:p>
    <w:p w14:paraId="3494AF1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Hutcheon, Linda, </w:t>
      </w:r>
      <w:r w:rsidRPr="00505CF0">
        <w:rPr>
          <w:rFonts w:asciiTheme="majorBidi" w:hAnsiTheme="majorBidi" w:cstheme="majorBidi"/>
          <w:i/>
          <w:iCs/>
        </w:rPr>
        <w:t>Narcissistic Narrative: The Metafictional Paradox</w:t>
      </w:r>
      <w:r w:rsidRPr="00505CF0">
        <w:rPr>
          <w:rFonts w:asciiTheme="majorBidi" w:hAnsiTheme="majorBidi" w:cstheme="majorBidi"/>
        </w:rPr>
        <w:t xml:space="preserve"> (London: Meuthen &amp; Co. Ltd, 1980)</w:t>
      </w:r>
    </w:p>
    <w:p w14:paraId="470D190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Hutcheon, Linda, ‘Postmodernist Fiction’, in </w:t>
      </w:r>
      <w:r w:rsidRPr="00505CF0">
        <w:rPr>
          <w:rFonts w:asciiTheme="majorBidi" w:hAnsiTheme="majorBidi" w:cstheme="majorBidi"/>
          <w:i/>
          <w:iCs/>
        </w:rPr>
        <w:t>Modernism/Postmodernism</w:t>
      </w:r>
      <w:r w:rsidRPr="00505CF0">
        <w:rPr>
          <w:rFonts w:asciiTheme="majorBidi" w:hAnsiTheme="majorBidi" w:cstheme="majorBidi"/>
        </w:rPr>
        <w:t>, ed. by Peter Brooker (New York: Longman Publishing Group, 1992), pp. 229–42</w:t>
      </w:r>
    </w:p>
    <w:p w14:paraId="5C8548E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Hutcheon, Linda, and Mario J. Valdés, ‘Irony, Nostalgia, and the Postmodern: A Dialogue’, </w:t>
      </w:r>
      <w:r w:rsidRPr="00505CF0">
        <w:rPr>
          <w:rFonts w:asciiTheme="majorBidi" w:hAnsiTheme="majorBidi" w:cstheme="majorBidi"/>
          <w:i/>
          <w:iCs/>
        </w:rPr>
        <w:t>Poligrafías</w:t>
      </w:r>
      <w:r w:rsidRPr="00505CF0">
        <w:rPr>
          <w:rFonts w:asciiTheme="majorBidi" w:hAnsiTheme="majorBidi" w:cstheme="majorBidi"/>
        </w:rPr>
        <w:t xml:space="preserve">, 3 (1998), 18–41 </w:t>
      </w:r>
    </w:p>
    <w:p w14:paraId="004AA45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Iser, Wolfgang, ‘The Reading Process’, in </w:t>
      </w:r>
      <w:r w:rsidRPr="00505CF0">
        <w:rPr>
          <w:rFonts w:asciiTheme="majorBidi" w:hAnsiTheme="majorBidi" w:cstheme="majorBidi"/>
          <w:i/>
          <w:iCs/>
        </w:rPr>
        <w:t>Modern Literary Theory</w:t>
      </w:r>
      <w:r w:rsidRPr="00505CF0">
        <w:rPr>
          <w:rFonts w:asciiTheme="majorBidi" w:hAnsiTheme="majorBidi" w:cstheme="majorBidi"/>
        </w:rPr>
        <w:t>, ed. by Phillip Rice and Patricia Waugh, 3rd edn (London: Arnold, 1996), pp. 76–81</w:t>
      </w:r>
    </w:p>
    <w:p w14:paraId="4A8EFF4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James, D, and U Seshagiri, ‘Metamodernism: Narratives of Continuity and Revolution’, </w:t>
      </w:r>
      <w:r w:rsidRPr="00505CF0">
        <w:rPr>
          <w:rFonts w:asciiTheme="majorBidi" w:hAnsiTheme="majorBidi" w:cstheme="majorBidi"/>
          <w:i/>
          <w:iCs/>
        </w:rPr>
        <w:t>PMLA</w:t>
      </w:r>
      <w:r w:rsidRPr="00505CF0">
        <w:rPr>
          <w:rFonts w:asciiTheme="majorBidi" w:hAnsiTheme="majorBidi" w:cstheme="majorBidi"/>
        </w:rPr>
        <w:t xml:space="preserve">, 129 (2014), 87–100 </w:t>
      </w:r>
    </w:p>
    <w:p w14:paraId="6AE3718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James, David, ‘Integrity after Metafiction’, </w:t>
      </w:r>
      <w:r w:rsidRPr="00505CF0">
        <w:rPr>
          <w:rFonts w:asciiTheme="majorBidi" w:hAnsiTheme="majorBidi" w:cstheme="majorBidi"/>
          <w:i/>
          <w:iCs/>
        </w:rPr>
        <w:t>Twentieth-Century Literature</w:t>
      </w:r>
      <w:r w:rsidRPr="00505CF0">
        <w:rPr>
          <w:rFonts w:asciiTheme="majorBidi" w:hAnsiTheme="majorBidi" w:cstheme="majorBidi"/>
        </w:rPr>
        <w:t>, 57 (2011), 492–515</w:t>
      </w:r>
    </w:p>
    <w:p w14:paraId="3287152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Jameson, Fredric, </w:t>
      </w:r>
      <w:proofErr w:type="gramStart"/>
      <w:r w:rsidRPr="00505CF0">
        <w:rPr>
          <w:rFonts w:asciiTheme="majorBidi" w:hAnsiTheme="majorBidi" w:cstheme="majorBidi"/>
          <w:i/>
          <w:iCs/>
        </w:rPr>
        <w:t>Postmodernism</w:t>
      </w:r>
      <w:proofErr w:type="gramEnd"/>
      <w:r w:rsidRPr="00505CF0">
        <w:rPr>
          <w:rFonts w:asciiTheme="majorBidi" w:hAnsiTheme="majorBidi" w:cstheme="majorBidi"/>
          <w:i/>
          <w:iCs/>
        </w:rPr>
        <w:t> : Or, The Cultural Logic of Late Capitalism</w:t>
      </w:r>
      <w:r w:rsidRPr="00505CF0">
        <w:rPr>
          <w:rFonts w:asciiTheme="majorBidi" w:hAnsiTheme="majorBidi" w:cstheme="majorBidi"/>
        </w:rPr>
        <w:t xml:space="preserve"> (New York: Duke University Press, 1992)</w:t>
      </w:r>
    </w:p>
    <w:p w14:paraId="034302D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Jansen, Ele, ‘Performance - Performatism - Postmodernism’, </w:t>
      </w:r>
      <w:r w:rsidRPr="00505CF0">
        <w:rPr>
          <w:rFonts w:asciiTheme="majorBidi" w:hAnsiTheme="majorBidi" w:cstheme="majorBidi"/>
          <w:i/>
          <w:iCs/>
        </w:rPr>
        <w:t>EleJansen.com</w:t>
      </w:r>
      <w:r w:rsidRPr="00505CF0">
        <w:rPr>
          <w:rFonts w:asciiTheme="majorBidi" w:hAnsiTheme="majorBidi" w:cstheme="majorBidi"/>
        </w:rPr>
        <w:t>, 2013 &lt;http://www.elejansen.com/old-but-interesting-article-on-performatism/&gt; [accessed 22 August 2017]</w:t>
      </w:r>
    </w:p>
    <w:p w14:paraId="3CD08FC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Jeffries, Stuart, ‘Risky Business’, </w:t>
      </w:r>
      <w:r w:rsidRPr="00505CF0">
        <w:rPr>
          <w:rFonts w:asciiTheme="majorBidi" w:hAnsiTheme="majorBidi" w:cstheme="majorBidi"/>
          <w:i/>
          <w:iCs/>
        </w:rPr>
        <w:t>The Guardian</w:t>
      </w:r>
      <w:r w:rsidRPr="00505CF0">
        <w:rPr>
          <w:rFonts w:asciiTheme="majorBidi" w:hAnsiTheme="majorBidi" w:cstheme="majorBidi"/>
        </w:rPr>
        <w:t>, 2006 &lt;www.theguardian.com/books/2006/feb/11/society.politics&gt; [accessed 21 September 2017]</w:t>
      </w:r>
    </w:p>
    <w:p w14:paraId="28289C7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Jones, Jonathan, ‘This Altermodern Love’, </w:t>
      </w:r>
      <w:r w:rsidRPr="00505CF0">
        <w:rPr>
          <w:rFonts w:asciiTheme="majorBidi" w:hAnsiTheme="majorBidi" w:cstheme="majorBidi"/>
          <w:i/>
          <w:iCs/>
        </w:rPr>
        <w:t>The Guardian</w:t>
      </w:r>
      <w:r w:rsidRPr="00505CF0">
        <w:rPr>
          <w:rFonts w:asciiTheme="majorBidi" w:hAnsiTheme="majorBidi" w:cstheme="majorBidi"/>
        </w:rPr>
        <w:t>, 2009 &lt;https://www.theguardian.com/artanddesign/jonathanjonesblog/2009/apr/08/altermodernism-nicolas-bourriaud&gt; [accessed 10 September 2017]</w:t>
      </w:r>
    </w:p>
    <w:p w14:paraId="390648A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Kilgour, Maggie,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Rise of the Gothic Novel</w:t>
      </w:r>
      <w:r w:rsidRPr="00505CF0">
        <w:rPr>
          <w:rFonts w:asciiTheme="majorBidi" w:hAnsiTheme="majorBidi" w:cstheme="majorBidi"/>
        </w:rPr>
        <w:t xml:space="preserve"> (London: Routledge, 1995)</w:t>
      </w:r>
    </w:p>
    <w:p w14:paraId="411F2CC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Kirby, Alan, </w:t>
      </w:r>
      <w:r w:rsidRPr="00505CF0">
        <w:rPr>
          <w:rFonts w:asciiTheme="majorBidi" w:hAnsiTheme="majorBidi" w:cstheme="majorBidi"/>
          <w:i/>
          <w:iCs/>
        </w:rPr>
        <w:t xml:space="preserve">Digimodernism: How New Technologies Dismantle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Postmodern And Reconfigure Our Culture</w:t>
      </w:r>
      <w:r w:rsidRPr="00505CF0">
        <w:rPr>
          <w:rFonts w:asciiTheme="majorBidi" w:hAnsiTheme="majorBidi" w:cstheme="majorBidi"/>
        </w:rPr>
        <w:t xml:space="preserve"> (London: The Continuum International Publishing Group Ltd, 2009)</w:t>
      </w:r>
    </w:p>
    <w:p w14:paraId="64069C6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Kirby, Alan, ‘Successor States to an Empire in Free Fall’, </w:t>
      </w:r>
      <w:proofErr w:type="gramStart"/>
      <w:r w:rsidRPr="00505CF0">
        <w:rPr>
          <w:rFonts w:asciiTheme="majorBidi" w:hAnsiTheme="majorBidi" w:cstheme="majorBidi"/>
          <w:i/>
          <w:iCs/>
        </w:rPr>
        <w:t>The</w:t>
      </w:r>
      <w:proofErr w:type="gramEnd"/>
      <w:r w:rsidRPr="00505CF0">
        <w:rPr>
          <w:rFonts w:asciiTheme="majorBidi" w:hAnsiTheme="majorBidi" w:cstheme="majorBidi"/>
          <w:i/>
          <w:iCs/>
        </w:rPr>
        <w:t xml:space="preserve"> Times Higher Education Supplement</w:t>
      </w:r>
      <w:r w:rsidRPr="00505CF0">
        <w:rPr>
          <w:rFonts w:asciiTheme="majorBidi" w:hAnsiTheme="majorBidi" w:cstheme="majorBidi"/>
        </w:rPr>
        <w:t xml:space="preserve"> (London, 27 May 2010), p. 42</w:t>
      </w:r>
    </w:p>
    <w:p w14:paraId="6CAACC6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Kirby, Alan, ‘The Death of Postmodernism and Beyond’, </w:t>
      </w:r>
      <w:r w:rsidRPr="00505CF0">
        <w:rPr>
          <w:rFonts w:asciiTheme="majorBidi" w:hAnsiTheme="majorBidi" w:cstheme="majorBidi"/>
          <w:i/>
          <w:iCs/>
        </w:rPr>
        <w:t>Philosophy Now</w:t>
      </w:r>
      <w:r w:rsidRPr="00505CF0">
        <w:rPr>
          <w:rFonts w:asciiTheme="majorBidi" w:hAnsiTheme="majorBidi" w:cstheme="majorBidi"/>
        </w:rPr>
        <w:t>, 2006</w:t>
      </w:r>
    </w:p>
    <w:p w14:paraId="6F711D2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Konstantinou, Lee, ‘Periodizing the Present’, </w:t>
      </w:r>
      <w:r w:rsidRPr="00505CF0">
        <w:rPr>
          <w:rFonts w:asciiTheme="majorBidi" w:hAnsiTheme="majorBidi" w:cstheme="majorBidi"/>
          <w:i/>
          <w:iCs/>
        </w:rPr>
        <w:t>Contemporary Literature</w:t>
      </w:r>
      <w:r w:rsidRPr="00505CF0">
        <w:rPr>
          <w:rFonts w:asciiTheme="majorBidi" w:hAnsiTheme="majorBidi" w:cstheme="majorBidi"/>
        </w:rPr>
        <w:t xml:space="preserve">, 54 (2013), 411–23 </w:t>
      </w:r>
    </w:p>
    <w:p w14:paraId="6177695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Lambrianou, Nickolas, ‘Altermodern - Moverment or Marketing?</w:t>
      </w:r>
      <w:proofErr w:type="gramStart"/>
      <w:r w:rsidRPr="00505CF0">
        <w:rPr>
          <w:rFonts w:asciiTheme="majorBidi" w:hAnsiTheme="majorBidi" w:cstheme="majorBidi"/>
        </w:rPr>
        <w:t>’,</w:t>
      </w:r>
      <w:proofErr w:type="gramEnd"/>
      <w:r w:rsidRPr="00505CF0">
        <w:rPr>
          <w:rFonts w:asciiTheme="majorBidi" w:hAnsiTheme="majorBidi" w:cstheme="majorBidi"/>
        </w:rPr>
        <w:t xml:space="preserve"> </w:t>
      </w:r>
      <w:r w:rsidRPr="00505CF0">
        <w:rPr>
          <w:rFonts w:asciiTheme="majorBidi" w:hAnsiTheme="majorBidi" w:cstheme="majorBidi"/>
          <w:i/>
          <w:iCs/>
        </w:rPr>
        <w:t>Mute</w:t>
      </w:r>
      <w:r w:rsidRPr="00505CF0">
        <w:rPr>
          <w:rFonts w:asciiTheme="majorBidi" w:hAnsiTheme="majorBidi" w:cstheme="majorBidi"/>
        </w:rPr>
        <w:t>, 2009 &lt;http://www.metamute.org/editorial/articles/altermodern-movement-or-marketing&gt; [accessed 10 September 2017]</w:t>
      </w:r>
    </w:p>
    <w:p w14:paraId="3D11B75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Lee, Rayond L.M., ‘Bauman, Liquid Modernity and Dilemmas of Development’, </w:t>
      </w:r>
      <w:r w:rsidRPr="00505CF0">
        <w:rPr>
          <w:rFonts w:asciiTheme="majorBidi" w:hAnsiTheme="majorBidi" w:cstheme="majorBidi"/>
          <w:i/>
          <w:iCs/>
        </w:rPr>
        <w:t>Thesis Eleven</w:t>
      </w:r>
      <w:r w:rsidRPr="00505CF0">
        <w:rPr>
          <w:rFonts w:asciiTheme="majorBidi" w:hAnsiTheme="majorBidi" w:cstheme="majorBidi"/>
        </w:rPr>
        <w:t>, 83 (2005), 61–77</w:t>
      </w:r>
    </w:p>
    <w:p w14:paraId="6BB2E13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Lepore, Jill, ‘A Golden Age </w:t>
      </w:r>
      <w:proofErr w:type="gramStart"/>
      <w:r w:rsidRPr="00505CF0">
        <w:rPr>
          <w:rFonts w:asciiTheme="majorBidi" w:hAnsiTheme="majorBidi" w:cstheme="majorBidi"/>
        </w:rPr>
        <w:t>For</w:t>
      </w:r>
      <w:proofErr w:type="gramEnd"/>
      <w:r w:rsidRPr="00505CF0">
        <w:rPr>
          <w:rFonts w:asciiTheme="majorBidi" w:hAnsiTheme="majorBidi" w:cstheme="majorBidi"/>
        </w:rPr>
        <w:t xml:space="preserve"> Dystopian Fiction.’, </w:t>
      </w:r>
      <w:r w:rsidRPr="00505CF0">
        <w:rPr>
          <w:rFonts w:asciiTheme="majorBidi" w:hAnsiTheme="majorBidi" w:cstheme="majorBidi"/>
          <w:i/>
          <w:iCs/>
        </w:rPr>
        <w:t>The New Yorker</w:t>
      </w:r>
      <w:r w:rsidRPr="00505CF0">
        <w:rPr>
          <w:rFonts w:asciiTheme="majorBidi" w:hAnsiTheme="majorBidi" w:cstheme="majorBidi"/>
        </w:rPr>
        <w:t>, 2017 &lt;www.newyorker.com/magazine/2017/06/05/a-golden-age-for-dystopian-fiction&gt; [accessed 27 September 2017]</w:t>
      </w:r>
    </w:p>
    <w:p w14:paraId="4877C53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Levin, Kim, ‘How PoMo Can You Go?’, </w:t>
      </w:r>
      <w:r w:rsidRPr="00505CF0">
        <w:rPr>
          <w:rFonts w:asciiTheme="majorBidi" w:hAnsiTheme="majorBidi" w:cstheme="majorBidi"/>
          <w:i/>
          <w:iCs/>
        </w:rPr>
        <w:t>ARTnews</w:t>
      </w:r>
      <w:r w:rsidRPr="00505CF0">
        <w:rPr>
          <w:rFonts w:asciiTheme="majorBidi" w:hAnsiTheme="majorBidi" w:cstheme="majorBidi"/>
        </w:rPr>
        <w:t>, 2012</w:t>
      </w:r>
    </w:p>
    <w:p w14:paraId="35D4AF2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Levinson, Julie, ‘Adaptation, Metafiction, Self-Creation’, </w:t>
      </w:r>
      <w:r w:rsidRPr="00505CF0">
        <w:rPr>
          <w:rFonts w:asciiTheme="majorBidi" w:hAnsiTheme="majorBidi" w:cstheme="majorBidi"/>
          <w:i/>
          <w:iCs/>
        </w:rPr>
        <w:t>Genre LX</w:t>
      </w:r>
      <w:r w:rsidRPr="00505CF0">
        <w:rPr>
          <w:rFonts w:asciiTheme="majorBidi" w:hAnsiTheme="majorBidi" w:cstheme="majorBidi"/>
        </w:rPr>
        <w:t>, Spring/Sum (2007), 157–80</w:t>
      </w:r>
    </w:p>
    <w:p w14:paraId="3B5080E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Lewis, Christopher T., ‘When the Glass Slips: Jung, Transmodernism, and Santiago Nazarian’s Thomas Schmidt’, </w:t>
      </w:r>
      <w:r w:rsidRPr="00505CF0">
        <w:rPr>
          <w:rFonts w:asciiTheme="majorBidi" w:hAnsiTheme="majorBidi" w:cstheme="majorBidi"/>
          <w:i/>
          <w:iCs/>
        </w:rPr>
        <w:t>Luso-Brazilian Review</w:t>
      </w:r>
      <w:r w:rsidRPr="00505CF0">
        <w:rPr>
          <w:rFonts w:asciiTheme="majorBidi" w:hAnsiTheme="majorBidi" w:cstheme="majorBidi"/>
        </w:rPr>
        <w:t xml:space="preserve">, 52 (2015), 116–35 </w:t>
      </w:r>
    </w:p>
    <w:p w14:paraId="1A6CE812" w14:textId="4E947E03" w:rsidR="00252349" w:rsidRPr="00505CF0" w:rsidRDefault="00252349" w:rsidP="00293DC0">
      <w:pPr>
        <w:pStyle w:val="NormalWeb"/>
        <w:ind w:left="480" w:hanging="480"/>
        <w:rPr>
          <w:rFonts w:asciiTheme="majorBidi" w:hAnsiTheme="majorBidi" w:cstheme="majorBidi"/>
        </w:rPr>
      </w:pPr>
      <w:r w:rsidRPr="00505CF0">
        <w:rPr>
          <w:rFonts w:asciiTheme="majorBidi" w:hAnsiTheme="majorBidi" w:cstheme="majorBidi"/>
        </w:rPr>
        <w:t xml:space="preserve">Lipovetsky, Giles, ‘Time Against Time, or The Hypermodern Society’, in </w:t>
      </w:r>
      <w:r w:rsidRPr="00505CF0">
        <w:rPr>
          <w:rFonts w:asciiTheme="majorBidi" w:hAnsiTheme="majorBidi" w:cstheme="majorBidi"/>
          <w:i/>
          <w:iCs/>
        </w:rPr>
        <w:t>Supplanting the Postmodern</w:t>
      </w:r>
      <w:r w:rsidRPr="00505CF0">
        <w:rPr>
          <w:rFonts w:asciiTheme="majorBidi" w:hAnsiTheme="majorBidi" w:cstheme="majorBidi"/>
        </w:rPr>
        <w:t>, ed. by David Rudrum and Nicholas Stavris (London: Bloomsbury, 2015), pp. 156–71</w:t>
      </w:r>
    </w:p>
    <w:p w14:paraId="5F0FB41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Little, Daniel, ‘Liquid Modernity?’, </w:t>
      </w:r>
      <w:r w:rsidRPr="00505CF0">
        <w:rPr>
          <w:rFonts w:asciiTheme="majorBidi" w:hAnsiTheme="majorBidi" w:cstheme="majorBidi"/>
          <w:i/>
          <w:iCs/>
        </w:rPr>
        <w:t>Understanding Society</w:t>
      </w:r>
      <w:r w:rsidRPr="00505CF0">
        <w:rPr>
          <w:rFonts w:asciiTheme="majorBidi" w:hAnsiTheme="majorBidi" w:cstheme="majorBidi"/>
        </w:rPr>
        <w:t>, 2014 &lt;http://understandingsociety.blogspot.co.uk/2014/05/liquid-modernity.html&gt; [accessed 15 August 2017]</w:t>
      </w:r>
    </w:p>
    <w:p w14:paraId="787C76A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Locke, Charley, ‘The Real Reason Dystopian Fiction Is Roaring Back’, </w:t>
      </w:r>
      <w:r w:rsidRPr="00505CF0">
        <w:rPr>
          <w:rFonts w:asciiTheme="majorBidi" w:hAnsiTheme="majorBidi" w:cstheme="majorBidi"/>
          <w:i/>
          <w:iCs/>
        </w:rPr>
        <w:t>WIRED</w:t>
      </w:r>
      <w:r w:rsidRPr="00505CF0">
        <w:rPr>
          <w:rFonts w:asciiTheme="majorBidi" w:hAnsiTheme="majorBidi" w:cstheme="majorBidi"/>
        </w:rPr>
        <w:t>, 2017 &lt;https://www.wired.com/2017/02/dystopian-fiction-why-we-read&gt; [accessed 28 September 2017]</w:t>
      </w:r>
    </w:p>
    <w:p w14:paraId="59E0A32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Lodge, David, ‘The Novel Now’, in </w:t>
      </w:r>
      <w:r w:rsidRPr="00505CF0">
        <w:rPr>
          <w:rFonts w:asciiTheme="majorBidi" w:hAnsiTheme="majorBidi" w:cstheme="majorBidi"/>
          <w:i/>
          <w:iCs/>
        </w:rPr>
        <w:t>Metafiction</w:t>
      </w:r>
      <w:r w:rsidRPr="00505CF0">
        <w:rPr>
          <w:rFonts w:asciiTheme="majorBidi" w:hAnsiTheme="majorBidi" w:cstheme="majorBidi"/>
        </w:rPr>
        <w:t>, 1995, pp. 145–60</w:t>
      </w:r>
    </w:p>
    <w:p w14:paraId="19E0224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Lyotard, J F, </w:t>
      </w:r>
      <w:r w:rsidRPr="00505CF0">
        <w:rPr>
          <w:rFonts w:asciiTheme="majorBidi" w:hAnsiTheme="majorBidi" w:cstheme="majorBidi"/>
          <w:i/>
          <w:iCs/>
        </w:rPr>
        <w:t>The Postmodern Condition</w:t>
      </w:r>
      <w:r w:rsidRPr="00505CF0">
        <w:rPr>
          <w:rFonts w:asciiTheme="majorBidi" w:hAnsiTheme="majorBidi" w:cstheme="majorBidi"/>
        </w:rPr>
        <w:t xml:space="preserve">, </w:t>
      </w:r>
      <w:r w:rsidRPr="00505CF0">
        <w:rPr>
          <w:rFonts w:asciiTheme="majorBidi" w:hAnsiTheme="majorBidi" w:cstheme="majorBidi"/>
          <w:i/>
          <w:iCs/>
        </w:rPr>
        <w:t>Theory and History of Literature</w:t>
      </w:r>
      <w:r w:rsidRPr="00505CF0">
        <w:rPr>
          <w:rFonts w:asciiTheme="majorBidi" w:hAnsiTheme="majorBidi" w:cstheme="majorBidi"/>
        </w:rPr>
        <w:t xml:space="preserve"> (Minneapolis: University of Minnesota Press, 1984), </w:t>
      </w:r>
      <w:r w:rsidRPr="00505CF0">
        <w:rPr>
          <w:rFonts w:asciiTheme="majorBidi" w:hAnsiTheme="majorBidi" w:cstheme="majorBidi"/>
          <w:smallCaps/>
        </w:rPr>
        <w:t>x</w:t>
      </w:r>
    </w:p>
    <w:p w14:paraId="724AFDE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MacAndew, Elizabeth, </w:t>
      </w:r>
      <w:r w:rsidRPr="00505CF0">
        <w:rPr>
          <w:rFonts w:asciiTheme="majorBidi" w:hAnsiTheme="majorBidi" w:cstheme="majorBidi"/>
          <w:i/>
          <w:iCs/>
        </w:rPr>
        <w:t>The Gothic Tradition in Fiction</w:t>
      </w:r>
      <w:r w:rsidRPr="00505CF0">
        <w:rPr>
          <w:rFonts w:asciiTheme="majorBidi" w:hAnsiTheme="majorBidi" w:cstheme="majorBidi"/>
        </w:rPr>
        <w:t xml:space="preserve"> (New York: Columbia University Press, 1979)</w:t>
      </w:r>
    </w:p>
    <w:p w14:paraId="41FBB38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MacDonald, Kirsty, ‘Scottish Gothic: Towards a Definition’, </w:t>
      </w:r>
      <w:r w:rsidRPr="00505CF0">
        <w:rPr>
          <w:rFonts w:asciiTheme="majorBidi" w:hAnsiTheme="majorBidi" w:cstheme="majorBidi"/>
          <w:i/>
          <w:iCs/>
        </w:rPr>
        <w:t>The Bottle Imp</w:t>
      </w:r>
      <w:r w:rsidRPr="00505CF0">
        <w:rPr>
          <w:rFonts w:asciiTheme="majorBidi" w:hAnsiTheme="majorBidi" w:cstheme="majorBidi"/>
        </w:rPr>
        <w:t xml:space="preserve">, 2009 </w:t>
      </w:r>
    </w:p>
    <w:p w14:paraId="7024153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Maisonnat, Claire, ‘Love, Trauma and Creation in “Julius”’, in </w:t>
      </w:r>
      <w:r w:rsidRPr="00505CF0">
        <w:rPr>
          <w:rFonts w:asciiTheme="majorBidi" w:hAnsiTheme="majorBidi" w:cstheme="majorBidi"/>
          <w:i/>
          <w:iCs/>
        </w:rPr>
        <w:t>Patrick McGrath: Directions and Trasngressions</w:t>
      </w:r>
      <w:r w:rsidRPr="00505CF0">
        <w:rPr>
          <w:rFonts w:asciiTheme="majorBidi" w:hAnsiTheme="majorBidi" w:cstheme="majorBidi"/>
        </w:rPr>
        <w:t>, ed. by Jocelyn Dupont (Newcastle Upon Tyne: Cambridge Scholars Publishing, 2012), pp. 127–42</w:t>
      </w:r>
    </w:p>
    <w:p w14:paraId="334FD06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Manolache, Viorella, ‘The Politics of the Vice Canon: Performatism or the Background Inteference of Postmodernism’, </w:t>
      </w:r>
      <w:r w:rsidRPr="00505CF0">
        <w:rPr>
          <w:rFonts w:asciiTheme="majorBidi" w:hAnsiTheme="majorBidi" w:cstheme="majorBidi"/>
          <w:i/>
          <w:iCs/>
        </w:rPr>
        <w:t>Procedia- Social and Behavioral Sciences</w:t>
      </w:r>
      <w:r w:rsidRPr="00505CF0">
        <w:rPr>
          <w:rFonts w:asciiTheme="majorBidi" w:hAnsiTheme="majorBidi" w:cstheme="majorBidi"/>
        </w:rPr>
        <w:t xml:space="preserve">, 149 (2014), 524–29 </w:t>
      </w:r>
    </w:p>
    <w:p w14:paraId="17F9DF9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McCaffery, Larry, ‘13 Introductory Ways of Looking at a Post-Postmodernist Aesthetic Phenomenon Called “Avant-Pop”’, in </w:t>
      </w:r>
      <w:r w:rsidRPr="00505CF0">
        <w:rPr>
          <w:rFonts w:asciiTheme="majorBidi" w:hAnsiTheme="majorBidi" w:cstheme="majorBidi"/>
          <w:i/>
          <w:iCs/>
        </w:rPr>
        <w:t>In Memoriam to Postmodernism: Essays on the Avant-Pop</w:t>
      </w:r>
      <w:r w:rsidRPr="00505CF0">
        <w:rPr>
          <w:rFonts w:asciiTheme="majorBidi" w:hAnsiTheme="majorBidi" w:cstheme="majorBidi"/>
        </w:rPr>
        <w:t>, ed. by Mark Amerika and Lance Olsen (San Diego: San Diego University Press, 1995)</w:t>
      </w:r>
    </w:p>
    <w:p w14:paraId="6803B98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‘The Art of Metafiction’, in </w:t>
      </w:r>
      <w:r w:rsidRPr="00505CF0">
        <w:rPr>
          <w:rFonts w:asciiTheme="majorBidi" w:hAnsiTheme="majorBidi" w:cstheme="majorBidi"/>
          <w:i/>
          <w:iCs/>
        </w:rPr>
        <w:t>Metafiction</w:t>
      </w:r>
      <w:r w:rsidRPr="00505CF0">
        <w:rPr>
          <w:rFonts w:asciiTheme="majorBidi" w:hAnsiTheme="majorBidi" w:cstheme="majorBidi"/>
        </w:rPr>
        <w:t>, ed. by Mark Currie (New York: Longman Publishing Group, 1995), pp. 181–94</w:t>
      </w:r>
    </w:p>
    <w:p w14:paraId="71F2A00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McHale, Brian, </w:t>
      </w:r>
      <w:r w:rsidRPr="00505CF0">
        <w:rPr>
          <w:rFonts w:asciiTheme="majorBidi" w:hAnsiTheme="majorBidi" w:cstheme="majorBidi"/>
          <w:i/>
          <w:iCs/>
        </w:rPr>
        <w:t>Postmodern Fiction</w:t>
      </w:r>
      <w:r w:rsidRPr="00505CF0">
        <w:rPr>
          <w:rFonts w:asciiTheme="majorBidi" w:hAnsiTheme="majorBidi" w:cstheme="majorBidi"/>
        </w:rPr>
        <w:t xml:space="preserve"> (London: Routledge, 2001)</w:t>
      </w:r>
    </w:p>
    <w:p w14:paraId="03F1264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‘What Was Postmodernism’, </w:t>
      </w:r>
      <w:r w:rsidRPr="00505CF0">
        <w:rPr>
          <w:rFonts w:asciiTheme="majorBidi" w:hAnsiTheme="majorBidi" w:cstheme="majorBidi"/>
          <w:i/>
          <w:iCs/>
        </w:rPr>
        <w:t>Electronic Book Review</w:t>
      </w:r>
      <w:r w:rsidRPr="00505CF0">
        <w:rPr>
          <w:rFonts w:asciiTheme="majorBidi" w:hAnsiTheme="majorBidi" w:cstheme="majorBidi"/>
        </w:rPr>
        <w:t>, 2007 &lt;http://electronicbookreview.com/thread/fictionspresent/tense&gt; [accessed 6 June 2017]</w:t>
      </w:r>
    </w:p>
    <w:p w14:paraId="5556121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‘Interregnum, 1989-2001’, in </w:t>
      </w:r>
      <w:r w:rsidRPr="00505CF0">
        <w:rPr>
          <w:rFonts w:asciiTheme="majorBidi" w:hAnsiTheme="majorBidi" w:cstheme="majorBidi"/>
          <w:i/>
          <w:iCs/>
        </w:rPr>
        <w:t>The Cambridge Introduction to Postmodernism</w:t>
      </w:r>
      <w:r w:rsidRPr="00505CF0">
        <w:rPr>
          <w:rFonts w:asciiTheme="majorBidi" w:hAnsiTheme="majorBidi" w:cstheme="majorBidi"/>
        </w:rPr>
        <w:t xml:space="preserve"> (Cambridge: Cambridge University Press, 2015), pp. 123–70 </w:t>
      </w:r>
    </w:p>
    <w:p w14:paraId="6200BAD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The Cambridge Introduction to Postmodernism</w:t>
      </w:r>
      <w:r w:rsidRPr="00505CF0">
        <w:rPr>
          <w:rFonts w:asciiTheme="majorBidi" w:hAnsiTheme="majorBidi" w:cstheme="majorBidi"/>
        </w:rPr>
        <w:t xml:space="preserve"> (Cambridge: Cambridge University Press, 2015)</w:t>
      </w:r>
    </w:p>
    <w:p w14:paraId="510CDD0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McLaughlin, Robert L., ‘Post-Postmodern Discontent’, </w:t>
      </w:r>
      <w:r w:rsidRPr="00505CF0">
        <w:rPr>
          <w:rFonts w:asciiTheme="majorBidi" w:hAnsiTheme="majorBidi" w:cstheme="majorBidi"/>
          <w:i/>
          <w:iCs/>
        </w:rPr>
        <w:t>Contemporary Fiction and the Social World</w:t>
      </w:r>
      <w:r w:rsidRPr="00505CF0">
        <w:rPr>
          <w:rFonts w:asciiTheme="majorBidi" w:hAnsiTheme="majorBidi" w:cstheme="majorBidi"/>
        </w:rPr>
        <w:t>, 12 (2004), 53–67</w:t>
      </w:r>
    </w:p>
    <w:p w14:paraId="7588AA0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Menendez-Conde, Ernesto, ‘Altermodern?’, </w:t>
      </w:r>
      <w:r w:rsidRPr="00505CF0">
        <w:rPr>
          <w:rFonts w:asciiTheme="majorBidi" w:hAnsiTheme="majorBidi" w:cstheme="majorBidi"/>
          <w:i/>
          <w:iCs/>
        </w:rPr>
        <w:t>Artpulse</w:t>
      </w:r>
      <w:r w:rsidRPr="00505CF0">
        <w:rPr>
          <w:rFonts w:asciiTheme="majorBidi" w:hAnsiTheme="majorBidi" w:cstheme="majorBidi"/>
        </w:rPr>
        <w:t>, 2009 &lt;http://artpulsemagazine.com/altermodern&gt; [accessed 15 August 2017]</w:t>
      </w:r>
    </w:p>
    <w:p w14:paraId="16F0209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Merritt, Marcus, ‘On Raul Eshelman’s “Performatism, or the End of Postmodernism”’, </w:t>
      </w:r>
      <w:r w:rsidRPr="00505CF0">
        <w:rPr>
          <w:rFonts w:asciiTheme="majorBidi" w:hAnsiTheme="majorBidi" w:cstheme="majorBidi"/>
          <w:i/>
          <w:iCs/>
        </w:rPr>
        <w:t>Line of Escape</w:t>
      </w:r>
      <w:r w:rsidRPr="00505CF0">
        <w:rPr>
          <w:rFonts w:asciiTheme="majorBidi" w:hAnsiTheme="majorBidi" w:cstheme="majorBidi"/>
        </w:rPr>
        <w:t>, 2013 &lt;https://marcusoralias.wordpress.com/2013/01/26/on-raoul-eshelmans-performatism-or-the-end-of-postmodernism/&gt; [accessed 22 August 2017]</w:t>
      </w:r>
    </w:p>
    <w:p w14:paraId="151E39E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Messer, Kate X, ‘Okkervil River, The New Sincerity’, </w:t>
      </w:r>
      <w:r w:rsidRPr="00505CF0">
        <w:rPr>
          <w:rFonts w:asciiTheme="majorBidi" w:hAnsiTheme="majorBidi" w:cstheme="majorBidi"/>
          <w:i/>
          <w:iCs/>
        </w:rPr>
        <w:t>The Austin Chronicle</w:t>
      </w:r>
      <w:r w:rsidRPr="00505CF0">
        <w:rPr>
          <w:rFonts w:asciiTheme="majorBidi" w:hAnsiTheme="majorBidi" w:cstheme="majorBidi"/>
        </w:rPr>
        <w:t xml:space="preserve"> (Austin, 2000) &lt;https://austinchronicle.com/msuic/2000-03-03/76071&gt; [accessed 25 September 2017]</w:t>
      </w:r>
    </w:p>
    <w:p w14:paraId="43A0745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Mickleburgh, Elliott, ‘A Closeness Always Faint’, </w:t>
      </w:r>
      <w:r w:rsidRPr="00505CF0">
        <w:rPr>
          <w:rFonts w:asciiTheme="majorBidi" w:hAnsiTheme="majorBidi" w:cstheme="majorBidi"/>
          <w:i/>
          <w:iCs/>
        </w:rPr>
        <w:t>Notes on Metamodernism</w:t>
      </w:r>
      <w:r w:rsidRPr="00505CF0">
        <w:rPr>
          <w:rFonts w:asciiTheme="majorBidi" w:hAnsiTheme="majorBidi" w:cstheme="majorBidi"/>
        </w:rPr>
        <w:t>, 2015 &lt;http://www.metamodernism.com/2015/06/05/a-closeness-always-faint/&gt; [accessed 15 July 2015]</w:t>
      </w:r>
    </w:p>
    <w:p w14:paraId="7D9B04A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Mishra, Vijay, </w:t>
      </w:r>
      <w:r w:rsidRPr="00505CF0">
        <w:rPr>
          <w:rFonts w:asciiTheme="majorBidi" w:hAnsiTheme="majorBidi" w:cstheme="majorBidi"/>
          <w:i/>
          <w:iCs/>
        </w:rPr>
        <w:t>The Gothic Sublime</w:t>
      </w:r>
      <w:r w:rsidRPr="00505CF0">
        <w:rPr>
          <w:rFonts w:asciiTheme="majorBidi" w:hAnsiTheme="majorBidi" w:cstheme="majorBidi"/>
        </w:rPr>
        <w:t xml:space="preserve"> (Albany: State University of New York Press, 1994)</w:t>
      </w:r>
    </w:p>
    <w:p w14:paraId="3F0DF0C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Moraru, Christian, ‘Postmodernism, Cosmodernism, Planetarism’, in </w:t>
      </w:r>
      <w:r w:rsidRPr="00505CF0">
        <w:rPr>
          <w:rFonts w:asciiTheme="majorBidi" w:hAnsiTheme="majorBidi" w:cstheme="majorBidi"/>
          <w:i/>
          <w:iCs/>
        </w:rPr>
        <w:t>The Cambridge History of Postmodern Literature</w:t>
      </w:r>
      <w:r w:rsidRPr="00505CF0">
        <w:rPr>
          <w:rFonts w:asciiTheme="majorBidi" w:hAnsiTheme="majorBidi" w:cstheme="majorBidi"/>
        </w:rPr>
        <w:t xml:space="preserve">, ed. by Brian McHale and Len Platt (Cambridge: Cambridge University Press, 2016), pp. 480–96 </w:t>
      </w:r>
    </w:p>
    <w:p w14:paraId="14DADD0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Morris, Jason, ‘The Time Between Time: Messianism &amp; The Promise of a “New Sincerity”’, </w:t>
      </w:r>
      <w:r w:rsidRPr="00505CF0">
        <w:rPr>
          <w:rFonts w:asciiTheme="majorBidi" w:hAnsiTheme="majorBidi" w:cstheme="majorBidi"/>
          <w:i/>
          <w:iCs/>
        </w:rPr>
        <w:t>Jacket Magezine</w:t>
      </w:r>
      <w:r w:rsidRPr="00505CF0">
        <w:rPr>
          <w:rFonts w:asciiTheme="majorBidi" w:hAnsiTheme="majorBidi" w:cstheme="majorBidi"/>
        </w:rPr>
        <w:t>, 35 (2008) &lt;http://jacketmagazine.com/35/morris-sincerity.shtml&gt; [accessed 9 June 2017]</w:t>
      </w:r>
    </w:p>
    <w:p w14:paraId="2B5E547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Mraovic-O’Hare, Damjana, ‘Moraru’s Cosmodernism’, </w:t>
      </w:r>
      <w:r w:rsidRPr="00505CF0">
        <w:rPr>
          <w:rFonts w:asciiTheme="majorBidi" w:hAnsiTheme="majorBidi" w:cstheme="majorBidi"/>
          <w:i/>
          <w:iCs/>
        </w:rPr>
        <w:t>Postmodern Culture</w:t>
      </w:r>
      <w:r w:rsidRPr="00505CF0">
        <w:rPr>
          <w:rFonts w:asciiTheme="majorBidi" w:hAnsiTheme="majorBidi" w:cstheme="majorBidi"/>
        </w:rPr>
        <w:t xml:space="preserve">, 22 (2012) </w:t>
      </w:r>
    </w:p>
    <w:p w14:paraId="5CDB744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Murchison, Sarah, ‘Echoes, Connections, Continuities: Bill Winnyford, James Robertson, and James Hogg in The Testament of Gideon Mack’, </w:t>
      </w:r>
      <w:r w:rsidRPr="00505CF0">
        <w:rPr>
          <w:rFonts w:asciiTheme="majorBidi" w:hAnsiTheme="majorBidi" w:cstheme="majorBidi"/>
          <w:i/>
          <w:iCs/>
        </w:rPr>
        <w:t>C21 Literature: Journal of 21st-Century Writings</w:t>
      </w:r>
      <w:r w:rsidRPr="00505CF0">
        <w:rPr>
          <w:rFonts w:asciiTheme="majorBidi" w:hAnsiTheme="majorBidi" w:cstheme="majorBidi"/>
        </w:rPr>
        <w:t xml:space="preserve">, 5 (2017), 1–20 </w:t>
      </w:r>
    </w:p>
    <w:p w14:paraId="6A07DAB2" w14:textId="7C4718EF"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Napier, Elizabeth R., </w:t>
      </w:r>
      <w:r w:rsidRPr="00505CF0">
        <w:rPr>
          <w:rFonts w:asciiTheme="majorBidi" w:hAnsiTheme="majorBidi" w:cstheme="majorBidi"/>
          <w:i/>
          <w:iCs/>
        </w:rPr>
        <w:t>The Failure of Gothic: Problems of Disjunction in Eighteenth-Century Literary Form</w:t>
      </w:r>
      <w:r w:rsidRPr="00505CF0">
        <w:rPr>
          <w:rFonts w:asciiTheme="majorBidi" w:hAnsiTheme="majorBidi" w:cstheme="majorBidi"/>
        </w:rPr>
        <w:t xml:space="preserve"> (Oxf</w:t>
      </w:r>
      <w:r w:rsidR="00293DC0">
        <w:rPr>
          <w:rFonts w:asciiTheme="majorBidi" w:hAnsiTheme="majorBidi" w:cstheme="majorBidi"/>
        </w:rPr>
        <w:t>ord: Clarendon Press</w:t>
      </w:r>
      <w:r w:rsidRPr="00505CF0">
        <w:rPr>
          <w:rFonts w:asciiTheme="majorBidi" w:hAnsiTheme="majorBidi" w:cstheme="majorBidi"/>
        </w:rPr>
        <w:t>, 1987)</w:t>
      </w:r>
    </w:p>
    <w:p w14:paraId="4A5DCCE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Nealon, Jeffrey T., </w:t>
      </w:r>
      <w:r w:rsidRPr="00505CF0">
        <w:rPr>
          <w:rFonts w:asciiTheme="majorBidi" w:hAnsiTheme="majorBidi" w:cstheme="majorBidi"/>
          <w:i/>
          <w:iCs/>
        </w:rPr>
        <w:t>Post-Postmodernism; Or, the Cultural Logic of Just-in-Time Capitalism</w:t>
      </w:r>
      <w:r w:rsidRPr="00505CF0">
        <w:rPr>
          <w:rFonts w:asciiTheme="majorBidi" w:hAnsiTheme="majorBidi" w:cstheme="majorBidi"/>
        </w:rPr>
        <w:t xml:space="preserve"> (Stanford: Stanford University Press, 2012)</w:t>
      </w:r>
    </w:p>
    <w:p w14:paraId="0B89DB5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Neumann, Birgit, and Ansgar Nünning, ‘Metanarration and Metafiction’, in </w:t>
      </w:r>
      <w:r w:rsidRPr="00505CF0">
        <w:rPr>
          <w:rFonts w:asciiTheme="majorBidi" w:hAnsiTheme="majorBidi" w:cstheme="majorBidi"/>
          <w:i/>
          <w:iCs/>
        </w:rPr>
        <w:t>The Living Handbook of Narratology</w:t>
      </w:r>
      <w:r w:rsidRPr="00505CF0">
        <w:rPr>
          <w:rFonts w:asciiTheme="majorBidi" w:hAnsiTheme="majorBidi" w:cstheme="majorBidi"/>
        </w:rPr>
        <w:t xml:space="preserve">, ed. by Peter et al Hühn, 2013 </w:t>
      </w:r>
    </w:p>
    <w:p w14:paraId="42B1296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O’Brien, Allen Marshall, ‘The Infantilization of Women’, </w:t>
      </w:r>
      <w:r w:rsidRPr="00505CF0">
        <w:rPr>
          <w:rFonts w:asciiTheme="majorBidi" w:hAnsiTheme="majorBidi" w:cstheme="majorBidi"/>
          <w:i/>
          <w:iCs/>
        </w:rPr>
        <w:t>Irenicon</w:t>
      </w:r>
      <w:r w:rsidRPr="00505CF0">
        <w:rPr>
          <w:rFonts w:asciiTheme="majorBidi" w:hAnsiTheme="majorBidi" w:cstheme="majorBidi"/>
        </w:rPr>
        <w:t>, 2011 &lt;http://anirenicon.com/2011/06/14/the-infantilization-of-women-and-a-theology-of-aging-getting-age-wrong-part-2/&gt; [accessed 24 October 2017]</w:t>
      </w:r>
    </w:p>
    <w:p w14:paraId="218ED54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Olsen, Daniel, ‘Introduction’, in </w:t>
      </w:r>
      <w:r w:rsidRPr="00505CF0">
        <w:rPr>
          <w:rFonts w:asciiTheme="majorBidi" w:hAnsiTheme="majorBidi" w:cstheme="majorBidi"/>
          <w:i/>
          <w:iCs/>
        </w:rPr>
        <w:t>21st-Century Gothic: Great Gothic Novels since 2000</w:t>
      </w:r>
      <w:r w:rsidRPr="00505CF0">
        <w:rPr>
          <w:rFonts w:asciiTheme="majorBidi" w:hAnsiTheme="majorBidi" w:cstheme="majorBidi"/>
        </w:rPr>
        <w:t>, ed. by Daniel Olson (Plymouth: The Scarecrow Press, inc., 2011), pp. xxi–xxxiii</w:t>
      </w:r>
    </w:p>
    <w:p w14:paraId="7F98AB6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Pegg, Simon, ‘Big Mouth Strikes Again’, </w:t>
      </w:r>
      <w:r w:rsidRPr="00505CF0">
        <w:rPr>
          <w:rFonts w:asciiTheme="majorBidi" w:hAnsiTheme="majorBidi" w:cstheme="majorBidi"/>
          <w:i/>
          <w:iCs/>
        </w:rPr>
        <w:t>Peggster</w:t>
      </w:r>
      <w:r w:rsidRPr="00505CF0">
        <w:rPr>
          <w:rFonts w:asciiTheme="majorBidi" w:hAnsiTheme="majorBidi" w:cstheme="majorBidi"/>
        </w:rPr>
        <w:t>, 2015 &lt;http://simonpegg.net/2015/05/19/big-mouth-strikes-again/&gt; [accessed 13 October 2017]</w:t>
      </w:r>
    </w:p>
    <w:p w14:paraId="1EF396F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Popelier, Jeroen, ‘Duel Is Not a “Gimmick”’, </w:t>
      </w:r>
      <w:r w:rsidRPr="00505CF0">
        <w:rPr>
          <w:rFonts w:asciiTheme="majorBidi" w:hAnsiTheme="majorBidi" w:cstheme="majorBidi"/>
          <w:i/>
          <w:iCs/>
        </w:rPr>
        <w:t>Notes on Metamodernism</w:t>
      </w:r>
      <w:r w:rsidRPr="00505CF0">
        <w:rPr>
          <w:rFonts w:asciiTheme="majorBidi" w:hAnsiTheme="majorBidi" w:cstheme="majorBidi"/>
        </w:rPr>
        <w:t>, 2012 &lt;http://www.metamodernism.com/2012/02/03/duel-is-not-a-gimmick/&gt; [accessed 13 November 2017]</w:t>
      </w:r>
    </w:p>
    <w:p w14:paraId="01F4070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Prickett, Stephen, and Robert Barnes, </w:t>
      </w:r>
      <w:r w:rsidRPr="00505CF0">
        <w:rPr>
          <w:rFonts w:asciiTheme="majorBidi" w:hAnsiTheme="majorBidi" w:cstheme="majorBidi"/>
          <w:i/>
          <w:iCs/>
        </w:rPr>
        <w:t>The Bible - Landmarks of World Literature</w:t>
      </w:r>
      <w:r w:rsidRPr="00505CF0">
        <w:rPr>
          <w:rFonts w:asciiTheme="majorBidi" w:hAnsiTheme="majorBidi" w:cstheme="majorBidi"/>
        </w:rPr>
        <w:t xml:space="preserve"> (Cambridge: Cambridge University Press, 1991)</w:t>
      </w:r>
    </w:p>
    <w:p w14:paraId="690D2D34" w14:textId="4A97EAF3" w:rsidR="001924AE" w:rsidRPr="00505CF0" w:rsidRDefault="001924AE" w:rsidP="006B5C76">
      <w:pPr>
        <w:pStyle w:val="NormalWeb"/>
        <w:ind w:left="480" w:hanging="480"/>
        <w:rPr>
          <w:rFonts w:asciiTheme="majorBidi" w:hAnsiTheme="majorBidi" w:cstheme="majorBidi"/>
        </w:rPr>
      </w:pPr>
      <w:r w:rsidRPr="00505CF0">
        <w:rPr>
          <w:rFonts w:asciiTheme="majorBidi" w:hAnsiTheme="majorBidi" w:cstheme="majorBidi"/>
        </w:rPr>
        <w:t xml:space="preserve">Pritchett, V.S., </w:t>
      </w:r>
      <w:r w:rsidRPr="00505CF0">
        <w:rPr>
          <w:rFonts w:asciiTheme="majorBidi" w:hAnsiTheme="majorBidi" w:cstheme="majorBidi"/>
          <w:i/>
          <w:iCs/>
        </w:rPr>
        <w:t>The Living Novel</w:t>
      </w:r>
      <w:r w:rsidRPr="00505CF0">
        <w:rPr>
          <w:rFonts w:asciiTheme="majorBidi" w:hAnsiTheme="majorBidi" w:cstheme="majorBidi"/>
        </w:rPr>
        <w:t xml:space="preserve"> (London: Chatto &amp; Windus, 1954)</w:t>
      </w:r>
    </w:p>
    <w:p w14:paraId="09BD99D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Punter, David, </w:t>
      </w:r>
      <w:r w:rsidRPr="00505CF0">
        <w:rPr>
          <w:rFonts w:asciiTheme="majorBidi" w:hAnsiTheme="majorBidi" w:cstheme="majorBidi"/>
          <w:i/>
          <w:iCs/>
        </w:rPr>
        <w:t>The Hidden Script: Writing and the Unconscious</w:t>
      </w:r>
      <w:r w:rsidRPr="00505CF0">
        <w:rPr>
          <w:rFonts w:asciiTheme="majorBidi" w:hAnsiTheme="majorBidi" w:cstheme="majorBidi"/>
        </w:rPr>
        <w:t xml:space="preserve"> (London: Routledge &amp; Kegan Paul Plc, 1985)</w:t>
      </w:r>
    </w:p>
    <w:p w14:paraId="49C2A25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t>
      </w:r>
      <w:r w:rsidRPr="00505CF0">
        <w:rPr>
          <w:rFonts w:asciiTheme="majorBidi" w:hAnsiTheme="majorBidi" w:cstheme="majorBidi"/>
          <w:i/>
          <w:iCs/>
        </w:rPr>
        <w:t>The Literature of Terror</w:t>
      </w:r>
      <w:r w:rsidRPr="00505CF0">
        <w:rPr>
          <w:rFonts w:asciiTheme="majorBidi" w:hAnsiTheme="majorBidi" w:cstheme="majorBidi"/>
        </w:rPr>
        <w:t xml:space="preserve">, 2nd edn (New York: Addison Wesley Longman, 1996), </w:t>
      </w:r>
      <w:r w:rsidRPr="00505CF0">
        <w:rPr>
          <w:rFonts w:asciiTheme="majorBidi" w:hAnsiTheme="majorBidi" w:cstheme="majorBidi"/>
          <w:smallCaps/>
        </w:rPr>
        <w:t>ii</w:t>
      </w:r>
    </w:p>
    <w:p w14:paraId="4ADAFC60"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‘Heartlands; Contemporary Scottish Gothic’, </w:t>
      </w:r>
      <w:r w:rsidRPr="00505CF0">
        <w:rPr>
          <w:rFonts w:asciiTheme="majorBidi" w:hAnsiTheme="majorBidi" w:cstheme="majorBidi"/>
          <w:i/>
          <w:iCs/>
        </w:rPr>
        <w:t>Gothic Studies</w:t>
      </w:r>
      <w:r w:rsidRPr="00505CF0">
        <w:rPr>
          <w:rFonts w:asciiTheme="majorBidi" w:hAnsiTheme="majorBidi" w:cstheme="majorBidi"/>
        </w:rPr>
        <w:t>, 1 (1999), 101–18</w:t>
      </w:r>
    </w:p>
    <w:p w14:paraId="4E10C77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‘The Gothic - A Lecture’, </w:t>
      </w:r>
      <w:r w:rsidRPr="00505CF0">
        <w:rPr>
          <w:rFonts w:asciiTheme="majorBidi" w:hAnsiTheme="majorBidi" w:cstheme="majorBidi"/>
          <w:i/>
          <w:iCs/>
        </w:rPr>
        <w:t>SOG59’s The Horror Vault</w:t>
      </w:r>
      <w:r w:rsidRPr="00505CF0">
        <w:rPr>
          <w:rFonts w:asciiTheme="majorBidi" w:hAnsiTheme="majorBidi" w:cstheme="majorBidi"/>
        </w:rPr>
        <w:t>, 2015 &lt;https://www.youtube.com/watch?v=fdgDoT8LJaM&amp;t=1709s&gt; [accessed 11 November 2017]</w:t>
      </w:r>
    </w:p>
    <w:p w14:paraId="74C0085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Redekop, Magdalene, ‘Beyond Closure: Buried Alive with Hogg’s Justified Sinner’, </w:t>
      </w:r>
      <w:r w:rsidRPr="00505CF0">
        <w:rPr>
          <w:rFonts w:asciiTheme="majorBidi" w:hAnsiTheme="majorBidi" w:cstheme="majorBidi"/>
          <w:i/>
          <w:iCs/>
        </w:rPr>
        <w:t>ELH</w:t>
      </w:r>
      <w:r w:rsidRPr="00505CF0">
        <w:rPr>
          <w:rFonts w:asciiTheme="majorBidi" w:hAnsiTheme="majorBidi" w:cstheme="majorBidi"/>
        </w:rPr>
        <w:t>, 52 (1985), 159–84</w:t>
      </w:r>
    </w:p>
    <w:p w14:paraId="060D376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Roberts, Kyle, ‘We Are Witnessing the End of Postmodernism and the Beginning of Post-Postmodernism’, </w:t>
      </w:r>
      <w:r w:rsidRPr="00505CF0">
        <w:rPr>
          <w:rFonts w:asciiTheme="majorBidi" w:hAnsiTheme="majorBidi" w:cstheme="majorBidi"/>
          <w:i/>
          <w:iCs/>
        </w:rPr>
        <w:t>Patheos</w:t>
      </w:r>
      <w:r w:rsidRPr="00505CF0">
        <w:rPr>
          <w:rFonts w:asciiTheme="majorBidi" w:hAnsiTheme="majorBidi" w:cstheme="majorBidi"/>
        </w:rPr>
        <w:t>, 2016 &lt;http://www.patheos.com/blogs/unsystematictheology/2016/07/we-are-witnessing-the-end-of-postmodernism-and-the-beginning-of-post-postmodernism/&gt; [accessed 25 September 2017]</w:t>
      </w:r>
    </w:p>
    <w:p w14:paraId="4413CBB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Rodriguez Magda, Rosa Maria, ‘Transmodernity: A New Paradigm’, trans. by Jessica Aliaga-Lavrijsen, </w:t>
      </w:r>
      <w:r w:rsidRPr="00505CF0">
        <w:rPr>
          <w:rFonts w:asciiTheme="majorBidi" w:hAnsiTheme="majorBidi" w:cstheme="majorBidi"/>
          <w:i/>
          <w:iCs/>
        </w:rPr>
        <w:t>Transmodernity</w:t>
      </w:r>
      <w:r w:rsidRPr="00505CF0">
        <w:rPr>
          <w:rFonts w:asciiTheme="majorBidi" w:hAnsiTheme="majorBidi" w:cstheme="majorBidi"/>
        </w:rPr>
        <w:t>, 2017 &lt;http://transmodern-theory.blogspot.co.uk/2017/05/transmodernity-new-paradigm.html&gt; [accessed 6 September 2017]</w:t>
      </w:r>
    </w:p>
    <w:p w14:paraId="467B7FD4" w14:textId="1A32EB88"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Róg, Borys, ‘The Crying of Lot 49 and the Parody of Detective Fiction’, </w:t>
      </w:r>
      <w:r w:rsidRPr="00505CF0">
        <w:rPr>
          <w:rFonts w:asciiTheme="majorBidi" w:hAnsiTheme="majorBidi" w:cstheme="majorBidi"/>
          <w:i/>
          <w:iCs/>
        </w:rPr>
        <w:t xml:space="preserve">New Horizons in English </w:t>
      </w:r>
      <w:r w:rsidR="00293DC0" w:rsidRPr="00505CF0">
        <w:rPr>
          <w:rFonts w:asciiTheme="majorBidi" w:hAnsiTheme="majorBidi" w:cstheme="majorBidi"/>
          <w:i/>
          <w:iCs/>
        </w:rPr>
        <w:t>Studies</w:t>
      </w:r>
      <w:r w:rsidRPr="00505CF0">
        <w:rPr>
          <w:rFonts w:asciiTheme="majorBidi" w:hAnsiTheme="majorBidi" w:cstheme="majorBidi"/>
        </w:rPr>
        <w:t>, 2017, 59–67</w:t>
      </w:r>
    </w:p>
    <w:p w14:paraId="0AE3B90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Rothstein, Edward, ‘CONNECTIONS; Attacks on U.S Challenge the Perspectives of Postmodern True Believers’, </w:t>
      </w:r>
      <w:r w:rsidRPr="00505CF0">
        <w:rPr>
          <w:rFonts w:asciiTheme="majorBidi" w:hAnsiTheme="majorBidi" w:cstheme="majorBidi"/>
          <w:i/>
          <w:iCs/>
        </w:rPr>
        <w:t>The New York Times</w:t>
      </w:r>
      <w:r w:rsidRPr="00505CF0">
        <w:rPr>
          <w:rFonts w:asciiTheme="majorBidi" w:hAnsiTheme="majorBidi" w:cstheme="majorBidi"/>
        </w:rPr>
        <w:t>, 2001 &lt;http://www.nytimes.com/2001/09/22/arts/connections-attacks-us-challenge-perspectives-postmodern-true-believers.html&gt; [accessed 23 October 2017]</w:t>
      </w:r>
    </w:p>
    <w:p w14:paraId="5D3D8F7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Rowell, Jenny, ‘The Selvage of Incoherence’, </w:t>
      </w:r>
      <w:r w:rsidRPr="00505CF0">
        <w:rPr>
          <w:rFonts w:asciiTheme="majorBidi" w:hAnsiTheme="majorBidi" w:cstheme="majorBidi"/>
          <w:i/>
          <w:iCs/>
        </w:rPr>
        <w:t>Notes on Metamodernism</w:t>
      </w:r>
      <w:r w:rsidRPr="00505CF0">
        <w:rPr>
          <w:rFonts w:asciiTheme="majorBidi" w:hAnsiTheme="majorBidi" w:cstheme="majorBidi"/>
        </w:rPr>
        <w:t>, 2014 &lt;http://www.metamodernism.com/2014/03/25/the-selvage-of-incoherence/&gt; [accessed 13 November 2017]</w:t>
      </w:r>
    </w:p>
    <w:p w14:paraId="1DB6A1B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Rubenstein, Roberta, </w:t>
      </w:r>
      <w:r w:rsidRPr="00505CF0">
        <w:rPr>
          <w:rFonts w:asciiTheme="majorBidi" w:hAnsiTheme="majorBidi" w:cstheme="majorBidi"/>
          <w:i/>
          <w:iCs/>
        </w:rPr>
        <w:t>Home Matters: Longing and Belonging, Nostalgia and Mourning in Women’s Fiction</w:t>
      </w:r>
      <w:r w:rsidRPr="00505CF0">
        <w:rPr>
          <w:rFonts w:asciiTheme="majorBidi" w:hAnsiTheme="majorBidi" w:cstheme="majorBidi"/>
        </w:rPr>
        <w:t xml:space="preserve"> (New York: Palgrave, 2001)</w:t>
      </w:r>
    </w:p>
    <w:p w14:paraId="026724F5" w14:textId="3FFC8C05" w:rsidR="00252349" w:rsidRPr="00505CF0" w:rsidRDefault="00252349" w:rsidP="00293DC0">
      <w:pPr>
        <w:pStyle w:val="NormalWeb"/>
        <w:ind w:left="480" w:hanging="480"/>
        <w:rPr>
          <w:rFonts w:asciiTheme="majorBidi" w:hAnsiTheme="majorBidi" w:cstheme="majorBidi"/>
        </w:rPr>
      </w:pPr>
      <w:r w:rsidRPr="00505CF0">
        <w:rPr>
          <w:rFonts w:asciiTheme="majorBidi" w:hAnsiTheme="majorBidi" w:cstheme="majorBidi"/>
        </w:rPr>
        <w:t xml:space="preserve">Rudrum, David, and Nicholas Stavris, ‘Hypermodernism’, in </w:t>
      </w:r>
      <w:r w:rsidRPr="00505CF0">
        <w:rPr>
          <w:rFonts w:asciiTheme="majorBidi" w:hAnsiTheme="majorBidi" w:cstheme="majorBidi"/>
          <w:i/>
          <w:iCs/>
        </w:rPr>
        <w:t>Supplanting the Postmodern</w:t>
      </w:r>
      <w:r w:rsidRPr="00505CF0">
        <w:rPr>
          <w:rFonts w:asciiTheme="majorBidi" w:hAnsiTheme="majorBidi" w:cstheme="majorBidi"/>
        </w:rPr>
        <w:t>, ed. by David Rudrum and Nicholas Stavris (London: Bloomsbury, 2015), pp. 153–55</w:t>
      </w:r>
    </w:p>
    <w:p w14:paraId="4A0169F3" w14:textId="310FA368" w:rsidR="00252349" w:rsidRPr="00505CF0" w:rsidRDefault="00252349" w:rsidP="00293DC0">
      <w:pPr>
        <w:pStyle w:val="NormalWeb"/>
        <w:ind w:left="480" w:hanging="480"/>
        <w:rPr>
          <w:rFonts w:asciiTheme="majorBidi" w:hAnsiTheme="majorBidi" w:cstheme="majorBidi"/>
        </w:rPr>
      </w:pPr>
      <w:r w:rsidRPr="00505CF0">
        <w:rPr>
          <w:rFonts w:asciiTheme="majorBidi" w:hAnsiTheme="majorBidi" w:cstheme="majorBidi"/>
        </w:rPr>
        <w:t xml:space="preserve">Rudrum, David, and Nicholas Stavris, eds., </w:t>
      </w:r>
      <w:r w:rsidRPr="00505CF0">
        <w:rPr>
          <w:rFonts w:asciiTheme="majorBidi" w:hAnsiTheme="majorBidi" w:cstheme="majorBidi"/>
          <w:i/>
          <w:iCs/>
        </w:rPr>
        <w:t>Supplanting the Postmodern</w:t>
      </w:r>
      <w:r w:rsidRPr="00505CF0">
        <w:rPr>
          <w:rFonts w:asciiTheme="majorBidi" w:hAnsiTheme="majorBidi" w:cstheme="majorBidi"/>
        </w:rPr>
        <w:t xml:space="preserve"> (London: Bloomsbury, 2015)</w:t>
      </w:r>
    </w:p>
    <w:p w14:paraId="334A69C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Samuels, Robert, </w:t>
      </w:r>
      <w:r w:rsidRPr="00505CF0">
        <w:rPr>
          <w:rFonts w:asciiTheme="majorBidi" w:hAnsiTheme="majorBidi" w:cstheme="majorBidi"/>
          <w:i/>
          <w:iCs/>
        </w:rPr>
        <w:t>New Media, Cultural Studies, and Critical Theory After Postmodernism: Automodernity from Zizek to Laclau</w:t>
      </w:r>
      <w:r w:rsidRPr="00505CF0">
        <w:rPr>
          <w:rFonts w:asciiTheme="majorBidi" w:hAnsiTheme="majorBidi" w:cstheme="majorBidi"/>
        </w:rPr>
        <w:t xml:space="preserve"> (New York: Palgrave Macmillan, 2010)</w:t>
      </w:r>
    </w:p>
    <w:p w14:paraId="48C96B6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Samuels, Robert, ‘Auto-Modernity after Postmodernism: Autonomy and Automation in Culture, Technology, and Education’, in </w:t>
      </w:r>
      <w:r w:rsidRPr="00505CF0">
        <w:rPr>
          <w:rFonts w:asciiTheme="majorBidi" w:hAnsiTheme="majorBidi" w:cstheme="majorBidi"/>
          <w:i/>
          <w:iCs/>
        </w:rPr>
        <w:t>Digital Youth, Innovation, and the Unexpected</w:t>
      </w:r>
      <w:r w:rsidRPr="00505CF0">
        <w:rPr>
          <w:rFonts w:asciiTheme="majorBidi" w:hAnsiTheme="majorBidi" w:cstheme="majorBidi"/>
        </w:rPr>
        <w:t>, ed. by Tara McPherson (Cambridge: The MIT Press, 2008), pp. 219–40</w:t>
      </w:r>
    </w:p>
    <w:p w14:paraId="722A6CB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Schembri, Sharon, and Jac Tichbon, ‘Digital Consumers as Cultural Curators: The Irony of Vaporwave’, </w:t>
      </w:r>
      <w:r w:rsidRPr="00505CF0">
        <w:rPr>
          <w:rFonts w:asciiTheme="majorBidi" w:hAnsiTheme="majorBidi" w:cstheme="majorBidi"/>
          <w:i/>
          <w:iCs/>
        </w:rPr>
        <w:t>Arts and the Market</w:t>
      </w:r>
      <w:r w:rsidRPr="00505CF0">
        <w:rPr>
          <w:rFonts w:asciiTheme="majorBidi" w:hAnsiTheme="majorBidi" w:cstheme="majorBidi"/>
        </w:rPr>
        <w:t xml:space="preserve">, 7 (2016), 191–212 </w:t>
      </w:r>
    </w:p>
    <w:p w14:paraId="609A877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Scholes, Robert, </w:t>
      </w:r>
      <w:r w:rsidRPr="00505CF0">
        <w:rPr>
          <w:rFonts w:asciiTheme="majorBidi" w:hAnsiTheme="majorBidi" w:cstheme="majorBidi"/>
          <w:i/>
          <w:iCs/>
        </w:rPr>
        <w:t>The Fabulators</w:t>
      </w:r>
      <w:r w:rsidRPr="00505CF0">
        <w:rPr>
          <w:rFonts w:asciiTheme="majorBidi" w:hAnsiTheme="majorBidi" w:cstheme="majorBidi"/>
        </w:rPr>
        <w:t xml:space="preserve"> (New York: Oxford University Press, 1967)</w:t>
      </w:r>
    </w:p>
    <w:p w14:paraId="234AF2C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‘Metafiction’, </w:t>
      </w:r>
      <w:r w:rsidRPr="00505CF0">
        <w:rPr>
          <w:rFonts w:asciiTheme="majorBidi" w:hAnsiTheme="majorBidi" w:cstheme="majorBidi"/>
          <w:i/>
          <w:iCs/>
        </w:rPr>
        <w:t>The Iowa Review</w:t>
      </w:r>
      <w:r w:rsidRPr="00505CF0">
        <w:rPr>
          <w:rFonts w:asciiTheme="majorBidi" w:hAnsiTheme="majorBidi" w:cstheme="majorBidi"/>
        </w:rPr>
        <w:t xml:space="preserve">, 1 (1970), 100–115 </w:t>
      </w:r>
    </w:p>
    <w:p w14:paraId="0D4FEE3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Schwartz, Murray, ‘Beyond Fantasy: The Novel as Play’, </w:t>
      </w:r>
      <w:r w:rsidRPr="00505CF0">
        <w:rPr>
          <w:rFonts w:asciiTheme="majorBidi" w:hAnsiTheme="majorBidi" w:cstheme="majorBidi"/>
          <w:i/>
          <w:iCs/>
        </w:rPr>
        <w:t>NOVEL: A Forum on Fiction</w:t>
      </w:r>
      <w:r w:rsidRPr="00505CF0">
        <w:rPr>
          <w:rFonts w:asciiTheme="majorBidi" w:hAnsiTheme="majorBidi" w:cstheme="majorBidi"/>
        </w:rPr>
        <w:t>, 21 (1988), 262–65</w:t>
      </w:r>
    </w:p>
    <w:p w14:paraId="4E72A9D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Seah, Audrey, ‘Theological Aesthetics and Performatism in the Aestheticization of the Roman Catholic Liturgy’, </w:t>
      </w:r>
      <w:r w:rsidRPr="00505CF0">
        <w:rPr>
          <w:rFonts w:asciiTheme="majorBidi" w:hAnsiTheme="majorBidi" w:cstheme="majorBidi"/>
          <w:i/>
          <w:iCs/>
        </w:rPr>
        <w:t>Obsculta</w:t>
      </w:r>
      <w:r w:rsidRPr="00505CF0">
        <w:rPr>
          <w:rFonts w:asciiTheme="majorBidi" w:hAnsiTheme="majorBidi" w:cstheme="majorBidi"/>
        </w:rPr>
        <w:t xml:space="preserve">, 5 (2014), 16–22 </w:t>
      </w:r>
    </w:p>
    <w:p w14:paraId="1FEA929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Siepmann, Dirk, ‘Academic Writing and Culture: An Overview of Difference between English, French and German’, </w:t>
      </w:r>
      <w:r w:rsidRPr="00505CF0">
        <w:rPr>
          <w:rFonts w:asciiTheme="majorBidi" w:hAnsiTheme="majorBidi" w:cstheme="majorBidi"/>
          <w:i/>
          <w:iCs/>
        </w:rPr>
        <w:t>Meta</w:t>
      </w:r>
      <w:r w:rsidRPr="00505CF0">
        <w:rPr>
          <w:rFonts w:asciiTheme="majorBidi" w:hAnsiTheme="majorBidi" w:cstheme="majorBidi"/>
        </w:rPr>
        <w:t xml:space="preserve">, 51 (2006), 131–50 </w:t>
      </w:r>
    </w:p>
    <w:p w14:paraId="0506A3D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Smythe, Luke, ‘Modernism Post-Postmodernism: Art in the Era of Light Modernity’, </w:t>
      </w:r>
      <w:r w:rsidRPr="00505CF0">
        <w:rPr>
          <w:rFonts w:asciiTheme="majorBidi" w:hAnsiTheme="majorBidi" w:cstheme="majorBidi"/>
          <w:i/>
          <w:iCs/>
        </w:rPr>
        <w:t>Modernism/Modernity</w:t>
      </w:r>
      <w:r w:rsidRPr="00505CF0">
        <w:rPr>
          <w:rFonts w:asciiTheme="majorBidi" w:hAnsiTheme="majorBidi" w:cstheme="majorBidi"/>
        </w:rPr>
        <w:t xml:space="preserve">, 22 (2015), 365–79 </w:t>
      </w:r>
    </w:p>
    <w:p w14:paraId="6AC93C8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Sørensen, Mads P., and Allan Christiansen, ‘Introduction and a Short Biography’, in </w:t>
      </w:r>
      <w:r w:rsidRPr="00505CF0">
        <w:rPr>
          <w:rFonts w:asciiTheme="majorBidi" w:hAnsiTheme="majorBidi" w:cstheme="majorBidi"/>
          <w:i/>
          <w:iCs/>
        </w:rPr>
        <w:t>Ulrich Beck: An Introduction to the Theory of Second Modernity and the Risk Society</w:t>
      </w:r>
      <w:r w:rsidRPr="00505CF0">
        <w:rPr>
          <w:rFonts w:asciiTheme="majorBidi" w:hAnsiTheme="majorBidi" w:cstheme="majorBidi"/>
        </w:rPr>
        <w:t xml:space="preserve"> (New York: Taylor &amp; Francis, 2013)</w:t>
      </w:r>
    </w:p>
    <w:p w14:paraId="4524392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Stewart, Susan, </w:t>
      </w:r>
      <w:r w:rsidRPr="00505CF0">
        <w:rPr>
          <w:rFonts w:asciiTheme="majorBidi" w:hAnsiTheme="majorBidi" w:cstheme="majorBidi"/>
          <w:i/>
          <w:iCs/>
        </w:rPr>
        <w:t>On Longing</w:t>
      </w:r>
      <w:r w:rsidRPr="00505CF0">
        <w:rPr>
          <w:rFonts w:asciiTheme="majorBidi" w:hAnsiTheme="majorBidi" w:cstheme="majorBidi"/>
        </w:rPr>
        <w:t xml:space="preserve"> (London: Duke University Press, 1993)</w:t>
      </w:r>
    </w:p>
    <w:p w14:paraId="19B1378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Stoie, Marie, ‘Metafictional Devices and Intertextuality in Tristram Shandy’, </w:t>
      </w:r>
      <w:r w:rsidRPr="00505CF0">
        <w:rPr>
          <w:rFonts w:asciiTheme="majorBidi" w:hAnsiTheme="majorBidi" w:cstheme="majorBidi"/>
          <w:i/>
          <w:iCs/>
        </w:rPr>
        <w:t>Scribd.com</w:t>
      </w:r>
      <w:r w:rsidRPr="00505CF0">
        <w:rPr>
          <w:rFonts w:asciiTheme="majorBidi" w:hAnsiTheme="majorBidi" w:cstheme="majorBidi"/>
        </w:rPr>
        <w:t xml:space="preserve"> &lt;https://www.scribd.com/document/364196665/Metafictional-Devices-and-Intertextuality-in-Tristram-Shandy&gt; [accessed 1 January 2018]</w:t>
      </w:r>
    </w:p>
    <w:p w14:paraId="3EAB1B6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Sturgeon, Jonathan, ‘2014: The Death of the Postmodern Novel and the Rise of Autofiction’, </w:t>
      </w:r>
      <w:r w:rsidRPr="00505CF0">
        <w:rPr>
          <w:rFonts w:asciiTheme="majorBidi" w:hAnsiTheme="majorBidi" w:cstheme="majorBidi"/>
          <w:i/>
          <w:iCs/>
        </w:rPr>
        <w:t>Flavorwire</w:t>
      </w:r>
      <w:r w:rsidRPr="00505CF0">
        <w:rPr>
          <w:rFonts w:asciiTheme="majorBidi" w:hAnsiTheme="majorBidi" w:cstheme="majorBidi"/>
        </w:rPr>
        <w:t>, 2014 &lt;http://flavorwire.com/496570/2014-the-death-of-the-postmodern-novel-and-the-rise-of-autofiction&gt; [accessed 2 June 2015]</w:t>
      </w:r>
    </w:p>
    <w:p w14:paraId="4546A8C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‘Why Grow Up? Philosophy for a Generation of Adult Infants’, </w:t>
      </w:r>
      <w:r w:rsidRPr="00505CF0">
        <w:rPr>
          <w:rFonts w:asciiTheme="majorBidi" w:hAnsiTheme="majorBidi" w:cstheme="majorBidi"/>
          <w:i/>
          <w:iCs/>
        </w:rPr>
        <w:t>Flavorwire</w:t>
      </w:r>
      <w:r w:rsidRPr="00505CF0">
        <w:rPr>
          <w:rFonts w:asciiTheme="majorBidi" w:hAnsiTheme="majorBidi" w:cstheme="majorBidi"/>
        </w:rPr>
        <w:t>, 2015 &lt;http://flavorwire.com/518420/why-grow-up-philosophy-for-a-generation-of-adult-infants&gt; [accessed 10 October 2017]</w:t>
      </w:r>
    </w:p>
    <w:p w14:paraId="42C52E1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Sukenick, Ron, ‘aVANT-pOP, sUR-fICTION, hYPER-fICTION’, in </w:t>
      </w:r>
      <w:r w:rsidRPr="00505CF0">
        <w:rPr>
          <w:rFonts w:asciiTheme="majorBidi" w:hAnsiTheme="majorBidi" w:cstheme="majorBidi"/>
          <w:i/>
          <w:iCs/>
        </w:rPr>
        <w:t>In Memoriam to Postmodernism: Essays on the Avant-Pop</w:t>
      </w:r>
      <w:r w:rsidRPr="00505CF0">
        <w:rPr>
          <w:rFonts w:asciiTheme="majorBidi" w:hAnsiTheme="majorBidi" w:cstheme="majorBidi"/>
        </w:rPr>
        <w:t>, ed. by Mark Amerika and Lance Olsen (San Diego: San Diego University Press, 1995)</w:t>
      </w:r>
    </w:p>
    <w:p w14:paraId="2185D56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Sussman, Henry, ‘Review by Henry Sussman’, </w:t>
      </w:r>
      <w:r w:rsidRPr="00505CF0">
        <w:rPr>
          <w:rFonts w:asciiTheme="majorBidi" w:hAnsiTheme="majorBidi" w:cstheme="majorBidi"/>
          <w:i/>
          <w:iCs/>
        </w:rPr>
        <w:t>MLN</w:t>
      </w:r>
      <w:r w:rsidRPr="00505CF0">
        <w:rPr>
          <w:rFonts w:asciiTheme="majorBidi" w:hAnsiTheme="majorBidi" w:cstheme="majorBidi"/>
        </w:rPr>
        <w:t xml:space="preserve">, 128 (2013) </w:t>
      </w:r>
    </w:p>
    <w:p w14:paraId="2658172D"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Sutherland, Sam, ‘Could Vaporwave Be the Future of Music’, </w:t>
      </w:r>
      <w:r w:rsidRPr="00505CF0">
        <w:rPr>
          <w:rFonts w:asciiTheme="majorBidi" w:hAnsiTheme="majorBidi" w:cstheme="majorBidi"/>
          <w:i/>
          <w:iCs/>
        </w:rPr>
        <w:t>This Exists</w:t>
      </w:r>
      <w:r w:rsidRPr="00505CF0">
        <w:rPr>
          <w:rFonts w:asciiTheme="majorBidi" w:hAnsiTheme="majorBidi" w:cstheme="majorBidi"/>
        </w:rPr>
        <w:t>, 2014 &lt;https://www.youtube.com/watch?v=-WNrjWSJwf8&gt; [accessed 2 November 2017]</w:t>
      </w:r>
    </w:p>
    <w:p w14:paraId="1C7DD58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‘Castle Creeps: A Dungeon Synth Primer’, </w:t>
      </w:r>
      <w:r w:rsidRPr="00505CF0">
        <w:rPr>
          <w:rFonts w:asciiTheme="majorBidi" w:hAnsiTheme="majorBidi" w:cstheme="majorBidi"/>
          <w:i/>
          <w:iCs/>
        </w:rPr>
        <w:t>This Exists</w:t>
      </w:r>
      <w:r w:rsidRPr="00505CF0">
        <w:rPr>
          <w:rFonts w:asciiTheme="majorBidi" w:hAnsiTheme="majorBidi" w:cstheme="majorBidi"/>
        </w:rPr>
        <w:t>, 2017 &lt;https://www.youtube.com/watch?v=4V5k3EQ1xHA&gt; [accessed 10 October 2017]</w:t>
      </w:r>
    </w:p>
    <w:p w14:paraId="2274FD53"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Thomas, Bronwen, ‘Trickster Authors and Tricky Readers on the MZD Forums’, in </w:t>
      </w:r>
      <w:r w:rsidRPr="00505CF0">
        <w:rPr>
          <w:rFonts w:asciiTheme="majorBidi" w:hAnsiTheme="majorBidi" w:cstheme="majorBidi"/>
          <w:i/>
          <w:iCs/>
        </w:rPr>
        <w:t>Mark Z. Danielewski</w:t>
      </w:r>
      <w:r w:rsidRPr="00505CF0">
        <w:rPr>
          <w:rFonts w:asciiTheme="majorBidi" w:hAnsiTheme="majorBidi" w:cstheme="majorBidi"/>
        </w:rPr>
        <w:t>, ed. by Joe Bray and Alison Gibbons (Manchester: Manchester University Press, 2011), pp. 86–102</w:t>
      </w:r>
    </w:p>
    <w:p w14:paraId="7D2720D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Thorn, Jesse, ‘A Manifesto for The New Sincerity’, </w:t>
      </w:r>
      <w:r w:rsidRPr="00505CF0">
        <w:rPr>
          <w:rFonts w:asciiTheme="majorBidi" w:hAnsiTheme="majorBidi" w:cstheme="majorBidi"/>
          <w:i/>
          <w:iCs/>
        </w:rPr>
        <w:t>MaximumFun</w:t>
      </w:r>
      <w:r w:rsidRPr="00505CF0">
        <w:rPr>
          <w:rFonts w:asciiTheme="majorBidi" w:hAnsiTheme="majorBidi" w:cstheme="majorBidi"/>
        </w:rPr>
        <w:t>, 2006 &lt;http://www.maximumfun.org/blog/2006/02/manifesto-for-new-sincerity.html&gt; [accessed 9 June 2017]</w:t>
      </w:r>
    </w:p>
    <w:p w14:paraId="61246B3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Todorov, Tzvetan, </w:t>
      </w:r>
      <w:r w:rsidRPr="00505CF0">
        <w:rPr>
          <w:rFonts w:asciiTheme="majorBidi" w:hAnsiTheme="majorBidi" w:cstheme="majorBidi"/>
          <w:i/>
          <w:iCs/>
        </w:rPr>
        <w:t>The Fantastic: A Structural Approach to a Literary Genre</w:t>
      </w:r>
      <w:r w:rsidRPr="00505CF0">
        <w:rPr>
          <w:rFonts w:asciiTheme="majorBidi" w:hAnsiTheme="majorBidi" w:cstheme="majorBidi"/>
        </w:rPr>
        <w:t>, trans. by Richard Howard (Cleveland: Case Western University Press, 1973)</w:t>
      </w:r>
    </w:p>
    <w:p w14:paraId="4D3302C3" w14:textId="77777777" w:rsidR="00252349" w:rsidRPr="00505CF0" w:rsidRDefault="00252349" w:rsidP="006B5C76">
      <w:pPr>
        <w:pStyle w:val="NormalWeb"/>
        <w:ind w:left="480" w:hanging="480"/>
        <w:rPr>
          <w:rFonts w:asciiTheme="majorBidi" w:hAnsiTheme="majorBidi" w:cstheme="majorBidi"/>
        </w:rPr>
      </w:pPr>
      <w:bookmarkStart w:id="15" w:name="_Hlk506214259"/>
      <w:r w:rsidRPr="00505CF0">
        <w:rPr>
          <w:rFonts w:asciiTheme="majorBidi" w:hAnsiTheme="majorBidi" w:cstheme="majorBidi"/>
        </w:rPr>
        <w:t xml:space="preserve">– – –, </w:t>
      </w:r>
      <w:bookmarkEnd w:id="15"/>
      <w:r w:rsidRPr="00505CF0">
        <w:rPr>
          <w:rFonts w:asciiTheme="majorBidi" w:hAnsiTheme="majorBidi" w:cstheme="majorBidi"/>
        </w:rPr>
        <w:t xml:space="preserve">‘The Typology of Detective Fiction’, in </w:t>
      </w:r>
      <w:r w:rsidRPr="00505CF0">
        <w:rPr>
          <w:rFonts w:asciiTheme="majorBidi" w:hAnsiTheme="majorBidi" w:cstheme="majorBidi"/>
          <w:i/>
          <w:iCs/>
        </w:rPr>
        <w:t>The Poetics of Prose</w:t>
      </w:r>
      <w:r w:rsidRPr="00505CF0">
        <w:rPr>
          <w:rFonts w:asciiTheme="majorBidi" w:hAnsiTheme="majorBidi" w:cstheme="majorBidi"/>
        </w:rPr>
        <w:t xml:space="preserve">, 1977, pp. 42–52 </w:t>
      </w:r>
    </w:p>
    <w:p w14:paraId="38FDD97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Torralba, Francesc, ‘The Essence and Forms of Fear in Hypermodernity’, </w:t>
      </w:r>
      <w:r w:rsidRPr="00505CF0">
        <w:rPr>
          <w:rFonts w:asciiTheme="majorBidi" w:hAnsiTheme="majorBidi" w:cstheme="majorBidi"/>
          <w:i/>
          <w:iCs/>
        </w:rPr>
        <w:t>Transfer: Journal of Contemporary Culture</w:t>
      </w:r>
      <w:r w:rsidRPr="00505CF0">
        <w:rPr>
          <w:rFonts w:asciiTheme="majorBidi" w:hAnsiTheme="majorBidi" w:cstheme="majorBidi"/>
        </w:rPr>
        <w:t>, 6 (2011), 56–67</w:t>
      </w:r>
    </w:p>
    <w:p w14:paraId="7D8D8AC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Toth, Josh, </w:t>
      </w:r>
      <w:r w:rsidRPr="00505CF0">
        <w:rPr>
          <w:rFonts w:asciiTheme="majorBidi" w:hAnsiTheme="majorBidi" w:cstheme="majorBidi"/>
          <w:i/>
          <w:iCs/>
        </w:rPr>
        <w:t>The Passing of Postmodernism</w:t>
      </w:r>
      <w:r w:rsidRPr="00505CF0">
        <w:rPr>
          <w:rFonts w:asciiTheme="majorBidi" w:hAnsiTheme="majorBidi" w:cstheme="majorBidi"/>
        </w:rPr>
        <w:t xml:space="preserve"> (Albany: State University of New York Press, 2010)</w:t>
      </w:r>
    </w:p>
    <w:p w14:paraId="3A1172CC" w14:textId="77777777" w:rsidR="00252349" w:rsidRPr="00505CF0" w:rsidRDefault="00252349" w:rsidP="006B5C76">
      <w:pPr>
        <w:pStyle w:val="NormalWeb"/>
        <w:ind w:left="480" w:hanging="480"/>
        <w:rPr>
          <w:rFonts w:asciiTheme="majorBidi" w:hAnsiTheme="majorBidi" w:cstheme="majorBidi"/>
        </w:rPr>
      </w:pPr>
      <w:bookmarkStart w:id="16" w:name="_Hlk506214321"/>
      <w:r w:rsidRPr="00505CF0">
        <w:rPr>
          <w:rFonts w:asciiTheme="majorBidi" w:hAnsiTheme="majorBidi" w:cstheme="majorBidi"/>
        </w:rPr>
        <w:t xml:space="preserve">Turner, Luke, ‘The Metamodernist Manifesto’, </w:t>
      </w:r>
      <w:r w:rsidRPr="00505CF0">
        <w:rPr>
          <w:rFonts w:asciiTheme="majorBidi" w:hAnsiTheme="majorBidi" w:cstheme="majorBidi"/>
          <w:i/>
          <w:iCs/>
        </w:rPr>
        <w:t>Metamodernism.org</w:t>
      </w:r>
      <w:r w:rsidRPr="00505CF0">
        <w:rPr>
          <w:rFonts w:asciiTheme="majorBidi" w:hAnsiTheme="majorBidi" w:cstheme="majorBidi"/>
        </w:rPr>
        <w:t>, 2011 &lt;http://www.metamodernism.org/&gt; [accessed 30 October 2017]</w:t>
      </w:r>
    </w:p>
    <w:p w14:paraId="4A6DBDA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w:t>
      </w:r>
      <w:bookmarkEnd w:id="16"/>
      <w:r w:rsidRPr="00505CF0">
        <w:rPr>
          <w:rFonts w:asciiTheme="majorBidi" w:hAnsiTheme="majorBidi" w:cstheme="majorBidi"/>
        </w:rPr>
        <w:t xml:space="preserve">‘Metamodernism: A Brief Introduction’, </w:t>
      </w:r>
      <w:r w:rsidRPr="00505CF0">
        <w:rPr>
          <w:rFonts w:asciiTheme="majorBidi" w:hAnsiTheme="majorBidi" w:cstheme="majorBidi"/>
          <w:i/>
          <w:iCs/>
        </w:rPr>
        <w:t>Notes on Metamodernism</w:t>
      </w:r>
      <w:r w:rsidRPr="00505CF0">
        <w:rPr>
          <w:rFonts w:asciiTheme="majorBidi" w:hAnsiTheme="majorBidi" w:cstheme="majorBidi"/>
        </w:rPr>
        <w:t>, 2015 &lt;http://www.metamodernism.com/2015/01/12/metamodernism-a-brief-introduction/&gt; [accessed 2 June 2015]</w:t>
      </w:r>
    </w:p>
    <w:p w14:paraId="6F1246D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Van Creveld, Martin, ‘Infantilization’, </w:t>
      </w:r>
      <w:r w:rsidRPr="00505CF0">
        <w:rPr>
          <w:rFonts w:asciiTheme="majorBidi" w:hAnsiTheme="majorBidi" w:cstheme="majorBidi"/>
          <w:i/>
          <w:iCs/>
        </w:rPr>
        <w:t>Martin-Van-Creveld</w:t>
      </w:r>
      <w:r w:rsidRPr="00505CF0">
        <w:rPr>
          <w:rFonts w:asciiTheme="majorBidi" w:hAnsiTheme="majorBidi" w:cstheme="majorBidi"/>
        </w:rPr>
        <w:t>, 2017 &lt;http://www.martin-van-creveld.com/infantilization/&gt; [accessed 10 October 2017]</w:t>
      </w:r>
    </w:p>
    <w:p w14:paraId="2B34EB18"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Vermeulen, Timotheus, ‘Hard and Soft’, </w:t>
      </w:r>
      <w:r w:rsidRPr="00505CF0">
        <w:rPr>
          <w:rFonts w:asciiTheme="majorBidi" w:hAnsiTheme="majorBidi" w:cstheme="majorBidi"/>
          <w:i/>
          <w:iCs/>
        </w:rPr>
        <w:t>Notes on Metamodernism</w:t>
      </w:r>
      <w:r w:rsidRPr="00505CF0">
        <w:rPr>
          <w:rFonts w:asciiTheme="majorBidi" w:hAnsiTheme="majorBidi" w:cstheme="majorBidi"/>
        </w:rPr>
        <w:t>, 2011 &lt;https://www.metamodernism.com/2011/03/16/hard-and-soft/&gt; [accessed 6 May 2017]</w:t>
      </w:r>
    </w:p>
    <w:p w14:paraId="282BBFB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‘The New “Depthiness”’, </w:t>
      </w:r>
      <w:r w:rsidRPr="00505CF0">
        <w:rPr>
          <w:rFonts w:asciiTheme="majorBidi" w:hAnsiTheme="majorBidi" w:cstheme="majorBidi"/>
          <w:i/>
          <w:iCs/>
        </w:rPr>
        <w:t>E-Flux</w:t>
      </w:r>
      <w:r w:rsidRPr="00505CF0">
        <w:rPr>
          <w:rFonts w:asciiTheme="majorBidi" w:hAnsiTheme="majorBidi" w:cstheme="majorBidi"/>
        </w:rPr>
        <w:t>, 2015 &lt;http://www.e-flux.com/journal/the-new-depthiness/&gt; [accessed 14 July 2015]</w:t>
      </w:r>
    </w:p>
    <w:p w14:paraId="31670B6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‘Blog Post on “Authenticity?” Ed. Cuero &amp; Hendrinks’, </w:t>
      </w:r>
      <w:r w:rsidRPr="00505CF0">
        <w:rPr>
          <w:rFonts w:asciiTheme="majorBidi" w:hAnsiTheme="majorBidi" w:cstheme="majorBidi"/>
          <w:i/>
          <w:iCs/>
        </w:rPr>
        <w:t>Timotheusvermeulen.com</w:t>
      </w:r>
      <w:r w:rsidRPr="00505CF0">
        <w:rPr>
          <w:rFonts w:asciiTheme="majorBidi" w:hAnsiTheme="majorBidi" w:cstheme="majorBidi"/>
        </w:rPr>
        <w:t>, 2017 &lt;http://timotheusvermeulen.com/&gt; [accessed 1 January 2018]</w:t>
      </w:r>
    </w:p>
    <w:p w14:paraId="592D372C"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Vermeulen, Timotheus, and Van Den Akker, Robin, ‘Notes on Metamodernism’, </w:t>
      </w:r>
      <w:r w:rsidRPr="00505CF0">
        <w:rPr>
          <w:rFonts w:asciiTheme="majorBidi" w:hAnsiTheme="majorBidi" w:cstheme="majorBidi"/>
          <w:i/>
          <w:iCs/>
        </w:rPr>
        <w:t>Journal of Aesthetics &amp; Culture</w:t>
      </w:r>
      <w:r w:rsidRPr="00505CF0">
        <w:rPr>
          <w:rFonts w:asciiTheme="majorBidi" w:hAnsiTheme="majorBidi" w:cstheme="majorBidi"/>
        </w:rPr>
        <w:t>, 2 (2010), 1–14</w:t>
      </w:r>
    </w:p>
    <w:p w14:paraId="36AA7B23" w14:textId="59D08F20"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‘Art Criticism and Metamodernism’, in </w:t>
      </w:r>
      <w:r w:rsidRPr="00505CF0">
        <w:rPr>
          <w:rFonts w:asciiTheme="majorBidi" w:hAnsiTheme="majorBidi" w:cstheme="majorBidi"/>
          <w:i/>
          <w:iCs/>
        </w:rPr>
        <w:t>The ART of Critique/Re-Imagining Professional ART Criticism and The Art School Critique</w:t>
      </w:r>
      <w:r w:rsidRPr="00505CF0">
        <w:rPr>
          <w:rFonts w:asciiTheme="majorBidi" w:hAnsiTheme="majorBidi" w:cstheme="majorBidi"/>
        </w:rPr>
        <w:t>, ed. by Stephen</w:t>
      </w:r>
      <w:r w:rsidR="00293DC0">
        <w:rPr>
          <w:rFonts w:asciiTheme="majorBidi" w:hAnsiTheme="majorBidi" w:cstheme="majorBidi"/>
        </w:rPr>
        <w:t xml:space="preserve"> Knudsen (Chicago:</w:t>
      </w:r>
      <w:r w:rsidRPr="00505CF0">
        <w:rPr>
          <w:rFonts w:asciiTheme="majorBidi" w:hAnsiTheme="majorBidi" w:cstheme="majorBidi"/>
        </w:rPr>
        <w:t xml:space="preserve"> The University of Chicago Press, 2014) </w:t>
      </w:r>
    </w:p>
    <w:p w14:paraId="4542B39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‘Utopia, Sort of: A Case Study in Metamodernism’, </w:t>
      </w:r>
      <w:r w:rsidRPr="00505CF0">
        <w:rPr>
          <w:rFonts w:asciiTheme="majorBidi" w:hAnsiTheme="majorBidi" w:cstheme="majorBidi"/>
          <w:i/>
          <w:iCs/>
        </w:rPr>
        <w:t>Studia Neophilologica</w:t>
      </w:r>
      <w:r w:rsidRPr="00505CF0">
        <w:rPr>
          <w:rFonts w:asciiTheme="majorBidi" w:hAnsiTheme="majorBidi" w:cstheme="majorBidi"/>
        </w:rPr>
        <w:t xml:space="preserve">, 87 (2015), 55–67 </w:t>
      </w:r>
    </w:p>
    <w:p w14:paraId="2AF1C6A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‘Misunderstandings and Clarifications’, </w:t>
      </w:r>
      <w:r w:rsidRPr="00505CF0">
        <w:rPr>
          <w:rFonts w:asciiTheme="majorBidi" w:hAnsiTheme="majorBidi" w:cstheme="majorBidi"/>
          <w:i/>
          <w:iCs/>
        </w:rPr>
        <w:t>Notes on Metamodernism</w:t>
      </w:r>
      <w:r w:rsidRPr="00505CF0">
        <w:rPr>
          <w:rFonts w:asciiTheme="majorBidi" w:hAnsiTheme="majorBidi" w:cstheme="majorBidi"/>
        </w:rPr>
        <w:t>, 2015 &lt;http://www.metamodernism.com/2015/06/03/misunderstandings-and-clarifications/&gt; [accessed 26 June 2015]</w:t>
      </w:r>
    </w:p>
    <w:p w14:paraId="185F0A74"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Wade, Lisa, ‘Power, Mickey Mouse, and the Infantilization of Women’, </w:t>
      </w:r>
      <w:r w:rsidRPr="00505CF0">
        <w:rPr>
          <w:rFonts w:asciiTheme="majorBidi" w:hAnsiTheme="majorBidi" w:cstheme="majorBidi"/>
          <w:i/>
          <w:iCs/>
        </w:rPr>
        <w:t>The Society Pages</w:t>
      </w:r>
      <w:r w:rsidRPr="00505CF0">
        <w:rPr>
          <w:rFonts w:asciiTheme="majorBidi" w:hAnsiTheme="majorBidi" w:cstheme="majorBidi"/>
        </w:rPr>
        <w:t>, 2013 &lt;https://thesocietypages.org/socimages/2013/08/08/power-mickey-mouse-and-the-infantilization-of-women/&gt; [accessed 24 October 2017]</w:t>
      </w:r>
    </w:p>
    <w:p w14:paraId="1120BB7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Walsh, Richard, </w:t>
      </w:r>
      <w:r w:rsidRPr="00505CF0">
        <w:rPr>
          <w:rFonts w:asciiTheme="majorBidi" w:hAnsiTheme="majorBidi" w:cstheme="majorBidi"/>
          <w:i/>
          <w:iCs/>
        </w:rPr>
        <w:t>Novel Arguments: Reading Innovative American Fiction</w:t>
      </w:r>
      <w:r w:rsidRPr="00505CF0">
        <w:rPr>
          <w:rFonts w:asciiTheme="majorBidi" w:hAnsiTheme="majorBidi" w:cstheme="majorBidi"/>
        </w:rPr>
        <w:t xml:space="preserve"> (New York: Cambridge University Press, 1995)</w:t>
      </w:r>
    </w:p>
    <w:p w14:paraId="2FC3937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Watercutter, Angela, ‘Sincerely Ours: Glee’s Success Cements Age of Geeky “New Sincerity”’, </w:t>
      </w:r>
      <w:r w:rsidRPr="00505CF0">
        <w:rPr>
          <w:rFonts w:asciiTheme="majorBidi" w:hAnsiTheme="majorBidi" w:cstheme="majorBidi"/>
          <w:i/>
          <w:iCs/>
        </w:rPr>
        <w:t>WIRED</w:t>
      </w:r>
      <w:r w:rsidRPr="00505CF0">
        <w:rPr>
          <w:rFonts w:asciiTheme="majorBidi" w:hAnsiTheme="majorBidi" w:cstheme="majorBidi"/>
        </w:rPr>
        <w:t>, 2010 &lt;www.wired.com/2010/09/new-sincerity&gt; [accessed 25 September 2017]</w:t>
      </w:r>
    </w:p>
    <w:p w14:paraId="7CFD7659"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Watkiss, Joanne, </w:t>
      </w:r>
      <w:r w:rsidRPr="00505CF0">
        <w:rPr>
          <w:rFonts w:asciiTheme="majorBidi" w:hAnsiTheme="majorBidi" w:cstheme="majorBidi"/>
          <w:i/>
          <w:iCs/>
        </w:rPr>
        <w:t>Gothic Contemporaries: The Haunted Text</w:t>
      </w:r>
      <w:r w:rsidRPr="00505CF0">
        <w:rPr>
          <w:rFonts w:asciiTheme="majorBidi" w:hAnsiTheme="majorBidi" w:cstheme="majorBidi"/>
        </w:rPr>
        <w:t xml:space="preserve"> (Cardiff: University of Wales Press, 2012)</w:t>
      </w:r>
    </w:p>
    <w:p w14:paraId="22B23C07"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Waugh, Patricia, </w:t>
      </w:r>
      <w:r w:rsidRPr="00505CF0">
        <w:rPr>
          <w:rFonts w:asciiTheme="majorBidi" w:hAnsiTheme="majorBidi" w:cstheme="majorBidi"/>
          <w:i/>
          <w:iCs/>
        </w:rPr>
        <w:t>Metafiction</w:t>
      </w:r>
      <w:r w:rsidRPr="00505CF0">
        <w:rPr>
          <w:rFonts w:asciiTheme="majorBidi" w:hAnsiTheme="majorBidi" w:cstheme="majorBidi"/>
        </w:rPr>
        <w:t xml:space="preserve"> (London: Routledge, 1984)</w:t>
      </w:r>
    </w:p>
    <w:p w14:paraId="2AB5B096"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Wilde, Oscar, ‘The Decay of the Living: An Observation’, in </w:t>
      </w:r>
      <w:r w:rsidRPr="00505CF0">
        <w:rPr>
          <w:rFonts w:asciiTheme="majorBidi" w:hAnsiTheme="majorBidi" w:cstheme="majorBidi"/>
          <w:i/>
          <w:iCs/>
        </w:rPr>
        <w:t>The Norton Anthology of Theory and Criticism</w:t>
      </w:r>
      <w:r w:rsidRPr="00505CF0">
        <w:rPr>
          <w:rFonts w:asciiTheme="majorBidi" w:hAnsiTheme="majorBidi" w:cstheme="majorBidi"/>
        </w:rPr>
        <w:t>, ed. by Vincent Leitch, 2nd edn (New York: W. W. Norton &amp; Co., 2010), pp. 790–94</w:t>
      </w:r>
    </w:p>
    <w:p w14:paraId="17442E61"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Wilson, Kit, ‘Sentimental Nihilism and Popular Culture’, </w:t>
      </w:r>
      <w:r w:rsidRPr="00505CF0">
        <w:rPr>
          <w:rFonts w:asciiTheme="majorBidi" w:hAnsiTheme="majorBidi" w:cstheme="majorBidi"/>
          <w:i/>
          <w:iCs/>
        </w:rPr>
        <w:t>Standpoint.</w:t>
      </w:r>
      <w:r w:rsidRPr="00505CF0">
        <w:rPr>
          <w:rFonts w:asciiTheme="majorBidi" w:hAnsiTheme="majorBidi" w:cstheme="majorBidi"/>
        </w:rPr>
        <w:t>, 2015 &lt;http://standpointmag.co.uk/node/6136/full&gt; [accessed 10 October 2017]</w:t>
      </w:r>
    </w:p>
    <w:p w14:paraId="2DB40872"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Wolff, Alexander, ‘The Privilege of the Sponge’, </w:t>
      </w:r>
      <w:r w:rsidRPr="00505CF0">
        <w:rPr>
          <w:rFonts w:asciiTheme="majorBidi" w:hAnsiTheme="majorBidi" w:cstheme="majorBidi"/>
          <w:i/>
          <w:iCs/>
        </w:rPr>
        <w:t>Notes on Metamodernism</w:t>
      </w:r>
      <w:r w:rsidRPr="00505CF0">
        <w:rPr>
          <w:rFonts w:asciiTheme="majorBidi" w:hAnsiTheme="majorBidi" w:cstheme="majorBidi"/>
        </w:rPr>
        <w:t>, 2012 &lt;http://www.metamodernism.com/2012/10/23/the-privilege-of-the-sponge/&gt; [accessed 13 November 2017]</w:t>
      </w:r>
    </w:p>
    <w:p w14:paraId="6EB4C2A5"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Yoonsuk Paik, Peter, </w:t>
      </w:r>
      <w:r w:rsidRPr="00505CF0">
        <w:rPr>
          <w:rFonts w:asciiTheme="majorBidi" w:hAnsiTheme="majorBidi" w:cstheme="majorBidi"/>
          <w:i/>
          <w:iCs/>
        </w:rPr>
        <w:t>From Utopia to Apocalypse: Science Fiction and the Politics of Catastrophe</w:t>
      </w:r>
      <w:r w:rsidRPr="00505CF0">
        <w:rPr>
          <w:rFonts w:asciiTheme="majorBidi" w:hAnsiTheme="majorBidi" w:cstheme="majorBidi"/>
        </w:rPr>
        <w:t xml:space="preserve"> (Minneapolis: University of Minnesota Press, 2010)</w:t>
      </w:r>
    </w:p>
    <w:p w14:paraId="279C2DDA"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Zinsser, William, ‘Goodbye and Don’t Come Back’, </w:t>
      </w:r>
      <w:r w:rsidRPr="00505CF0">
        <w:rPr>
          <w:rFonts w:asciiTheme="majorBidi" w:hAnsiTheme="majorBidi" w:cstheme="majorBidi"/>
          <w:i/>
          <w:iCs/>
        </w:rPr>
        <w:t>The American Scholar</w:t>
      </w:r>
      <w:r w:rsidRPr="00505CF0">
        <w:rPr>
          <w:rFonts w:asciiTheme="majorBidi" w:hAnsiTheme="majorBidi" w:cstheme="majorBidi"/>
        </w:rPr>
        <w:t>, 2011 &lt;https://theamericanscholar.org/goodbye-and-dont-come-back/#&gt; [accessed 21 October 2017]</w:t>
      </w:r>
    </w:p>
    <w:p w14:paraId="2D97CC0E"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Žižek, Slavoj, </w:t>
      </w:r>
      <w:r w:rsidRPr="00505CF0">
        <w:rPr>
          <w:rFonts w:asciiTheme="majorBidi" w:hAnsiTheme="majorBidi" w:cstheme="majorBidi"/>
          <w:i/>
          <w:iCs/>
        </w:rPr>
        <w:t>Welcome to the Desert of the Real: Five Essays on September 11 and Related Dates</w:t>
      </w:r>
      <w:r w:rsidRPr="00505CF0">
        <w:rPr>
          <w:rFonts w:asciiTheme="majorBidi" w:hAnsiTheme="majorBidi" w:cstheme="majorBidi"/>
        </w:rPr>
        <w:t xml:space="preserve"> (London: Verso, 2002)</w:t>
      </w:r>
    </w:p>
    <w:p w14:paraId="337BEFFB"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Zlosnik, Sue, </w:t>
      </w:r>
      <w:r w:rsidRPr="00505CF0">
        <w:rPr>
          <w:rFonts w:asciiTheme="majorBidi" w:hAnsiTheme="majorBidi" w:cstheme="majorBidi"/>
          <w:i/>
          <w:iCs/>
        </w:rPr>
        <w:t>Patrick McGrath</w:t>
      </w:r>
      <w:r w:rsidRPr="00505CF0">
        <w:rPr>
          <w:rFonts w:asciiTheme="majorBidi" w:hAnsiTheme="majorBidi" w:cstheme="majorBidi"/>
        </w:rPr>
        <w:t xml:space="preserve"> (Cardiff: University of Wales Press, 2011)</w:t>
      </w:r>
    </w:p>
    <w:p w14:paraId="34B2412F" w14:textId="77777777" w:rsidR="00252349" w:rsidRPr="00505CF0" w:rsidRDefault="00252349" w:rsidP="006B5C76">
      <w:pPr>
        <w:pStyle w:val="NormalWeb"/>
        <w:ind w:left="480" w:hanging="480"/>
        <w:rPr>
          <w:rFonts w:asciiTheme="majorBidi" w:hAnsiTheme="majorBidi" w:cstheme="majorBidi"/>
        </w:rPr>
      </w:pPr>
      <w:r w:rsidRPr="00505CF0">
        <w:rPr>
          <w:rFonts w:asciiTheme="majorBidi" w:hAnsiTheme="majorBidi" w:cstheme="majorBidi"/>
        </w:rPr>
        <w:t xml:space="preserve">– – –, ‘McGrath’s Women’, in </w:t>
      </w:r>
      <w:r w:rsidRPr="00505CF0">
        <w:rPr>
          <w:rFonts w:asciiTheme="majorBidi" w:hAnsiTheme="majorBidi" w:cstheme="majorBidi"/>
          <w:i/>
          <w:iCs/>
        </w:rPr>
        <w:t>Patrick McGrath: Directions and Transgressions</w:t>
      </w:r>
      <w:r w:rsidRPr="00505CF0">
        <w:rPr>
          <w:rFonts w:asciiTheme="majorBidi" w:hAnsiTheme="majorBidi" w:cstheme="majorBidi"/>
        </w:rPr>
        <w:t>, ed. by Jocelyn Dupont (Newcastle Upon Tyne: Cambridge Scholars Publishing, 2012), pp. 81–99</w:t>
      </w:r>
    </w:p>
    <w:p w14:paraId="1375D607" w14:textId="77777777" w:rsidR="00252349" w:rsidRPr="00505CF0" w:rsidRDefault="00252349" w:rsidP="006B5C76">
      <w:pPr>
        <w:ind w:right="737"/>
        <w:rPr>
          <w:rFonts w:asciiTheme="majorBidi" w:hAnsiTheme="majorBidi" w:cstheme="majorBidi"/>
        </w:rPr>
      </w:pPr>
    </w:p>
    <w:sectPr w:rsidR="00252349" w:rsidRPr="00505CF0" w:rsidSect="00FE7EAF">
      <w:footnotePr>
        <w:numRestart w:val="eachSect"/>
      </w:footnotePr>
      <w:pgSz w:w="11906" w:h="16838"/>
      <w:pgMar w:top="1440" w:right="1440" w:bottom="14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03F0E" w14:textId="77777777" w:rsidR="00497AE9" w:rsidRDefault="00497AE9" w:rsidP="00C111D3">
      <w:pPr>
        <w:spacing w:line="240" w:lineRule="auto"/>
      </w:pPr>
      <w:r>
        <w:separator/>
      </w:r>
    </w:p>
  </w:endnote>
  <w:endnote w:type="continuationSeparator" w:id="0">
    <w:p w14:paraId="597F7DF1" w14:textId="77777777" w:rsidR="00497AE9" w:rsidRDefault="00497AE9" w:rsidP="00C11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35908" w14:textId="77777777" w:rsidR="00497AE9" w:rsidRDefault="00497AE9" w:rsidP="00C111D3">
      <w:pPr>
        <w:spacing w:line="240" w:lineRule="auto"/>
      </w:pPr>
      <w:r>
        <w:separator/>
      </w:r>
    </w:p>
  </w:footnote>
  <w:footnote w:type="continuationSeparator" w:id="0">
    <w:p w14:paraId="0D47698D" w14:textId="77777777" w:rsidR="00497AE9" w:rsidRDefault="00497AE9" w:rsidP="00C111D3">
      <w:pPr>
        <w:spacing w:line="240" w:lineRule="auto"/>
      </w:pPr>
      <w:r>
        <w:continuationSeparator/>
      </w:r>
    </w:p>
  </w:footnote>
  <w:footnote w:id="1">
    <w:p w14:paraId="7FB37D5E" w14:textId="28066820" w:rsidR="00054009" w:rsidRPr="00505CF0" w:rsidRDefault="00054009" w:rsidP="00967358">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For more, see any of </w:t>
      </w:r>
      <w:r w:rsidR="00FE7EAF">
        <w:rPr>
          <w:rFonts w:asciiTheme="majorBidi" w:hAnsiTheme="majorBidi" w:cstheme="majorBidi"/>
        </w:rPr>
        <w:t>K. Foe</w:t>
      </w:r>
      <w:r w:rsidRPr="00505CF0">
        <w:rPr>
          <w:rFonts w:asciiTheme="majorBidi" w:hAnsiTheme="majorBidi" w:cstheme="majorBidi"/>
        </w:rPr>
        <w:t xml:space="preserve">field’s essays on the terrible acts </w:t>
      </w:r>
      <w:r>
        <w:rPr>
          <w:rFonts w:asciiTheme="majorBidi" w:hAnsiTheme="majorBidi" w:cstheme="majorBidi"/>
        </w:rPr>
        <w:t xml:space="preserve">perpetrated </w:t>
      </w:r>
      <w:r w:rsidRPr="00505CF0">
        <w:rPr>
          <w:rFonts w:asciiTheme="majorBidi" w:hAnsiTheme="majorBidi" w:cstheme="majorBidi"/>
        </w:rPr>
        <w:t xml:space="preserve">by this truly despicable human: </w:t>
      </w:r>
      <w:r w:rsidRPr="00505CF0">
        <w:rPr>
          <w:rFonts w:asciiTheme="majorBidi" w:hAnsiTheme="majorBidi" w:cstheme="majorBidi"/>
          <w:i/>
        </w:rPr>
        <w:t xml:space="preserve">Why we no longer read: Southward’s literary ruination, Tabula Southwardsa; the new literary landscape of death, </w:t>
      </w:r>
      <w:r w:rsidRPr="00505CF0">
        <w:rPr>
          <w:rFonts w:asciiTheme="majorBidi" w:hAnsiTheme="majorBidi" w:cstheme="majorBidi"/>
        </w:rPr>
        <w:t xml:space="preserve">or even </w:t>
      </w:r>
      <w:r w:rsidRPr="00505CF0">
        <w:rPr>
          <w:rFonts w:asciiTheme="majorBidi" w:hAnsiTheme="majorBidi" w:cstheme="majorBidi"/>
          <w:i/>
        </w:rPr>
        <w:t xml:space="preserve">Pregnant to a Monster; the husband who burnt all the books. </w:t>
      </w:r>
    </w:p>
  </w:footnote>
  <w:footnote w:id="2">
    <w:p w14:paraId="1528F6F5" w14:textId="7EEB1E5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"edition" : "2nd", "id" : "ITEM-1", "issued" : { "date-parts" : [ [ "2002" ] ] }, "note" : "[...] the postmodern may well be a twentieth-century phenomenon, that is, a thing of the past. p.165\n\nLet's just say: It's over. p.166\n\nPostmodernism in both fiction and photography - the main focus of this book - could be said to have been born of the partcular confrontation between realist referentialism and modernist reflexivity, between the historical and the parodic, or the documentary and the intertextual. But this particular confrontation ended in a typically postmodern truce: No 'either/or' decision was reguired; the more inclusive 'both/and' prevailed. p.166\n\nThe postmodern moment has passed, even if its discursive strategies and its ideological critique continue to live on - as do those of modernism - in our contemporary twenty-first-century world. Literary historical categories like modernism and postmodernism are, after all, only heuristic labels that we create in our attempts to chart cultural changes and continuities. p.181", "publisher" : "Routledge", "publisher-place" : "Abingdon", "title" : "The Politics Of Postmodernism", "type" : "book" }, "locator" : "165", "uris" : [ "http://www.mendeley.com/documents/?uuid=85deb424-c3ad-485d-946a-363deecd1bc9" ] } ], "mendeley" : { "formattedCitation" : "Linda Hutcheon, &lt;i&gt;The Politics Of Postmodernism&lt;/i&gt;, 2nd edn (Abingdon: Routledge, 2002), p. 165.", "manualFormatting" : "Linda Hutcheon, The Politics Of Postmodernism, 2nd edn (Abingdon: Routledge, 2002), p. 181.", "plainTextFormattedCitation" : "Linda Hutcheon, The Politics Of Postmodernism, 2nd edn (Abingdon: Routledge, 2002), p. 165.", "previouslyFormattedCitation" : "Linda Hutcheon, &lt;i&gt;The Politics Of Postmodernism&lt;/i&gt;, 2nd edn (Abingdon: Routledge, 2002), p. 165."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Linda Hutcheon, </w:t>
      </w:r>
      <w:r w:rsidRPr="00505CF0">
        <w:rPr>
          <w:rFonts w:asciiTheme="majorBidi" w:hAnsiTheme="majorBidi" w:cstheme="majorBidi"/>
          <w:i/>
          <w:noProof/>
        </w:rPr>
        <w:t>The Politics Of Postmodernism</w:t>
      </w:r>
      <w:r w:rsidRPr="00505CF0">
        <w:rPr>
          <w:rFonts w:asciiTheme="majorBidi" w:hAnsiTheme="majorBidi" w:cstheme="majorBidi"/>
          <w:noProof/>
        </w:rPr>
        <w:t>, 2nd edn (Abingdon: Routledge, 2002), p. 181.</w:t>
      </w:r>
      <w:r w:rsidRPr="00505CF0">
        <w:rPr>
          <w:rFonts w:asciiTheme="majorBidi" w:hAnsiTheme="majorBidi" w:cstheme="majorBidi"/>
        </w:rPr>
        <w:fldChar w:fldCharType="end"/>
      </w:r>
    </w:p>
  </w:footnote>
  <w:footnote w:id="3">
    <w:p w14:paraId="5F96E2B4" w14:textId="6C666F5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"edition" : "2nd", "id" : "ITEM-1", "issued" : { "date-parts" : [ [ "2002" ] ] }, "note" : "[...] the postmodern may well be a twentieth-century phenomenon, that is, a thing of the past. p.165\n\nLet's just say: It's over. p.166\n\nPostmodernism in both fiction and photography - the main focus of this book - could be said to have been born of the partcular confrontation between realist referentialism and modernist reflexivity, between the historical and the parodic, or the documentary and the intertextual. But this particular confrontation ended in a typically postmodern truce: No 'either/or' decision was reguired; the more inclusive 'both/and' prevailed. p.166\n\nThe postmodern moment has passed, even if its discursive strategies and its ideological critique continue to live on - as do those of modernism - in our contemporary twenty-first-century world. Literary historical categories like modernism and postmodernism are, after all, only heuristic labels that we create in our attempts to chart cultural changes and continuities. p.181", "publisher" : "Routledge", "publisher-place" : "Abingdon", "title" : "The Politics Of Postmodernism", "type" : "book" }, "locator" : "165", "uris" : [ "http://www.mendeley.com/documents/?uuid=85deb424-c3ad-485d-946a-363deecd1bc9" ] } ], "mendeley" : { "formattedCitation" : "Hutcheon, &lt;i&gt;The Politics Of Postmodernism&lt;/i&gt;, p. 165.", "plainTextFormattedCitation" : "Hutcheon, The Politics Of Postmodernism, p. 165.", "previouslyFormattedCitation" : "Hutcheon, &lt;i&gt;The Politics Of Postmodernism&lt;/i&gt;, p. 165."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The Politics Of Postmodernism</w:t>
      </w:r>
      <w:r w:rsidRPr="00505CF0">
        <w:rPr>
          <w:rFonts w:asciiTheme="majorBidi" w:hAnsiTheme="majorBidi" w:cstheme="majorBidi"/>
          <w:noProof/>
        </w:rPr>
        <w:t>, p. 165.</w:t>
      </w:r>
      <w:r w:rsidRPr="00505CF0">
        <w:rPr>
          <w:rFonts w:asciiTheme="majorBidi" w:hAnsiTheme="majorBidi" w:cstheme="majorBidi"/>
        </w:rPr>
        <w:fldChar w:fldCharType="end"/>
      </w:r>
    </w:p>
  </w:footnote>
  <w:footnote w:id="4">
    <w:p w14:paraId="3A83FB18" w14:textId="6540335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"edition" : "2nd", "id" : "ITEM-1", "issued" : { "date-parts" : [ [ "2002" ] ] }, "note" : "[...] the postmodern may well be a twentieth-century phenomenon, that is, a thing of the past. p.165\n\nLet's just say: It's over. p.166\n\nPostmodernism in both fiction and photography - the main focus of this book - could be said to have been born of the partcular confrontation between realist referentialism and modernist reflexivity, between the historical and the parodic, or the documentary and the intertextual. But this particular confrontation ended in a typically postmodern truce: No 'either/or' decision was reguired; the more inclusive 'both/and' prevailed. p.166\n\nThe postmodern moment has passed, even if its discursive strategies and its ideological critique continue to live on - as do those of modernism - in our contemporary twenty-first-century world. Literary historical categories like modernism and postmodernism are, after all, only heuristic labels that we create in our attempts to chart cultural changes and continuities. p.181", "publisher" : "Routledge", "publisher-place" : "Abingdon", "title" : "The Politics Of Postmodernism", "type" : "book" }, "locator" : "165 &amp; 166 respectively", "uris" : [ "http://www.mendeley.com/documents/?uuid=85deb424-c3ad-485d-946a-363deecd1bc9" ] } ], "mendeley" : { "formattedCitation" : "Hutcheon, &lt;i&gt;The Politics Of Postmodernism&lt;/i&gt;, p. 165 &amp; 166 respectively.", "manualFormatting" : "Hutcheon, p. 166.", "plainTextFormattedCitation" : "Hutcheon, The Politics Of Postmodernism, p. 165 &amp; 166 respectively.", "previouslyFormattedCitation" : "Hutcheon, &lt;i&gt;The Politics Of Postmodernism&lt;/i&gt;, p. 165 &amp; 166 respectively."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Hutcheon, p. 166.</w:t>
      </w:r>
      <w:r w:rsidRPr="00505CF0">
        <w:rPr>
          <w:rFonts w:asciiTheme="majorBidi" w:hAnsiTheme="majorBidi" w:cstheme="majorBidi"/>
        </w:rPr>
        <w:fldChar w:fldCharType="end"/>
      </w:r>
    </w:p>
  </w:footnote>
  <w:footnote w:id="5">
    <w:p w14:paraId="74448A2D" w14:textId="4EA9DF3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"Nealon", "given" : "Jeffrey T.", "non-dropping-particle" : "", "parse-names" : false, "suffix" : "" } ], "id" : "ITEM-1", "issued" : { "date-parts" : [ [ "2012" ] ] }, "note" : "v", "publisher" : "Stanford University Press", "publisher-place" : "Stanford", "title" : "Post-Postmodernism; or, the cultural logic of just-in-time capitalism", "type" : "book" }, "locator" : "X", "uris" : [ "http://www.mendeley.com/documents/?uuid=3839fa84-0cff-47c3-bb94-cf940ec69ed0" ] } ], "mendeley" : { "formattedCitation" : "Jeffrey T. Nealon, &lt;i&gt;Post-Postmodernism; Or, the Cultural Logic of Just-in-Time Capitalism&lt;/i&gt; (Stanford: Stanford University Press, 2012), p. X.", "plainTextFormattedCitation" : "Jeffrey T. Nealon, Post-Postmodernism; Or, the Cultural Logic of Just-in-Time Capitalism (Stanford: Stanford University Press, 2012), p. X.", "previouslyFormattedCitation" : "Jeffrey T. Nealon, &lt;i&gt;Post-Postmodernism; Or, the Cultural Logic of Just-in-Time Capitalism&lt;/i&gt; (Stanford: Stanford University Press, 2012), p. X."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Jeffrey T. Nealon, </w:t>
      </w:r>
      <w:r w:rsidRPr="00505CF0">
        <w:rPr>
          <w:rFonts w:asciiTheme="majorBidi" w:hAnsiTheme="majorBidi" w:cstheme="majorBidi"/>
          <w:i/>
          <w:noProof/>
        </w:rPr>
        <w:t>Post-Postmodernism; Or, the Cultural Logic of Just-in-Time Capitalism</w:t>
      </w:r>
      <w:r w:rsidRPr="00505CF0">
        <w:rPr>
          <w:rFonts w:asciiTheme="majorBidi" w:hAnsiTheme="majorBidi" w:cstheme="majorBidi"/>
          <w:noProof/>
        </w:rPr>
        <w:t xml:space="preserve"> (Stanford: Stanford University Press, 2012), p. X.</w:t>
      </w:r>
      <w:r w:rsidRPr="00505CF0">
        <w:rPr>
          <w:rFonts w:asciiTheme="majorBidi" w:hAnsiTheme="majorBidi" w:cstheme="majorBidi"/>
        </w:rPr>
        <w:fldChar w:fldCharType="end"/>
      </w:r>
    </w:p>
  </w:footnote>
  <w:footnote w:id="6">
    <w:p w14:paraId="0475E4FA" w14:textId="4191BFC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"http://electronicbookreview.com/thread/endconstruction/what", "accessed" : { "date-parts" : [ [ "2017", "6", "7" ] ] }, "author" : [ { "dropping-particle" : "", "family" : "Ciccoricco", "given" : "David", "non-dropping-particle" : "", "parse-names" : false, "suffix" : "" } ], "container-title" : "Electronic Book Review", "id" : "ITEM-1", "issued" : { "date-parts" : [ [ "2016" ] ] }, "note" : "Born in the year 1966 or 1973 or sometime in between, the literary and cultural movement known as postmodernism, after a life of suffering at the hands of contemporary theory, died peacefully in the night, or violently during the day, sometime during the 1990s after the wall came down and Becket passed on, or exactly on the morning of Septembet 11th, 2001. \n\nAs far as historicizing goes, it may have taken a catastrophe of millenial proportions to punctuate postmodernism, at least under western eyes; either way, it is also arguably safe enough to trust an expiry date stamped by Cambridge University Press.\n\nIn short, in conceptualizing what postmodernism is or was, much ink has been spilled in an attempt to negotiate the relationship between cultural and economic production and the tension between so-called literary and popular cultures that grows out of it. \n\nContrary to prevailing notions of the postmodernist self as an emptying out, or an always already discursive and multiple construction, it is arguably a form of surplus selfhood that takes hold in digital culture. If postmodernism's subjectivity is constructed foremost in and in relation to language, then the digital self- in this age of the &amp;quot;selfie&amp;quot; - is constructed foremost in and in relation to the machine, which rushes to (over)fill the spaces of the network, and there proliferates. Thus, if finding a satisfying sense of self amid the forces of fragmentation is a uniquely postmodern predicament, then attempting to lose it might be more aptly a digital one [my emphasis]; from innumerable search engine hits that locate us in nanoseconds, to the unknown and unknowable number of databases in which our personal details appear, to out ubiquitous profiles cutting across time and space on social netwroking software du jour. \n\n[It brings me much pleasure] to personally bid farewell to postmodernism. It was a good game. Well-played. Goodbye.", "title" : "What [in the world] was Postmodernism? An Introduction", "type" : "webpage" }, "uris" : [ "http://www.mendeley.com/documents/?uuid=26084ddb-03b2-4e4b-aa94-5271d2b99a40" ] } ], "mendeley" : { "formattedCitation" : "David Ciccoricco, \u2018What [in the World] Was Postmodernism? An Introduction\u2019, &lt;i&gt;Electronic Book Review&lt;/i&gt;, 2016 &lt;http://electronicbookreview.com/thread/endconstruction/what&gt; [accessed 7 June 2017].", "plainTextFormattedCitation" : "David Ciccoricco, \u2018What [in the World] Was Postmodernism? An Introduction\u2019, Electronic Book Review, 2016  [accessed 7 June 2017].", "previouslyFormattedCitation" : "David Ciccoricco, \u2018What [in the World] Was Postmodernism? An Introduction\u2019, &lt;i&gt;Electronic Book Review&lt;/i&gt;, 2016 &lt;http://electronicbookreview.com/thread/endconstruction/what&gt; [accessed 7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David Ciccoricco, ‘What [in the World] Was Postmodernism? An Introduction’, </w:t>
      </w:r>
      <w:r w:rsidRPr="0025171E">
        <w:rPr>
          <w:rFonts w:asciiTheme="majorBidi" w:hAnsiTheme="majorBidi" w:cstheme="majorBidi"/>
          <w:i/>
          <w:noProof/>
        </w:rPr>
        <w:t>Electronic Book Review</w:t>
      </w:r>
      <w:r w:rsidRPr="0025171E">
        <w:rPr>
          <w:rFonts w:asciiTheme="majorBidi" w:hAnsiTheme="majorBidi" w:cstheme="majorBidi"/>
          <w:noProof/>
        </w:rPr>
        <w:t>, 2016 &lt;http://electronicbookreview.com/thread/endconstruction/what&gt; [accessed 7 June 2017].</w:t>
      </w:r>
      <w:r w:rsidRPr="00505CF0">
        <w:rPr>
          <w:rFonts w:asciiTheme="majorBidi" w:hAnsiTheme="majorBidi" w:cstheme="majorBidi"/>
        </w:rPr>
        <w:fldChar w:fldCharType="end"/>
      </w:r>
    </w:p>
  </w:footnote>
  <w:footnote w:id="7">
    <w:p w14:paraId="39DDEB6A" w14:textId="3FA6561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"http://electronicbookreview.com/thread/fictionspresent/tense", "accessed" : { "date-parts" : [ [ "2017", "6", "6" ] ] }, "author" : [ { "dropping-particle" : "", "family" : "McHale", "given" : "Brian", "non-dropping-particle" : "", "parse-names" : false, "suffix" : "" } ], "container-title" : "Electronic Book Review", "id" : "ITEM-1", "issued" : { "date-parts" : [ [ "2007" ] ] }, "note" : "it would be sad to see postmodernism disappear before we tried to explain it.\n\nPeriods in cultural history are typically constituted retrospectively [...] Now, this is strikingly not the case with postmodernism. Almost from the beginning, whenever that might have been, and certainly from about 1975 on, people doing postmodernism could think of themsevkes as postmodernists[...] and as belonging to the postmodern period.\n\nBy way of analogy, think of how animated feature films have operated since Disney studio perfected the formula, around the time of Aladdin: animated features appeal to children through slapstick and cuteness, and to their parents through pop-culture allusions and double entendres that go right over youngsters' heads. That, in a nut-shell, is double-coding. Links to Kirby, death of Pomo\n\nModernism is driven by the imperative to innovate, and every innovation is rendered obsolete by the next one, so that modernism is constantly distancing itself from its own most recent manifestation, which then &amp;quot;slides into the past&amp;quot; (quoting John Frow)\n\nthroughout the entire second half of the twentieth century, we have been living in the ruins of our own civilisation, if only in our imaginations. Is this another version of postmodernism? I'm not sure; perhaps it's a foretaste of what comes after postmodernism. Maybe on 9/11 history finally caught up with our postmodern imagination of disaster, and we are now living in the aftermath of postmodernism.", "title" : "What was Postmodernism", "type" : "webpage" }, "uris" : [ "http://www.mendeley.com/documents/?uuid=8bce43f8-0a11-4a08-bbc2-32c91ca3c61f" ] } ], "mendeley" : { "formattedCitation" : "Brian McHale, \u2018What Was Postmodernism\u2019, &lt;i&gt;Electronic Book Review&lt;/i&gt;, 2007 &lt;http://electronicbookreview.com/thread/fictionspresent/tense&gt; [accessed 6 June 2017].", "plainTextFormattedCitation" : "Brian McHale, \u2018What Was Postmodernism\u2019, Electronic Book Review, 2007  [accessed 6 June 2017].", "previouslyFormattedCitation" : "Brian McHale, \u2018What Was Postmodernism\u2019, &lt;i&gt;Electronic Book Review&lt;/i&gt;, 2007 &lt;http://electronicbookreview.com/thread/fictionspresent/tense&gt; [accessed 6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Brian McHale, ‘What Was Postmodernism’, </w:t>
      </w:r>
      <w:r w:rsidRPr="0025171E">
        <w:rPr>
          <w:rFonts w:asciiTheme="majorBidi" w:hAnsiTheme="majorBidi" w:cstheme="majorBidi"/>
          <w:i/>
          <w:noProof/>
        </w:rPr>
        <w:t>Electronic Book Review</w:t>
      </w:r>
      <w:r w:rsidRPr="0025171E">
        <w:rPr>
          <w:rFonts w:asciiTheme="majorBidi" w:hAnsiTheme="majorBidi" w:cstheme="majorBidi"/>
          <w:noProof/>
        </w:rPr>
        <w:t>, 2007 &lt;http://electronicbookreview.com/thread/fictionspresent/tense&gt; [accessed 6 June 2017].</w:t>
      </w:r>
      <w:r w:rsidRPr="00505CF0">
        <w:rPr>
          <w:rFonts w:asciiTheme="majorBidi" w:hAnsiTheme="majorBidi" w:cstheme="majorBidi"/>
        </w:rPr>
        <w:fldChar w:fldCharType="end"/>
      </w:r>
    </w:p>
  </w:footnote>
  <w:footnote w:id="8">
    <w:p w14:paraId="119D1BE0" w14:textId="0187086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"Alan Kirby, \u2018The Death of Postmodernism and Beyond\u2019, &lt;i&gt;Philosophy Now&lt;/i&gt;, 2006.", "plainTextFormattedCitation" : "Alan Kirby, \u2018The Death of Postmodernism and Beyond\u2019, Philosophy Now, 2006.", "previouslyFormattedCitation" : "Alan Kirby, \u2018The Death of Postmodernism and Beyond\u2019, &lt;i&gt;Philosophy Now&lt;/i&gt;, 2006."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Alan Kirby, ‘The Death of Postmodernism and Beyond’, </w:t>
      </w:r>
      <w:r w:rsidRPr="00505CF0">
        <w:rPr>
          <w:rFonts w:asciiTheme="majorBidi" w:hAnsiTheme="majorBidi" w:cstheme="majorBidi"/>
          <w:i/>
          <w:noProof/>
        </w:rPr>
        <w:t>Philosophy Now</w:t>
      </w:r>
      <w:r w:rsidRPr="00505CF0">
        <w:rPr>
          <w:rFonts w:asciiTheme="majorBidi" w:hAnsiTheme="majorBidi" w:cstheme="majorBidi"/>
          <w:noProof/>
        </w:rPr>
        <w:t>, 2006.</w:t>
      </w:r>
      <w:r w:rsidRPr="00505CF0">
        <w:rPr>
          <w:rFonts w:asciiTheme="majorBidi" w:hAnsiTheme="majorBidi" w:cstheme="majorBidi"/>
        </w:rPr>
        <w:fldChar w:fldCharType="end"/>
      </w:r>
    </w:p>
  </w:footnote>
  <w:footnote w:id="9">
    <w:p w14:paraId="53431619" w14:textId="73B60C5F"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"http://www.nytimes.com/2001/09/22/arts/connections-attacks-us-challenge-perspectives-postmodern-true-believers.html", "accessed" : { "date-parts" : [ [ "2017", "10", "23" ] ] }, "author" : [ { "dropping-particle" : "", "family" : "Rothstein", "given" : "Edward", "non-dropping-particle" : "", "parse-names" : false, "suffix" : "" } ], "container-title" : "The New York Times", "id" : "ITEM-1", "issued" : { "date-parts" : [ [ "2001" ] ] }, "title" : "CONNECTIONS; Attacks on U.S Challenge the Perspectives of Postmodern True Believers", "type" : "webpage" }, "uris" : [ "http://www.mendeley.com/documents/?uuid=1592fbb8-c52e-4cb4-86b2-2aa73a4f3eaa" ] } ], "mendeley" : { "formattedCitation" : "Edward Rothstein, \u2018CONNECTIONS; Attacks on U.S Challenge the Perspectives of Postmodern True Believers\u2019, &lt;i&gt;The New York Times&lt;/i&gt;, 2001 &lt;http://www.nytimes.com/2001/09/22/arts/connections-attacks-us-challenge-perspectives-postmodern-true-believers.html&gt; [accessed 23 October 2017].", "plainTextFormattedCitation" : "Edward Rothstein, \u2018CONNECTIONS; Attacks on U.S Challenge the Perspectives of Postmodern True Believers\u2019, The New York Times, 2001  [accessed 23 October 2017].", "previouslyFormattedCitation" : "Edward Rothstein, \u2018CONNECTIONS; Attacks on U.S Challenge the Perspectives of Postmodern True Believers\u2019, &lt;i&gt;The New York Times&lt;/i&gt;, 2001 &lt;http://www.nytimes.com/2001/09/22/arts/connections-attacks-us-challenge-perspectives-postmodern-true-believers.html&gt; [accessed 23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Edward Rothstein, ‘CONNECTIONS; Attacks on U.S Challenge the Perspectives of Postmodern True Believers’, </w:t>
      </w:r>
      <w:r w:rsidRPr="0025171E">
        <w:rPr>
          <w:rFonts w:asciiTheme="majorBidi" w:hAnsiTheme="majorBidi" w:cstheme="majorBidi"/>
          <w:i/>
          <w:noProof/>
        </w:rPr>
        <w:t>The New York Times</w:t>
      </w:r>
      <w:r w:rsidRPr="0025171E">
        <w:rPr>
          <w:rFonts w:asciiTheme="majorBidi" w:hAnsiTheme="majorBidi" w:cstheme="majorBidi"/>
          <w:noProof/>
        </w:rPr>
        <w:t>, 2001 &lt;http://www.nytimes.com/2001/09/22/arts/connections-attacks-us-challenge-perspectives-postmodern-true-believers.html&gt; [accessed 23 October 2017].</w:t>
      </w:r>
      <w:r w:rsidRPr="00505CF0">
        <w:rPr>
          <w:rFonts w:asciiTheme="majorBidi" w:hAnsiTheme="majorBidi" w:cstheme="majorBidi"/>
        </w:rPr>
        <w:fldChar w:fldCharType="end"/>
      </w:r>
    </w:p>
  </w:footnote>
  <w:footnote w:id="10">
    <w:p w14:paraId="4FB39FFD" w14:textId="29FF1E5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"http://nymag.com/news/9-11/10th-anniversary/irony/", "accessed" : { "date-parts" : [ [ "2017", "10", "21" ] ] }, "author" : [ { "dropping-particle" : "", "family" : "Hirschorn", "given" : "", "non-dropping-particle" : "", "parse-names" : false, "suffix" : "" } ], "container-title" : "NYMag.com", "id" : "ITEM-1", "issued" : { "date-parts" : [ [ "2011" ] ] }, "title" : "Irony, The End of", "type" : "webpage" }, "uris" : [ "http://www.mendeley.com/documents/?uuid=56cba71e-52ec-4f62-9a89-985742dc4651" ] } ], "mendeley" : { "formattedCitation" : "Hirschorn, \u2018Irony, The End of\u2019, &lt;i&gt;NYMag.com&lt;/i&gt;, 2011 &lt;http://nymag.com/news/9-11/10th-anniversary/irony/&gt; [accessed 21 October 2017].", "plainTextFormattedCitation" : "Hirschorn, \u2018Irony, The End of\u2019, NYMag.com, 2011  [accessed 21 October 2017].", "previouslyFormattedCitation" : "Hirschorn, \u2018Irony, The End of\u2019, &lt;i&gt;NYMag.com&lt;/i&gt;, 2011 &lt;http://nymag.com/news/9-11/10th-anniversary/irony/&gt; [accessed 21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Hirschorn, ‘Irony, The End of’, </w:t>
      </w:r>
      <w:r w:rsidRPr="0025171E">
        <w:rPr>
          <w:rFonts w:asciiTheme="majorBidi" w:hAnsiTheme="majorBidi" w:cstheme="majorBidi"/>
          <w:i/>
          <w:noProof/>
        </w:rPr>
        <w:t>NYMag.com</w:t>
      </w:r>
      <w:r w:rsidRPr="0025171E">
        <w:rPr>
          <w:rFonts w:asciiTheme="majorBidi" w:hAnsiTheme="majorBidi" w:cstheme="majorBidi"/>
          <w:noProof/>
        </w:rPr>
        <w:t>, 2011 &lt;http://nymag.com/news/9-11/10th-anniversary/irony/&gt; [accessed 21 October 2017].</w:t>
      </w:r>
      <w:r w:rsidRPr="00505CF0">
        <w:rPr>
          <w:rFonts w:asciiTheme="majorBidi" w:hAnsiTheme="majorBidi" w:cstheme="majorBidi"/>
        </w:rPr>
        <w:fldChar w:fldCharType="end"/>
      </w:r>
    </w:p>
  </w:footnote>
  <w:footnote w:id="11">
    <w:p w14:paraId="390D7DC2" w14:textId="3192724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"https://theamericanscholar.org/goodbye-and-dont-come-back/#", "accessed" : { "date-parts" : [ [ "2017", "10", "21" ] ] }, "author" : [ { "dropping-particle" : "", "family" : "Zinsser", "given" : "William", "non-dropping-particle" : "", "parse-names" : false, "suffix" : "" } ], "container-title" : "The American Scholar", "id" : "ITEM-1", "issued" : { "date-parts" : [ [ "2011" ] ] }, "title" : "Goodbye and Don't Come Back", "type" : "webpage" }, "uris" : [ "http://www.mendeley.com/documents/?uuid=49521b67-6f01-4c58-9253-e121a5f0cea7" ] } ], "mendeley" : { "formattedCitation" : "William Zinsser, \u2018Goodbye and Don\u2019t Come Back\u2019, &lt;i&gt;The American Scholar&lt;/i&gt;, 2011 &lt;https://theamericanscholar.org/goodbye-and-dont-come-back/#&gt; [accessed 21 October 2017].", "plainTextFormattedCitation" : "William Zinsser, \u2018Goodbye and Don\u2019t Come Back\u2019, The American Scholar, 2011  [accessed 21 October 2017].", "previouslyFormattedCitation" : "William Zinsser, \u2018Goodbye and Don\u2019t Come Back\u2019, &lt;i&gt;The American Scholar&lt;/i&gt;, 2011 &lt;https://theamericanscholar.org/goodbye-and-dont-come-back/#&gt; [accessed 21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William Zinsser, ‘Goodbye and Don’t Come Back’, </w:t>
      </w:r>
      <w:r w:rsidRPr="0025171E">
        <w:rPr>
          <w:rFonts w:asciiTheme="majorBidi" w:hAnsiTheme="majorBidi" w:cstheme="majorBidi"/>
          <w:i/>
          <w:noProof/>
        </w:rPr>
        <w:t>The American Scholar</w:t>
      </w:r>
      <w:r w:rsidRPr="0025171E">
        <w:rPr>
          <w:rFonts w:asciiTheme="majorBidi" w:hAnsiTheme="majorBidi" w:cstheme="majorBidi"/>
          <w:noProof/>
        </w:rPr>
        <w:t>, 2011 &lt;https://theamericanscholar.org/goodbye-and-dont-come-back/#&gt; [accessed 21 October 2017].</w:t>
      </w:r>
      <w:r w:rsidRPr="00505CF0">
        <w:rPr>
          <w:rFonts w:asciiTheme="majorBidi" w:hAnsiTheme="majorBidi" w:cstheme="majorBidi"/>
        </w:rPr>
        <w:fldChar w:fldCharType="end"/>
      </w:r>
    </w:p>
  </w:footnote>
  <w:footnote w:id="12">
    <w:p w14:paraId="559E54F1" w14:textId="6B7BC287"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"http://timotheusvermeulen.com/", "accessed" : { "date-parts" : [ [ "2018", "1", "1" ] ] }, "author" : [ { "dropping-particle" : "", "family" : "Vermeulen", "given" : "Timotheus", "non-dropping-particle" : "", "parse-names" : false, "suffix" : "" } ], "container-title" : "timotheusvermeulen.com", "id" : "ITEM-1", "issued" : { "date-parts" : [ [ "2017" ] ] }, "title" : "Blog Post on 'Authenticity?' ed. Cuero &amp; Hendrinks", "type" : "webpage" }, "uris" : [ "http://www.mendeley.com/documents/?uuid=f8433071-343c-417f-8e98-a319d189167e" ] } ], "mendeley" : { "formattedCitation" : "Timotheus Vermeulen, \u2018Blog Post on \u201cAuthenticity?\u201d Ed. Cuero &amp; Hendrinks\u2019, &lt;i&gt;timotheusvermeulen.com&lt;/i&gt;, 2017 &lt;http://timotheusvermeulen.com/&gt; [accessed 1 January 2018].", "plainTextFormattedCitation" : "Timotheus Vermeulen, \u2018Blog Post on \u201cAuthenticity?\u201d Ed. Cuero &amp; Hendrinks\u2019, timotheusvermeulen.com, 2017  [accessed 1 January 2018].", "previouslyFormattedCitation" : "Timotheus Vermeulen, \u2018Blog Post on \u201cAuthenticity?\u201d Ed. Cuero &amp; Hendrinks\u2019, &lt;i&gt;timotheusvermeulen.com&lt;/i&gt;, 2017 &lt;http://timotheusvermeulen.com/&gt; [accessed 1 January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‘Blog Post on “Authenticity?” Ed. Cuero &amp; Hendrinks’, </w:t>
      </w:r>
      <w:r w:rsidRPr="0025171E">
        <w:rPr>
          <w:rFonts w:asciiTheme="majorBidi" w:hAnsiTheme="majorBidi" w:cstheme="majorBidi"/>
          <w:i/>
          <w:noProof/>
        </w:rPr>
        <w:t>timotheusvermeulen.com</w:t>
      </w:r>
      <w:r w:rsidRPr="0025171E">
        <w:rPr>
          <w:rFonts w:asciiTheme="majorBidi" w:hAnsiTheme="majorBidi" w:cstheme="majorBidi"/>
          <w:noProof/>
        </w:rPr>
        <w:t>, 2017 &lt;http://timotheusvermeulen.com/&gt; [accessed 1 January 2018].</w:t>
      </w:r>
      <w:r w:rsidRPr="00505CF0">
        <w:rPr>
          <w:rFonts w:asciiTheme="majorBidi" w:hAnsiTheme="majorBidi" w:cstheme="majorBidi"/>
        </w:rPr>
        <w:fldChar w:fldCharType="end"/>
      </w:r>
    </w:p>
  </w:footnote>
  <w:footnote w:id="13">
    <w:p w14:paraId="362D76BF" w14:textId="37EAA6B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"Timotheus Vermeulen and Robin van den Akker, \u2018Notes on Metamodernism\u2019, &lt;i&gt;Journal of Aesthetics &amp; Culture&lt;/i&gt;, 2 (2010), 1\u201314.", "plainTextFormattedCitation" : "Timotheus Vermeulen and Robin van den Akker, \u2018Notes on Metamodernism\u2019, Journal of Aesthetics &amp; Culture, 2 (2010), 1\u201314.", "previouslyFormattedCitation" : "Timotheus Vermeulen and Robin van den Akker, \u2018Notes on Metamodernism\u2019, &lt;i&gt;Journal of Aesthetics &amp; Culture&lt;/i&gt;, 2 (2010), 1\u201314."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and Robin van den Akker, ‘Notes on Metamodernism’, </w:t>
      </w:r>
      <w:r w:rsidRPr="0025171E">
        <w:rPr>
          <w:rFonts w:asciiTheme="majorBidi" w:hAnsiTheme="majorBidi" w:cstheme="majorBidi"/>
          <w:i/>
          <w:noProof/>
        </w:rPr>
        <w:t>Journal of Aesthetics &amp; Culture</w:t>
      </w:r>
      <w:r w:rsidRPr="0025171E">
        <w:rPr>
          <w:rFonts w:asciiTheme="majorBidi" w:hAnsiTheme="majorBidi" w:cstheme="majorBidi"/>
          <w:noProof/>
        </w:rPr>
        <w:t>, 2 (2010), 1–14.</w:t>
      </w:r>
      <w:r w:rsidRPr="00505CF0">
        <w:rPr>
          <w:rFonts w:asciiTheme="majorBidi" w:hAnsiTheme="majorBidi" w:cstheme="majorBidi"/>
        </w:rPr>
        <w:fldChar w:fldCharType="end"/>
      </w:r>
    </w:p>
  </w:footnote>
  <w:footnote w:id="14">
    <w:p w14:paraId="09314506" w14:textId="0D2BD7B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"Wallace", "given" : "David Foster", "non-dropping-particle" : "", "parse-names" : false, "suffix" : "" } ], "container-title" : "Review of Contemporary Fiction", "id" : "ITEM-1", "issue" : "2", "issued" : { "date-parts" : [ [ "1993" ] ] }, "note" : "Though not related to the genre theme I was looking at these weeks, this essay caught my attention as I flicked through A Supposedly Fun Thing That I\u2019ll Never Do Again. Wallace\u2019s analysis of the medium of television, often very cheerless for the most part, but the section that is most relevant is a small section in which he discusses Metafiction. Wallace links metafiction to Realism, stating: \n\u201c[Metafiction] was nothing more than a single order expansion of its own great theoretical nemesis, realism: If Realism called it like it saw it, Metafiction simply called it as it saw itself seeing itself see it.\u201d \nWallace here suggests that the two are meant for the same effect, seemingly to describe the real, though metafiction seems to go through a more elaborate process for the same effect. This is contrary to my own views about metafiction, apart from the almost nemesis relationship with realism, as I believe it to be merely a literary tool for the destruction of pretensions, not an off-shoot of realism. Realism aims to show the world, an impossible task, to suggest that this printed word may mean this exact object in reality. Metafiction aims to point a lens at the literary and remove it from the world, in terms of realism, say that no printed word may mean this exact object in reality. Otherwise, an enjoyable essay, particularly the section describing the use of the television as a writers tool for peering into worlds otherwise inaccessible.", "page" : "151-194", "title" : "E. Unibus Plurum", "type" : "article-journal", "volume" : "13" }, "locator" : "183", "uris" : [ "http://www.mendeley.com/documents/?uuid=1327a28a-bebc-427f-a76b-69e4781bf597" ] } ], "mendeley" : { "formattedCitation" : "David Foster Wallace, \u2018E. Unibus Plurum\u2019, &lt;i&gt;Review of Contemporary Fiction&lt;/i&gt;, 13 (1993), 151\u2013194 (p. 183).", "plainTextFormattedCitation" : "David Foster Wallace, \u2018E. Unibus Plurum\u2019, Review of Contemporary Fiction, 13 (1993), 151\u2013194 (p. 183).", "previouslyFormattedCitation" : "David Foster Wallace, \u2018E. Unibus Plurum\u2019, &lt;i&gt;Review of Contemporary Fiction&lt;/i&gt;, 13 (1993), 151\u2013194 (p. 183)."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David Foster Wallace, ‘E. Unibus Plurum’, </w:t>
      </w:r>
      <w:r w:rsidRPr="0025171E">
        <w:rPr>
          <w:rFonts w:asciiTheme="majorBidi" w:hAnsiTheme="majorBidi" w:cstheme="majorBidi"/>
          <w:i/>
          <w:noProof/>
        </w:rPr>
        <w:t>Review of Contemporary Fiction</w:t>
      </w:r>
      <w:r w:rsidRPr="0025171E">
        <w:rPr>
          <w:rFonts w:asciiTheme="majorBidi" w:hAnsiTheme="majorBidi" w:cstheme="majorBidi"/>
          <w:noProof/>
        </w:rPr>
        <w:t>, 13 (1993), 151–194 (p. 183).</w:t>
      </w:r>
      <w:r w:rsidRPr="00505CF0">
        <w:rPr>
          <w:rFonts w:asciiTheme="majorBidi" w:hAnsiTheme="majorBidi" w:cstheme="majorBidi"/>
        </w:rPr>
        <w:fldChar w:fldCharType="end"/>
      </w:r>
    </w:p>
  </w:footnote>
  <w:footnote w:id="15">
    <w:p w14:paraId="42319D2B" w14:textId="302AEA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"Toth", "given" : "Josh", "non-dropping-particle" : "", "parse-names" : false, "suffix" : "" } ], "id" : "ITEM-1", "issued" : { "date-parts" : [ [ "2010" ] ] }, "publisher" : "State University of New York Press", "publisher-place" : "Albany", "title" : "The Passing of Postmodernism", "type" : "book" }, "locator" : "107", "uris" : [ "http://www.mendeley.com/documents/?uuid=857ca529-2a3c-43c7-9ec5-b99dd45e3280" ] } ], "mendeley" : { "formattedCitation" : "Josh Toth, &lt;i&gt;The Passing of Postmodernism&lt;/i&gt; (Albany: State University of New York Press, 2010), p. 107.", "plainTextFormattedCitation" : "Josh Toth, The Passing of Postmodernism (Albany: State University of New York Press, 2010), p. 107.", "previouslyFormattedCitation" : "Josh Toth, &lt;i&gt;The Passing of Postmodernism&lt;/i&gt; (Albany: State University of New York Press, 2010), p. 107."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Josh Toth, </w:t>
      </w:r>
      <w:r w:rsidRPr="00505CF0">
        <w:rPr>
          <w:rFonts w:asciiTheme="majorBidi" w:hAnsiTheme="majorBidi" w:cstheme="majorBidi"/>
          <w:i/>
          <w:noProof/>
        </w:rPr>
        <w:t>The Passing of Postmodernism</w:t>
      </w:r>
      <w:r w:rsidRPr="00505CF0">
        <w:rPr>
          <w:rFonts w:asciiTheme="majorBidi" w:hAnsiTheme="majorBidi" w:cstheme="majorBidi"/>
          <w:noProof/>
        </w:rPr>
        <w:t xml:space="preserve"> (Albany: State University of New York Press, 2010), p. 107.</w:t>
      </w:r>
      <w:r w:rsidRPr="00505CF0">
        <w:rPr>
          <w:rFonts w:asciiTheme="majorBidi" w:hAnsiTheme="majorBidi" w:cstheme="majorBidi"/>
        </w:rPr>
        <w:fldChar w:fldCharType="end"/>
      </w:r>
    </w:p>
  </w:footnote>
  <w:footnote w:id="16">
    <w:p w14:paraId="046757FC" w14:textId="244C5DB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"Toth", "given" : "Josh", "non-dropping-particle" : "", "parse-names" : false, "suffix" : "" } ], "id" : "ITEM-1", "issued" : { "date-parts" : [ [ "2010" ] ] }, "publisher" : "State University of New York Press", "publisher-place" : "Albany", "title" : "The Passing of Postmodernism", "type" : "book" }, "locator" : "113", "uris" : [ "http://www.mendeley.com/documents/?uuid=857ca529-2a3c-43c7-9ec5-b99dd45e3280" ] } ], "mendeley" : { "formattedCitation" : "Toth, p. 113.", "plainTextFormattedCitation" : "Toth, p. 113.", "previouslyFormattedCitation" : "Toth, p. 113."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Toth, p. 113.</w:t>
      </w:r>
      <w:r w:rsidRPr="00505CF0">
        <w:rPr>
          <w:rFonts w:asciiTheme="majorBidi" w:hAnsiTheme="majorBidi" w:cstheme="majorBidi"/>
        </w:rPr>
        <w:fldChar w:fldCharType="end"/>
      </w:r>
    </w:p>
  </w:footnote>
  <w:footnote w:id="17">
    <w:p w14:paraId="1BE6DBF7" w14:textId="3A291A61" w:rsidR="00054009" w:rsidRPr="00391287" w:rsidRDefault="00054009">
      <w:pPr>
        <w:pStyle w:val="FootnoteText"/>
        <w:rPr>
          <w:i/>
          <w:iCs/>
        </w:rPr>
      </w:pPr>
      <w:r>
        <w:rPr>
          <w:rStyle w:val="FootnoteReference"/>
        </w:rPr>
        <w:footnoteRef/>
      </w:r>
      <w:r>
        <w:t xml:space="preserve"> </w:t>
      </w:r>
      <w:r w:rsidRPr="00391287">
        <w:rPr>
          <w:i/>
          <w:iCs/>
        </w:rPr>
        <w:t>ACO: Among the notes I found within Eyestan’s stash was that small heavily stylised bas-relief sculpture of the novel – with the urinal and pipe merging on the cover. The Sculptor, the reader may be interested to know, Southward apparently discovered to be none other than a Scottish literature student named Robert ES Colwan – a distant relation to Southward himself.</w:t>
      </w:r>
    </w:p>
  </w:footnote>
  <w:footnote w:id="18">
    <w:p w14:paraId="0BA71E77" w14:textId="6B9F90DF"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"http://www.performatism.de/What-is-Performatism", "accessed" : { "date-parts" : [ [ "2017", "8", "22" ] ] }, "author" : [ { "dropping-particle" : "", "family" : "Eshelman", "given" : "Raoul", "non-dropping-particle" : "", "parse-names" : false, "suffix" : "" } ], "container-title" : "Performatism.de", "id" : "ITEM-1", "issued" : { "date-parts" : [ [ "2015" ] ] }, "note" : "Performatism describes an across-the-board cultural reaction to post-modernism that began sometime in the mid 1990s.\n\nPostmodernism doesnt simply &amp;quot;extend&amp;quot; or &amp;quot;intensify&amp;quot; or &amp;quot;Radically pluralize&amp;quot; modernism but ironically undercuts and subverts it.\n\nwhy is [postmodernism] boring the daylights out of us? [...] the fact is, the features [of postmodernism] are well known to the point of exhaustion and no longer can suprise or unsettle us. What was once a cleverly subversive, ironic mode of dealing with real social and political problems has become a heavily stylized, aesthetically predictable form of social critique that no longer has the power to really move us.\n\nWhat, then, is performatism? One thing that it is not is a return to modernism or a fuzzy extension of postmodernism. \n\nThe original postmodern project of averting modernist totalitarianism and/or the totalizing devices that accompanied it is passe.\n\nPerformatism's basic goal is to choke off irony by forcing us to beleive using literary or other aesthetic devices. [...] Aesthetically mediated belief, and not endlessly receding ironic skepticism, is the basis of the new epoch.\n\nPerformatist works offer us a unified object, person, or the situation isnide the work that we intuitively identify with, and then rigs the work as a whole so that we don't [have] any other choice but to accept this identification, even if the person or thing in question is rather dubious.\n\nyou wind up wanting to beleive.\n\nPerformatist narratives tend to trick or coerce us into a position of beleiving in something unified.\n\nPerformatism revives both history and the feeling of experiencing events.\n\nThese [narrative] &amp;quot;suprises&amp;quot;, which cause us to believe in something fictional or artistic, can be thought of as performances that also change our attitude towards the real world.\n\nThe performatist sibject is not &amp;quot;authentic&amp;quot; but is formally &amp;quot;out of it&amp;quot;. This allows him or her to resist outside influence and act autonomously, against the logic of prevaling discourse.\n\nHence performatist narratives often involve positive or productive dyadic relationships between human beings that are unthinkable in postmodernism.", "title" : "What is Performatism", "type" : "webpage" }, "uris" : [ "http://www.mendeley.com/documents/?uuid=5c8f6716-0630-4a17-9699-72563b3224b3" ] } ], "mendeley" : { "formattedCitation" : "Raoul Eshelman, \u2018What Is Performatism\u2019, &lt;i&gt;Performatism.de&lt;/i&gt;, 2015 &lt;http://www.performatism.de/What-is-Performatism&gt; [accessed 22 August 2017].", "plainTextFormattedCitation" : "Raoul Eshelman, \u2018What Is Performatism\u2019, Performatism.de, 2015  [accessed 22 August 2017].", "previouslyFormattedCitation" : "Raoul Eshelman, \u2018What Is Performatism\u2019, &lt;i&gt;Performatism.de&lt;/i&gt;, 2015 &lt;http://www.performatism.de/What-is-Performatism&gt; [accessed 22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Raoul Eshelman, ‘What Is Performatism’, </w:t>
      </w:r>
      <w:r w:rsidRPr="0025171E">
        <w:rPr>
          <w:rFonts w:asciiTheme="majorBidi" w:hAnsiTheme="majorBidi" w:cstheme="majorBidi"/>
          <w:i/>
          <w:noProof/>
        </w:rPr>
        <w:t>Performatism.de</w:t>
      </w:r>
      <w:r w:rsidRPr="0025171E">
        <w:rPr>
          <w:rFonts w:asciiTheme="majorBidi" w:hAnsiTheme="majorBidi" w:cstheme="majorBidi"/>
          <w:noProof/>
        </w:rPr>
        <w:t>, 2015 &lt;http://www.performatism.de/What-is-Performatism&gt; [accessed 22 August 2017].</w:t>
      </w:r>
      <w:r w:rsidRPr="00505CF0">
        <w:rPr>
          <w:rFonts w:asciiTheme="majorBidi" w:hAnsiTheme="majorBidi" w:cstheme="majorBidi"/>
        </w:rPr>
        <w:fldChar w:fldCharType="end"/>
      </w:r>
    </w:p>
  </w:footnote>
  <w:footnote w:id="19">
    <w:p w14:paraId="25486C63"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Oasis, </w:t>
      </w:r>
      <w:r w:rsidRPr="00505CF0">
        <w:rPr>
          <w:rFonts w:asciiTheme="majorBidi" w:hAnsiTheme="majorBidi" w:cstheme="majorBidi"/>
          <w:i/>
          <w:iCs/>
        </w:rPr>
        <w:t>Oasis “Star” Cinema Advert</w:t>
      </w:r>
      <w:r w:rsidRPr="00505CF0">
        <w:rPr>
          <w:rFonts w:asciiTheme="majorBidi" w:hAnsiTheme="majorBidi" w:cstheme="majorBidi"/>
        </w:rPr>
        <w:t xml:space="preserve"> (advertised in British cinema) (September 2015) &lt; </w:t>
      </w:r>
      <w:hyperlink r:id="rId1" w:history="1">
        <w:r w:rsidRPr="00505CF0">
          <w:rPr>
            <w:rStyle w:val="Hyperlink"/>
            <w:rFonts w:asciiTheme="majorBidi" w:hAnsiTheme="majorBidi" w:cstheme="majorBidi"/>
          </w:rPr>
          <w:t>https://www.adforum.com/creative-work/ad/player/34526617/oasis-star-cinema-advert/oasis</w:t>
        </w:r>
      </w:hyperlink>
      <w:r w:rsidRPr="00505CF0">
        <w:rPr>
          <w:rFonts w:asciiTheme="majorBidi" w:hAnsiTheme="majorBidi" w:cstheme="majorBidi"/>
        </w:rPr>
        <w:t>&gt; [Accessed 23 October 2017].</w:t>
      </w:r>
    </w:p>
  </w:footnote>
  <w:footnote w:id="20">
    <w:p w14:paraId="6672CB6F"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See 20</w:t>
      </w:r>
      <w:r w:rsidRPr="00505CF0">
        <w:rPr>
          <w:rFonts w:asciiTheme="majorBidi" w:hAnsiTheme="majorBidi" w:cstheme="majorBidi"/>
          <w:vertAlign w:val="superscript"/>
        </w:rPr>
        <w:t>th</w:t>
      </w:r>
      <w:r w:rsidRPr="00505CF0">
        <w:rPr>
          <w:rFonts w:asciiTheme="majorBidi" w:hAnsiTheme="majorBidi" w:cstheme="majorBidi"/>
        </w:rPr>
        <w:t xml:space="preserve"> Century Fox, </w:t>
      </w:r>
      <w:r w:rsidRPr="00505CF0">
        <w:rPr>
          <w:rFonts w:asciiTheme="majorBidi" w:hAnsiTheme="majorBidi" w:cstheme="majorBidi"/>
          <w:i/>
          <w:iCs/>
        </w:rPr>
        <w:t>Victor Frankenstein “Don’t Skip” Ad Compilation</w:t>
      </w:r>
      <w:r w:rsidRPr="00505CF0">
        <w:rPr>
          <w:rFonts w:asciiTheme="majorBidi" w:hAnsiTheme="majorBidi" w:cstheme="majorBidi"/>
        </w:rPr>
        <w:t xml:space="preserve"> (YouTube advert series) (November 2015) &lt;https://www.youtube.com/watch?v=Zz7HvC-ZTIE&gt; [accessed 21/1-/2017] for one set of examples among many. </w:t>
      </w:r>
    </w:p>
  </w:footnote>
  <w:footnote w:id="21">
    <w:p w14:paraId="5CF34760" w14:textId="394B871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"Toth", "given" : "Josh", "non-dropping-particle" : "", "parse-names" : false, "suffix" : "" } ], "id" : "ITEM-1", "issued" : { "date-parts" : [ [ "2010" ] ] }, "publisher" : "State University of New York Press", "publisher-place" : "Albany", "title" : "The Passing of Postmodernism", "type" : "book" }, "locator" : "117", "uris" : [ "http://www.mendeley.com/documents/?uuid=857ca529-2a3c-43c7-9ec5-b99dd45e3280" ] } ], "mendeley" : { "formattedCitation" : "Toth, p. 117.", "plainTextFormattedCitation" : "Toth, p. 117.", "previouslyFormattedCitation" : "Toth, p. 117."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Toth, p. 117.</w:t>
      </w:r>
      <w:r w:rsidRPr="00505CF0">
        <w:rPr>
          <w:rFonts w:asciiTheme="majorBidi" w:hAnsiTheme="majorBidi" w:cstheme="majorBidi"/>
        </w:rPr>
        <w:fldChar w:fldCharType="end"/>
      </w:r>
    </w:p>
  </w:footnote>
  <w:footnote w:id="22">
    <w:p w14:paraId="7C0616D9" w14:textId="715F259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"Epstein", "given" : "Mikhail", "non-dropping-particle" : "", "parse-names" : false, "suffix" : "" } ], "container-title" : "Russian Postmodernism: New Perspectives on Late Soviet and Post-Soviet Culture", "editor" : [ { "dropping-particle" : "", "family" : "Epstein", "given" : "Thomas", "non-dropping-particle" : "", "parse-names" : false, "suffix" : "" } ], "id" : "ITEM-1", "issued" : { "date-parts" : [ [ "1998" ] ] }, "note" : "Post-postmodernism witnesses the rebirth of utopia after its own death, after its subjection to postmodernism's severe scepticism, relativism and its anti-utopian consciousness.\n\nAt the present time, citationality, by contrast [to within postmodernism], serves as a trigger of meaning: the repetition is underlined in order to cross out banality. The world sonsists of a double layer - the quoted and the trans-quotational, which is uttered for the first time, here and now, thus opening the way for a new polysemy. My Notes - Nostalgia! We repeat to add a new meaning via repetition, a search for a new sincerity. \n\n[postmodernism] arose after the problems and contradictions posed by modernism had been fully expressed. its job was to solve them.", "publisher" : "Berghahn Books", "publisher-place" : "Oxford", "title" : "The place of Postmodernism in Postmodernity", "translator" : [ { "dropping-particle" : "", "family" : "Vladiv-Glover", "given" : "Slobodanka", "non-dropping-particle" : "", "parse-names" : false, "suffix" : "" } ], "type" : "chapter" }, "uris" : [ "http://www.mendeley.com/documents/?uuid=15a88daf-dcd0-44e0-ab5d-bdbe6e9c68bc" ] } ], "mendeley" : { "formattedCitation" : "Mikhail Epstein, \u2018The Place of Postmodernism in Postmodernity\u2019, in &lt;i&gt;Russian Postmodernism: New Perspectives on Late Soviet and Post-Soviet Culture&lt;/i&gt;, ed. by Thomas Epstein, trans. by Slobodanka Vladiv-Glover (Oxford: Berghahn Books, 1998) &lt;http://www.focusing.org/apm_papers/epstein.html&gt;.", "manualFormatting" : "Mikhail Epstein, \u2018The Place of Postmodernism in Postmodernity\u2019, in Russian Postmodernism: New Perspectives on Late Soviet and Post-Soviet Culture, ed. by Thomas Epstein, trans. by Slobodanka Vladiv-Glover (Oxford: Berghahn Books, 1998).", "plainTextFormattedCitation" : "Mikhail Epstein, \u2018The Place of Postmodernism in Postmodernity\u2019, in Russian Postmodernism: New Perspectives on Late Soviet and Post-Soviet Culture, ed. by Thomas Epstein, trans. by Slobodanka Vladiv-Glover (Oxford: Berghahn Books, 1998) .", "previouslyFormattedCitation" : "Mikhail Epstein, \u2018The Place of Postmodernism in Postmodernity\u2019, in &lt;i&gt;Russian Postmodernism: New Perspectives on Late Soviet and Post-Soviet Culture&lt;/i&gt;, ed. by Thomas Epstein, trans. by Slobodanka Vladiv-Glover (Oxford: Berghahn Books, 1998) &lt;http://www.focusing.org/apm_papers/epstein.html&gt;."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Mikhail Epstein, ‘The Place of Postmodernism in Postmodernity’, in </w:t>
      </w:r>
      <w:r w:rsidRPr="00505CF0">
        <w:rPr>
          <w:rFonts w:asciiTheme="majorBidi" w:hAnsiTheme="majorBidi" w:cstheme="majorBidi"/>
          <w:i/>
          <w:noProof/>
        </w:rPr>
        <w:t>Russian Postmodernism: New Perspectives on Late Soviet and Post-Soviet Culture</w:t>
      </w:r>
      <w:r w:rsidRPr="00505CF0">
        <w:rPr>
          <w:rFonts w:asciiTheme="majorBidi" w:hAnsiTheme="majorBidi" w:cstheme="majorBidi"/>
          <w:noProof/>
        </w:rPr>
        <w:t>, ed. by Thomas Epstein, trans. by Slobodanka Vladiv-Glover (Oxford: Berghahn Books, 1998).</w:t>
      </w:r>
      <w:r w:rsidRPr="00505CF0">
        <w:rPr>
          <w:rFonts w:asciiTheme="majorBidi" w:hAnsiTheme="majorBidi" w:cstheme="majorBidi"/>
        </w:rPr>
        <w:fldChar w:fldCharType="end"/>
      </w:r>
    </w:p>
  </w:footnote>
  <w:footnote w:id="23">
    <w:p w14:paraId="10A76F08" w14:textId="0C9E84DC"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"editor" : [ { "dropping-particle" : "", "family" : "Adiseshiah", "given" : "Si\u00e2n", "non-dropping-particle" : "", "parse-names" : false, "suffix" : "" }, { "dropping-particle" : "", "family" : "Hildyard", "given" : "Rupert", "non-dropping-particle" : "", "parse-names" : false, "suffix" : "" } ], "id" : "ITEM-1", "issued" : { "date-parts" : [ [ "2013" ] ] }, "note" : "The postmodern project itself certainly seems to have been discredited. A growing concensus is critical of its paralysing self-reflexivity, knavish use of irony and the ludic, and relativistic approaches to historiography, none of which inspire much confidence in its capacity to usefully address the serious and urgent problems of the late twentieth century. p.4\n\nIn", "publisher" : "Palgrave Macmillan", "publisher-place" : "Basingstoke", "title" : "Twenty-First Century Fiction", "type" : "book" }, "locator" : "2", "uris" : [ "http://www.mendeley.com/documents/?uuid=029632ca-d232-4111-9e98-bac2ecd8d053" ] } ], "mendeley" : { "formattedCitation" : "Si\u00e2n Adiseshiah and Rupert Hildyard, eds., &lt;i&gt;Twenty-First Century Fiction&lt;/i&gt; (Basingstoke: Palgrave Macmillan, 2013), p. 2.", "plainTextFormattedCitation" : "Si\u00e2n Adiseshiah and Rupert Hildyard, eds., Twenty-First Century Fiction (Basingstoke: Palgrave Macmillan, 2013), p. 2.", "previouslyFormattedCitation" : "Si\u00e2n Adiseshiah and Rupert Hildyard, eds., &lt;i&gt;Twenty-First Century Fiction&lt;/i&gt; (Basingstoke: Palgrave Macmillan, 2013), p. 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Siân Adiseshiah and Rupert Hildyard, eds., </w:t>
      </w:r>
      <w:r w:rsidRPr="0025171E">
        <w:rPr>
          <w:rFonts w:asciiTheme="majorBidi" w:hAnsiTheme="majorBidi" w:cstheme="majorBidi"/>
          <w:i/>
          <w:noProof/>
        </w:rPr>
        <w:t>Twenty-First Century Fiction</w:t>
      </w:r>
      <w:r w:rsidRPr="0025171E">
        <w:rPr>
          <w:rFonts w:asciiTheme="majorBidi" w:hAnsiTheme="majorBidi" w:cstheme="majorBidi"/>
          <w:noProof/>
        </w:rPr>
        <w:t xml:space="preserve"> (Basingstoke: Palgrave Macmillan, 2013), p. 2.</w:t>
      </w:r>
      <w:r w:rsidRPr="00505CF0">
        <w:rPr>
          <w:rFonts w:asciiTheme="majorBidi" w:hAnsiTheme="majorBidi" w:cstheme="majorBidi"/>
        </w:rPr>
        <w:fldChar w:fldCharType="end"/>
      </w:r>
    </w:p>
  </w:footnote>
  <w:footnote w:id="24">
    <w:p w14:paraId="025B447A"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In a move, it must be said, that mirrors the manner in which postmodernism itself was spawned as a reaction to other disasters – war, genocide, nuclear threat etc. The cycle continues and history repeats, with each fresh disaster that occurs producing significant shifts in ideological movements across cultures. </w:t>
      </w:r>
    </w:p>
  </w:footnote>
  <w:footnote w:id="25">
    <w:p w14:paraId="025EA323" w14:textId="58F13D2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"Yoonsuk Paik", "given" : "Peter", "non-dropping-particle" : "", "parse-names" : false, "suffix" : "" } ], "id" : "ITEM-1", "issued" : { "date-parts" : [ [ "2010" ] ] }, "note" : "[he describes the complications of society as an] infernal constellation of unsolveable problems: unchecked capitalism, catastrophic climate change, the depeltion of natural resources, and a hedonistic society that categorically rejects any limits on individual pleasure. p.119", "publisher" : "University of Minnesota Press", "publisher-place" : "Minneapolis", "title" : "From Utopia to Apocalypse: Science Fiction and the Politics of Catastrophe", "type" : "book" }, "locator" : "119", "uris" : [ "http://www.mendeley.com/documents/?uuid=938ffc9e-2a01-4404-99ec-cbd112b89221" ] } ], "mendeley" : { "formattedCitation" : "Peter Yoonsuk Paik, &lt;i&gt;From Utopia to Apocalypse: Science Fiction and the Politics of Catastrophe&lt;/i&gt; (Minneapolis: University of Minnesota Press, 2010), p. 119.", "plainTextFormattedCitation" : "Peter Yoonsuk Paik, From Utopia to Apocalypse: Science Fiction and the Politics of Catastrophe (Minneapolis: University of Minnesota Press, 2010), p. 119.", "previouslyFormattedCitation" : "Peter Yoonsuk Paik, &lt;i&gt;From Utopia to Apocalypse: Science Fiction and the Politics of Catastrophe&lt;/i&gt; (Minneapolis: University of Minnesota Press, 2010), p. 119."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Peter Yoonsuk Paik, </w:t>
      </w:r>
      <w:r w:rsidRPr="00505CF0">
        <w:rPr>
          <w:rFonts w:asciiTheme="majorBidi" w:hAnsiTheme="majorBidi" w:cstheme="majorBidi"/>
          <w:i/>
          <w:noProof/>
        </w:rPr>
        <w:t>From Utopia to Apocalypse: Science Fiction and the Politics of Catastrophe</w:t>
      </w:r>
      <w:r w:rsidRPr="00505CF0">
        <w:rPr>
          <w:rFonts w:asciiTheme="majorBidi" w:hAnsiTheme="majorBidi" w:cstheme="majorBidi"/>
          <w:noProof/>
        </w:rPr>
        <w:t xml:space="preserve"> (Minneapolis: University of Minnesota Press, 2010), p. 119.</w:t>
      </w:r>
      <w:r w:rsidRPr="00505CF0">
        <w:rPr>
          <w:rFonts w:asciiTheme="majorBidi" w:hAnsiTheme="majorBidi" w:cstheme="majorBidi"/>
        </w:rPr>
        <w:fldChar w:fldCharType="end"/>
      </w:r>
    </w:p>
  </w:footnote>
  <w:footnote w:id="26">
    <w:p w14:paraId="03A52CA5" w14:textId="1F6BCFB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"Luke Turner, \u2018Metamodernism: A Brief Introduction\u2019, &lt;i&gt;Notes on Metamodernism&lt;/i&gt;, 2015 &lt;http://www.metamodernism.com/2015/01/12/metamodernism-a-brief-introduction/&gt; [accessed 2 June 2015].", "plainTextFormattedCitation" : "Luke Turner, \u2018Metamodernism: A Brief Introduction\u2019, Notes on Metamodernism, 2015  [accessed 2 June 2015].", "previouslyFormattedCitation" : "Luke Turner, \u2018Metamodernism: A Brief Introduction\u2019, &lt;i&gt;Notes on Metamodernism&lt;/i&gt;, 2015 &lt;http://www.metamodernism.com/2015/01/12/metamodernism-a-brief-introduction/&gt; [accessed 2 June 2015]."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Luke Turner, ‘Metamodernism: A Brief Introduction’, </w:t>
      </w:r>
      <w:r w:rsidRPr="0025171E">
        <w:rPr>
          <w:rFonts w:asciiTheme="majorBidi" w:hAnsiTheme="majorBidi" w:cstheme="majorBidi"/>
          <w:i/>
          <w:noProof/>
        </w:rPr>
        <w:t>Notes on Metamodernism</w:t>
      </w:r>
      <w:r w:rsidRPr="0025171E">
        <w:rPr>
          <w:rFonts w:asciiTheme="majorBidi" w:hAnsiTheme="majorBidi" w:cstheme="majorBidi"/>
          <w:noProof/>
        </w:rPr>
        <w:t>, 2015 &lt;http://www.metamodernism.com/2015/01/12/metamodernism-a-brief-introduction/&gt; [accessed 2 June 2015].</w:t>
      </w:r>
      <w:r w:rsidRPr="00505CF0">
        <w:rPr>
          <w:rFonts w:asciiTheme="majorBidi" w:hAnsiTheme="majorBidi" w:cstheme="majorBidi"/>
        </w:rPr>
        <w:fldChar w:fldCharType="end"/>
      </w:r>
    </w:p>
  </w:footnote>
  <w:footnote w:id="27">
    <w:p w14:paraId="72AE5F85" w14:textId="0831370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"suffix" : "[Addendum: at least in the eyes of Kirby]", "uris" : [ "http://www.mendeley.com/documents/?uuid=2578f141-439a-4d83-a334-6a4382f8833d" ] } ], "mendeley" : { "formattedCitation" : "Kirby, \u2018The Death of Postmodernism and Beyond\u2019 [Addendum: at least in the eyes of Kirby].", "plainTextFormattedCitation" : "Kirby, \u2018The Death of Postmodernism and Beyond\u2019 [Addendum: at least in the eyes of Kirby].", "previouslyFormattedCitation" : "Kirby, \u2018The Death of Postmodernism and Beyond\u2019 [Addendum: at least in the eyes of Kirby]."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 [Addendum: at least in the eyes of Kirby].</w:t>
      </w:r>
      <w:r w:rsidRPr="00505CF0">
        <w:rPr>
          <w:rFonts w:asciiTheme="majorBidi" w:hAnsiTheme="majorBidi" w:cstheme="majorBidi"/>
        </w:rPr>
        <w:fldChar w:fldCharType="end"/>
      </w:r>
    </w:p>
  </w:footnote>
  <w:footnote w:id="28">
    <w:p w14:paraId="269362A0" w14:textId="09DC607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"editor" : [ { "dropping-particle" : "", "family" : "Adiseshiah", "given" : "Si\u00e2n", "non-dropping-particle" : "", "parse-names" : false, "suffix" : "" }, { "dropping-particle" : "", "family" : "Hildyard", "given" : "Rupert", "non-dropping-particle" : "", "parse-names" : false, "suffix" : "" } ], "id" : "ITEM-1", "issued" : { "date-parts" : [ [ "2013" ] ] }, "note" : "The postmodern project itself certainly seems to have been discredited. A growing concensus is critical of its paralysing self-reflexivity, knavish use of irony and the ludic, and relativistic approaches to historiography, none of which inspire much confidence in its capacity to usefully address the serious and urgent problems of the late twentieth century. p.4\n\nIn", "publisher" : "Palgrave Macmillan", "publisher-place" : "Basingstoke", "title" : "Twenty-First Century Fiction", "type" : "book" }, "locator" : "4", "uris" : [ "http://www.mendeley.com/documents/?uuid=029632ca-d232-4111-9e98-bac2ecd8d053" ] } ], "mendeley" : { "formattedCitation" : "Adiseshiah and Hildyard, p. 4.", "plainTextFormattedCitation" : "Adiseshiah and Hildyard, p. 4.", "previouslyFormattedCitation" : "Adiseshiah and Hildyard,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Adiseshiah and Hildyard, p. 4.</w:t>
      </w:r>
      <w:r w:rsidRPr="00505CF0">
        <w:rPr>
          <w:rFonts w:asciiTheme="majorBidi" w:hAnsiTheme="majorBidi" w:cstheme="majorBidi"/>
        </w:rPr>
        <w:fldChar w:fldCharType="end"/>
      </w:r>
    </w:p>
  </w:footnote>
  <w:footnote w:id="29">
    <w:p w14:paraId="7F3B50BD" w14:textId="1CBAE43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"DOI" : "https://doi.org/10.1353/cli.2013.0013", "author" : [ { "dropping-particle" : "", "family" : "Konstantinou", "given" : "Lee", "non-dropping-particle" : "", "parse-names" : false, "suffix" : "" } ], "container-title" : "Contemporary Literature", "id" : "ITEM-1", "issue" : "2", "issued" : { "date-parts" : [ [ "2013" ] ] }, "note" : "There's no critical concensus on what to call post-modernism's successor. Strong candidates include globalization, cosmodernism, metamodernism, altermodernism, digimodernism, performatism, postpositivist realism, the New Sincerity, or, for more lexically austere analysts, the contemporary. p.411\n\nIf one identifies postmodernism with theory, as Nealon does, then to be post-postmodern is to theorize at a moment when theory seems to have lost its lister and to write criticism at a moment when symptomatic reading has itself come under suspicion. p.412\n\nLiterary culture depends on the alleged existence of an enclave of true believers who resist oppresive claims to totalization by devoting themselves to reading, standing athwart the depredations of out overclocked world. The existence of the reading class assuages the guilt of the post-postmodern laity, which is to busy to bother with the eccenctric devotions of the literary clergy. p.420\n\ndeconstruction is, more than ever, not so much a method as a situation. p.421", "page" : "411-423", "title" : "Periodizing the Present", "type" : "article-journal", "volume" : "54" }, "locator" : "413", "uris" : [ "http://www.mendeley.com/documents/?uuid=0d98ae32-cc8d-4fb2-a367-9a6a59f1f71d" ] } ], "mendeley" : { "formattedCitation" : "Lee Konstantinou, \u2018Periodizing the Present\u2019, &lt;i&gt;Contemporary Literature&lt;/i&gt;, 54 (2013), 411\u2013423 (p. 413) &lt;doi:https://doi.org/10.1353/cli.2013.0013&gt;.", "manualFormatting" : "Lee Konstantinou, \u2018Periodizing the Present\u2019, Contemporary Literature, 54 (2013), 411\u2013423 (p. 413).", "plainTextFormattedCitation" : "Lee Konstantinou, \u2018Periodizing the Present\u2019, Contemporary Literature, 54 (2013), 411\u2013423 (p. 413) .", "previouslyFormattedCitation" : "Lee Konstantinou, \u2018Periodizing the Present\u2019, &lt;i&gt;Contemporary Literature&lt;/i&gt;, 54 (2013), 411\u2013423 (p. 413) &lt;doi:https://doi.org/10.1353/cli.2013.0013&gt;."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Lee Konstantinou, ‘Periodizing the Present’, </w:t>
      </w:r>
      <w:r w:rsidRPr="00505CF0">
        <w:rPr>
          <w:rFonts w:asciiTheme="majorBidi" w:hAnsiTheme="majorBidi" w:cstheme="majorBidi"/>
          <w:i/>
          <w:noProof/>
        </w:rPr>
        <w:t>Contemporary Literature</w:t>
      </w:r>
      <w:r w:rsidRPr="00505CF0">
        <w:rPr>
          <w:rFonts w:asciiTheme="majorBidi" w:hAnsiTheme="majorBidi" w:cstheme="majorBidi"/>
          <w:noProof/>
        </w:rPr>
        <w:t>, 54 (2013), 411–423 (p. 413).</w:t>
      </w:r>
      <w:r w:rsidRPr="00505CF0">
        <w:rPr>
          <w:rFonts w:asciiTheme="majorBidi" w:hAnsiTheme="majorBidi" w:cstheme="majorBidi"/>
        </w:rPr>
        <w:fldChar w:fldCharType="end"/>
      </w:r>
    </w:p>
  </w:footnote>
  <w:footnote w:id="30">
    <w:p w14:paraId="219560D7" w14:textId="575DA57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"125", "uris" : [ "http://www.mendeley.com/documents/?uuid=e701ae9c-d978-41c3-b76c-fca08064d446" ] } ], "mendeley" : { "formattedCitation" : "Alan Kirby, &lt;i&gt;Digimodernism: How New Technologies Dismantle The Postmodern And Reconfigure Our Culture&lt;/i&gt; (London: The Continuum International Publishing Group Ltd, 2009), p. 125.", "plainTextFormattedCitation" : "Alan Kirby, Digimodernism: How New Technologies Dismantle The Postmodern And Reconfigure Our Culture (London: The Continuum International Publishing Group Ltd, 2009), p. 125.", "previouslyFormattedCitation" : "Alan Kirby, &lt;i&gt;Digimodernism: How New Technologies Dismantle The Postmodern And Reconfigure Our Culture&lt;/i&gt; (London: The Continuum International Publishing Group Ltd, 2009), p. 125."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Alan Kirby, </w:t>
      </w:r>
      <w:r w:rsidRPr="00505CF0">
        <w:rPr>
          <w:rFonts w:asciiTheme="majorBidi" w:hAnsiTheme="majorBidi" w:cstheme="majorBidi"/>
          <w:i/>
          <w:noProof/>
        </w:rPr>
        <w:t>Digimodernism: How New Technologies Dismantle The Postmodern And Reconfigure Our Culture</w:t>
      </w:r>
      <w:r w:rsidRPr="00505CF0">
        <w:rPr>
          <w:rFonts w:asciiTheme="majorBidi" w:hAnsiTheme="majorBidi" w:cstheme="majorBidi"/>
          <w:noProof/>
        </w:rPr>
        <w:t xml:space="preserve"> (London: The Continuum International Publishing Group Ltd, 2009), p. 125.</w:t>
      </w:r>
      <w:r w:rsidRPr="00505CF0">
        <w:rPr>
          <w:rFonts w:asciiTheme="majorBidi" w:hAnsiTheme="majorBidi" w:cstheme="majorBidi"/>
        </w:rPr>
        <w:fldChar w:fldCharType="end"/>
      </w:r>
    </w:p>
  </w:footnote>
  <w:footnote w:id="31">
    <w:p w14:paraId="7AB0ED72" w14:textId="3A27E74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"www.wired.com/2010/09/new-sincerity", "accessed" : { "date-parts" : [ [ "2017", "9", "25" ] ] }, "author" : [ { "dropping-particle" : "", "family" : "Watercutter", "given" : "Angela", "non-dropping-particle" : "", "parse-names" : false, "suffix" : "" } ], "container-title" : "WIRED", "id" : "ITEM-1", "issued" : { "date-parts" : [ [ "2010" ] ] }, "title" : "Sincerely Ours: Glee's Success Cements Age of Geeky 'New Sincerity'", "type" : "webpage" }, "uris" : [ "http://www.mendeley.com/documents/?uuid=5fedb99a-c92c-4c57-93dc-ce1f8cfa5530" ] } ], "mendeley" : { "formattedCitation" : "Angela Watercutter, \u2018Sincerely Ours: Glee\u2019s Success Cements Age of Geeky \u201cNew Sincerity\u201d\u2019, &lt;i&gt;WIRED&lt;/i&gt;, 2010 &lt;www.wired.com/2010/09/new-sincerity&gt; [accessed 25 September 2017].", "plainTextFormattedCitation" : "Angela Watercutter, \u2018Sincerely Ours: Glee\u2019s Success Cements Age of Geeky \u201cNew Sincerity\u201d\u2019, WIRED, 2010  [accessed 25 September 2017].", "previouslyFormattedCitation" : "Angela Watercutter, \u2018Sincerely Ours: Glee\u2019s Success Cements Age of Geeky \u201cNew Sincerity\u201d\u2019, &lt;i&gt;WIRED&lt;/i&gt;, 2010 &lt;www.wired.com/2010/09/new-sincerity&gt; [accessed 25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Angela Watercutter, ‘Sincerely Ours: Glee’s Success Cements Age of Geeky “New Sincerity”’, </w:t>
      </w:r>
      <w:r w:rsidRPr="0025171E">
        <w:rPr>
          <w:rFonts w:asciiTheme="majorBidi" w:hAnsiTheme="majorBidi" w:cstheme="majorBidi"/>
          <w:i/>
          <w:noProof/>
        </w:rPr>
        <w:t>WIRED</w:t>
      </w:r>
      <w:r w:rsidRPr="0025171E">
        <w:rPr>
          <w:rFonts w:asciiTheme="majorBidi" w:hAnsiTheme="majorBidi" w:cstheme="majorBidi"/>
          <w:noProof/>
        </w:rPr>
        <w:t>, 2010 &lt;www.wired.com/2010/09/new-sincerity&gt; [accessed 25 September 2017].</w:t>
      </w:r>
      <w:r w:rsidRPr="00505CF0">
        <w:rPr>
          <w:rFonts w:asciiTheme="majorBidi" w:hAnsiTheme="majorBidi" w:cstheme="majorBidi"/>
        </w:rPr>
        <w:fldChar w:fldCharType="end"/>
      </w:r>
    </w:p>
  </w:footnote>
  <w:footnote w:id="32">
    <w:p w14:paraId="70922A58" w14:textId="26E1A30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33">
    <w:p w14:paraId="326F5C98" w14:textId="4B6E80A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"https://austinchronicle.com/msuic/2000-03-03/76071", "accessed" : { "date-parts" : [ [ "2017", "9", "25" ] ] }, "author" : [ { "dropping-particle" : "", "family" : "Messer", "given" : "Kate X", "non-dropping-particle" : "", "parse-names" : false, "suffix" : "" } ], "container-title" : "The Austin Chronicle", "id" : "ITEM-1", "issued" : { "date-parts" : [ [ "2000", "3" ] ] }, "publisher-place" : "Austin", "title" : "Okkervil River, The New Sincerity", "type" : "webpage" }, "uris" : [ "http://www.mendeley.com/documents/?uuid=acb05fdf-b09d-4cec-b8cf-309f505c0cad" ] } ], "mendeley" : { "formattedCitation" : "Kate X Messer, \u2018Okkervil River, The New Sincerity\u2019, &lt;i&gt;The Austin Chronicle&lt;/i&gt; (Austin, 2000) &lt;https://austinchronicle.com/msuic/2000-03-03/76071&gt; [accessed 25 September 2017].", "plainTextFormattedCitation" : "Kate X Messer, \u2018Okkervil River, The New Sincerity\u2019, The Austin Chronicle (Austin, 2000)  [accessed 25 September 2017].", "previouslyFormattedCitation" : "Kate X Messer, \u2018Okkervil River, The New Sincerity\u2019, &lt;i&gt;The Austin Chronicle&lt;/i&gt; (Austin, 2000) &lt;https://austinchronicle.com/msuic/2000-03-03/76071&gt; [accessed 25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Kate X Messer, ‘Okkervil River, The New Sincerity’, </w:t>
      </w:r>
      <w:r w:rsidRPr="0025171E">
        <w:rPr>
          <w:rFonts w:asciiTheme="majorBidi" w:hAnsiTheme="majorBidi" w:cstheme="majorBidi"/>
          <w:i/>
          <w:noProof/>
        </w:rPr>
        <w:t>The Austin Chronicle</w:t>
      </w:r>
      <w:r w:rsidRPr="0025171E">
        <w:rPr>
          <w:rFonts w:asciiTheme="majorBidi" w:hAnsiTheme="majorBidi" w:cstheme="majorBidi"/>
          <w:noProof/>
        </w:rPr>
        <w:t xml:space="preserve"> (Austin, 2000) &lt;https://austinchronicle.com/msuic/2000-03-03/76071&gt; [accessed 25 September 2017].</w:t>
      </w:r>
      <w:r w:rsidRPr="00505CF0">
        <w:rPr>
          <w:rFonts w:asciiTheme="majorBidi" w:hAnsiTheme="majorBidi" w:cstheme="majorBidi"/>
        </w:rPr>
        <w:fldChar w:fldCharType="end"/>
      </w:r>
    </w:p>
  </w:footnote>
  <w:footnote w:id="34">
    <w:p w14:paraId="753FF8F9" w14:textId="781F29E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"www.wired.com/2010/09/new-sincerity", "accessed" : { "date-parts" : [ [ "2017", "9", "25" ] ] }, "author" : [ { "dropping-particle" : "", "family" : "Watercutter", "given" : "Angela", "non-dropping-particle" : "", "parse-names" : false, "suffix" : "" } ], "container-title" : "WIRED", "id" : "ITEM-1", "issued" : { "date-parts" : [ [ "2010" ] ] }, "title" : "Sincerely Ours: Glee's Success Cements Age of Geeky 'New Sincerity'", "type" : "webpage" }, "uris" : [ "http://www.mendeley.com/documents/?uuid=5fedb99a-c92c-4c57-93dc-ce1f8cfa5530" ] } ], "mendeley" : { "formattedCitation" : "Watercutter.", "plainTextFormattedCitation" : "Watercutter.", "previouslyFormattedCitation" : "Watercutter."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Watercutter.</w:t>
      </w:r>
      <w:r w:rsidRPr="00505CF0">
        <w:rPr>
          <w:rFonts w:asciiTheme="majorBidi" w:hAnsiTheme="majorBidi" w:cstheme="majorBidi"/>
        </w:rPr>
        <w:fldChar w:fldCharType="end"/>
      </w:r>
    </w:p>
  </w:footnote>
  <w:footnote w:id="35">
    <w:p w14:paraId="323F6CC8" w14:textId="12295D5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"http://www.gq-magazine.co.uk/article/ed-sheeran-new-album-divide", "accessed" : { "date-parts" : [ [ "2017", "10", "23" ] ] }, "author" : [ { "dropping-particle" : "", "family" : "Chesterton", "given" : "George", "non-dropping-particle" : "", "parse-names" : false, "suffix" : "" } ], "container-title" : "GQ Magazine", "id" : "ITEM-1", "issued" : { "date-parts" : [ [ "2017" ] ] }, "title" : "How Ed Sheeran Became The Biggest Male Popstar on the Planet", "type" : "webpage" }, "uris" : [ "http://www.mendeley.com/documents/?uuid=60f622d4-b6dd-4121-a3ad-85f45eb045c6" ] } ], "mendeley" : { "formattedCitation" : "George Chesterton, \u2018How Ed Sheeran Became The Biggest Male Popstar on the Planet\u2019, &lt;i&gt;GQ Magazine&lt;/i&gt;, 2017 &lt;http://www.gq-magazine.co.uk/article/ed-sheeran-new-album-divide&gt; [accessed 23 October 2017].", "plainTextFormattedCitation" : "George Chesterton, \u2018How Ed Sheeran Became The Biggest Male Popstar on the Planet\u2019, GQ Magazine, 2017  [accessed 23 October 2017].", "previouslyFormattedCitation" : "George Chesterton, \u2018How Ed Sheeran Became The Biggest Male Popstar on the Planet\u2019, &lt;i&gt;GQ Magazine&lt;/i&gt;, 2017 &lt;http://www.gq-magazine.co.uk/article/ed-sheeran-new-album-divide&gt; [accessed 23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George Chesterton, ‘How Ed Sheeran Became The Biggest Male Popstar on the Planet’, </w:t>
      </w:r>
      <w:r w:rsidRPr="0025171E">
        <w:rPr>
          <w:rFonts w:asciiTheme="majorBidi" w:hAnsiTheme="majorBidi" w:cstheme="majorBidi"/>
          <w:i/>
          <w:noProof/>
        </w:rPr>
        <w:t>GQ Magazine</w:t>
      </w:r>
      <w:r w:rsidRPr="0025171E">
        <w:rPr>
          <w:rFonts w:asciiTheme="majorBidi" w:hAnsiTheme="majorBidi" w:cstheme="majorBidi"/>
          <w:noProof/>
        </w:rPr>
        <w:t>, 2017 &lt;http://www.gq-magazine.co.uk/article/ed-sheeran-new-album-divide&gt; [accessed 23 October 2017].</w:t>
      </w:r>
      <w:r w:rsidRPr="00505CF0">
        <w:rPr>
          <w:rFonts w:asciiTheme="majorBidi" w:hAnsiTheme="majorBidi" w:cstheme="majorBidi"/>
        </w:rPr>
        <w:fldChar w:fldCharType="end"/>
      </w:r>
    </w:p>
  </w:footnote>
  <w:footnote w:id="36">
    <w:p w14:paraId="463D061A"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Perhaps not an overtly postmodern writer, it may be argued, but certainly intertextual in his use of Irish and Folk tales and tropes, to say the least. </w:t>
      </w:r>
    </w:p>
  </w:footnote>
  <w:footnote w:id="37">
    <w:p w14:paraId="2E1FFE4B" w14:textId="6D34D48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"https://www.theatlantic.com/entertainment/archive/2012/11/sincerity-not-irony-is-our-ages-ethos/265466/", "accessed" : { "date-parts" : [ [ "2017", "6", "9" ] ] }, "author" : [ { "dropping-particle" : "", "family" : "Fitzgerald", "given" : "Jonathan D.", "non-dropping-particle" : "", "parse-names" : false, "suffix" : "" } ], "container-title" : "The Atlantic", "id" : "ITEM-1", "issued" : { "date-parts" : [ [ "2012" ] ] }, "note" : "Maybe it was September 11, and maybe it was that combined with the pendulum swing of time, but whatever the case, around the turn of the century, something began to shift. Today, vulnerability shows up in pop music where bravado and posturing once ruled.\n\nAll across the pop culture spectrum, the emphasis on sincerity and authenticity that has arisen has made it un-ironically cool to care about spirituality, family, neighbors, the environment, and the country.", "title" : "Sincerity, Not Irony, Is Our Age's Ethos", "type" : "webpage" }, "uris" : [ "http://www.mendeley.com/documents/?uuid=e1ea8295-298f-42c3-b970-1dd20ab6fa71" ] } ], "mendeley" : { "formattedCitation" : "Jonathan D. Fitzgerald, \u2018Sincerity, Not Irony, Is Our Age\u2019s Ethos\u2019, &lt;i&gt;The Atlantic&lt;/i&gt;, 2012 &lt;https://www.theatlantic.com/entertainment/archive/2012/11/sincerity-not-irony-is-our-ages-ethos/265466/&gt; [accessed 9 June 2017].", "plainTextFormattedCitation" : "Jonathan D. Fitzgerald, \u2018Sincerity, Not Irony, Is Our Age\u2019s Ethos\u2019, The Atlantic, 2012  [accessed 9 June 2017].", "previouslyFormattedCitation" : "Jonathan D. Fitzgerald, \u2018Sincerity, Not Irony, Is Our Age\u2019s Ethos\u2019, &lt;i&gt;The Atlantic&lt;/i&gt;, 2012 &lt;https://www.theatlantic.com/entertainment/archive/2012/11/sincerity-not-irony-is-our-ages-ethos/265466/&gt; [accessed 9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Jonathan D. Fitzgerald, ‘Sincerity, Not Irony, Is Our Age’s Ethos’, </w:t>
      </w:r>
      <w:r w:rsidRPr="0025171E">
        <w:rPr>
          <w:rFonts w:asciiTheme="majorBidi" w:hAnsiTheme="majorBidi" w:cstheme="majorBidi"/>
          <w:i/>
          <w:noProof/>
        </w:rPr>
        <w:t>The Atlantic</w:t>
      </w:r>
      <w:r w:rsidRPr="0025171E">
        <w:rPr>
          <w:rFonts w:asciiTheme="majorBidi" w:hAnsiTheme="majorBidi" w:cstheme="majorBidi"/>
          <w:noProof/>
        </w:rPr>
        <w:t>, 2012 &lt;https://www.theatlantic.com/entertainment/archive/2012/11/sincerity-not-irony-is-our-ages-ethos/265466/&gt; [accessed 9 June 2017].</w:t>
      </w:r>
      <w:r w:rsidRPr="00505CF0">
        <w:rPr>
          <w:rFonts w:asciiTheme="majorBidi" w:hAnsiTheme="majorBidi" w:cstheme="majorBidi"/>
        </w:rPr>
        <w:fldChar w:fldCharType="end"/>
      </w:r>
    </w:p>
  </w:footnote>
  <w:footnote w:id="38">
    <w:p w14:paraId="1C6B5DD6" w14:textId="68BE468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"http://electronicbookreview.com/thread/fictionspresent/tense", "accessed" : { "date-parts" : [ [ "2017", "6", "6" ] ] }, "author" : [ { "dropping-particle" : "", "family" : "McHale", "given" : "Brian", "non-dropping-particle" : "", "parse-names" : false, "suffix" : "" } ], "container-title" : "Electronic Book Review", "id" : "ITEM-1", "issued" : { "date-parts" : [ [ "2007" ] ] }, "note" : "it would be sad to see postmodernism disappear before we tried to explain it.\n\nPeriods in cultural history are typically constituted retrospectively [...] Now, this is strikingly not the case with postmodernism. Almost from the beginning, whenever that might have been, and certainly from about 1975 on, people doing postmodernism could think of themsevkes as postmodernists[...] and as belonging to the postmodern period.\n\nBy way of analogy, think of how animated feature films have operated since Disney studio perfected the formula, around the time of Aladdin: animated features appeal to children through slapstick and cuteness, and to their parents through pop-culture allusions and double entendres that go right over youngsters' heads. That, in a nut-shell, is double-coding. Links to Kirby, death of Pomo\n\nModernism is driven by the imperative to innovate, and every innovation is rendered obsolete by the next one, so that modernism is constantly distancing itself from its own most recent manifestation, which then &amp;quot;slides into the past&amp;quot; (quoting John Frow)\n\nthroughout the entire second half of the twentieth century, we have been living in the ruins of our own civilisation, if only in our imaginations. Is this another version of postmodernism? I'm not sure; perhaps it's a foretaste of what comes after postmodernism. Maybe on 9/11 history finally caught up with our postmodern imagination of disaster, and we are now living in the aftermath of postmodernism.", "title" : "What was Postmodernism", "type" : "webpage" }, "uris" : [ "http://www.mendeley.com/documents/?uuid=8bce43f8-0a11-4a08-bbc2-32c91ca3c61f" ] } ], "mendeley" : { "formattedCitation" : "McHale, \u2018What Was Postmodernism\u2019.", "plainTextFormattedCitation" : "McHale, \u2018What Was Postmodernism\u2019.", "previouslyFormattedCitation" : "McHale, \u2018What Was Postmodernism\u2019."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McHale, ‘What Was Postmodernism’.</w:t>
      </w:r>
      <w:r w:rsidRPr="00505CF0">
        <w:rPr>
          <w:rFonts w:asciiTheme="majorBidi" w:hAnsiTheme="majorBidi" w:cstheme="majorBidi"/>
        </w:rPr>
        <w:fldChar w:fldCharType="end"/>
      </w:r>
    </w:p>
  </w:footnote>
  <w:footnote w:id="39">
    <w:p w14:paraId="5DFBA55F" w14:textId="4782D1D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p>
  </w:footnote>
  <w:footnote w:id="40">
    <w:p w14:paraId="1A04040E" w14:textId="64DE61C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"http://electronicbookreview.com/thread/endconstruction/what", "accessed" : { "date-parts" : [ [ "2017", "6", "7" ] ] }, "author" : [ { "dropping-particle" : "", "family" : "Ciccoricco", "given" : "David", "non-dropping-particle" : "", "parse-names" : false, "suffix" : "" } ], "container-title" : "Electronic Book Review", "id" : "ITEM-1", "issued" : { "date-parts" : [ [ "2016" ] ] }, "note" : "Born in the year 1966 or 1973 or sometime in between, the literary and cultural movement known as postmodernism, after a life of suffering at the hands of contemporary theory, died peacefully in the night, or violently during the day, sometime during the 1990s after the wall came down and Becket passed on, or exactly on the morning of Septembet 11th, 2001. \n\nAs far as historicizing goes, it may have taken a catastrophe of millenial proportions to punctuate postmodernism, at least under western eyes; either way, it is also arguably safe enough to trust an expiry date stamped by Cambridge University Press.\n\nIn short, in conceptualizing what postmodernism is or was, much ink has been spilled in an attempt to negotiate the relationship between cultural and economic production and the tension between so-called literary and popular cultures that grows out of it. \n\nContrary to prevailing notions of the postmodernist self as an emptying out, or an always already discursive and multiple construction, it is arguably a form of surplus selfhood that takes hold in digital culture. If postmodernism's subjectivity is constructed foremost in and in relation to language, then the digital self- in this age of the &amp;quot;selfie&amp;quot; - is constructed foremost in and in relation to the machine, which rushes to (over)fill the spaces of the network, and there proliferates. Thus, if finding a satisfying sense of self amid the forces of fragmentation is a uniquely postmodern predicament, then attempting to lose it might be more aptly a digital one [my emphasis]; from innumerable search engine hits that locate us in nanoseconds, to the unknown and unknowable number of databases in which our personal details appear, to out ubiquitous profiles cutting across time and space on social netwroking software du jour. \n\n[It brings me much pleasure] to personally bid farewell to postmodernism. It was a good game. Well-played. Goodbye.", "title" : "What [in the world] was Postmodernism? An Introduction", "type" : "webpage" }, "uris" : [ "http://www.mendeley.com/documents/?uuid=26084ddb-03b2-4e4b-aa94-5271d2b99a40" ] } ], "mendeley" : { "formattedCitation" : "Ciccoricco.", "plainTextFormattedCitation" : "Ciccoricco.", "previouslyFormattedCitation" : "Ciccoricco."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Ciccoricco.</w:t>
      </w:r>
      <w:r w:rsidRPr="00505CF0">
        <w:rPr>
          <w:rFonts w:asciiTheme="majorBidi" w:hAnsiTheme="majorBidi" w:cstheme="majorBidi"/>
        </w:rPr>
        <w:fldChar w:fldCharType="end"/>
      </w:r>
    </w:p>
  </w:footnote>
  <w:footnote w:id="41">
    <w:p w14:paraId="271C5F0F" w14:textId="0EFE4910" w:rsidR="00054009" w:rsidRPr="00DD028F"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What happens now, it turns out, has been rather a free-for-all. At the wake of postmodernism, standing perhaps over the coffin, a large selection of critics sighed heavily with relief and swore that this time things would be different. No loose definitions, no airy fractured parodies, no vague suspicion of narratives. No, this time, just pure, clear Post-Pomo! Then, another voice- No, I think you’ll find </w:t>
      </w:r>
      <w:proofErr w:type="gramStart"/>
      <w:r w:rsidRPr="00505CF0">
        <w:rPr>
          <w:rFonts w:asciiTheme="majorBidi" w:hAnsiTheme="majorBidi" w:cstheme="majorBidi"/>
        </w:rPr>
        <w:t>it’s</w:t>
      </w:r>
      <w:proofErr w:type="gramEnd"/>
      <w:r w:rsidRPr="00505CF0">
        <w:rPr>
          <w:rFonts w:asciiTheme="majorBidi" w:hAnsiTheme="majorBidi" w:cstheme="majorBidi"/>
        </w:rPr>
        <w:t xml:space="preserve"> Pseudo-modernism. Another- No, Metamodernism. No, Neo-modernism. Then, an awful and terribly awkward silence before a fight broke out.</w:t>
      </w:r>
      <w:r>
        <w:rPr>
          <w:rFonts w:asciiTheme="majorBidi" w:hAnsiTheme="majorBidi" w:cstheme="majorBidi"/>
        </w:rPr>
        <w:t xml:space="preserve"> </w:t>
      </w:r>
      <w:r>
        <w:rPr>
          <w:rFonts w:asciiTheme="majorBidi" w:hAnsiTheme="majorBidi" w:cstheme="majorBidi"/>
          <w:i/>
        </w:rPr>
        <w:t xml:space="preserve">ACO: An interesting footnote, and one which reminds me of my fellow colleague W.J.Arapaima, who has gained a distinct reputation as somewhat of a pugilist at academic conferences, defending his theories with a bit too much vehemence, once could easily argue. Of course, Arapaima has also published some small materials on the Southwardian legacy, some even with some small merit to them. The reader is invited to research such at their own leisure. </w:t>
      </w:r>
    </w:p>
  </w:footnote>
  <w:footnote w:id="42">
    <w:p w14:paraId="0677915A" w14:textId="04FB8DB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"The Times Higher Education Supplement", "id" : "ITEM-1", "issued" : { "date-parts" : [ [ "2010", "5", "27" ] ] }, "note" : "Postmodernism is dead. Wail and rend your clothes. Postmodernism is dead. The tyrant is vanquished!\n\nPostmodernism's heyday is over; its reign has ended. Muted and mutating, its traces and echoes linger on in the culture. Its shadow falls over us from behind. But it is no longer the best place to go to get a handle on the world that we live in. \n\nDigimodernism identifies as the critical event in contemporary culture, the profound and shattering encounter between computerisation and the text. Its most recognisable form is a new kind of digitised textuality - onward, haphazard and evanescent - that disrupts traditional ideas about authorship and reading.\n\nIn Television, the traits of the digimodernist text are reproduced through reality and interactive programming.\n\nTracing the violent and irrevocable impact that digitisation has had on all forms of the text, on one hand digimodernism studies structural upheavals such as the supersession of the music album by the downloaded track, the revolutions in print and publishing and the enhancements in access that have brought about what has been called a second golden age of radio. On the other, it sees across the media landscape a shift towards textual infantilisation, the apparently real, earnestness and narrative endlessness. \n\nIncreasingly, these [post-postmodern] theories feel less like ambitious rivals hoping to inherit postmodernism's esate before the body is even cold than pieces of a jigsaw puzzle whose final picture is still unclear.", "page" : "42", "publisher-place" : "London", "title" : "Successor States to an Empire in Free Fall", "type" : "article-newspaper" }, "uris" : [ "http://www.mendeley.com/documents/?uuid=dff0d63e-5470-4589-a900-b9375c4252d7" ] } ], "mendeley" : { "formattedCitation" : "Alan Kirby, \u2018Successor States to an Empire in Free Fall\u2019, &lt;i&gt;The Times Higher Education Supplement&lt;/i&gt; (London, 27 May 2010), p. 42.", "plainTextFormattedCitation" : "Alan Kirby, \u2018Successor States to an Empire in Free Fall\u2019, The Times Higher Education Supplement (London, 27 May 2010), p. 42.", "previouslyFormattedCitation" : "Alan Kirby, \u2018Successor States to an Empire in Free Fall\u2019, &lt;i&gt;The Times Higher Education Supplement&lt;/i&gt; (London, 27 May 2010), p. 42."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Alan Kirby, ‘Successor States to an Empire in Free Fall’, </w:t>
      </w:r>
      <w:r w:rsidRPr="00505CF0">
        <w:rPr>
          <w:rFonts w:asciiTheme="majorBidi" w:hAnsiTheme="majorBidi" w:cstheme="majorBidi"/>
          <w:i/>
          <w:noProof/>
        </w:rPr>
        <w:t>The Times Higher Education Supplement</w:t>
      </w:r>
      <w:r w:rsidRPr="00505CF0">
        <w:rPr>
          <w:rFonts w:asciiTheme="majorBidi" w:hAnsiTheme="majorBidi" w:cstheme="majorBidi"/>
          <w:noProof/>
        </w:rPr>
        <w:t xml:space="preserve"> (London, 27 May 2010), p. 42.</w:t>
      </w:r>
      <w:r w:rsidRPr="00505CF0">
        <w:rPr>
          <w:rFonts w:asciiTheme="majorBidi" w:hAnsiTheme="majorBidi" w:cstheme="majorBidi"/>
        </w:rPr>
        <w:fldChar w:fldCharType="end"/>
      </w:r>
    </w:p>
  </w:footnote>
  <w:footnote w:id="43">
    <w:p w14:paraId="340FE770" w14:textId="1E40C73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‘That is the true joy of altermodernity: the rebirth of the avant garde.’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"https://www.theguardian.com/artanddesign/jonathanjonesblog/2009/apr/08/altermodernism-nicolas-bourriaud", "accessed" : { "date-parts" : [ [ "2017", "9", "10" ] ] }, "author" : [ { "dropping-particle" : "", "family" : "Jones", "given" : "Jonathan", "non-dropping-particle" : "", "parse-names" : false, "suffix" : "" } ], "container-title" : "The Guardian", "id" : "ITEM-1", "issued" : { "date-parts" : [ [ "2009" ] ] }, "note" : "I beleive [the tate exhibition] does have a great deal to say about the avant garde in our time. But what, exactly?\n\nan exhibition advancing a bold new social and cultural concept.\n\nBourriaud's ideas deserve more than the knee-jerk &amp;quot;Emperor's new clothes&amp;quot; accusations of some newspaper reviews. Anyway, his writing in the Altermodern catalogue is not some steretype of obfuscating unreward. It contains terrific passages of pure eloquence.\n\nPostmodernism really was the fag-end of an age. Yet it has hung around. It's amazing that it has taken until 2009 for someone to formally conduct its funeral rites.\n\nThis is not some glib change of fashion. To comprehend the altermodern it might be better to leave the manifesto behind and look (in the old empirical way) at some of the art Bourriaud has collected. \n\nThere is, I beleive, also a truth in that divided nature. Is the world at this moment funny or scary?\n\nThat is the true joy of altermodernity: the rebirth of the avant garde.", "title" : "This Altermodern Love", "type" : "webpage" }, "uris" : [ "http://www.mendeley.com/documents/?uuid=aa99a764-9200-4ebf-aa56-9e38ed510a86" ] } ], "mendeley" : { "formattedCitation" : "Jonathan Jones, \u2018This Altermodern Love\u2019, &lt;i&gt;The Guardian&lt;/i&gt;, 2009 &lt;https://www.theguardian.com/artanddesign/jonathanjonesblog/2009/apr/08/altermodernism-nicolas-bourriaud&gt; [accessed 10 September 2017].", "plainTextFormattedCitation" : "Jonathan Jones, \u2018This Altermodern Love\u2019, The Guardian, 2009  [accessed 10 September 2017].", "previouslyFormattedCitation" : "Jonathan Jones, \u2018This Altermodern Love\u2019, &lt;i&gt;The Guardian&lt;/i&gt;, 2009 &lt;https://www.theguardian.com/artanddesign/jonathanjonesblog/2009/apr/08/altermodernism-nicolas-bourriaud&gt; [accessed 10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Jonathan Jones, ‘This Altermodern Love’, </w:t>
      </w:r>
      <w:r w:rsidRPr="0025171E">
        <w:rPr>
          <w:rFonts w:asciiTheme="majorBidi" w:hAnsiTheme="majorBidi" w:cstheme="majorBidi"/>
          <w:i/>
          <w:noProof/>
        </w:rPr>
        <w:t>The Guardian</w:t>
      </w:r>
      <w:r w:rsidRPr="0025171E">
        <w:rPr>
          <w:rFonts w:asciiTheme="majorBidi" w:hAnsiTheme="majorBidi" w:cstheme="majorBidi"/>
          <w:noProof/>
        </w:rPr>
        <w:t>, 2009 &lt;https://www.theguardian.com/artanddesign/jonathanjonesblog/2009/apr/08/altermodernism-nicolas-bourriaud&gt; [accessed 10 September 2017].</w:t>
      </w:r>
      <w:r w:rsidRPr="00505CF0">
        <w:rPr>
          <w:rFonts w:asciiTheme="majorBidi" w:hAnsiTheme="majorBidi" w:cstheme="majorBidi"/>
        </w:rPr>
        <w:fldChar w:fldCharType="end"/>
      </w:r>
      <w:r w:rsidRPr="00505CF0">
        <w:rPr>
          <w:rFonts w:asciiTheme="majorBidi" w:hAnsiTheme="majorBidi" w:cstheme="majorBidi"/>
        </w:rPr>
        <w:t xml:space="preserve"> “</w:t>
      </w:r>
    </w:p>
  </w:footnote>
  <w:footnote w:id="44">
    <w:p w14:paraId="612E80F0" w14:textId="0903C2F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"Amerika", "given" : "Mark", "non-dropping-particle" : "", "parse-names" : false, "suffix" : "" }, { "dropping-particle" : "", "family" : "Olsen", "given" : "Lance", "non-dropping-particle" : "", "parse-names" : false, "suffix" : "" } ], "chapter-number" : "1", "container-title" : "In Memoriam to Postmodernism: Essays on the Avant-Pop", "editor" : [ { "dropping-particle" : "", "family" : "Amerika", "given" : "Mark", "non-dropping-particle" : "", "parse-names" : false, "suffix" : "" }, { "dropping-particle" : "", "family" : "Olsen", "given" : "Lance", "non-dropping-particle" : "", "parse-names" : false, "suffix" : "" } ], "id" : "ITEM-1", "issued" : { "date-parts" : [ [ "1995" ] ] }, "note" : "[...]somehow the metafictional strategies of postmodernism got totally abosorbed by the mainstream media marketeers who took pleasure in rooting out whatever avant-garde spirit may have resided in the best work.\n\nUSe the media to subvert the media. Become subversive *mediums*. This Avant-Pop scene still seems very much in development.\n\n[Avant-pop] is the genetically-engineered fusion of these two extremes: 1) the avant-garde's impulse to push the aesthetic evelope, and 2) a specific sensibility's addiction to (and usually ambivalence with) pop culture in all its manifestations--especially electronic realities. \n\nSome of Avant-Pop's most utilized techniques can beszt be summarized in the word heteroglossia. OR A MULTIPLICITY OF NARRATIVE VOICES HOUSED IN A SINGLE &amp;quot;FORM&amp;quot;. \n\nThe artists who create Avant-Pop art are the Children of Mass Media (even more than being the children of their parents, who have much less influence over them). \n\nOur collective mission is to radically alter Pop Culture's focus by channelling a more popularized kind of dark, sexy, surreal, and subtly ironic gesture that grows out of the work of many twentieth-century artists like MArcel Duchamp, John Cage, Lenny Bruce, the two Davids (Cronenberg and Lynch); movements like fluxus, situationalism, lettrism, and neo-hoodooism; and scors of rock bands including the Sex Pistols, Pere Ubu, Bongwater, Slint, L7, Pavement, Stereolab, Meccanormal {this lost of bands constantly changes everytime the manifesto is read aloud}\n\nThe emerginf wave of Avant-Pop artists now arriving on the scene finds themselves caught in this struggle to rapidly transform our sick, commidity0infested workaday culture into a more sensualk, trippy, exotic and networked experience.\n\nAvant-Popsterts welcome the new Electronic Age with open arms because we know that this will vastly increase our chances of finding an audience of like-minded individuals with whome we can communicate and collaborate.\n\nThe ditribution formula will raidcally change from: Author--&amp;gt; Agent--&amp;gt; Editor/Publisher--&amp;gt; Printer--&amp;gt; Distributor--&amp;gt; Retailer--&amp;gt; Consumer to a more simplified and direct:\nAuthor (Sender) --&amp;gt; Interactive Participant (Receiver) Links to Digimodernism\n\nIn a Data Age where we all risk suffering from Information Sickness, one cure is a highly potent, creatively filtered tonic of (yes) textual (or multi-media) residue spilled from the depths of our spiritual consciousness.\n\nThe Avant-Popster is a nomadic voyager, a cultural terrorist, whose identity is contantly in flux. Auto/Altermodern?\n\n", "publisher" : "San Diego University Press", "publisher-place" : "San Diego", "title" : "An Introduction, of Sorts", "type" : "chapter" }, "uris" : [ "http://www.mendeley.com/documents/?uuid=7e918c83-4eb2-4898-8143-ec90b7da4349" ] } ], "mendeley" : { "formattedCitation" : "Mark Amerika and Lance Olsen, \u2018An Introduction, of Sorts\u2019, in &lt;i&gt;In Memoriam to Postmodernism: Essays on the Avant-Pop&lt;/i&gt;, ed. by Mark Amerika and Lance Olsen (San Diego: San Diego University Press, 1995).", "plainTextFormattedCitation" : "Mark Amerika and Lance Olsen, \u2018An Introduction, of Sorts\u2019, in In Memoriam to Postmodernism: Essays on the Avant-Pop, ed. by Mark Amerika and Lance Olsen (San Diego: San Diego University Press, 1995).", "previouslyFormattedCitation" : "Mark Amerika and Lance Olsen, \u2018An Introduction, of Sorts\u2019, in &lt;i&gt;In Memoriam to Postmodernism: Essays on the Avant-Pop&lt;/i&gt;, ed. by Mark Amerika and Lance Olsen (San Diego: San Diego University Press, 1995)."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Mark Amerika and Lance Olsen, ‘An Introduction, of Sorts’, in </w:t>
      </w:r>
      <w:r w:rsidRPr="00505CF0">
        <w:rPr>
          <w:rFonts w:asciiTheme="majorBidi" w:hAnsiTheme="majorBidi" w:cstheme="majorBidi"/>
          <w:i/>
          <w:noProof/>
        </w:rPr>
        <w:t>In Memoriam to Postmodernism: Essays on the Avant-Pop</w:t>
      </w:r>
      <w:r w:rsidRPr="00505CF0">
        <w:rPr>
          <w:rFonts w:asciiTheme="majorBidi" w:hAnsiTheme="majorBidi" w:cstheme="majorBidi"/>
          <w:noProof/>
        </w:rPr>
        <w:t>, ed. by Mark Amerika and Lance Olsen (San Diego: San Diego University Press, 1995).</w:t>
      </w:r>
      <w:r w:rsidRPr="00505CF0">
        <w:rPr>
          <w:rFonts w:asciiTheme="majorBidi" w:hAnsiTheme="majorBidi" w:cstheme="majorBidi"/>
        </w:rPr>
        <w:fldChar w:fldCharType="end"/>
      </w:r>
    </w:p>
  </w:footnote>
  <w:footnote w:id="45">
    <w:p w14:paraId="50155B71" w14:textId="6589866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"Sukenick", "given" : "Ron", "non-dropping-particle" : "", "parse-names" : false, "suffix" : "" } ], "chapter-number" : "2", "container-title" : "In Memoriam to Postmodernism: Essays on the Avant-Pop", "editor" : [ { "dropping-particle" : "", "family" : "Amerika", "given" : "Mark", "non-dropping-particle" : "", "parse-names" : false, "suffix" : "" }, { "dropping-particle" : "", "family" : "Olsen", "given" : "Lance", "non-dropping-particle" : "", "parse-names" : false, "suffix" : "" } ], "id" : "ITEM-1", "issued" : { "date-parts" : [ [ "1995" ] ] }, "note" : "[Avant-Pop] means using mass market modes against the mass market in a kind of update of the Lettriste plot of detournement is correct.\n\nhyperfiction projects itself into the world by, to put it cruedly, making something happen, making somebody react and act on others, not simply adding to reality as with surfiction, but changing reality, hyperfiction is activist fiction.", "publisher" : "San Diego University Press", "publisher-place" : "San Diego", "title" : "aVANT-pOP, sUR-fICTION, hYPER-fICTION", "type" : "chapter" }, "uris" : [ "http://www.mendeley.com/documents/?uuid=012dd044-4b13-49ef-9a57-d362d99b4980" ] } ], "mendeley" : { "formattedCitation" : "Ron Sukenick, \u2018aVANT-pOP, sUR-fICTION, hYPER-fICTION\u2019, in &lt;i&gt;In Memoriam to Postmodernism: Essays on the Avant-Pop&lt;/i&gt;, ed. by Mark Amerika and Lance Olsen (San Diego: San Diego University Press, 1995).", "plainTextFormattedCitation" : "Ron Sukenick, \u2018aVANT-pOP, sUR-fICTION, hYPER-fICTION\u2019, in In Memoriam to Postmodernism: Essays on the Avant-Pop, ed. by Mark Amerika and Lance Olsen (San Diego: San Diego University Press, 1995).", "previouslyFormattedCitation" : "Ron Sukenick, \u2018aVANT-pOP, sUR-fICTION, hYPER-fICTION\u2019, in &lt;i&gt;In Memoriam to Postmodernism: Essays on the Avant-Pop&lt;/i&gt;, ed. by Mark Amerika and Lance Olsen (San Diego: San Diego University Press, 1995)."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Ron Sukenick, ‘aVANT-pOP, sUR-fICTION, hYPER-fICTION’, in </w:t>
      </w:r>
      <w:r w:rsidRPr="00505CF0">
        <w:rPr>
          <w:rFonts w:asciiTheme="majorBidi" w:hAnsiTheme="majorBidi" w:cstheme="majorBidi"/>
          <w:i/>
          <w:noProof/>
        </w:rPr>
        <w:t>In Memoriam to Postmodernism: Essays on the Avant-Pop</w:t>
      </w:r>
      <w:r w:rsidRPr="00505CF0">
        <w:rPr>
          <w:rFonts w:asciiTheme="majorBidi" w:hAnsiTheme="majorBidi" w:cstheme="majorBidi"/>
          <w:noProof/>
        </w:rPr>
        <w:t>, ed. by Mark Amerika and Lance Olsen (San Diego: San Diego University Press, 1995).</w:t>
      </w:r>
      <w:r w:rsidRPr="00505CF0">
        <w:rPr>
          <w:rFonts w:asciiTheme="majorBidi" w:hAnsiTheme="majorBidi" w:cstheme="majorBidi"/>
        </w:rPr>
        <w:fldChar w:fldCharType="end"/>
      </w:r>
    </w:p>
  </w:footnote>
  <w:footnote w:id="46">
    <w:p w14:paraId="5E61D93D" w14:textId="31CD425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"McHale", "given" : "Brian", "non-dropping-particle" : "", "parse-names" : false, "suffix" : "" } ], "chapter-number" : "4", "container-title" : "The Cambridge Introduction to Postmodernism", "id" : "ITEM-1", "issued" : { "date-parts" : [ [ "2015" ] ] }, "note" : "Cosmodernism implies multilateral rather than unilateral globalization, a situation in which the cultures of the world's regions exchange texts and ideas (or &amp;quot;memes&amp;quot;) among themsevles outside the center/periphery structure of either the old imperial colonialism or Western-centric cultural neocolonialism. Moraru's account of the &amp;quot;cosmodern turn&amp;quot; around the year 1989 us no doubt too optomisitic, even euphoric, for complete comfort. p.124\n\nOne might, if one wished, consider the nineties the phase of late postmodernism, as Jeremy Green does (Green, 2005). What seems indefensible is the claim that nineties culture had somehow already passed beyond postmodernism to some kind of \u201cpost-postmodernism.\u201d Impatience with postmodernism, and eagerness to get \u201cbeyond\u201d it somehow, is pervasive in the early nineties, but impatience and expressions of discontent are not the same thing as actually breaking through to the \u201cpost-post,\u201d as the novelist David Foster Wallace\u2019s career in the nineties seems poignantly to demonstrate. p.126\n\nFar from ending or subsiding about 1989, postmodernism seemed, if anything, to come into its own in the nineties. p.126\n\nBy the turn of the millennium, the video-game medium had arguably become culturally dominant (Ciccoricco, 2007, 9), displacing television, the culturally dominant medium of the peak-postmodern decades, which had itself in turn displaced cinema, the medium native to modernism. As of the second decade of the new millennium, video games are perhaps themselves already being displaced by social media (Facebook, YouTube, Twitter, etc.). p.133\n\n[On Avant-Pop] The editor's [of in memoriam to postmodernism] actually have a candidate in mind for postmodernism's replacement, namely Avant-Pop, the avant-garde practice of appropriating and repurposing pop-culture materials. p.135\n\nHere, too, however, the contributors mainly hedge or dissent outright from the editors' claims about Avant-Pop, for good reason: Avant-Pop is manifestly a postmodern practice [...] the Amerika and Olsen collection reflect an early nineties impatience with postmodernism, a desire to break free of it, but they seem powerless actually to achieve the break itself. p.135\n\nAs hard as [David Foster Wallace] struggled to evade the influence of his postmodern precursors, wallace seemed stuck in repetition. His case, which took a tragic turn with his suicide in 2008, suggests that nineties writing was not yet &amp;quot;post-postmodern&amp;quot;, as much as writers such as himself and Franzen might have wished it were. p.137\n\nJust as nineties meganovelists write in the shadow of Pynchon and other peak-period postmodernists, and nineties magical realists write the shadow of Rushdie, so nineties science fiction struggles in various ways with the legacy of cyberpunk. p.138", "page" : "123-170", "publisher" : "Cambridge University Press", "publisher-place" : "Cambridge", "title" : "Interregnum, 1989-2001", "type" : "chapter" }, "locator" : "135", "uris" : [ "http://www.mendeley.com/documents/?uuid=6fcd72a4-cb72-4528-8d3c-3fdeb16572cf" ] } ], "mendeley" : { "formattedCitation" : "Brian McHale, \u2018Interregnum, 1989-2001\u2019, in &lt;i&gt;The Cambridge Introduction to Postmodernism&lt;/i&gt; (Cambridge: Cambridge University Press, 2015), pp. 123\u2013170 (p. 135) &lt;https://www.cambridge.org/core/books/cambridge-introduction-to-postmodernism/interregnum-19892001/1CEEFD987EE6D31F774DA08319C8D067&gt;.", "manualFormatting" : "Brian McHale, \u2018Interregnum, 1989-2001\u2019, in The Cambridge Introduction to Postmodernism (Cambridge: Cambridge University Press, 2015), pp. 123\u2013170 (p. 135).", "plainTextFormattedCitation" : "Brian McHale, \u2018Interregnum, 1989-2001\u2019, in The Cambridge Introduction to Postmodernism (Cambridge: Cambridge University Press, 2015), pp. 123\u2013170 (p. 135) .", "previouslyFormattedCitation" : "Brian McHale, \u2018Interregnum, 1989-2001\u2019, in &lt;i&gt;The Cambridge Introduction to Postmodernism&lt;/i&gt; (Cambridge: Cambridge University Press, 2015), pp. 123\u2013170 (p. 135) &lt;https://www.cambridge.org/core/books/cambridge-introduction-to-postmodernism/interregnum-19892001/1CEEFD987EE6D31F774DA08319C8D067&gt;."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Brian McHale, ‘Interregnum, 1989-2001’, in </w:t>
      </w:r>
      <w:r w:rsidRPr="00505CF0">
        <w:rPr>
          <w:rFonts w:asciiTheme="majorBidi" w:hAnsiTheme="majorBidi" w:cstheme="majorBidi"/>
          <w:i/>
          <w:noProof/>
        </w:rPr>
        <w:t>The Cambridge Introduction to Postmodernism</w:t>
      </w:r>
      <w:r w:rsidRPr="00505CF0">
        <w:rPr>
          <w:rFonts w:asciiTheme="majorBidi" w:hAnsiTheme="majorBidi" w:cstheme="majorBidi"/>
          <w:noProof/>
        </w:rPr>
        <w:t xml:space="preserve"> (Cambridge: Cambridge University Press, 2015), pp. 123–170 (p. 135).</w:t>
      </w:r>
      <w:r w:rsidRPr="00505CF0">
        <w:rPr>
          <w:rFonts w:asciiTheme="majorBidi" w:hAnsiTheme="majorBidi" w:cstheme="majorBidi"/>
        </w:rPr>
        <w:fldChar w:fldCharType="end"/>
      </w:r>
    </w:p>
  </w:footnote>
  <w:footnote w:id="47">
    <w:p w14:paraId="6AD7D52B" w14:textId="532D3AE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 "given" : "Stephen J.", "non-dropping-particle" : "", "parse-names" : false, "suffix" : "" } ], "chapter-number" : "27", "container-title" : "The Cambridge History of Postmodern Literature", "editor" : [ { "dropping-particle" : "", "family" : "McHale", "given" : "Brian", "non-dropping-particle" : "", "parse-names" : false, "suffix" : "" }, { "dropping-particle" : "", "family" : "Platt", "given" : "Len", "non-dropping-particle" : "", "parse-names" : false, "suffix" : "" } ], "id" : "ITEM-1", "issued" : { "date-parts" : [ [ "2016" ] ] }, "note" : "Put another way, there is a tangible difference between first- and second-generation postmoderns, but one way to think about that difference is in terms of the way the second generation is alive &amp;quot;with the excitement of periodization,&amp;quot; of dramatixing (if not always enacting) a coherent generation's movement away from their ancestors. p.452", "page" : "450-464", "publisher" : "Cambridge University Press", "publisher-place" : "Cambridge", "title" : "Second Generation Postmoderns", "type" : "chapter" }, "locator" : "452", "uris" : [ "http://www.mendeley.com/documents/?uuid=612bec8b-00e5-4bb1-abdb-d1602777c135" ] } ], "mendeley" : { "formattedCitation" : "Stephen J. Burn, \u2018Second Generation Postmoderns\u2019, in &lt;i&gt;The Cambridge History of Postmodern Literature&lt;/i&gt;, ed. by Brian McHale and Len Platt (Cambridge: Cambridge University Press, 2016), pp. 450\u2013464 (p. 452).", "plainTextFormattedCitation" : "Stephen J. Burn, \u2018Second Generation Postmoderns\u2019, in The Cambridge History of Postmodern Literature, ed. by Brian McHale and Len Platt (Cambridge: Cambridge University Press, 2016), pp. 450\u2013464 (p. 452).", "previouslyFormattedCitation" : "Stephen J. Burn, \u2018Second Generation Postmoderns\u2019, in &lt;i&gt;The Cambridge History of Postmodern Literature&lt;/i&gt;, ed. by Brian McHale and Len Platt (Cambridge: Cambridge University Press, 2016), pp. 450\u2013464 (p. 452)."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Stephen J. Burn, ‘Second Generation Postmoderns’, in </w:t>
      </w:r>
      <w:r w:rsidRPr="0025171E">
        <w:rPr>
          <w:rFonts w:asciiTheme="majorBidi" w:hAnsiTheme="majorBidi" w:cstheme="majorBidi"/>
          <w:i/>
          <w:noProof/>
        </w:rPr>
        <w:t>The Cambridge History of Postmodern Literature</w:t>
      </w:r>
      <w:r w:rsidRPr="0025171E">
        <w:rPr>
          <w:rFonts w:asciiTheme="majorBidi" w:hAnsiTheme="majorBidi" w:cstheme="majorBidi"/>
          <w:noProof/>
        </w:rPr>
        <w:t>, ed. by Brian McHale and Len Platt (Cambridge: Cambridge University Press, 2016), pp. 450–464 (p. 452).</w:t>
      </w:r>
      <w:r w:rsidRPr="00505CF0">
        <w:rPr>
          <w:rFonts w:asciiTheme="majorBidi" w:hAnsiTheme="majorBidi" w:cstheme="majorBidi"/>
        </w:rPr>
        <w:fldChar w:fldCharType="end"/>
      </w:r>
    </w:p>
  </w:footnote>
  <w:footnote w:id="48">
    <w:p w14:paraId="7519D4EB" w14:textId="5F0901D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‘It’s not a sexy title, but these aren’t pretty times.’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"http://www.patheos.com/blogs/unsystematictheology/2016/07/we-are-witnessing-the-end-of-postmodernism-and-the-beginning-of-post-postmodernism/", "accessed" : { "date-parts" : [ [ "2017", "9", "25" ] ] }, "author" : [ { "dropping-particle" : "", "family" : "Roberts", "given" : "Kyle", "non-dropping-particle" : "", "parse-names" : false, "suffix" : "" } ], "container-title" : "Patheos", "id" : "ITEM-1", "issued" : { "date-parts" : [ [ "2016" ] ] }, "title" : "We Are Witnessing the End of Postmodernism and the Beginning of Post-Postmodernism", "type" : "webpage" }, "uris" : [ "http://www.mendeley.com/documents/?uuid=640f0c2f-a10e-4c49-b39a-76e5056345f3" ] } ], "mendeley" : { "formattedCitation" : "Kyle Roberts, \u2018We Are Witnessing the End of Postmodernism and the Beginning of Post-Postmodernism\u2019, &lt;i&gt;Patheos&lt;/i&gt;, 2016 &lt;http://www.patheos.com/blogs/unsystematictheology/2016/07/we-are-witnessing-the-end-of-postmodernism-and-the-beginning-of-post-postmodernism/&gt; [accessed 25 September 2017].", "plainTextFormattedCitation" : "Kyle Roberts, \u2018We Are Witnessing the End of Postmodernism and the Beginning of Post-Postmodernism\u2019, Patheos, 2016  [accessed 25 September 2017].", "previouslyFormattedCitation" : "Kyle Roberts, \u2018We Are Witnessing the End of Postmodernism and the Beginning of Post-Postmodernism\u2019, &lt;i&gt;Patheos&lt;/i&gt;, 2016 &lt;http://www.patheos.com/blogs/unsystematictheology/2016/07/we-are-witnessing-the-end-of-postmodernism-and-the-beginning-of-post-postmodernism/&gt; [accessed 25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Kyle Roberts, ‘We Are Witnessing the End of Postmodernism and the Beginning of Post-Postmodernism’, </w:t>
      </w:r>
      <w:r w:rsidRPr="0025171E">
        <w:rPr>
          <w:rFonts w:asciiTheme="majorBidi" w:hAnsiTheme="majorBidi" w:cstheme="majorBidi"/>
          <w:i/>
          <w:noProof/>
        </w:rPr>
        <w:t>Patheos</w:t>
      </w:r>
      <w:r w:rsidRPr="0025171E">
        <w:rPr>
          <w:rFonts w:asciiTheme="majorBidi" w:hAnsiTheme="majorBidi" w:cstheme="majorBidi"/>
          <w:noProof/>
        </w:rPr>
        <w:t>, 2016 &lt;http://www.patheos.com/blogs/unsystematictheology/2016/07/we-are-witnessing-the-end-of-postmodernism-and-the-beginning-of-post-postmodernism/&gt; [accessed 25 September 2017].</w:t>
      </w:r>
      <w:r w:rsidRPr="00505CF0">
        <w:rPr>
          <w:rFonts w:asciiTheme="majorBidi" w:hAnsiTheme="majorBidi" w:cstheme="majorBidi"/>
        </w:rPr>
        <w:fldChar w:fldCharType="end"/>
      </w:r>
    </w:p>
  </w:footnote>
  <w:footnote w:id="49">
    <w:p w14:paraId="7B0A36C6" w14:textId="442B788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"Nealon", "given" : "Jeffrey T.", "non-dropping-particle" : "", "parse-names" : false, "suffix" : "" } ], "id" : "ITEM-1", "issued" : { "date-parts" : [ [ "2012" ] ] }, "note" : "v", "publisher" : "Stanford University Press", "publisher-place" : "Stanford", "title" : "Post-Postmodernism; or, the cultural logic of just-in-time capitalism", "type" : "book" }, "locator" : "ix", "uris" : [ "http://www.mendeley.com/documents/?uuid=3839fa84-0cff-47c3-bb94-cf940ec69ed0" ] } ], "mendeley" : { "formattedCitation" : "Nealon, p. ix.", "manualFormatting" : "Jeffrey T. Nealon, Post-Postmodernism; Or, the Cultural Logic of Just-in-Time Capitalism (Stanford: Stanford University Press, 2012), p. ix.", "plainTextFormattedCitation" : "Nealon, p. ix.", "previouslyFormattedCitation" : "Nealon, p. ix."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Jeffrey T. Nealon, </w:t>
      </w:r>
      <w:r w:rsidRPr="00505CF0">
        <w:rPr>
          <w:rFonts w:asciiTheme="majorBidi" w:hAnsiTheme="majorBidi" w:cstheme="majorBidi"/>
          <w:i/>
          <w:noProof/>
        </w:rPr>
        <w:t>Post-Postmodernism; Or, the Cultural Logic of Just-in-Time Capitalism</w:t>
      </w:r>
      <w:r w:rsidRPr="00505CF0">
        <w:rPr>
          <w:rFonts w:asciiTheme="majorBidi" w:hAnsiTheme="majorBidi" w:cstheme="majorBidi"/>
          <w:noProof/>
        </w:rPr>
        <w:t xml:space="preserve"> (Stanford: Stanford University Press, 2012), p. ix.</w:t>
      </w:r>
      <w:r w:rsidRPr="00505CF0">
        <w:rPr>
          <w:rFonts w:asciiTheme="majorBidi" w:hAnsiTheme="majorBidi" w:cstheme="majorBidi"/>
        </w:rPr>
        <w:fldChar w:fldCharType="end"/>
      </w:r>
    </w:p>
  </w:footnote>
  <w:footnote w:id="50">
    <w:p w14:paraId="51E4506D" w14:textId="0F7DE96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"Nealon", "given" : "Jeffrey T.", "non-dropping-particle" : "", "parse-names" : false, "suffix" : "" } ], "id" : "ITEM-1", "issued" : { "date-parts" : [ [ "2012" ] ] }, "note" : "v", "publisher" : "Stanford University Press", "publisher-place" : "Stanford", "title" : "Post-Postmodernism; or, the cultural logic of just-in-time capitalism", "type" : "book" }, "locator" : "194", "uris" : [ "http://www.mendeley.com/documents/?uuid=3839fa84-0cff-47c3-bb94-cf940ec69ed0" ] } ], "mendeley" : { "formattedCitation" : "Nealon, p. 194.", "plainTextFormattedCitation" : "Nealon, p. 194.", "previouslyFormattedCitation" : "Nealon, p. 194."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Nealon, p. 194.</w:t>
      </w:r>
      <w:r w:rsidRPr="00505CF0">
        <w:rPr>
          <w:rFonts w:asciiTheme="majorBidi" w:hAnsiTheme="majorBidi" w:cstheme="majorBidi"/>
        </w:rPr>
        <w:fldChar w:fldCharType="end"/>
      </w:r>
    </w:p>
  </w:footnote>
  <w:footnote w:id="51">
    <w:p w14:paraId="3EEE413C" w14:textId="3DBA496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"Wiilms", "given" : "Johannes", "non-dropping-particle" : "", "parse-names" : false, "suffix" : "" } ], "chapter-number" : "1", "container-title" : "Conversations with Ulrich Beck", "id" : "ITEM-1", "issued" : { "date-parts" : [ [ "2004" ] ] }, "note" : "UB: 'Our job now is to rethink sociology so that it no longer presumes this interference in each and every one of its concepts. We have to change our perspective. p.15\n\nUB: 'the reason that this task has finally become urget is that the explanatory power of the classical model has been steadily growing weaker. Globalization is creating a world very different from the nineteenth-century world in which this universalist inference took form. It presupposed a world of bounded and opposed societies, each in its own container, and each with is own culture, its own economy, its own identity, and control over the destiny of its own people. // What we need to do now is make the change from a universal perspective to a cosmopolitan perspective. p.16\n\nUB: 'My theory is that what we are dealing with here is a meta-change, a change in the coordinates of change. This meta-change is best understood as a new dynamic that was created when the process of modernization began to transform its own taken-for-granted foundations. Modernity then passed an infliction point and began to change into something qualitatively new. p.18\n\nUB: 'There could not have been a theory of relexive modernity without having engaged with the central ideas of postmodernism.// However, that said, postmodernist theory only tells us what is not the case. It doesnt say what is the case. p.25\n\nUB: 'Modernity needs to be re-formed in the fullest sense on a global level. For this task, postmodern thought is inadequate. p.25\n\nUB: 'This finally is my real beef with postmodernism. Despite all the hubbub, when its stance is reasoned out to its ultimate conclusions, postmodernism fanally seems to deny the newness and crisis nature of our situation. p.26\n\nUB: 'We need to reconstruct and to restructure our concepts. [...] We are trying to make clear what distinguishes the first modernity from the second modernity. p.26\n\nUB: 'Where postmodernism simply celebrates this multiplication and opening up of boundaries, the theory of second modernity starts with the problem this new reality poses for individual and collective decisions, and with the provlem that the continued existence of such decisions poses for theory. People have to make decisions. p.28\n\nUB: 'Modernity has not vanished, we are not post it. [...] What is new is that modernity has begun to modernize its own foundations [...] it has become directed at itself very literally a metamodernism, then? p.29\n\nUB: 'Simple modernization becomes reflexive modernization to the extent that it disenchants and dissolves its own taken-for-granted premises. Eventually this leads to the undermining of every aspect of the modern nation-state: the welfare state; the power of the legal system; the national economy; the corporatist systems that connected one with the other; and the parliamentary democracy that goverened the whole. A parallel process undermines the social institutions that buttressed this state and were supported by it in turn. The normal family, the normal career, and the normal life history are all radically called into question and subsequently have to be continually re-negotiated. This is the new and complex reality we have to figure out on both a theorietical and an empirical level. It is not beyond modernity. p.29\n\nBig Point time\nUB: 'In the framework of the first modernity, society is thought of as organized in terms of the nation-state. Secondly, it is conceived of as based on pre-given collective identities that are anchored in large collective groups. Thirdly, it is thought of as full-employment society. Paid labor is supposed to be available for all normal people, and people are defined as normal by participating in it. Fourthly, the first modernity rests on a clear distinction between society and nature. Nature is conceived of as the \u201coutside\u201d of society, and as a functionally infinite resource and sink. And lastly, the first modernity presupposes Weber\u2019s principle of technical rationality, which presumes that all the side effects of industrialization and rationalization are predictable and controllable. These are the basic premises of the first modernity. When I say they are increasingly being called into question through the process of reflexive modernization, this is not something that happens all at once, but rather something that has been happening on several different time scales since the middle of the twentieth century. The presumption that society is something \u201ccontained\u201d in nation-states has been undermined by globalization, which I don\u2019t mean only, or even mostly, in the economic sense, but even more as a social and cultural and political phenomenon. The idea of pre-given collective identities that are provided by a small number of large collective groups has less and less empirical relevance to a society that has been structurally transformed by the ongoing process of individualization. The paradigm of a full-employment society is increasingly inapplicable on account of the fragmentation of work and the increasing variety and predominance of non-normal forms of 30 Conversation 1 employment. The idea that nature is an infinite sink and resource has been called into question by the ecological crises that loom in every direction. The idea that that there is a clear distinction between society and nature has been called into question by things like gene technology, human genetics, and nano-technology, all of which blur the line between them. These last technologies also bear on the premise of predictability and controllability, which has been undermined by the proliferation of global risks. Because such risks are systemic, they change the very concept of risk, from one of probability to one of radical uncertainty. The fact that they cross national borders also makes them impossible to capture in national statistics or to cope with through national action. Global risks produce global risk society. p.30-1\n\nUB: 'We can't describe it in terms of a closed arrangement of institutions. We can only describe [second modernity] as a process of transformation of the first modernity. p.31\n\nUB: 'I think therefore we are standing before two alternatives. The globalization process will affect all local identities, there is no escaping that. The alternatives result from how each local culture responds. It can try to block itself off from these developments. But \u2013 and we have to be clear on this point \u2013 that is just as much an active process as opening up. It means a locality has to actively attempt to change its course of development, and in a sense to refound itself anew against resistance. The other option is that the duality that local inhabitants are already experiencing can become conscious of itself and find a way of expressing itself coherently. It can produce a new kind of plural culture, one that satisfies the desire to reach backward into local traditions without stopping local culture from opening up and letting more of the world in. The second modernity emerges from this field of tensions p.43", "publisher" : "Blackwell Publishing Ltd", "publisher-place" : "Oxford", "title" : "Conversation 1: Postmodernity or Second Modernity?", "translator" : [ { "dropping-particle" : "", "family" : "Pollak", "given" : "Michael", "non-dropping-particle" : "", "parse-names" : false, "suffix" : "" } ], "type" : "chapter" }, "locator" : "29", "uris" : [ "http://www.mendeley.com/documents/?uuid=f8997d67-85df-4585-ac9a-64a7b8e54fc4" ] } ], "mendeley" : { "formattedCitation" : "Ulrich Beck and Johannes Wiilms, \u2018Conversation 1: Postmodernity or Second Modernity?\u2019, in &lt;i&gt;Conversations with Ulrich Beck&lt;/i&gt;, trans. by Michael Pollak (Oxford: Blackwell Publishing Ltd, 2004), p. 29.", "plainTextFormattedCitation" : "Ulrich Beck and Johannes Wiilms, \u2018Conversation 1: Postmodernity or Second Modernity?\u2019, in Conversations with Ulrich Beck, trans. by Michael Pollak (Oxford: Blackwell Publishing Ltd, 2004), p. 29.", "previouslyFormattedCitation" : "Ulrich Beck and Johannes Wiilms, \u2018Conversation 1: Postmodernity or Second Modernity?\u2019, in &lt;i&gt;Conversations with Ulrich Beck&lt;/i&gt;, trans. by Michael Pollak (Oxford: Blackwell Publishing Ltd, 2004), p. 29."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Ulrich Beck and Johannes Wiilms, ‘Conversation 1: Postmodernity or Second Modernity?’, in </w:t>
      </w:r>
      <w:r w:rsidRPr="00505CF0">
        <w:rPr>
          <w:rFonts w:asciiTheme="majorBidi" w:hAnsiTheme="majorBidi" w:cstheme="majorBidi"/>
          <w:i/>
          <w:noProof/>
        </w:rPr>
        <w:t>Conversations with Ulrich Beck</w:t>
      </w:r>
      <w:r w:rsidRPr="00505CF0">
        <w:rPr>
          <w:rFonts w:asciiTheme="majorBidi" w:hAnsiTheme="majorBidi" w:cstheme="majorBidi"/>
          <w:noProof/>
        </w:rPr>
        <w:t>, trans. by Michael Pollak (Oxford: Blackwell Publishing Ltd, 2004), p. 29.</w:t>
      </w:r>
      <w:r w:rsidRPr="00505CF0">
        <w:rPr>
          <w:rFonts w:asciiTheme="majorBidi" w:hAnsiTheme="majorBidi" w:cstheme="majorBidi"/>
        </w:rPr>
        <w:fldChar w:fldCharType="end"/>
      </w:r>
    </w:p>
  </w:footnote>
  <w:footnote w:id="52">
    <w:p w14:paraId="55497A41" w14:textId="199E028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"container-title" : "Theory, Culture &amp; Society", "id" : "ITEM-1", "issue" : "7-8", "issued" : { "date-parts" : [ [ "2016" ] ] }, "note" : "In my book Risk Society (1992) I argue that there is an epocal shift from industrial to risk societies [...] the concept of risk society is based on the importance of bads. Risk societies involve the distribution of bads that flow within and across various territories and are not confined within the borders of a single society. Nuclear radiation is a key example of this, but also financial risks, global warming, SARS, etc. p.258-9\n\nCosmopolitanism in Immanuel Kat's philosophical sense means something active, a task, a conscious and voluntary choice, clearly the affair of an elite, top-down issue. But today in reality a 'banal', 'coercive' and 'impure' cosmopolitization unfolds unwanted, unseen - powerful and confrontational beneath the surface or behind the facade of persisting national spaces, jurisdictions and labels. p.260\n\nWhat others have viewed as a 'postmodern eclecticism' I see not against the modern but as rather a new relexivity about what modernity is. p.260\n\nDespite this rapidly growing number of global organizations and transnational institutions, there is an increasing unease, nourished not least by the hesitant responses to the global financial crisis, the European currency crisis, and the poor results of the last global climate conference at Copenhagen, that these institutions are proving unable to address the challenges they were created to meet. p.262\n\nthe world of a second modernity is a world of unbelievable contradictions and contrasts where super-modern castles or citadels are constructed next to scenes of Apocalypse Now (as with the now destroyed World Trade Center in New York, with thousands of beggars living in the subway below). Class hardly captures such shimmering inequality. Third, the major movements of change have little to do with class, even that responsible for the most stunning transformation of the past three decades, such as the financial crisis of 2008, \u20189/11\u2019 and the dramatic and unpredicted bringing down of the Soviet empire by various rights-based social networks. p.262-3\n\nThe performance principle legitimates national inequality, the nation-state principle legitimates global inequality (in another form). How? The inequalities between countries, regions and states are accounted politically incomparable. In a perspective bounded by nation-state, politically relevant comparisons can only be played out within the nation-state, never between states p.263\n\nThe wealthy democracies carry the banner of human rights to the furthest corners of the earth, without noticing that the national border defences, with which they want to repel the streams of migrants, thereby lose their legitimation. p.263\n\nRisk does not mean catastrophe. Risk means the anticipation of catastrophe. Risks are about staging the future in the present, whereas the future of future catastrophes is in principle unknown. Without techniques of visualization, without symbolic forms, without mass media, without art, risks are nothing at all. p.264", "page" : "257-270", "title" : "Varieties of Second Modernity and the Cosmopolitan Vision", "type" : "article-journal", "volume" : "33" }, "locator" : "262", "uris" : [ "http://www.mendeley.com/documents/?uuid=ad66caa7-3492-41b8-9dcf-8edc6e13bfda" ] } ], "mendeley" : { "formattedCitation" : "Ulrich Beck, \u2018Varieties of Second Modernity and the Cosmopolitan Vision\u2019, &lt;i&gt;Theory, Culture &amp; Society&lt;/i&gt;, 33 (2016), 257\u2013270 (p. 262) &lt;http://journals.sagepub.com/doi/abs/10.1177/0263276416671585&gt;.", "manualFormatting" : "Ulrich Beck, \u2018Varieties of Second Modernity and the Cosmopolitan Vision\u2019, Theory, Culture &amp; Society, 33 (2016), 257\u2013270 (p. 262).", "plainTextFormattedCitation" : "Ulrich Beck, \u2018Varieties of Second Modernity and the Cosmopolitan Vision\u2019, Theory, Culture &amp; Society, 33 (2016), 257\u2013270 (p. 262) .", "previouslyFormattedCitation" : "Ulrich Beck, \u2018Varieties of Second Modernity and the Cosmopolitan Vision\u2019, &lt;i&gt;Theory, Culture &amp; Society&lt;/i&gt;, 33 (2016), 257\u2013270 (p. 262) &lt;http://journals.sagepub.com/doi/abs/10.1177/0263276416671585&gt;."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Ulrich Beck, ‘Varieties of Second Modernity and the Cosmopolitan Vision’, </w:t>
      </w:r>
      <w:r w:rsidRPr="00505CF0">
        <w:rPr>
          <w:rFonts w:asciiTheme="majorBidi" w:hAnsiTheme="majorBidi" w:cstheme="majorBidi"/>
          <w:i/>
          <w:noProof/>
        </w:rPr>
        <w:t>Theory, Culture &amp; Society</w:t>
      </w:r>
      <w:r w:rsidRPr="00505CF0">
        <w:rPr>
          <w:rFonts w:asciiTheme="majorBidi" w:hAnsiTheme="majorBidi" w:cstheme="majorBidi"/>
          <w:noProof/>
        </w:rPr>
        <w:t>, 33 (2016), 257–270 (p. 262).</w:t>
      </w:r>
      <w:r w:rsidRPr="00505CF0">
        <w:rPr>
          <w:rFonts w:asciiTheme="majorBidi" w:hAnsiTheme="majorBidi" w:cstheme="majorBidi"/>
        </w:rPr>
        <w:fldChar w:fldCharType="end"/>
      </w:r>
    </w:p>
  </w:footnote>
  <w:footnote w:id="53">
    <w:p w14:paraId="7EE3F92F" w14:textId="2C6F4F6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"Wiilms", "given" : "Johannes", "non-dropping-particle" : "", "parse-names" : false, "suffix" : "" } ], "chapter-number" : "1", "container-title" : "Conversations with Ulrich Beck", "id" : "ITEM-1", "issued" : { "date-parts" : [ [ "2004" ] ] }, "note" : "UB: 'Our job now is to rethink sociology so that it no longer presumes this interference in each and every one of its concepts. We have to change our perspective. p.15\n\nUB: 'the reason that this task has finally become urget is that the explanatory power of the classical model has been steadily growing weaker. Globalization is creating a world very different from the nineteenth-century world in which this universalist inference took form. It presupposed a world of bounded and opposed societies, each in its own container, and each with is own culture, its own economy, its own identity, and control over the destiny of its own people. // What we need to do now is make the change from a universal perspective to a cosmopolitan perspective. p.16\n\nUB: 'My theory is that what we are dealing with here is a meta-change, a change in the coordinates of change. This meta-change is best understood as a new dynamic that was created when the process of modernization began to transform its own taken-for-granted foundations. Modernity then passed an infliction point and began to change into something qualitatively new. p.18\n\nUB: 'There could not have been a theory of relexive modernity without having engaged with the central ideas of postmodernism.// However, that said, postmodernist theory only tells us what is not the case. It doesnt say what is the case. p.25\n\nUB: 'Modernity needs to be re-formed in the fullest sense on a global level. For this task, postmodern thought is inadequate. p.25\n\nUB: 'This finally is my real beef with postmodernism. Despite all the hubbub, when its stance is reasoned out to its ultimate conclusions, postmodernism fanally seems to deny the newness and crisis nature of our situation. p.26\n\nUB: 'We need to reconstruct and to restructure our concepts. [...] We are trying to make clear what distinguishes the first modernity from the second modernity. p.26\n\nUB: 'Where postmodernism simply celebrates this multiplication and opening up of boundaries, the theory of second modernity starts with the problem this new reality poses for individual and collective decisions, and with the provlem that the continued existence of such decisions poses for theory. People have to make decisions. p.28\n\nUB: 'Modernity has not vanished, we are not post it. [...] What is new is that modernity has begun to modernize its own foundations [...] it has become directed at itself very literally a metamodernism, then? p.29\n\nUB: 'Simple modernization becomes reflexive modernization to the extent that it disenchants and dissolves its own taken-for-granted premises. Eventually this leads to the undermining of every aspect of the modern nation-state: the welfare state; the power of the legal system; the national economy; the corporatist systems that connected one with the other; and the parliamentary democracy that goverened the whole. A parallel process undermines the social institutions that buttressed this state and were supported by it in turn. The normal family, the normal career, and the normal life history are all radically called into question and subsequently have to be continually re-negotiated. This is the new and complex reality we have to figure out on both a theorietical and an empirical level. It is not beyond modernity. p.29\n\nBig Point time\nUB: 'In the framework of the first modernity, society is thought of as organized in terms of the nation-state. Secondly, it is conceived of as based on pre-given collective identities that are anchored in large collective groups. Thirdly, it is thought of as full-employment society. Paid labor is supposed to be available for all normal people, and people are defined as normal by participating in it. Fourthly, the first modernity rests on a clear distinction between society and nature. Nature is conceived of as the \u201coutside\u201d of society, and as a functionally infinite resource and sink. And lastly, the first modernity presupposes Weber\u2019s principle of technical rationality, which presumes that all the side effects of industrialization and rationalization are predictable and controllable. These are the basic premises of the first modernity. When I say they are increasingly being called into question through the process of reflexive modernization, this is not something that happens all at once, but rather something that has been happening on several different time scales since the middle of the twentieth century. The presumption that society is something \u201ccontained\u201d in nation-states has been undermined by globalization, which I don\u2019t mean only, or even mostly, in the economic sense, but even more as a social and cultural and political phenomenon. The idea of pre-given collective identities that are provided by a small number of large collective groups has less and less empirical relevance to a society that has been structurally transformed by the ongoing process of individualization. The paradigm of a full-employment society is increasingly inapplicable on account of the fragmentation of work and the increasing variety and predominance of non-normal forms of 30 Conversation 1 employment. The idea that nature is an infinite sink and resource has been called into question by the ecological crises that loom in every direction. The idea that that there is a clear distinction between society and nature has been called into question by things like gene technology, human genetics, and nano-technology, all of which blur the line between them. These last technologies also bear on the premise of predictability and controllability, which has been undermined by the proliferation of global risks. Because such risks are systemic, they change the very concept of risk, from one of probability to one of radical uncertainty. The fact that they cross national borders also makes them impossible to capture in national statistics or to cope with through national action. Global risks produce global risk society. p.30-1\n\nUB: 'We can't describe it in terms of a closed arrangement of institutions. We can only describe [second modernity] as a process of transformation of the first modernity. p.31\n\nUB: 'I think therefore we are standing before two alternatives. The globalization process will affect all local identities, there is no escaping that. The alternatives result from how each local culture responds. It can try to block itself off from these developments. But \u2013 and we have to be clear on this point \u2013 that is just as much an active process as opening up. It means a locality has to actively attempt to change its course of development, and in a sense to refound itself anew against resistance. The other option is that the duality that local inhabitants are already experiencing can become conscious of itself and find a way of expressing itself coherently. It can produce a new kind of plural culture, one that satisfies the desire to reach backward into local traditions without stopping local culture from opening up and letting more of the world in. The second modernity emerges from this field of tensions p.43", "publisher" : "Blackwell Publishing Ltd", "publisher-place" : "Oxford", "title" : "Conversation 1: Postmodernity or Second Modernity?", "translator" : [ { "dropping-particle" : "", "family" : "Pollak", "given" : "Michael", "non-dropping-particle" : "", "parse-names" : false, "suffix" : "" } ], "type" : "chapter" }, "locator" : "43", "uris" : [ "http://www.mendeley.com/documents/?uuid=f8997d67-85df-4585-ac9a-64a7b8e54fc4" ] } ], "mendeley" : { "formattedCitation" : "Beck and Wiilms, p. 43.", "plainTextFormattedCitation" : "Beck and Wiilms, p. 43.", "previouslyFormattedCitation" : "Beck and Wiilms, p. 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Beck and Wiilms, p. 43.</w:t>
      </w:r>
      <w:r w:rsidRPr="00505CF0">
        <w:rPr>
          <w:rFonts w:asciiTheme="majorBidi" w:hAnsiTheme="majorBidi" w:cstheme="majorBidi"/>
        </w:rPr>
        <w:fldChar w:fldCharType="end"/>
      </w:r>
    </w:p>
  </w:footnote>
  <w:footnote w:id="54">
    <w:p w14:paraId="0ADB7DA8" w14:textId="75014D4D"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"Harrikari", "given" : "Timo", "non-dropping-particle" : "", "parse-names" : false, "suffix" : "" }, { "dropping-particle" : "", "family" : "Rauhala", "given" : "Pirkko-Liisa", "non-dropping-particle" : "", "parse-names" : false, "suffix" : "" }, { "dropping-particle" : "", "family" : "Virokannas", "given" : "Elina", "non-dropping-particle" : "", "parse-names" : false, "suffix" : "" } ], "chapter-number" : "1", "container-title" : "Social Change and Social Work", "editor" : [ { "dropping-particle" : "", "family" : "Harrikari", "given" : "Timo", "non-dropping-particle" : "", "parse-names" : false, "suffix" : "" }, { "dropping-particle" : "", "family" : "Rauhala", "given" : "Pirkko-Liisa", "non-dropping-particle" : "", "parse-names" : false, "suffix" : "" }, { "dropping-particle" : "", "family" : "Virokannas", "given" : "Elina", "non-dropping-particle" : "", "parse-names" : false, "suffix" : "" } ], "id" : "ITEM-1", "issued" : { "date-parts" : [ [ "2014" ] ] }, "note" : "The descripotions of second modernity vary depending on what aspect of human life or social action is in question\n\nthe second modernity has been characterized as 'radicalized modernity'. Compared with the claims on a transistion to the postmodern era, which indicates an irreversible and fundamental stir in Western culture's deep dtructure, the second modernity thesis tend to be more moderate. It proposes that the features of modernity are culminating and that they are entering a reflexive, mature age where the whole civilization is facing tyhe side effecrs of modern developments.\n\nHowever, the maturation of the first modernity and relfexivityare still in progress and late modernity has in no way disp;aced the hardcore principle of paid work. \n\nWhat may follow in social policy agendas is that, to borrow a Finnish proverb, gruel will be confused with porridge. It is clear that the problem of late modernity createsa new type od structural basis for sociql divisions, solidarity, cohesion and their manifestation.\n\nthe state and its policies have faced significant changes, referring here especially to the trend of advanced economic liberalism, which aims for rapid and flexible movement of labour, goods, services and capital. \n\n[...] the increasing competitive ethos of the nation-state brings into quation the changing rationalities and forms od social action, control and governance: if formal rationality and a calculating attitude are the distinctive featuresof modern Western culture, as suggested by Wever, how is such development to be understood in light of the current social theory and especially the second, late and radicalized modernity debates?\n\nOne of the current late modern features is the concept od risk and its discursive objectification as well as its formation. Risk is currently perhaps the most central input angle while structuring sosiopolitical strategies and forming tationality.\n\nSome of the second modernity theorists have even proposed that late modern culture is to be characterized as risk culture, but their emphases vary [...] But their common feature is adherence to the questions of future predictability and controllability.\n\nThe fact is that modern societies are not only the communities filled with organic solidarity, the division of labour and interdependency but also the class societies where the unequel distribution of economic and political resources is a key source of the intergroup conflicts and ruptures in solidarity.\n\nBack argues that social solidarity, or the modern class society, was connected with the rationality of allocating and satisfying needs, increasing equality bewtween the citizens and promoting their well-being.\n\n[Beck] proposes that there will be a fundamental shift in the foundation of solidarity and cohesion as the problems of the risk society intensify: a shared social anxiety and a sense of insecurity arise as the key factors while creating solidarity and together they produce the efforts for increasing security [...[the social utopia of the risk society is instead negative and defensive. The primary goal is preventing the worst, whioch is achieved with a variety of further individual and community restrictions. The driving force of solidarity is fear.\n\nFor the first time in world history, the technological development makes it possible to cxontrol large masses of people, collect information and direct their activities.", "publisher" : "Routledge", "publisher-place" : "Oxon", "title" : "Social Theory and the Second Modernity", "type" : "chapter" }, "uris" : [ "http://www.mendeley.com/documents/?uuid=9dfeb2f6-6003-49b7-a015-554578a1f844" ] } ], "mendeley" : { "formattedCitation" : "Timo Harrikari, Pirkko-Liisa Rauhala and Elina Virokannas, \u2018Social Theory and the Second Modernity\u2019, in &lt;i&gt;Social Change and Social Work&lt;/i&gt;, ed. by Timo Harrikari, Pirkko-Liisa Rauhala, and Elina Virokannas (Oxon: Routledge, 2014).", "plainTextFormattedCitation" : "Timo Harrikari, Pirkko-Liisa Rauhala and Elina Virokannas, \u2018Social Theory and the Second Modernity\u2019, in Social Change and Social Work, ed. by Timo Harrikari, Pirkko-Liisa Rauhala, and Elina Virokannas (Oxon: Routledge, 2014).", "previouslyFormattedCitation" : "Timo Harrikari, Pirkko-Liisa Rauhala and Elina Virokannas, \u2018Social Theory and the Second Modernity\u2019, in &lt;i&gt;Social Change and Social Work&lt;/i&gt;, ed. by Timo Harrikari, Pirkko-Liisa Rauhala, and Elina Virokannas (Oxon: Routledge, 2014)."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 Harrikari, Pirkko-Liisa Rauhala and Elina Virokannas, ‘Social Theory and the Second Modernity’, in </w:t>
      </w:r>
      <w:r w:rsidRPr="0025171E">
        <w:rPr>
          <w:rFonts w:asciiTheme="majorBidi" w:hAnsiTheme="majorBidi" w:cstheme="majorBidi"/>
          <w:i/>
          <w:noProof/>
        </w:rPr>
        <w:t>Social Change and Social Work</w:t>
      </w:r>
      <w:r w:rsidRPr="0025171E">
        <w:rPr>
          <w:rFonts w:asciiTheme="majorBidi" w:hAnsiTheme="majorBidi" w:cstheme="majorBidi"/>
          <w:noProof/>
        </w:rPr>
        <w:t>, ed. by Timo Harrikari, Pirkko-Liisa Rauhala, and Elina Virokannas (Oxon: Routledge, 2014).</w:t>
      </w:r>
      <w:r w:rsidRPr="00505CF0">
        <w:rPr>
          <w:rFonts w:asciiTheme="majorBidi" w:hAnsiTheme="majorBidi" w:cstheme="majorBidi"/>
        </w:rPr>
        <w:fldChar w:fldCharType="end"/>
      </w:r>
    </w:p>
  </w:footnote>
  <w:footnote w:id="55">
    <w:p w14:paraId="217059FE" w14:textId="57C1010D"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"157", "uris" : [ "http://www.mendeley.com/documents/?uuid=375b0b4a-bfad-4d0a-a1e7-1338c698bdca" ] } ], "mendeley" : { "formattedCitation" : "Giles Lipovetsky, \u2018Time Against Time, or The Hypermodern Society\u2019, in &lt;i&gt;Supplanting the Postmodern&lt;/i&gt;, ed. by David Rudrum and Nicholas Stavris (London: Bloomsbury Publishing Plc, 2015), pp. 156\u2013171 (p. 157).", "plainTextFormattedCitation" : "Giles Lipovetsky, \u2018Time Against Time, or The Hypermodern Society\u2019, in Supplanting the Postmodern, ed. by David Rudrum and Nicholas Stavris (London: Bloomsbury Publishing Plc, 2015), pp. 156\u2013171 (p. 157).", "previouslyFormattedCitation" : "Giles Lipovetsky, \u2018Time Against Time, or The Hypermodern Society\u2019, in &lt;i&gt;Supplanting the Postmodern&lt;/i&gt;, ed. by David Rudrum and Nicholas Stavris (London: Bloomsbury Publishing Plc, 2015), pp. 156\u2013171 (p. 157)."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Giles Lipovetsky, ‘Time Against Time, or The Hypermodern Society’, in </w:t>
      </w:r>
      <w:r w:rsidRPr="0025171E">
        <w:rPr>
          <w:rFonts w:asciiTheme="majorBidi" w:hAnsiTheme="majorBidi" w:cstheme="majorBidi"/>
          <w:i/>
          <w:noProof/>
        </w:rPr>
        <w:t>Supplanting the Postmodern</w:t>
      </w:r>
      <w:r w:rsidRPr="0025171E">
        <w:rPr>
          <w:rFonts w:asciiTheme="majorBidi" w:hAnsiTheme="majorBidi" w:cstheme="majorBidi"/>
          <w:noProof/>
        </w:rPr>
        <w:t>, ed. by David Rudrum and Nicholas Stavris (London: Bloomsbury Publishing Plc, 2015), pp. 156–171 (p. 157).</w:t>
      </w:r>
      <w:r w:rsidRPr="00505CF0">
        <w:rPr>
          <w:rFonts w:asciiTheme="majorBidi" w:hAnsiTheme="majorBidi" w:cstheme="majorBidi"/>
        </w:rPr>
        <w:fldChar w:fldCharType="end"/>
      </w:r>
    </w:p>
  </w:footnote>
  <w:footnote w:id="56">
    <w:p w14:paraId="6E393572" w14:textId="44F5BBAE" w:rsidR="00054009" w:rsidRPr="00FE7EAF"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"157", "uris" : [ "http://www.mendeley.com/documents/?uuid=375b0b4a-bfad-4d0a-a1e7-1338c698bdca" ] } ], "mendeley" : { "formattedCitation" : "Lipovetsky, p. 157.", "plainTextFormattedCitation" : "Lipovetsky, p. 157.", "previouslyFormattedCitation" : "Lipovetsky, p. 157."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Lipovetsky, p. 157.</w:t>
      </w:r>
      <w:r w:rsidRPr="00505CF0">
        <w:rPr>
          <w:rFonts w:asciiTheme="majorBidi" w:hAnsiTheme="majorBidi" w:cstheme="majorBidi"/>
        </w:rPr>
        <w:fldChar w:fldCharType="end"/>
      </w:r>
    </w:p>
  </w:footnote>
  <w:footnote w:id="57">
    <w:p w14:paraId="330DC304" w14:textId="6FBFD42F" w:rsidR="00054009" w:rsidRPr="00EB3F5F" w:rsidRDefault="00054009">
      <w:pPr>
        <w:pStyle w:val="FootnoteText"/>
      </w:pPr>
      <w:r>
        <w:rPr>
          <w:rStyle w:val="FootnoteReference"/>
        </w:rPr>
        <w:footnoteRef/>
      </w:r>
      <w:r w:rsidRPr="00EB3F5F">
        <w:t xml:space="preserve"> </w:t>
      </w:r>
      <w:r w:rsidRPr="00391287">
        <w:rPr>
          <w:i/>
          <w:iCs/>
        </w:rPr>
        <w:t>ACO: One individual with a clear ’excess of self’ is the aforementioned Robert ES Colwan, as is clear from Southward’s notes. The literature student Robert ES Colwan, as Southward interviewed him, divulged that his statue was part of a series produced in some form of mania in 2011. This series, it seems, was based on a delirious series of dreams of a great non-euclidian city ringed by a vast archipelago of islands, that rose like the ragged teeth of a terrible maw from shadowy waters. Southward’s notes from various interviews in what must have been an extended series of interview make frequent references to an Xcln’Kcfrolphtulh resting in D’Rearj, names that caused young Colwan considerable angst by the looks of things. Interestingly, Southward never makes the connection this has to the world-wide mass hysteria of both academics and literary types in the same year that Colwan had his dreams, records of which still remain to this day. Strange that this is not the first reference to D’Rearj I have ever seen, though your usually fastidious editor regrets to inform you that he cannot remember where it was, unfortunately.</w:t>
      </w:r>
    </w:p>
  </w:footnote>
  <w:footnote w:id="58">
    <w:p w14:paraId="23C43DE4" w14:textId="6BCCECA6" w:rsidR="00054009" w:rsidRPr="00756A48"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756A48">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"http://www.stuckism.com/remod.html", "accessed" : { "date-parts" : [ [ "2017", "9", "6" ] ] }, "author" : [ { "dropping-particle" : "", "family" : "Childish", "given" : "Billy", "non-dropping-particle" : "", "parse-names" : false, "suffix" : "" }, { "dropping-particle" : "", "family" : "Thomson", "given" : "Charles", "non-dropping-particle" : "", "parse-names" : false, "suffix" : "" } ], "container-title" : "stuckism.com", "id" : "ITEM-1", "issued" : { "date-parts" : [ [ "2000" ] ] }, "note" : "Through the course of the 20th century Modernism has progressively lost its way, until finally toppling into the pit of postmodern balderdash. \n\nRemodernism takes the original principles of Modernism and reapplies them, highlighting vision as opposed to formalism.\n\nRemodernism upholds the spiritual vision of the founding fathers of Modernism and respects their bravery and integrity in facing and depicting the travails of the human soul through a new art that was no longer subservient to a religious or political dogma and which souhgt to give voice to the gamut of the human psyche.\n\nRemonderism discards and replaces Post-Modernism because of its failure to answer or address any important issues of being a humnan being. \n\nRemodernism embodies spiritual depth and meaning and brings to an end an age of scientific materialism, nihilism and spiritual bankruptcy\n\nWe we need is not new, but perennial. We need an art that intergrates body and soul and recognises enduring and underlying principles which have sustained wisdom and insight throughout humanity's history.\n\nTruth is what it is, regardless of what we want it to be. Being a spiritual artists means addressing unflinchingly our projections, good and bad, the attractive and the grotesque, our strenghts as well as our delusions, in order to know ourselves and thereby our true relationship with others and our connection to the divine.\n\nSpiritual art is not religion. Spirituality is humanity's quest to understand itself and finds its symbology through the clarity and integrity of its artists.\n\nSpiritual art does not mean the painting of Madonnas or Buddhas. Spiritual art is the painting of things that touch the soul of the aritst.\n\nWhy do we need a new spirituality in art? Because connecting in a meaningful way is what makes people happy. Being understood and understanding each other makes life enjoyable and worth living.\n\nIt is quite clear to anyone of an uncluttered mental disposition that what is now put forward, quite seriously, as art by the ruling elite, is proof that a seemingly rational development of a body of ideas has gone awry.\n\nWe address this [postmodern] lack of meaning, so that a coherent art can be achieved.", "title" : "Remodernism", "type" : "webpage" }, "uris" : [ "http://www.mendeley.com/documents/?uuid=29e32c20-b1c8-4bbe-b6ba-9d07f04608b9" ] } ], "mendeley" : { "formattedCitation" : "Billy Childish and Charles Thomson, \u2018Remodernism\u2019, &lt;i&gt;stuckism.com&lt;/i&gt;, 2000 &lt;http://www.stuckism.com/remod.html&gt; [accessed 6 September 2017].", "plainTextFormattedCitation" : "Billy Childish and Charles Thomson, \u2018Remodernism\u2019, stuckism.com, 2000  [accessed 6 September 2017].", "previouslyFormattedCitation" : "Billy Childish and Charles Thomson, \u2018Remodernism\u2019, &lt;i&gt;stuckism.com&lt;/i&gt;, 2000 &lt;http://www.stuckism.com/remod.html&gt; [accessed 6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Billy Childish and Charles Thomson, ‘Remodernism’, </w:t>
      </w:r>
      <w:r w:rsidRPr="0025171E">
        <w:rPr>
          <w:rFonts w:asciiTheme="majorBidi" w:hAnsiTheme="majorBidi" w:cstheme="majorBidi"/>
          <w:i/>
          <w:noProof/>
        </w:rPr>
        <w:t>stuckism.com</w:t>
      </w:r>
      <w:r w:rsidRPr="0025171E">
        <w:rPr>
          <w:rFonts w:asciiTheme="majorBidi" w:hAnsiTheme="majorBidi" w:cstheme="majorBidi"/>
          <w:noProof/>
        </w:rPr>
        <w:t>, 2000 &lt;http://www.stuckism.com/remod.html&gt; [accessed 6 September 2017].</w:t>
      </w:r>
      <w:r w:rsidRPr="00505CF0">
        <w:rPr>
          <w:rFonts w:asciiTheme="majorBidi" w:hAnsiTheme="majorBidi" w:cstheme="majorBidi"/>
        </w:rPr>
        <w:fldChar w:fldCharType="end"/>
      </w:r>
    </w:p>
  </w:footnote>
  <w:footnote w:id="59">
    <w:p w14:paraId="3A8727D3" w14:textId="4E989E64" w:rsidR="00054009" w:rsidRPr="00756A48"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756A48">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"http://www.stuckism.com/remod.html", "accessed" : { "date-parts" : [ [ "2017", "9", "6" ] ] }, "author" : [ { "dropping-particle" : "", "family" : "Childish", "given" : "Billy", "non-dropping-particle" : "", "parse-names" : false, "suffix" : "" }, { "dropping-particle" : "", "family" : "Thomson", "given" : "Charles", "non-dropping-particle" : "", "parse-names" : false, "suffix" : "" } ], "container-title" : "stuckism.com", "id" : "ITEM-1", "issued" : { "date-parts" : [ [ "2000" ] ] }, "note" : "Through the course of the 20th century Modernism has progressively lost its way, until finally toppling into the pit of postmodern balderdash. \n\nRemodernism takes the original principles of Modernism and reapplies them, highlighting vision as opposed to formalism.\n\nRemodernism upholds the spiritual vision of the founding fathers of Modernism and respects their bravery and integrity in facing and depicting the travails of the human soul through a new art that was no longer subservient to a religious or political dogma and which souhgt to give voice to the gamut of the human psyche.\n\nRemonderism discards and replaces Post-Modernism because of its failure to answer or address any important issues of being a humnan being. \n\nRemodernism embodies spiritual depth and meaning and brings to an end an age of scientific materialism, nihilism and spiritual bankruptcy\n\nWe we need is not new, but perennial. We need an art that intergrates body and soul and recognises enduring and underlying principles which have sustained wisdom and insight throughout humanity's history.\n\nTruth is what it is, regardless of what we want it to be. Being a spiritual artists means addressing unflinchingly our projections, good and bad, the attractive and the grotesque, our strenghts as well as our delusions, in order to know ourselves and thereby our true relationship with others and our connection to the divine.\n\nSpiritual art is not religion. Spirituality is humanity's quest to understand itself and finds its symbology through the clarity and integrity of its artists.\n\nSpiritual art does not mean the painting of Madonnas or Buddhas. Spiritual art is the painting of things that touch the soul of the aritst.\n\nWhy do we need a new spirituality in art? Because connecting in a meaningful way is what makes people happy. Being understood and understanding each other makes life enjoyable and worth living.\n\nIt is quite clear to anyone of an uncluttered mental disposition that what is now put forward, quite seriously, as art by the ruling elite, is proof that a seemingly rational development of a body of ideas has gone awry.\n\nWe address this [postmodern] lack of meaning, so that a coherent art can be achieved.", "title" : "Remodernism", "type" : "webpage" }, "uris" : [ "http://www.mendeley.com/documents/?uuid=29e32c20-b1c8-4bbe-b6ba-9d07f04608b9" ] } ], "mendeley" : { "formattedCitation" : "Childish and Thomson.", "plainTextFormattedCitation" : "Childish and Thomson.", "previouslyFormattedCitation" : "Childish and Thomson." }, "properties" : { "noteIndex" : 0 }, "schema" : "https://github.com/citation-style-language/schema/raw/master/csl-citation.json" }</w:instrText>
      </w:r>
      <w:r w:rsidRPr="00505CF0">
        <w:rPr>
          <w:rFonts w:asciiTheme="majorBidi" w:hAnsiTheme="majorBidi" w:cstheme="majorBidi"/>
        </w:rPr>
        <w:fldChar w:fldCharType="separate"/>
      </w:r>
      <w:r w:rsidRPr="00756A48">
        <w:rPr>
          <w:rFonts w:asciiTheme="majorBidi" w:hAnsiTheme="majorBidi" w:cstheme="majorBidi"/>
          <w:noProof/>
        </w:rPr>
        <w:t>Childish and Thomson.</w:t>
      </w:r>
      <w:r w:rsidRPr="00505CF0">
        <w:rPr>
          <w:rFonts w:asciiTheme="majorBidi" w:hAnsiTheme="majorBidi" w:cstheme="majorBidi"/>
        </w:rPr>
        <w:fldChar w:fldCharType="end"/>
      </w:r>
    </w:p>
  </w:footnote>
  <w:footnote w:id="60">
    <w:p w14:paraId="6E0F94E1" w14:textId="4EA1FE9C" w:rsidR="00054009" w:rsidRPr="00756A48"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756A48">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"http://www.stuckism.com/MarkD/IndexText.html", "accessed" : { "date-parts" : [ [ "2018", "1", "1" ] ] }, "author" : [ { "dropping-particle" : "", "family" : "D", "given" : "Mark", "non-dropping-particle" : "", "parse-names" : false, "suffix" : "" } ], "container-title" : "stuckism.com", "id" : "ITEM-1", "issued" : { "date-parts" : [ [ "2011" ] ] }, "title" : "Mark D", "type" : "webpage" }, "uris" : [ "http://www.mendeley.com/documents/?uuid=fb7f60f5-de3f-4207-82e4-5620803feeea" ] } ], "mendeley" : { "formattedCitation" : "Mark D, \u2018Mark D\u2019, &lt;i&gt;stuckism.com&lt;/i&gt;, 2011 &lt;http://www.stuckism.com/MarkD/IndexText.html&gt; [accessed 1 January 2018].", "plainTextFormattedCitation" : "Mark D, \u2018Mark D\u2019, stuckism.com, 2011  [accessed 1 January 2018].", "previouslyFormattedCitation" : "Mark D, \u2018Mark D\u2019, &lt;i&gt;stuckism.com&lt;/i&gt;, 2011 &lt;http://www.stuckism.com/MarkD/IndexText.html&gt; [accessed 1 January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Mark D, ‘Mark D’, </w:t>
      </w:r>
      <w:r w:rsidRPr="0025171E">
        <w:rPr>
          <w:rFonts w:asciiTheme="majorBidi" w:hAnsiTheme="majorBidi" w:cstheme="majorBidi"/>
          <w:i/>
          <w:noProof/>
        </w:rPr>
        <w:t>stuckism.com</w:t>
      </w:r>
      <w:r w:rsidRPr="0025171E">
        <w:rPr>
          <w:rFonts w:asciiTheme="majorBidi" w:hAnsiTheme="majorBidi" w:cstheme="majorBidi"/>
          <w:noProof/>
        </w:rPr>
        <w:t>, 2011 &lt;http://www.stuckism.com/MarkD/IndexText.html&gt; [accessed 1 January 2018].</w:t>
      </w:r>
      <w:r w:rsidRPr="00505CF0">
        <w:rPr>
          <w:rFonts w:asciiTheme="majorBidi" w:hAnsiTheme="majorBidi" w:cstheme="majorBidi"/>
        </w:rPr>
        <w:fldChar w:fldCharType="end"/>
      </w:r>
    </w:p>
  </w:footnote>
  <w:footnote w:id="61">
    <w:p w14:paraId="66CF63A9" w14:textId="53B81DC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"http://www.mungbeing.com/issue_22.html?page=40#1733", "accessed" : { "date-parts" : [ [ "2017", "9", "6" ] ] }, "author" : [ { "dropping-particle" : "", "family" : "Givens", "given" : "Mark", "non-dropping-particle" : "", "parse-names" : false, "suffix" : "" } ], "container-title" : "Mungbeing", "id" : "ITEM-1", "issued" : { "date-parts" : [ [ "2008" ] ] }, "note" : "&amp;quot;To stay fluid&amp;quot; thats the desire of the remodernist artist Matt Bray.\n\nMB: Although there were indeed many Modernist movements, I think the Modernist ideals that are referred to in the Remodernist literature are the general values and philosophies expressed at the time, which for me, relate to individual expression. It seems to me that before the advent of the camera, the painter's job was to record reality, however the camera could arguably do it better and easier, so the painter's job became one of recording how something 'feels' rather than just how it 'looks'. With this idea comes individual expression. You record the world as it looks and feels TO YOU.\n\nMB: [...] I think Post-Modernism has abandoned the idea of subjective truth, believing instead there are no truths. It is a cynical view, that as you practice it, can slowly eat away at your sense of power and purpose. Remodernism seemed to me to be addressing this problem and allowing artists to again claim some kind of belief, and to begin creating from the heart, allowing self-expression back into the fray.\n\nMB: I don't know what spirituality means to a lot of people. I guess most people think of god or meditating or love or something like that. If that's the case then I think it would be a mistake to think this has anything to do with Remodernism. [...] But for me, the spirituality discussed by Billy and Charles refers to a deep seated belief in and desire for truth. Existential truth. The truth of who you are. But the truth has to be with yourself. It is all a question of, when faced with that blank canvas and a brush full of paint, whether or not you are able to be honest with yourself and face your fears and desires and either portray them to yourself and the world, or rise above them and receive a message from your higher self. But the spirituality in question is one of existential honesty, which has always been with the powerful artists of the ages.\n\nMB: Spirituality is the study of the inner world (psyche/emotional body). Science is the study of the outside world (manifest reality). Religion is the organizing principle of both. In this sense I believe science tries to understand what we experience. Spirituality tries to understand our reaction to these experiences. And religion tries to control and dictate the results of both. From this perspective (ie:mine) Science and Spirituality are complimentary and Religion is simply a political imposter. // [Metamodernism here] One's life experiences could be characterized as the froth on the surface of a chaotic body of water - you can rise above the froth and become conceptual and cerebral as the post-modernists have, or you can dig below to its universal causes; universal in the sense that they are common to all of us. This is what I believe is meant by the term spirituality in the\u00a0Remodernist Manifesto.\n\nMB: I think Remodernism will be a movement of inspiration. One that will affect the peripheral artists more than the central players\n\nMB: I think the main difference between Stuckism and Remodernism is that Stuckism demands that you paint whereas Remodernism includes most creative artistic practices. There is also a little less of the grandstanding and deliberate Bolshiness in the Remodernist manifesto, it is less aggressive and less insulting.[...] Remodernism is more about the approach to the work than the work itself.", "title" : "Remodernism: Inspiration and Honesty in Art. An Interview with Matt Bray", "type" : "webpage" }, "uris" : [ "http://www.mendeley.com/documents/?uuid=991c48d3-5002-495f-bf75-6c64a9ce95c7" ] } ], "mendeley" : { "formattedCitation" : "Mark Givens, \u2018Remodernism: Inspiration and Honesty in Art. An Interview with Matt Bray\u2019, &lt;i&gt;Mungbeing&lt;/i&gt;, 2008 &lt;http://www.mungbeing.com/issue_22.html?page=40#1733&gt; [accessed 6 September 2017].", "plainTextFormattedCitation" : "Mark Givens, \u2018Remodernism: Inspiration and Honesty in Art. An Interview with Matt Bray\u2019, Mungbeing, 2008  [accessed 6 September 2017].", "previouslyFormattedCitation" : "Mark Givens, \u2018Remodernism: Inspiration and Honesty in Art. An Interview with Matt Bray\u2019, &lt;i&gt;Mungbeing&lt;/i&gt;, 2008 &lt;http://www.mungbeing.com/issue_22.html?page=40#1733&gt; [accessed 6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Mark Givens, ‘Remodernism: Inspiration and Honesty in Art. An Interview with Matt Bray’, </w:t>
      </w:r>
      <w:r w:rsidRPr="0025171E">
        <w:rPr>
          <w:rFonts w:asciiTheme="majorBidi" w:hAnsiTheme="majorBidi" w:cstheme="majorBidi"/>
          <w:i/>
          <w:noProof/>
        </w:rPr>
        <w:t>Mungbeing</w:t>
      </w:r>
      <w:r w:rsidRPr="0025171E">
        <w:rPr>
          <w:rFonts w:asciiTheme="majorBidi" w:hAnsiTheme="majorBidi" w:cstheme="majorBidi"/>
          <w:noProof/>
        </w:rPr>
        <w:t>, 2008 &lt;http://www.mungbeing.com/issue_22.html?page=40#1733&gt; [accessed 6 September 2017].</w:t>
      </w:r>
      <w:r w:rsidRPr="00505CF0">
        <w:rPr>
          <w:rFonts w:asciiTheme="majorBidi" w:hAnsiTheme="majorBidi" w:cstheme="majorBidi"/>
        </w:rPr>
        <w:fldChar w:fldCharType="end"/>
      </w:r>
    </w:p>
  </w:footnote>
  <w:footnote w:id="62">
    <w:p w14:paraId="3D2F4833" w14:textId="082F2FA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"http://www.mungbeing.com/issue_22.html?page=40#1733", "accessed" : { "date-parts" : [ [ "2017", "9", "6" ] ] }, "author" : [ { "dropping-particle" : "", "family" : "Givens", "given" : "Mark", "non-dropping-particle" : "", "parse-names" : false, "suffix" : "" } ], "container-title" : "Mungbeing", "id" : "ITEM-1", "issued" : { "date-parts" : [ [ "2008" ] ] }, "note" : "&amp;quot;To stay fluid&amp;quot; thats the desire of the remodernist artist Matt Bray.\n\nMB: Although there were indeed many Modernist movements, I think the Modernist ideals that are referred to in the Remodernist literature are the general values and philosophies expressed at the time, which for me, relate to individual expression. It seems to me that before the advent of the camera, the painter's job was to record reality, however the camera could arguably do it better and easier, so the painter's job became one of recording how something 'feels' rather than just how it 'looks'. With this idea comes individual expression. You record the world as it looks and feels TO YOU.\n\nMB: [...] I think Post-Modernism has abandoned the idea of subjective truth, believing instead there are no truths. It is a cynical view, that as you practice it, can slowly eat away at your sense of power and purpose. Remodernism seemed to me to be addressing this problem and allowing artists to again claim some kind of belief, and to begin creating from the heart, allowing self-expression back into the fray.\n\nMB: I don't know what spirituality means to a lot of people. I guess most people think of god or meditating or love or something like that. If that's the case then I think it would be a mistake to think this has anything to do with Remodernism. [...] But for me, the spirituality discussed by Billy and Charles refers to a deep seated belief in and desire for truth. Existential truth. The truth of who you are. But the truth has to be with yourself. It is all a question of, when faced with that blank canvas and a brush full of paint, whether or not you are able to be honest with yourself and face your fears and desires and either portray them to yourself and the world, or rise above them and receive a message from your higher self. But the spirituality in question is one of existential honesty, which has always been with the powerful artists of the ages.\n\nMB: Spirituality is the study of the inner world (psyche/emotional body). Science is the study of the outside world (manifest reality). Religion is the organizing principle of both. In this sense I believe science tries to understand what we experience. Spirituality tries to understand our reaction to these experiences. And religion tries to control and dictate the results of both. From this perspective (ie:mine) Science and Spirituality are complimentary and Religion is simply a political imposter. // [Metamodernism here] One's life experiences could be characterized as the froth on the surface of a chaotic body of water - you can rise above the froth and become conceptual and cerebral as the post-modernists have, or you can dig below to its universal causes; universal in the sense that they are common to all of us. This is what I believe is meant by the term spirituality in the\u00a0Remodernist Manifesto.\n\nMB: I think Remodernism will be a movement of inspiration. One that will affect the peripheral artists more than the central players\n\nMB: I think the main difference between Stuckism and Remodernism is that Stuckism demands that you paint whereas Remodernism includes most creative artistic practices. There is also a little less of the grandstanding and deliberate Bolshiness in the Remodernist manifesto, it is less aggressive and less insulting.[...] Remodernism is more about the approach to the work than the work itself.", "title" : "Remodernism: Inspiration and Honesty in Art. An Interview with Matt Bray", "type" : "webpage" }, "uris" : [ "http://www.mendeley.com/documents/?uuid=991c48d3-5002-495f-bf75-6c64a9ce95c7" ] } ], "mendeley" : { "formattedCitation" : "Givens.", "plainTextFormattedCitation" : "Givens.", "previouslyFormattedCitation" : "Givens."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Givens.</w:t>
      </w:r>
      <w:r w:rsidRPr="00505CF0">
        <w:rPr>
          <w:rFonts w:asciiTheme="majorBidi" w:hAnsiTheme="majorBidi" w:cstheme="majorBidi"/>
        </w:rPr>
        <w:fldChar w:fldCharType="end"/>
      </w:r>
    </w:p>
  </w:footnote>
  <w:footnote w:id="63">
    <w:p w14:paraId="59F1A564" w14:textId="63F42E8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"http://www.stuckism.com/remod.html", "accessed" : { "date-parts" : [ [ "2017", "9", "6" ] ] }, "author" : [ { "dropping-particle" : "", "family" : "Childish", "given" : "Billy", "non-dropping-particle" : "", "parse-names" : false, "suffix" : "" }, { "dropping-particle" : "", "family" : "Thomson", "given" : "Charles", "non-dropping-particle" : "", "parse-names" : false, "suffix" : "" } ], "container-title" : "stuckism.com", "id" : "ITEM-1", "issued" : { "date-parts" : [ [ "2000" ] ] }, "note" : "Through the course of the 20th century Modernism has progressively lost its way, until finally toppling into the pit of postmodern balderdash. \n\nRemodernism takes the original principles of Modernism and reapplies them, highlighting vision as opposed to formalism.\n\nRemodernism upholds the spiritual vision of the founding fathers of Modernism and respects their bravery and integrity in facing and depicting the travails of the human soul through a new art that was no longer subservient to a religious or political dogma and which souhgt to give voice to the gamut of the human psyche.\n\nRemonderism discards and replaces Post-Modernism because of its failure to answer or address any important issues of being a humnan being. \n\nRemodernism embodies spiritual depth and meaning and brings to an end an age of scientific materialism, nihilism and spiritual bankruptcy\n\nWe we need is not new, but perennial. We need an art that intergrates body and soul and recognises enduring and underlying principles which have sustained wisdom and insight throughout humanity's history.\n\nTruth is what it is, regardless of what we want it to be. Being a spiritual artists means addressing unflinchingly our projections, good and bad, the attractive and the grotesque, our strenghts as well as our delusions, in order to know ourselves and thereby our true relationship with others and our connection to the divine.\n\nSpiritual art is not religion. Spirituality is humanity's quest to understand itself and finds its symbology through the clarity and integrity of its artists.\n\nSpiritual art does not mean the painting of Madonnas or Buddhas. Spiritual art is the painting of things that touch the soul of the aritst.\n\nWhy do we need a new spirituality in art? Because connecting in a meaningful way is what makes people happy. Being understood and understanding each other makes life enjoyable and worth living.\n\nIt is quite clear to anyone of an uncluttered mental disposition that what is now put forward, quite seriously, as art by the ruling elite, is proof that a seemingly rational development of a body of ideas has gone awry.\n\nWe address this [postmodern] lack of meaning, so that a coherent art can be achieved.", "title" : "Remodernism", "type" : "webpage" }, "uris" : [ "http://www.mendeley.com/documents/?uuid=29e32c20-b1c8-4bbe-b6ba-9d07f04608b9" ] } ], "mendeley" : { "formattedCitation" : "Childish and Thomson.", "plainTextFormattedCitation" : "Childish and Thomson.", "previouslyFormattedCitation" : "Childish and Thomson."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Childish and Thomson.</w:t>
      </w:r>
      <w:r w:rsidRPr="00505CF0">
        <w:rPr>
          <w:rFonts w:asciiTheme="majorBidi" w:hAnsiTheme="majorBidi" w:cstheme="majorBidi"/>
        </w:rPr>
        <w:fldChar w:fldCharType="end"/>
      </w:r>
    </w:p>
  </w:footnote>
  <w:footnote w:id="64">
    <w:p w14:paraId="2662D781" w14:textId="7C9C8C1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"Lee", "given" : "Rayond L.M.", "non-dropping-particle" : "", "parse-names" : false, "suffix" : "" } ], "container-title" : "Thesis Eleven", "id" : "ITEM-1", "issue" : "November", "issued" : { "date-parts" : [ [ "2005" ] ] }, "note" : "[Bauman] proposed liquid modernity as a more apt term for making sense of changes as well as continuities in modernity. p.61\n\nIn a way, Bauman's preference for liquid modernity can be seen as part of a general response to the recent decline of postmodernism. p.62\n\nBuman's recent works can be located within this return to modernist themes. These are themes centring on the reviival of the market, the global spread of democracy, and the vital role of agency. p.62\n\n(Bauman's) metaphor of liquid modernity is directed towards a criqtique of the aqueous foundation of modernity. At the same time, the link with postmodernity, is not completely severed because the sense of flexibility and uncertainty implicit in the postmodern is continuous with the notion of liquidity. p.62\n\nModernity appears solid because of the rapid centralization of institutional power. p.63\n\n[...] the attribution of institutional power to the nexus between capitaslism, industrialism, surveillance, and the military. Modernity is solid in the sense that the combined power of these interlocking institutions overwhelms and individual effort to keep tradition in place. p.63\n\nIn other words, solid modernity is by and large a myth. Its solidity cannot be taken for granted, byut is qualified by resistance, contraditions and other softening effects perceived at the ground level. p.64\n\nBecause [bauman] pereceived the inability of the modern order to be orderly, the spread of such an order throughout the world could only mean the exploitation of resources an an alarming rate that created more inequality. p.65\n\nFor Bauman, the process of liquefaction began with a solid modernity dedicated to the brutal elimination of any element that allegedly threatened the manicured garden of progress. Alienation came fo define the very nature of modern existence, first givingt the impression of overcoming byt eventually manifesting as ambivalence that would not go away. p.65\n\nLiquyid Modernity is, thereofre, Bauman's conception of how the world today denies the so-called solidity that it once struggled assiduously to create and maintain. p.66\n\nIt is not neccesarily an optimistic view of modernity becaus the restlessness and openness inherent to liquidity cannot but create greater inequality and more social and economic polarization. Thus, his analysis of liquidity rebukes the freewheeling sense of opennes as an obstruction to the ethic of responsibility. p.66-7\n\nIn other words, consumption abetted by liquid modernity introduces a new type of irrationality. Consumers are so fixated on the objects of their consumption tgat they become unaware of their own predicament. p.71\n\nThe liquidity of spending and shopping cannot be realized without the solid reality of modern structures first being available for any business transaction to occur. p.72\n\nby subsitituting the idea of liquid modernity for postmodetnity, Bauman is able to address the transition of modernity as a 'forcefully built order' to a world which rejects any 'future burdened with obligations that constrain freedom of movement'. p.75\n\nThe develping world cannot byt become trapped between the dream of solid modernization and the reality of liquid transaction. As a consequence, development comes to represent the construction of infrastructures and institutions conducive to the flows of liquid modernity that must eventually dissolve the ramparts of an imagined durable order. p.75\n\nBoth liquid modernity and postmodernity are concepts concerned with the problem of depthless social change, i.e, the loosening of social bonds that disguises alienation as a celebration of diversity and flexibility. p.75-6", "page" : "61-77", "title" : "Bauman, Liquid Modernity and Dilemmas of Development", "type" : "article-journal", "volume" : "83" }, "locator" : "63", "uris" : [ "http://www.mendeley.com/documents/?uuid=c2249845-acf7-4f49-9ab8-f93adffe2146" ] } ], "mendeley" : { "formattedCitation" : "Rayond L.M. Lee, \u2018Bauman, Liquid Modernity and Dilemmas of Development\u2019, &lt;i&gt;Thesis Eleven&lt;/i&gt;, 83 (2005), 61\u201377 (p. 63).", "plainTextFormattedCitation" : "Rayond L.M. Lee, \u2018Bauman, Liquid Modernity and Dilemmas of Development\u2019, Thesis Eleven, 83 (2005), 61\u201377 (p. 63).", "previouslyFormattedCitation" : "Rayond L.M. Lee, \u2018Bauman, Liquid Modernity and Dilemmas of Development\u2019, &lt;i&gt;Thesis Eleven&lt;/i&gt;, 83 (2005), 61\u201377 (p. 63)."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Rayond L.M. Lee, ‘Bauman, Liquid Modernity and Dilemmas of Development’, </w:t>
      </w:r>
      <w:r w:rsidRPr="0025171E">
        <w:rPr>
          <w:rFonts w:asciiTheme="majorBidi" w:hAnsiTheme="majorBidi" w:cstheme="majorBidi"/>
          <w:i/>
          <w:noProof/>
        </w:rPr>
        <w:t>Thesis Eleven</w:t>
      </w:r>
      <w:r w:rsidRPr="0025171E">
        <w:rPr>
          <w:rFonts w:asciiTheme="majorBidi" w:hAnsiTheme="majorBidi" w:cstheme="majorBidi"/>
          <w:noProof/>
        </w:rPr>
        <w:t>, 83 (2005), 61–77 (p. 63).</w:t>
      </w:r>
      <w:r w:rsidRPr="00505CF0">
        <w:rPr>
          <w:rFonts w:asciiTheme="majorBidi" w:hAnsiTheme="majorBidi" w:cstheme="majorBidi"/>
        </w:rPr>
        <w:fldChar w:fldCharType="end"/>
      </w:r>
    </w:p>
  </w:footnote>
  <w:footnote w:id="65">
    <w:p w14:paraId="38F2321A" w14:textId="12A21CE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"https://www.opendemocracy.net/globalization-vision_reflections/modernity_3082.jsp", "accessed" : { "date-parts" : [ [ "2017", "8", "15" ] ] }, "author" : [ { "dropping-particle" : "", "family" : "Bauman", "given" : "Zygmunt", "non-dropping-particle" : "", "parse-names" : false, "suffix" : "" }, { "dropping-particle" : "", "family" : "Galecki", "given" : "Lukasz", "non-dropping-particle" : "", "parse-names" : false, "suffix" : "" } ], "container-title" : "openDemocracy", "id" : "ITEM-1", "issued" : { "date-parts" : [ [ "2005" ] ] }, "note" : "ZB: 'The main trouble is that the globalisation we are dealing with today is strictly negative. It is based on the breaking down of barriers, allowing for the globalisation of capital, the movement of goods, information, crime, and terrorism, but not of the political and judicial institutions whose basis is national sovereignty.\n\nZB: 'In today's world the possibilites for collective action run far behind what is required, although almost everyone agrees that at least something must be done.\n\nZB: 'the events of 11 septembet 2001 and the attacks in Madrid (march 2004) and London (July 2005) have made clear that the traditional means of seciting and maintaing respect for law and order, crudely stated, are worthless. It surprised us - all of us. \n\nZB: 'This is so different from the picture of the future world designed at the beginning of the modern era. Enlightemnent philsophers dreamed of a orderly world, obedient to human will: mild and hospitable. And humans would not be forced to rely on the wisdom of divine creation, but were to realise these dreams on their own. \n\nZB: 'The very project of modernity is born out of the desire for a world without suprises, a safe world, a world without fear.", "title" : "The Unwinnable War: an interview with Zygmunt Bauman", "type" : "webpage" }, "uris" : [ "http://www.mendeley.com/documents/?uuid=a41af416-ac22-48e0-b283-e45e877846ac" ] } ], "mendeley" : { "formattedCitation" : "Zygmunt Bauman and Lukasz Galecki, \u2018The Unwinnable War: An Interview with Zygmunt Bauman\u2019, &lt;i&gt;openDemocracy&lt;/i&gt;, 2005 &lt;https://www.opendemocracy.net/globalization-vision_reflections/modernity_3082.jsp&gt; [accessed 15 August 2017].", "plainTextFormattedCitation" : "Zygmunt Bauman and Lukasz Galecki, \u2018The Unwinnable War: An Interview with Zygmunt Bauman\u2019, openDemocracy, 2005  [accessed 15 August 2017].", "previouslyFormattedCitation" : "Zygmunt Bauman and Lukasz Galecki, \u2018The Unwinnable War: An Interview with Zygmunt Bauman\u2019, &lt;i&gt;openDemocracy&lt;/i&gt;, 2005 &lt;https://www.opendemocracy.net/globalization-vision_reflections/modernity_3082.jsp&gt;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Zygmunt Bauman and Lukasz Galecki, ‘The Unwinnable War: An Interview with Zygmunt Bauman’, </w:t>
      </w:r>
      <w:r w:rsidRPr="0025171E">
        <w:rPr>
          <w:rFonts w:asciiTheme="majorBidi" w:hAnsiTheme="majorBidi" w:cstheme="majorBidi"/>
          <w:i/>
          <w:noProof/>
        </w:rPr>
        <w:t>openDemocracy</w:t>
      </w:r>
      <w:r w:rsidRPr="0025171E">
        <w:rPr>
          <w:rFonts w:asciiTheme="majorBidi" w:hAnsiTheme="majorBidi" w:cstheme="majorBidi"/>
          <w:noProof/>
        </w:rPr>
        <w:t>, 2005 &lt;https://www.opendemocracy.net/globalization-vision_reflections/modernity_3082.jsp&gt; [accessed 15 August 2017].</w:t>
      </w:r>
      <w:r w:rsidRPr="00505CF0">
        <w:rPr>
          <w:rFonts w:asciiTheme="majorBidi" w:hAnsiTheme="majorBidi" w:cstheme="majorBidi"/>
        </w:rPr>
        <w:fldChar w:fldCharType="end"/>
      </w:r>
    </w:p>
  </w:footnote>
  <w:footnote w:id="66">
    <w:p w14:paraId="3E78D8CD" w14:textId="4C3562E3"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"www.culturewars.org.uk/2004-02/identity.htm", "accessed" : { "date-parts" : [ [ "2017", "8", "15" ] ] }, "author" : [ { "dropping-particle" : "", "family" : "Cummings", "given" : "Dolan", "non-dropping-particle" : "", "parse-names" : false, "suffix" : "" } ], "container-title" : "Culture Wars", "id" : "ITEM-1", "issued" : { "date-parts" : [ [ "2004" ] ] }, "note" : "Buman's thesis [...] is that we have moved from a solid to a fluid phase of modernity, in which nothing keeps it shape and social forms are constantly changing at great speed, radically transforming the experience of being human. \n\nThe idea of liquid modernity could be seen as Bauman's attempt to resolve the tension that exists in much social theory between explaining social phenomena as aspects of modernity, and accounting for their appearance only recently. \n\nLiquid modernity seems perhaps to be the late realisation of a tendency that has characterised modernity from the start. What remains at issue is whether the 'solid' institutions of prior modernity were merely the residue of tradition, or pointed towards a more enduring potential of modernity itself. \n\nIndeed, Bauman points to a more profound transformation of how we undertsand what it means to be human in the absence of transcendent ideologies (Traditional or otherwise) such as have characterized modernity until recrently.\n\nthe liquidity of which Bauman writers is nowehre more evident than in his own writing.\n\nWhat Bauman means is not simply that the object of one's affections is vulnerable, and therefore a liability, but that in modernity the object of one's affections is also a subject. Loving a subject means 'making oneself dependent on another person endowed with a similar freedom to choose and the will to follow that choice - and so a person full of surprises, unpredictable.'\n\nArguably, this is the first time we have been able to make such risky commitments autonomously, not to be defined by others, but to choose to define ourselves through others - and not just in personal relationships.\n\nBauman mentions in passing another French philosopher Paul Ricoeur's terms,\u00a0la m\u00eamete(sameness) to describe consistency of self over time, and\u00a0l'ipseite\u00a0(selfness) to describe what distinguishes us from others. His contention is that both categories are increasingly problematic in 'liquid modernity'. Certainly, these are less 'given' than in the past. There is no overbearing social script dictating how we should live our lives, and placing individual biographies in the context of a greater whole. Tradition is a collection of disenchanted stories with little grip on our lives.\n\n\nModernity, or 'solid modernity' can be understood as one more such disenchanted story, but this to miss what is unique about it; that it requires not enchantment but active commitment. The modern ideal of rational self-determining subjects is indeed a script of sorts, but one which allows, indeed requires, people to take authorship. This implies a subjective commitment to particular goals and even institutions that embody those goals. What Bauman calls liquid modernity is a consequence of the failure of the 'grand narratives' of modernity, most obviously nationalism and socialism.\n\nAt a time when it is difficult to sustain a coherent identity over time, it is reassuring to be told that it doesn't matter. Instead of lamenting the absence of stories through which to make sense of our lives, we should celebrate our liberation from narrative (not to mention metanarrative) and get on with our lives-es.\u00a0\n\nThe peculiar 'liquidity' of our times may be less the consequence of structural change than intellectual exhaustion, the failure of the great ideologies of the twentieth century to bring about change on a scale that really would transform what it means to be human. Bauman rightly warns against attempts to seek refuge in the identities of the past, but in his lament at the passing of lasting values, he perhaps underestimates the possibilities for self-assured human beings unencumbered by the past, and brave enough to face the future.", "title" : "The Trouble with Being Human These Days: Identity by Zygmunt Bauman", "type" : "webpage" }, "uris" : [ "http://www.mendeley.com/documents/?uuid=b9133e1f-e33b-451f-b0eb-cf7e4fca2901" ] } ], "mendeley" : { "formattedCitation" : "Dolan Cummings, \u2018The Trouble with Being Human These Days: Identity by Zygmunt Bauman\u2019, &lt;i&gt;Culture Wars&lt;/i&gt;, 2004 &lt;www.culturewars.org.uk/2004-02/identity.htm&gt; [accessed 15 August 2017].", "plainTextFormattedCitation" : "Dolan Cummings, \u2018The Trouble with Being Human These Days: Identity by Zygmunt Bauman\u2019, Culture Wars, 2004  [accessed 15 August 2017].", "previouslyFormattedCitation" : "Dolan Cummings, \u2018The Trouble with Being Human These Days: Identity by Zygmunt Bauman\u2019, &lt;i&gt;Culture Wars&lt;/i&gt;, 2004 &lt;www.culturewars.org.uk/2004-02/identity.htm&gt;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Dolan Cummings, ‘The Trouble with Being Human These Days: Identity by Zygmunt Bauman’, </w:t>
      </w:r>
      <w:r w:rsidRPr="0025171E">
        <w:rPr>
          <w:rFonts w:asciiTheme="majorBidi" w:hAnsiTheme="majorBidi" w:cstheme="majorBidi"/>
          <w:i/>
          <w:noProof/>
        </w:rPr>
        <w:t>Culture Wars</w:t>
      </w:r>
      <w:r w:rsidRPr="0025171E">
        <w:rPr>
          <w:rFonts w:asciiTheme="majorBidi" w:hAnsiTheme="majorBidi" w:cstheme="majorBidi"/>
          <w:noProof/>
        </w:rPr>
        <w:t>, 2004 &lt;www.culturewars.org.uk/2004-02/identity.htm&gt; [accessed 15 August 2017].</w:t>
      </w:r>
      <w:r w:rsidRPr="00505CF0">
        <w:rPr>
          <w:rFonts w:asciiTheme="majorBidi" w:hAnsiTheme="majorBidi" w:cstheme="majorBidi"/>
        </w:rPr>
        <w:fldChar w:fldCharType="end"/>
      </w:r>
    </w:p>
  </w:footnote>
  <w:footnote w:id="67">
    <w:p w14:paraId="3D2203A5" w14:textId="7361D04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Altermodernism was argued to be evident mostly in the works showcased at its unveiling at the Tate Triennial, suggesting less of a grand era-defining announcement and more a showcase of art which is vaguely tied by a restrictive, rather than ubiquitous, ideology: ‘But Altermodern is also hugely selective in the art it showcases, in the history it writes. For a theory that spurns boundaries, Bourriaud's seems strangely boundaried.’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"http://www.independent.co.uk/arts-entertainment/art/reviews/altermodern-tate-triennial-tate-britain-london-1603717.html", "accessed" : { "date-parts" : [ [ "2017", "8", "15" ] ] }, "author" : [ { "dropping-particle" : "", "family" : "Darwent", "given" : "Charles", "non-dropping-particle" : "", "parse-names" : false, "suffix" : "" } ], "container-title" : "The Independent", "id" : "ITEM-1", "issued" : { "date-parts" : [ [ "2009" ] ] }, "note" : "Extra! Extra! Postmodernism is dead! Globalisation suspected! Mmm, well, maybe\n\nIn the olden days of the late 20th century, history was seen as a chain of events occuring in sequence. Each culture had its own history, sealed off from other histories, just as each historical event was separated from other events//Globalization hasn't merely swept away cultural differences, it has taught us to think of history differently. \n\nNow Postmodernism is dead, dispatched by Altermodernism. Or something like that.\n\nSo what is Altermodern art? From Bourriaud's show, it is more or less what you'd expect it to be, which is work that sets out, in various ways, to be boundary-less.\n\nAnother tic of pre-Altmodern art was its lumpush tendency to stay the same.\n\nBut Altermodern is also hugely selective in the art it showcases, in the history it writes. For a theory that spurns boundaries, Bourriaud's seems strangely boundaried.", "title" : "Altermodern: Tate Triennial, Tate Britain, London", "type" : "webpage" }, "uris" : [ "http://www.mendeley.com/documents/?uuid=263b9662-9f39-4327-9f46-03238c3d705c" ] } ], "mendeley" : { "formattedCitation" : "Charles Darwent, \u2018Altermodern: Tate Triennial, Tate Britain, London\u2019, &lt;i&gt;The Independent&lt;/i&gt;, 2009 &lt;http://www.independent.co.uk/arts-entertainment/art/reviews/altermodern-tate-triennial-tate-britain-london-1603717.html&gt; [accessed 15 August 2017].", "plainTextFormattedCitation" : "Charles Darwent, \u2018Altermodern: Tate Triennial, Tate Britain, London\u2019, The Independent, 2009  [accessed 15 August 2017].", "previouslyFormattedCitation" : "Charles Darwent, \u2018Altermodern: Tate Triennial, Tate Britain, London\u2019, &lt;i&gt;The Independent&lt;/i&gt;, 2009 &lt;http://www.independent.co.uk/arts-entertainment/art/reviews/altermodern-tate-triennial-tate-britain-london-1603717.html&gt;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Charles Darwent, ‘Altermodern: Tate Triennial, Tate Britain, London’, </w:t>
      </w:r>
      <w:r w:rsidRPr="0025171E">
        <w:rPr>
          <w:rFonts w:asciiTheme="majorBidi" w:hAnsiTheme="majorBidi" w:cstheme="majorBidi"/>
          <w:i/>
          <w:noProof/>
        </w:rPr>
        <w:t>The Independent</w:t>
      </w:r>
      <w:r w:rsidRPr="0025171E">
        <w:rPr>
          <w:rFonts w:asciiTheme="majorBidi" w:hAnsiTheme="majorBidi" w:cstheme="majorBidi"/>
          <w:noProof/>
        </w:rPr>
        <w:t>, 2009 &lt;http://www.independent.co.uk/arts-entertainment/art/reviews/altermodern-tate-triennial-tate-britain-london-1603717.html&gt; [accessed 15 August 2017].</w:t>
      </w:r>
      <w:r w:rsidRPr="00505CF0">
        <w:rPr>
          <w:rFonts w:asciiTheme="majorBidi" w:hAnsiTheme="majorBidi" w:cstheme="majorBidi"/>
        </w:rPr>
        <w:fldChar w:fldCharType="end"/>
      </w:r>
      <w:r w:rsidRPr="00505CF0">
        <w:rPr>
          <w:rFonts w:asciiTheme="majorBidi" w:hAnsiTheme="majorBidi" w:cstheme="majorBidi"/>
        </w:rPr>
        <w:t xml:space="preserve"> </w:t>
      </w:r>
    </w:p>
    <w:p w14:paraId="5CF29C3E" w14:textId="5AEE5EC2" w:rsidR="00054009" w:rsidRPr="00505CF0" w:rsidRDefault="00054009" w:rsidP="0025171E">
      <w:pPr>
        <w:pStyle w:val="FootnoteText"/>
        <w:rPr>
          <w:rFonts w:asciiTheme="majorBidi" w:hAnsiTheme="majorBidi" w:cstheme="majorBidi"/>
        </w:rPr>
      </w:pPr>
      <w:r w:rsidRPr="00505CF0">
        <w:rPr>
          <w:rFonts w:asciiTheme="majorBidi" w:hAnsiTheme="majorBidi" w:cstheme="majorBidi"/>
        </w:rPr>
        <w:t xml:space="preserve">‘Is the term a useful, coherent and critically productive way of describing some new ‘direction’ in modern art, or – worst case scenario – is the work selected only for its ability to serve or illustrate the concept?’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"http://www.metamute.org/editorial/articles/altermodern-movement-or-marketing", "accessed" : { "date-parts" : [ [ "2017", "9", "10" ] ] }, "author" : [ { "dropping-particle" : "", "family" : "Lambrianou", "given" : "Nickolas", "non-dropping-particle" : "", "parse-names" : false, "suffix" : "" } ], "container-title" : "Mute", "id" : "ITEM-1", "issued" : { "date-parts" : [ [ "2009" ] ] }, "note" : "Writer and ubercurator Nicolas Bourriard appears to know no fear, however, when it comes to generating terminology. Indeed, not only did he coin many of the most recent terms for the type of practices predominant among younger artists over the past two decades ('relational aesthetics', 'postproduction', 'semionaut'), but now he appears to actually want to coin a term for the age that we - the artists, the theorists, and the audience - find ourselves in.\n\nBourriaud launches the term via a rebranding of the fourth Tate Triennial for which he is this year's guest curator. \n\nWhether [the manifesto] is a heartfelt or orinic return to the most typically modernist proclamatory form we may never know, but nonetheless Bourriaud declares immediately that 'Postmodernism is dead'.\n\nTo be fair to Bourriaud, the idea is fleshed out some more in his introductory essay to the book accompanying the show, where it is defined more precisely as a form of radical cultural decentring (\u2018the artist turns nomad\u2019) aligned with a wilful rejection of what he reads to be the \u2018mournful\u2019 condition of a certain mode of postmodernism (the one that mourns the failed utopias and lost discourses of high modernity)\n\nSurely, he seems to be saying, we are now well and truly\u00a0post\u00a0whatever postmodernism was, and we should celebrate the creatively transient freedom offered by this \u2018alter\u2019 (read: \u2018other\u2019) modernity? Join the Altermodern revolution, Bourriaud seems to be saying, you have nothing to lose but your aesthetic and theoretical chains: postmodernity and all its tired debates.\n\nNonetheless, one might say that Bourriaud is quite right to point out that postmodernism as a term was fundamentally flawed\n\nBut Bourriaud is also capitalising on a generational desire to move beyond what has become a rather familiar series of debates in art theory and, in doing so, appears to be moving beyond even those ideas initiated by himself. Yet is this a real development, or merely a rebranding of relational aesthetics, postproduction and so on?\n\nOverall, however, there is little evidence of the real interactivity which was a signature of relational aesthetics. For all the post-postmodernist radicalism of the concept then, the exhibition itself is neither Dada-Messe nor post-conceptualist curatorial mix-up.\n\nThe novelty claimed for the concept is not, therefore, matched by curatorial innovation. This discrepancy between label and content \u2013 between advertisement and product \u2013 aligns Altermodern with the very commodity culture which one might assume critical art to be hostile towards. One could argue that Altermodern is the branding \u2013 the unique selling point \u2013 of a familiar curatorial convention, a straightforward snapshot of what some artists are up to now. [...] All this talk of \u2018platforms\u2019, remixing and dialogue unconsciously\u00a0parrots, rather than critically\u00a0attacks, the language of neoliberal business culture that it has traditionally been the job of critical art to stand against.\n\nAnd so there is a serious flaw here. The Altermodern calls for experimentation over object, the particular over the universal, dialogue over diktat, but where does the discursive power lie? Is the term a useful, coherent and critically productive way of describing some new \u2018direction\u2019 in modern art, or \u2013 worst case scenario \u2013 is the work selected only for its ability to serve or illustrate the concept?", "title" : "Altermodern - Moverment or Marketing?", "type" : "webpage" }, "uris" : [ "http://www.mendeley.com/documents/?uuid=e2d98a74-55bf-4f37-a5e9-04cbcf146477" ] } ], "mendeley" : { "formattedCitation" : "Nickolas Lambrianou, \u2018Altermodern - Moverment or Marketing?\u2019, &lt;i&gt;Mute&lt;/i&gt;, 2009 &lt;http://www.metamute.org/editorial/articles/altermodern-movement-or-marketing&gt; [accessed 10 September 2017].", "plainTextFormattedCitation" : "Nickolas Lambrianou, \u2018Altermodern - Moverment or Marketing?\u2019, Mute, 2009  [accessed 10 September 2017].", "previouslyFormattedCitation" : "Nickolas Lambrianou, \u2018Altermodern - Moverment or Marketing?\u2019, &lt;i&gt;Mute&lt;/i&gt;, 2009 &lt;http://www.metamute.org/editorial/articles/altermodern-movement-or-marketing&gt; [accessed 10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Nickolas Lambrianou, ‘Altermodern - Moverment or Marketing?’, </w:t>
      </w:r>
      <w:r w:rsidRPr="0025171E">
        <w:rPr>
          <w:rFonts w:asciiTheme="majorBidi" w:hAnsiTheme="majorBidi" w:cstheme="majorBidi"/>
          <w:i/>
          <w:noProof/>
        </w:rPr>
        <w:t>Mute</w:t>
      </w:r>
      <w:r w:rsidRPr="0025171E">
        <w:rPr>
          <w:rFonts w:asciiTheme="majorBidi" w:hAnsiTheme="majorBidi" w:cstheme="majorBidi"/>
          <w:noProof/>
        </w:rPr>
        <w:t>, 2009 &lt;http://www.metamute.org/editorial/articles/altermodern-movement-or-marketing&gt; [accessed 10 September 2017].</w:t>
      </w:r>
      <w:r w:rsidRPr="00505CF0">
        <w:rPr>
          <w:rFonts w:asciiTheme="majorBidi" w:hAnsiTheme="majorBidi" w:cstheme="majorBidi"/>
        </w:rPr>
        <w:fldChar w:fldCharType="end"/>
      </w:r>
      <w:r w:rsidRPr="00505CF0">
        <w:rPr>
          <w:rFonts w:asciiTheme="majorBidi" w:hAnsiTheme="majorBidi" w:cstheme="majorBidi"/>
        </w:rPr>
        <w:t xml:space="preserve"> </w:t>
      </w:r>
    </w:p>
  </w:footnote>
  <w:footnote w:id="68">
    <w:p w14:paraId="6260E56A" w14:textId="00170A9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"http://artpulsemagazine.com/altermodern", "accessed" : { "date-parts" : [ [ "2017", "8", "15" ] ] }, "author" : [ { "dropping-particle" : "", "family" : "Menendez-Conde", "given" : "Ernesto", "non-dropping-particle" : "", "parse-names" : false, "suffix" : "" } ], "container-title" : "Artpulse", "id" : "ITEM-1", "issued" : { "date-parts" : [ [ "2009" ] ] }, "note" : "The words for the catalogue, and even the whole show, are a sort of avant-garde manifesto, in which the definition of\u00a0altermodern\u00a0is displayed, demonstrated through the artworks and other supplementary texts and discussions.\n\nAt the risk of simplifying Bourriaud\u2019s description of the present a little bit, his viewpoints could be summarized as follow: 1) In our cultural era, art is\u00a0heterotopic. It goes beyond nationalities, immersed in global dialogues and creolization. contemporary art is essentially a hybrid. It is related to the experiences of migration, displacement, exile, and traveling to the point that \u201ctrajectories become forms.\u201d 2) As a result, there is a fragmentation of the work of art, whose unity consists in being a network, a collective creation, or a process that generates forms. 3) Contemporary art assumes\u00a0heterochrony. That means, it wanders through history, unable to understand time \u2013 as Modernity did \u2013 as a lineal progression, or conceive of it as an exhaustion, in which history and metanarratives come to an end (as it was perceived from the postmodern perspective). In the\u00a0altermodern, there are multiple experiences of time (Bourriaud mentions anachronism, delay, anticipation, and the immediate) coexisting in a sort of web, articulating meanings with the purpose of revealing the present. 4) Contemporary art is a displacement of signs, in which materials are interconnected, developing a chain of references that are dialoguing with each other in order to produce a narrative, and in which storytelling plays a main role. 5)\u00a0Altermodern\u00a0is marked by exodus, by deterritorialization, and the nomadic. Staying away from traditions, the new art turns to a strategic universalism, creating a language which goes beyond nationalisms, or regionalisms.\n\nHowever,\u00a0Voyage of the Beagle could be seen as well as an example of the postmodern aesthetic. The travel through space, signs, and history is related to postmodern strategies of parody, pastiche, and transvestism.\n\nRather than evidence of an\u00a0altermodern\u00a0stage,\u00a0Voyage of the Beagle\u00a0could suggest that the theoretical hypothesis launched by the Tate Triennial lacks further development.\n\nhen Bourriaud talks about the generalization of the hypertext (one sign directs us to a second, then a third, creating a chain of mutually interconnected forms), he seems to describe what was one of the main topics of postmodernism, which was strongly associated with intertextuality and the use of old signs with a new logic (Foster, 1984).\n\nPostmodernim is over. Postmodernism is dead. Since 1989, if not earlier, some scholars and art critics have been arguing about the need for going beyond the term, not to mention the ones who, from the very beginning, remained skeptical about the word.\u00a0\n\nHowever, in my opinion, as a theoretical hypothesis, the description of the new term fails to establish a differentiation from the postmodern.\n\nWhat if, by now, the death of postmodernism is, paradoxically, one of the many death certificates issued by the postmodern? [...] In the end, we are not that far from postmodernism, and perhaps the new cultural era is still about to come, showing new symptoms, or new signs, but without being born yet, still germinating in its mother\u2019s womb.", "title" : "Altermodern?", "type" : "webpage" }, "uris" : [ "http://www.mendeley.com/documents/?uuid=8046c99e-d036-4e19-81b2-11fe0c1c9b3f" ] } ], "mendeley" : { "formattedCitation" : "Ernesto Menendez-Conde, \u2018Altermodern?\u2019, &lt;i&gt;Artpulse&lt;/i&gt;, 2009 &lt;http://artpulsemagazine.com/altermodern&gt; [accessed 15 August 2017].", "plainTextFormattedCitation" : "Ernesto Menendez-Conde, \u2018Altermodern?\u2019, Artpulse, 2009  [accessed 15 August 2017].", "previouslyFormattedCitation" : "Ernesto Menendez-Conde, \u2018Altermodern?\u2019, &lt;i&gt;Artpulse&lt;/i&gt;, 2009 &lt;http://artpulsemagazine.com/altermodern&gt;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Ernesto Menendez-Conde, ‘Altermodern?’, </w:t>
      </w:r>
      <w:r w:rsidRPr="0025171E">
        <w:rPr>
          <w:rFonts w:asciiTheme="majorBidi" w:hAnsiTheme="majorBidi" w:cstheme="majorBidi"/>
          <w:i/>
          <w:noProof/>
        </w:rPr>
        <w:t>Artpulse</w:t>
      </w:r>
      <w:r w:rsidRPr="0025171E">
        <w:rPr>
          <w:rFonts w:asciiTheme="majorBidi" w:hAnsiTheme="majorBidi" w:cstheme="majorBidi"/>
          <w:noProof/>
        </w:rPr>
        <w:t>, 2009 &lt;http://artpulsemagazine.com/altermodern&gt; [accessed 15 August 2017].</w:t>
      </w:r>
      <w:r w:rsidRPr="00505CF0">
        <w:rPr>
          <w:rFonts w:asciiTheme="majorBidi" w:hAnsiTheme="majorBidi" w:cstheme="majorBidi"/>
        </w:rPr>
        <w:fldChar w:fldCharType="end"/>
      </w:r>
    </w:p>
  </w:footnote>
  <w:footnote w:id="69">
    <w:p w14:paraId="3A4E0D1E" w14:textId="07BE00D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"www.tate.org.uk/whats-on/tate-britain/exhibition/altermodern/explain-altermodern/altermodern-explained-manifesto", "accessed" : { "date-parts" : [ [ "2017", "8", "4" ] ] }, "author" : [ { "dropping-particle" : "", "family" : "Bourriaud", "given" : "Nicolas", "non-dropping-particle" : "", "parse-names" : false, "suffix" : "" } ], "container-title" : "Tate", "id" : "ITEM-1", "issued" : { "date-parts" : [ [ "2009" ] ] }, "note" : "A New modernity is emerging, reconfigured to an age of globalisation - understood in its economic, political, and cultural aspects: an altermodern culture. \n\nIncreaed communication, travel and migration are affecting the way we live.\n\nMulticulturalism and identity is [sic] being overtaken by creolisation: Artists are now starting from a globalised state of culture. \n\nToday's art explores the bons that text and inage, time and space, weave between themselves.\n\nTravel, cultural exchanges and examination of history are not merely fashionable themes, but markers of a profound evolution in our vision of the world and our way of inhabiting it.\n\n[...]our globalised perception calls for new types of representation: our daily lives are played out against a more enormous backdrop than ever before.\n\nMulticulturalism and the discourse of identity is being overtaken by a planetary movement of creolisation; cultural relativism and deconstruction, substituted for modernist universalism, give us no weapons against against the twofold threat of uniformity and mass culture and traditionalist, far-right, withdrawal. \n\nAltermodernity arises out of pnatary negotiations, discussions between agents from different cultures.[...] altermodernity is characterised translation, unlike the modernism of the twentieth century which spoke in the abstract language of the colonial west, and postmodernism, which encloses artistic phenomena in origins and identities. \n\nThe artist becomes 'homo viator', the prototype of the contemporary traveller whose passage through signs and formats refers to a contemporary experience of mobility, travel, and transpassing.\n\nThe form oif the work expresses a course, a wandering, rather than a fixed space-time.\n\nAltermodern art is thus read as a hypertext; arists translate and transcode information from one format to another, and wander in geography as well as in history. [...] Our iniverse becomes a territory all dimensions of which may be travelled both in time and space.", "title" : "Altermodern Explained: Manifesto", "type" : "webpage" }, "uris" : [ "http://www.mendeley.com/documents/?uuid=4f0cba5b-2e3f-4df7-8bc8-b062134a7f16" ] } ], "mendeley" : { "formattedCitation" : "Nicolas Bourriaud, \u2018Altermodern Explained: Manifesto\u2019, &lt;i&gt;Tate&lt;/i&gt;, 2009 &lt;www.tate.org.uk/whats-on/tate-britain/exhibition/altermodern/explain-altermodern/altermodern-explained-manifesto&gt; [accessed 4 August 2017].", "plainTextFormattedCitation" : "Nicolas Bourriaud, \u2018Altermodern Explained: Manifesto\u2019, Tate, 2009  [accessed 4 August 2017].", "previouslyFormattedCitation" : "Nicolas Bourriaud, \u2018Altermodern Explained: Manifesto\u2019, &lt;i&gt;Tate&lt;/i&gt;, 2009 &lt;www.tate.org.uk/whats-on/tate-britain/exhibition/altermodern/explain-altermodern/altermodern-explained-manifesto&gt; [accessed 4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Nicolas Bourriaud, ‘Altermodern Explained: Manifesto’, </w:t>
      </w:r>
      <w:r w:rsidRPr="0025171E">
        <w:rPr>
          <w:rFonts w:asciiTheme="majorBidi" w:hAnsiTheme="majorBidi" w:cstheme="majorBidi"/>
          <w:i/>
          <w:noProof/>
        </w:rPr>
        <w:t>Tate</w:t>
      </w:r>
      <w:r w:rsidRPr="0025171E">
        <w:rPr>
          <w:rFonts w:asciiTheme="majorBidi" w:hAnsiTheme="majorBidi" w:cstheme="majorBidi"/>
          <w:noProof/>
        </w:rPr>
        <w:t>, 2009 &lt;www.tate.org.uk/whats-on/tate-britain/exhibition/altermodern/explain-altermodern/altermodern-explained-manifesto&gt; [accessed 4 August 2017].</w:t>
      </w:r>
      <w:r w:rsidRPr="00505CF0">
        <w:rPr>
          <w:rFonts w:asciiTheme="majorBidi" w:hAnsiTheme="majorBidi" w:cstheme="majorBidi"/>
        </w:rPr>
        <w:fldChar w:fldCharType="end"/>
      </w:r>
    </w:p>
  </w:footnote>
  <w:footnote w:id="70">
    <w:p w14:paraId="5F5A0A2B" w14:textId="7FBBFFD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"3", "uris" : [ "http://www.mendeley.com/documents/?uuid=9cfe2cdc-de7e-4a7d-bc9d-282fba435583" ] } ], "mendeley" : { "formattedCitation" : "Vermeulen and van den Akker, \u2018Notes on Metamodernism\u2019, p. 3.", "plainTextFormattedCitation" : "Vermeulen and van den Akker, \u2018Notes on Metamodernism\u2019, p. 3.", "previouslyFormattedCitation" : "Vermeulen and van den Akker, \u2018Notes on Metamodernism\u2019,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3.</w:t>
      </w:r>
      <w:r w:rsidRPr="00505CF0">
        <w:rPr>
          <w:rFonts w:asciiTheme="majorBidi" w:hAnsiTheme="majorBidi" w:cstheme="majorBidi"/>
        </w:rPr>
        <w:fldChar w:fldCharType="end"/>
      </w:r>
    </w:p>
  </w:footnote>
  <w:footnote w:id="71">
    <w:p w14:paraId="1C44FE65" w14:textId="4DB4204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"Moraru", "given" : "Christian", "non-dropping-particle" : "", "parse-names" : false, "suffix" : "" } ], "chapter-number" : "29", "container-title" : "The Cambridge History of Postmodern Literature", "editor" : [ { "dropping-particle" : "", "family" : "McHale", "given" : "Brian", "non-dropping-particle" : "", "parse-names" : false, "suffix" : "" }, { "dropping-particle" : "", "family" : "Platt", "given" : "Len", "non-dropping-particle" : "", "parse-names" : false, "suffix" : "" } ], "id" : "ITEM-1", "issued" : { "date-parts" : [ [ "2016" ] ] }, "note" : "one should recognize, as I do here, that the end of the Cold War brings to the fore not only the world system but also a new stage in the system\u2019s history. p.480\n\nTo be sure, few subjects in the humanities have been in greater need of reevaluation after 1989. In fact, this may be the right time to write postmodernism\u2019s history, now that, under the sway of broader historical changes, the sixty-year postmodern saga seems to have reached its final episode. p.481\n\nI have talked about a transition to \u201ccosmodernism\u201d \u2013 an \u201cism\u201d of sorts itself transitional, as we shall observe momentarily \u2013 while, when I have expanded my analysis to other areas, my preferred concept has been \u201cplanetarism.\u201d p.482\n\nI write transition advisedly. For I want us to envision the shift in question not as a radical hiatus that has already occurred but as an ongoing, nonlinear, uncoordinated, multifaceted, protracted, and contradictory mutation worldwide. p.482\n\nCosmodernism, the name I have assigned to this new cultural-historical formation, rests on a relational poetics. This is the place to repeat, though, that wider world relationality, of which cosmodern relatedness aspires to be, as I maintain, a \u201crogue\u201d subset, worlded by not only the connections among societies, locales, economies, and cultures but also their troubles. p.482\n\n\u201d It can shore up our life-giving differences or work as a conduit for indiscriminate, homogenizing mimesis and toward a world culture of selfsameness. p. 483\n\nAs it has turned out, despite their remarkable diffusion, postmodern literature, TV series, and video have not wound up postmodernizing world cultures. At the same time, at its own, Euroatlantic sources, postmodern discourse does appear to have reached a fairly conspicuous saturation level, at which \u201cnew\u201d postmodern work basically derives its novelty from overdoing \u2013 doing again and blowing out of proportions \u2013 postmodern precedents, their hallmark themes, and recipes. p.483\n\nFairly or not, the prevailing perception of postmodernism\u2019s efforts to globalize foregrounds the global, not the postmodern. In this light, postmodernism appears preponderantly as a globalization issue, an aspect of globalism\u2019s tautological rationality rather than its corrective culturally, philosophically, or otherwise. p.485\n\nPut differently: at loggerheads with its own philosophical and political agenda, postmodernism often carries on modernity\u2019s utmost egological project, Western colonialism. p.486\n\nInstead, the more reasonable thing to do at this point in cultural history would be to give the postmoderns credit for laying the groundwork, setting the basic agenda, and developing, in the interval between the late 1960s and the late 1980s, the overall framework for a task whose completion by and large lies beyond the postmodern\u2019s purview. p.486\n\nthe cosmodern paradigm to which this turn gives birth both participates in and critiques late globalization\u2019s highly networked environment \u2013 this is cosmodernism\u2019s \u201cdouble-bind.\u201d In keeping with post-1989 worldwide amplification and densification of human relations, cosmodernism projects postmodernism\u2019s newly found historical relationality horizontally across traditions and their unsynchronized temporalities. Thus, cosmodernism starts replacing postmodernism\u2019s conceptual unit, the nation-state, with an ever more networked world. p.488\n\nAmerican postmodern intertexts generally roam the room of the nation or of the Western family of nations. p.488\n\nHowever, with cosmoderns such as Chang-rae Lee, the later Don DeLillo, Nicole Mones, Jhumpa Lahiri, Karen Tei Yamashita, or Jonathan Safran Foer, this horizon widens dramatically to incorporate the formerly less immediate and less contingent (\u201cout there\u201d) worldly \u201cweb of ideas and images.\u201d This is a transnational rather than post-national process. p.488\n\ncosmodernism articulates and in turn can be represented critically as a vision of cross-traditional and polycentric intertextuality and interculturality that builds on the largely theoretical, fantastical, or mystical-Kabbalistic idea of \u201cThe Library of Babel\u201d in the vein of Jorge Luis Borges to project a more transidiomatic, transcultural, and geopolitical world library. p.489\n\nThe cosmodern vision declines to be another egological extrapolation of US/Western nuclei of values, ideologies, and intertextual repertoires. p.489\n\nThe cosmodern problematic of otherness is more authentically \u2013 more heterologically \u2013 \u201cother,\u201d vaster, more capacious ethnically, racially, or religiously. p.489\n\nBut not only are \u201cothers\u201d becoming the master theme of the American literature of the past twenty years. The \u201ctheme\u201d is also ethically explored. This means that the other\u2019s presence in cosmodern discourse is no longer just a matter of \u201ctheme,\u201d and hence of thematization, of rational reduction. The other\u2019s presence founds, organizes, and orients cosmodern representation rather than merely supplying it with the subject du jour. p.489\n\nCosmodernism does follow in postmodernism\u2019s footsteps thematically and formally, as we have noticed throughout. Yet the cosmodern authors grow increasingly uncomfortable with an approach that, on an important level, reinforces an older worldview that conceptualizes and thus further \u201cothers\u201d and externalizes alterity qua \u201ctheme\u201d and \u201cform.\u201d Cosmodernism seeks to engage with otherness beyond the thematic, the exotic, and the formal, ethically. p.490-90\n\ncosmodernism is a \u201csoft\u201d cultural period. Because its onset entails a highly complex and deep-reaching reordering of the world as we know it, the paradigm will take a while to stabilize. p.490\n\nLet us also keep in mind that cosmodernism is not postmodernism\u2019s sole successor. Nor is postmodernism completely \u201cover.\u201d The postmodern project too is \u201cincomplete.\u201d p.491\n\nCosmodernism is that move itself, a transitional act in an unfolding drama that will end in a sea change eventually. p.491\n\nBut its devotion to the concept that \u201cthe subject can no longer be conceived of as closed up in itself\u201d goes beyond the stylistic and the conceptual, and thus beyond the postmodern, into the ethical. p.491\n\nthe systematic, explicit, and supremely ethical tackling of the problematics of alterity can be said to have become a matter of recognizable narrative style. p.491\n\ndiscourse, history, culture, community, patrimony, and tradition. The cosmoderns complicate all these issues by rewriting them as paragraphs in a worldly phenomenology of self-other mutuality. p.492\n\nNeither the only new thing to supersede postmodernism nor distinct enough as a movement or school so far, cosmodernism is, in sum: (1) an increasingly recognizable imaginary pattern, viz., a way of mapping \u201ctoday\u201d\u2019s world as a cultural geography of relationality; (2) by the same token, a capacious scenario of discourse and subjectivity formation; (3) an ethical imperative pointing to the present as much as to the future; and (4) a critical algorithm for interpreting and assembling a range of post-1989 narrative and theoretical US imaginings into a coherent and, again, forward-looking model. p.492\n\n[cosmodernism is] a harbinger of and sometimes a blueprint for a turn on a larger scale. p.492\n\nMy 2015 book posits that cosmodernism is that which planetarism is becoming for the entire world on the threshold of the twenty-first century. p.492\n\nCosmodernity and cosmodernization are to the US and the West generally what planetarity and planetarization are to the world, its present, and foreseeable future. p.492\n\nEmbodying this condition is the planet. This is not so much the physical earth at this point as the geocultural matrix increasingly fashioning human expressivity and comprehension worldwide, the emerging \u201csingle unit\u201d of cultural discourse and analysis, of world writing and world reading. p.493\n\nwe are running into problems testing the effectiveness of our approaches, the boundaries of our discourses and of the \u201cscholarly\u201d more generally, the limitations of our epistemologies, and the germane limits of our academic setups and units. p.493\n\nno matter what they see in the places they explore, they also register the world within these places. Characteristically, their fiction reads for the planet\u2019s footprint on the local or, better yet, on the apparently local, cloistered, autarchic, and insular. The job of planetary critics is, very basically, to read for these readings \u2013 for the planet\u2019s footprint in the cultures\u2019 fine print, so to speak. p.494", "page" : "480-496", "publisher" : "Cambridge University Press", "publisher-place" : "Cambridge", "title" : "Postmodernism, Cosmodernism, Planetarism", "type" : "chapter" }, "locator" : "488", "uris" : [ "http://www.mendeley.com/documents/?uuid=42b2297c-6c32-4113-b8ba-9536fe80c5ea" ] } ], "mendeley" : { "formattedCitation" : "Christian Moraru, \u2018Postmodernism, Cosmodernism, Planetarism\u2019, in &lt;i&gt;The Cambridge History of Postmodern Literature&lt;/i&gt;, ed. by Brian McHale and Len Platt (Cambridge: Cambridge University Press, 2016), pp. 480\u2013496 (p. 488) &lt;https://www.cambridge.org/core/books/cambridge-history-of-postmodern-literature/postmodernism-cosmodernism-planetarism/76BBC428E96196CD410218F6FCCAAF88&gt;.", "manualFormatting" : "Christian Moraru, \u2018Postmodernism, Cosmodernism, Planetarism\u2019, in The Cambridge History of Postmodern Literature, ed. by Brian McHale and Len Platt (Cambridge: Cambridge University Press, 2016), pp. 480\u2013496 (p. 488).", "plainTextFormattedCitation" : "Christian Moraru, \u2018Postmodernism, Cosmodernism, Planetarism\u2019, in The Cambridge History of Postmodern Literature, ed. by Brian McHale and Len Platt (Cambridge: Cambridge University Press, 2016), pp. 480\u2013496 (p. 488) .", "previouslyFormattedCitation" : "Christian Moraru, \u2018Postmodernism, Cosmodernism, Planetarism\u2019, in &lt;i&gt;The Cambridge History of Postmodern Literature&lt;/i&gt;, ed. by Brian McHale and Len Platt (Cambridge: Cambridge University Press, 2016), pp. 480\u2013496 (p. 488) &lt;https://www.cambridge.org/core/books/cambridge-history-of-postmodern-literature/postmodernism-cosmodernism-planetarism/76BBC428E96196CD410218F6FCCAAF88&gt;."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Christian Moraru, ‘Postmodernism, Cosmodernism, Planetarism’, in </w:t>
      </w:r>
      <w:r w:rsidRPr="00505CF0">
        <w:rPr>
          <w:rFonts w:asciiTheme="majorBidi" w:hAnsiTheme="majorBidi" w:cstheme="majorBidi"/>
          <w:i/>
          <w:noProof/>
        </w:rPr>
        <w:t>The Cambridge History of Postmodern Literature</w:t>
      </w:r>
      <w:r w:rsidRPr="00505CF0">
        <w:rPr>
          <w:rFonts w:asciiTheme="majorBidi" w:hAnsiTheme="majorBidi" w:cstheme="majorBidi"/>
          <w:noProof/>
        </w:rPr>
        <w:t>, ed. by Brian McHale and Len Platt (Cambridge: Cambridge University Press, 2016), pp. 480–496 (p. 488).</w:t>
      </w:r>
      <w:r w:rsidRPr="00505CF0">
        <w:rPr>
          <w:rFonts w:asciiTheme="majorBidi" w:hAnsiTheme="majorBidi" w:cstheme="majorBidi"/>
        </w:rPr>
        <w:fldChar w:fldCharType="end"/>
      </w:r>
    </w:p>
  </w:footnote>
  <w:footnote w:id="72">
    <w:p w14:paraId="1DE03C50" w14:textId="0DC847B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‘One of the most striking features of Moraru's inauguration of cosmodernism is the degree to which the phenomenon and experience of the United States serves as a template for recent developments manifestly "beyond (any and all) frontiers" and quintessentially of an off-shore nature’,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"Sussman", "given" : "Henry", "non-dropping-particle" : "", "parse-names" : false, "suffix" : "" } ], "container-title" : "MLN", "id" : "ITEM-1", "issue" : "5", "issued" : { "date-parts" : [ [ "2013" ] ] }, "note" : "One of the most striking features of Moraru's inauguration of cosmodernism is the degree to which the phenomenon and experience of the United States serves as a template for recent developments manifestly &amp;quot;beyond (any and all) frontiers&amp;quot; and quintessentially of an off-shore nature", "title" : "Review by Henry Sussman", "type" : "article-journal", "volume" : "128" }, "uris" : [ "http://www.mendeley.com/documents/?uuid=fc4c824f-9f8b-4554-ad7e-f8282f4ad70f" ] } ], "mendeley" : { "formattedCitation" : "Henry Sussman, \u2018Review by Henry Sussman\u2019, &lt;i&gt;MLN&lt;/i&gt;, 128 (2013) &lt;https://muse.jhu.edu/article/535743&gt;.", "manualFormatting" : "Henry Sussman, \u2018Review by Henry Sussman\u2019, MLN, 128 (2013).", "plainTextFormattedCitation" : "Henry Sussman, \u2018Review by Henry Sussman\u2019, MLN, 128 (2013) .", "previouslyFormattedCitation" : "Henry Sussman, \u2018Review by Henry Sussman\u2019, &lt;i&gt;MLN&lt;/i&gt;, 128 (2013) &lt;https://muse.jhu.edu/article/535743&gt;."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Henry Sussman, ‘Review by Henry Sussman’, </w:t>
      </w:r>
      <w:r w:rsidRPr="00505CF0">
        <w:rPr>
          <w:rFonts w:asciiTheme="majorBidi" w:hAnsiTheme="majorBidi" w:cstheme="majorBidi"/>
          <w:i/>
          <w:noProof/>
        </w:rPr>
        <w:t>MLN</w:t>
      </w:r>
      <w:r w:rsidRPr="00505CF0">
        <w:rPr>
          <w:rFonts w:asciiTheme="majorBidi" w:hAnsiTheme="majorBidi" w:cstheme="majorBidi"/>
          <w:noProof/>
        </w:rPr>
        <w:t>, 128 (2013).</w:t>
      </w:r>
      <w:r w:rsidRPr="00505CF0">
        <w:rPr>
          <w:rFonts w:asciiTheme="majorBidi" w:hAnsiTheme="majorBidi" w:cstheme="majorBidi"/>
        </w:rPr>
        <w:fldChar w:fldCharType="end"/>
      </w:r>
    </w:p>
  </w:footnote>
  <w:footnote w:id="73">
    <w:p w14:paraId="3E7697D0" w14:textId="5D27EA5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"Mraovic-O'Hare", "given" : "Damjana", "non-dropping-particle" : "", "parse-names" : false, "suffix" : "" } ], "container-title" : "Postmodern Culture", "id" : "ITEM-1", "issue" : "2", "issued" : { "date-parts" : [ [ "2012" ] ] }, "note" : "Cosmodernism is, according to Moraru, a paradigm that is typical of the period after 1989 and whose main characteristic is relationality, or what he calls &amp;quot;being-in-relation, with an other&amp;quot; (2). Such relationality is manifested in American fictional narratives as an identity that is always created in relation to a wider context, surpassing the geopolitical and cultural limits of the U.S.\n\nThe main characteristic of cosmodernism is, in other words, its interest in a humanity conditioned by diverse political, social, and cultural elements.\u00a0\n\nMoraru defines cosmodernism as either a continuation of or a reaction to postmodernism. He sees postmodernism not only as a methodological, philosophical, cultural, and historical predecessor of cosmodernism, but also as a practice that disables us from successfully grasping our immediate present. Moraru claims that postmodernism cannot handle and therefore does not respond to global crisis, primarily because of its tendency to &amp;quot;universalize&amp;quot; and &amp;quot;westernize&amp;quot; non-U.S. cultural spaces\n\nSince cosmodernism does not have a dominant style but is characterized by relationality, Moraru reiterates that its importance lies in the ethical. Cosmodernism, he says, complicates our thinking about discourse, history, culture, and tradition by always incorporating experiences and cultures of the other, and therefore reducing our self-centrism. Cosmodernism is about others, not about the Other as a literary subject.\n\nAnd if cosmodernism is not merely to supplement postmodernism, as Moraru claims, why is 1989 so crucial for periodization of the contemporary? Why would the ruined Berlin Wall be so important to contemporary American fiction, especially when Moraru's literary examples include the works of Lahiri, Kim, Mones, Nafisi, Lee, and Yamashita, authors whose relationality can hardly be attributed to the end of the Cold War?", "title" : "Moraru's Cosmodernism", "type" : "article-journal", "volume" : "22" }, "uris" : [ "http://www.mendeley.com/documents/?uuid=cd106ef2-d412-4978-b514-7a235ea41fa9" ] } ], "mendeley" : { "formattedCitation" : "Damjana Mraovic-O\u2019Hare, \u2018Moraru\u2019s Cosmodernism\u2019, &lt;i&gt;Postmodern Culture&lt;/i&gt;, 22 (2012) &lt;https://muse.jhu.edu/article/494809&gt;.", "manualFormatting" : "Damjana Mraovic-O\u2019Hare, \u2018Moraru\u2019s Cosmodernism\u2019, Postmodern Culture, 22 (2012). ", "plainTextFormattedCitation" : "Damjana Mraovic-O\u2019Hare, \u2018Moraru\u2019s Cosmodernism\u2019, Postmodern Culture, 22 (2012) .", "previouslyFormattedCitation" : "Damjana Mraovic-O\u2019Hare, \u2018Moraru\u2019s Cosmodernism\u2019, &lt;i&gt;Postmodern Culture&lt;/i&gt;, 22 (2012) &lt;https://muse.jhu.edu/article/494809&gt;."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Damjana Mraovic-O’Hare, ‘Moraru’s Cosmodernism’, </w:t>
      </w:r>
      <w:r w:rsidRPr="00505CF0">
        <w:rPr>
          <w:rFonts w:asciiTheme="majorBidi" w:hAnsiTheme="majorBidi" w:cstheme="majorBidi"/>
          <w:i/>
          <w:noProof/>
        </w:rPr>
        <w:t>Postmodern Culture</w:t>
      </w:r>
      <w:r w:rsidRPr="00505CF0">
        <w:rPr>
          <w:rFonts w:asciiTheme="majorBidi" w:hAnsiTheme="majorBidi" w:cstheme="majorBidi"/>
          <w:noProof/>
        </w:rPr>
        <w:t xml:space="preserve">, 22 (2012). </w:t>
      </w:r>
      <w:r w:rsidRPr="00505CF0">
        <w:rPr>
          <w:rFonts w:asciiTheme="majorBidi" w:hAnsiTheme="majorBidi" w:cstheme="majorBidi"/>
        </w:rPr>
        <w:fldChar w:fldCharType="end"/>
      </w:r>
    </w:p>
  </w:footnote>
  <w:footnote w:id="74">
    <w:p w14:paraId="66AADCBA" w14:textId="3E503EA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"Moraru", "given" : "Christian", "non-dropping-particle" : "", "parse-names" : false, "suffix" : "" } ], "chapter-number" : "29", "container-title" : "The Cambridge History of Postmodern Literature", "editor" : [ { "dropping-particle" : "", "family" : "McHale", "given" : "Brian", "non-dropping-particle" : "", "parse-names" : false, "suffix" : "" }, { "dropping-particle" : "", "family" : "Platt", "given" : "Len", "non-dropping-particle" : "", "parse-names" : false, "suffix" : "" } ], "id" : "ITEM-1", "issued" : { "date-parts" : [ [ "2016" ] ] }, "note" : "one should recognize, as I do here, that the end of the Cold War brings to the fore not only the world system but also a new stage in the system\u2019s history. p.480\n\nTo be sure, few subjects in the humanities have been in greater need of reevaluation after 1989. In fact, this may be the right time to write postmodernism\u2019s history, now that, under the sway of broader historical changes, the sixty-year postmodern saga seems to have reached its final episode. p.481\n\nI have talked about a transition to \u201ccosmodernism\u201d \u2013 an \u201cism\u201d of sorts itself transitional, as we shall observe momentarily \u2013 while, when I have expanded my analysis to other areas, my preferred concept has been \u201cplanetarism.\u201d p.482\n\nI write transition advisedly. For I want us to envision the shift in question not as a radical hiatus that has already occurred but as an ongoing, nonlinear, uncoordinated, multifaceted, protracted, and contradictory mutation worldwide. p.482\n\nCosmodernism, the name I have assigned to this new cultural-historical formation, rests on a relational poetics. This is the place to repeat, though, that wider world relationality, of which cosmodern relatedness aspires to be, as I maintain, a \u201crogue\u201d subset, worlded by not only the connections among societies, locales, economies, and cultures but also their troubles. p.482\n\n\u201d It can shore up our life-giving differences or work as a conduit for indiscriminate, homogenizing mimesis and toward a world culture of selfsameness. p. 483\n\nAs it has turned out, despite their remarkable diffusion, postmodern literature, TV series, and video have not wound up postmodernizing world cultures. At the same time, at its own, Euroatlantic sources, postmodern discourse does appear to have reached a fairly conspicuous saturation level, at which \u201cnew\u201d postmodern work basically derives its novelty from overdoing \u2013 doing again and blowing out of proportions \u2013 postmodern precedents, their hallmark themes, and recipes. p.483\n\nFairly or not, the prevailing perception of postmodernism\u2019s efforts to globalize foregrounds the global, not the postmodern. In this light, postmodernism appears preponderantly as a globalization issue, an aspect of globalism\u2019s tautological rationality rather than its corrective culturally, philosophically, or otherwise. p.485\n\nPut differently: at loggerheads with its own philosophical and political agenda, postmodernism often carries on modernity\u2019s utmost egological project, Western colonialism. p.486\n\nInstead, the more reasonable thing to do at this point in cultural history would be to give the postmoderns credit for laying the groundwork, setting the basic agenda, and developing, in the interval between the late 1960s and the late 1980s, the overall framework for a task whose completion by and large lies beyond the postmodern\u2019s purview. p.486\n\nthe cosmodern paradigm to which this turn gives birth both participates in and critiques late globalization\u2019s highly networked environment \u2013 this is cosmodernism\u2019s \u201cdouble-bind.\u201d In keeping with post-1989 worldwide amplification and densification of human relations, cosmodernism projects postmodernism\u2019s newly found historical relationality horizontally across traditions and their unsynchronized temporalities. Thus, cosmodernism starts replacing postmodernism\u2019s conceptual unit, the nation-state, with an ever more networked world. p.488\n\nAmerican postmodern intertexts generally roam the room of the nation or of the Western family of nations. p.488\n\nHowever, with cosmoderns such as Chang-rae Lee, the later Don DeLillo, Nicole Mones, Jhumpa Lahiri, Karen Tei Yamashita, or Jonathan Safran Foer, this horizon widens dramatically to incorporate the formerly less immediate and less contingent (\u201cout there\u201d) worldly \u201cweb of ideas and images.\u201d This is a transnational rather than post-national process. p.488\n\ncosmodernism articulates and in turn can be represented critically as a vision of cross-traditional and polycentric intertextuality and interculturality that builds on the largely theoretical, fantastical, or mystical-Kabbalistic idea of \u201cThe Library of Babel\u201d in the vein of Jorge Luis Borges to project a more transidiomatic, transcultural, and geopolitical world library. p.489\n\nThe cosmodern vision declines to be another egological extrapolation of US/Western nuclei of values, ideologies, and intertextual repertoires. p.489\n\nThe cosmodern problematic of otherness is more authentically \u2013 more heterologically \u2013 \u201cother,\u201d vaster, more capacious ethnically, racially, or religiously. p.489\n\nBut not only are \u201cothers\u201d becoming the master theme of the American literature of the past twenty years. The \u201ctheme\u201d is also ethically explored. This means that the other\u2019s presence in cosmodern discourse is no longer just a matter of \u201ctheme,\u201d and hence of thematization, of rational reduction. The other\u2019s presence founds, organizes, and orients cosmodern representation rather than merely supplying it with the subject du jour. p.489\n\nCosmodernism does follow in postmodernism\u2019s footsteps thematically and formally, as we have noticed throughout. Yet the cosmodern authors grow increasingly uncomfortable with an approach that, on an important level, reinforces an older worldview that conceptualizes and thus further \u201cothers\u201d and externalizes alterity qua \u201ctheme\u201d and \u201cform.\u201d Cosmodernism seeks to engage with otherness beyond the thematic, the exotic, and the formal, ethically. p.490-90\n\ncosmodernism is a \u201csoft\u201d cultural period. Because its onset entails a highly complex and deep-reaching reordering of the world as we know it, the paradigm will take a while to stabilize. p.490\n\nLet us also keep in mind that cosmodernism is not postmodernism\u2019s sole successor. Nor is postmodernism completely \u201cover.\u201d The postmodern project too is \u201cincomplete.\u201d p.491\n\nCosmodernism is that move itself, a transitional act in an unfolding drama that will end in a sea change eventually. p.491\n\nBut its devotion to the concept that \u201cthe subject can no longer be conceived of as closed up in itself\u201d goes beyond the stylistic and the conceptual, and thus beyond the postmodern, into the ethical. p.491\n\nthe systematic, explicit, and supremely ethical tackling of the problematics of alterity can be said to have become a matter of recognizable narrative style. p.491\n\ndiscourse, history, culture, community, patrimony, and tradition. The cosmoderns complicate all these issues by rewriting them as paragraphs in a worldly phenomenology of self-other mutuality. p.492\n\nNeither the only new thing to supersede postmodernism nor distinct enough as a movement or school so far, cosmodernism is, in sum: (1) an increasingly recognizable imaginary pattern, viz., a way of mapping \u201ctoday\u201d\u2019s world as a cultural geography of relationality; (2) by the same token, a capacious scenario of discourse and subjectivity formation; (3) an ethical imperative pointing to the present as much as to the future; and (4) a critical algorithm for interpreting and assembling a range of post-1989 narrative and theoretical US imaginings into a coherent and, again, forward-looking model. p.492\n\n[cosmodernism is] a harbinger of and sometimes a blueprint for a turn on a larger scale. p.492\n\nMy 2015 book posits that cosmodernism is that which planetarism is becoming for the entire world on the threshold of the twenty-first century. p.492\n\nCosmodernity and cosmodernization are to the US and the West generally what planetarity and planetarization are to the world, its present, and foreseeable future. p.492\n\nEmbodying this condition is the planet. This is not so much the physical earth at this point as the geocultural matrix increasingly fashioning human expressivity and comprehension worldwide, the emerging \u201csingle unit\u201d of cultural discourse and analysis, of world writing and world reading. p.493\n\nwe are running into problems testing the effectiveness of our approaches, the boundaries of our discourses and of the \u201cscholarly\u201d more generally, the limitations of our epistemologies, and the germane limits of our academic setups and units. p.493\n\nno matter what they see in the places they explore, they also register the world within these places. Characteristically, their fiction reads for the planet\u2019s footprint on the local or, better yet, on the apparently local, cloistered, autarchic, and insular. The job of planetary critics is, very basically, to read for these readings \u2013 for the planet\u2019s footprint in the cultures\u2019 fine print, so to speak. p.494", "page" : "480-496", "publisher" : "Cambridge University Press", "publisher-place" : "Cambridge", "title" : "Postmodernism, Cosmodernism, Planetarism", "type" : "chapter" }, "locator" : "492", "uris" : [ "http://www.mendeley.com/documents/?uuid=42b2297c-6c32-4113-b8ba-9536fe80c5ea" ] } ], "mendeley" : { "formattedCitation" : "Moraru, p. 492.", "plainTextFormattedCitation" : "Moraru, p. 492.", "previouslyFormattedCitation" : "Moraru, p. 492."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Moraru, p. 492.</w:t>
      </w:r>
      <w:r w:rsidRPr="00505CF0">
        <w:rPr>
          <w:rFonts w:asciiTheme="majorBidi" w:hAnsiTheme="majorBidi" w:cstheme="majorBidi"/>
        </w:rPr>
        <w:fldChar w:fldCharType="end"/>
      </w:r>
    </w:p>
  </w:footnote>
  <w:footnote w:id="75">
    <w:p w14:paraId="43E2C76D" w14:textId="7F162FE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"Mraovic-O'Hare", "given" : "Damjana", "non-dropping-particle" : "", "parse-names" : false, "suffix" : "" } ], "container-title" : "Postmodern Culture", "id" : "ITEM-1", "issue" : "2", "issued" : { "date-parts" : [ [ "2012" ] ] }, "note" : "Cosmodernism is, according to Moraru, a paradigm that is typical of the period after 1989 and whose main characteristic is relationality, or what he calls &amp;quot;being-in-relation, with an other&amp;quot; (2). Such relationality is manifested in American fictional narratives as an identity that is always created in relation to a wider context, surpassing the geopolitical and cultural limits of the U.S.\n\nThe main characteristic of cosmodernism is, in other words, its interest in a humanity conditioned by diverse political, social, and cultural elements.\u00a0\n\nMoraru defines cosmodernism as either a continuation of or a reaction to postmodernism. He sees postmodernism not only as a methodological, philosophical, cultural, and historical predecessor of cosmodernism, but also as a practice that disables us from successfully grasping our immediate present. Moraru claims that postmodernism cannot handle and therefore does not respond to global crisis, primarily because of its tendency to &amp;quot;universalize&amp;quot; and &amp;quot;westernize&amp;quot; non-U.S. cultural spaces\n\nSince cosmodernism does not have a dominant style but is characterized by relationality, Moraru reiterates that its importance lies in the ethical. Cosmodernism, he says, complicates our thinking about discourse, history, culture, and tradition by always incorporating experiences and cultures of the other, and therefore reducing our self-centrism. Cosmodernism is about others, not about the Other as a literary subject.\n\nAnd if cosmodernism is not merely to supplement postmodernism, as Moraru claims, why is 1989 so crucial for periodization of the contemporary? Why would the ruined Berlin Wall be so important to contemporary American fiction, especially when Moraru's literary examples include the works of Lahiri, Kim, Mones, Nafisi, Lee, and Yamashita, authors whose relationality can hardly be attributed to the end of the Cold War?", "title" : "Moraru's Cosmodernism", "type" : "article-journal", "volume" : "22" }, "uris" : [ "http://www.mendeley.com/documents/?uuid=cd106ef2-d412-4978-b514-7a235ea41fa9" ] } ], "mendeley" : { "formattedCitation" : "Mraovic-O\u2019Hare.", "plainTextFormattedCitation" : "Mraovic-O\u2019Hare.", "previouslyFormattedCitation" : "Mraovic-O\u2019Hare."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Mraovic-O’Hare.</w:t>
      </w:r>
      <w:r w:rsidRPr="00505CF0">
        <w:rPr>
          <w:rFonts w:asciiTheme="majorBidi" w:hAnsiTheme="majorBidi" w:cstheme="majorBidi"/>
        </w:rPr>
        <w:fldChar w:fldCharType="end"/>
      </w:r>
    </w:p>
  </w:footnote>
  <w:footnote w:id="76">
    <w:p w14:paraId="6E09841A" w14:textId="717B2D4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"http://www.performatism.de/What-is-Performatism", "accessed" : { "date-parts" : [ [ "2017", "8", "22" ] ] }, "author" : [ { "dropping-particle" : "", "family" : "Eshelman", "given" : "Raoul", "non-dropping-particle" : "", "parse-names" : false, "suffix" : "" } ], "container-title" : "Performatism.de", "id" : "ITEM-1", "issued" : { "date-parts" : [ [ "2015" ] ] }, "note" : "Performatism describes an across-the-board cultural reaction to post-modernism that began sometime in the mid 1990s.\n\nPostmodernism doesnt simply &amp;quot;extend&amp;quot; or &amp;quot;intensify&amp;quot; or &amp;quot;Radically pluralize&amp;quot; modernism but ironically undercuts and subverts it.\n\nwhy is [postmodernism] boring the daylights out of us? [...] the fact is, the features [of postmodernism] are well known to the point of exhaustion and no longer can suprise or unsettle us. What was once a cleverly subversive, ironic mode of dealing with real social and political problems has become a heavily stylized, aesthetically predictable form of social critique that no longer has the power to really move us.\n\nWhat, then, is performatism? One thing that it is not is a return to modernism or a fuzzy extension of postmodernism. \n\nThe original postmodern project of averting modernist totalitarianism and/or the totalizing devices that accompanied it is passe.\n\nPerformatism's basic goal is to choke off irony by forcing us to beleive using literary or other aesthetic devices. [...] Aesthetically mediated belief, and not endlessly receding ironic skepticism, is the basis of the new epoch.\n\nPerformatist works offer us a unified object, person, or the situation isnide the work that we intuitively identify with, and then rigs the work as a whole so that we don't [have] any other choice but to accept this identification, even if the person or thing in question is rather dubious.\n\nyou wind up wanting to beleive.\n\nPerformatist narratives tend to trick or coerce us into a position of beleiving in something unified.\n\nPerformatism revives both history and the feeling of experiencing events.\n\nThese [narrative] &amp;quot;suprises&amp;quot;, which cause us to believe in something fictional or artistic, can be thought of as performances that also change our attitude towards the real world.\n\nThe performatist sibject is not &amp;quot;authentic&amp;quot; but is formally &amp;quot;out of it&amp;quot;. This allows him or her to resist outside influence and act autonomously, against the logic of prevaling discourse.\n\nHence performatist narratives often involve positive or productive dyadic relationships between human beings that are unthinkable in postmodernism.", "title" : "What is Performatism", "type" : "webpage" }, "uris" : [ "http://www.mendeley.com/documents/?uuid=5c8f6716-0630-4a17-9699-72563b3224b3" ] } ], "mendeley" : { "formattedCitation" : "Eshelman, \u2018What Is Performatism\u2019.", "plainTextFormattedCitation" : "Eshelman, \u2018What Is Performatism\u2019.", "previouslyFormattedCitation" : "Eshelman, \u2018What Is Performatism\u2019."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Eshelman, ‘What Is Performatism’.</w:t>
      </w:r>
      <w:r w:rsidRPr="00505CF0">
        <w:rPr>
          <w:rFonts w:asciiTheme="majorBidi" w:hAnsiTheme="majorBidi" w:cstheme="majorBidi"/>
        </w:rPr>
        <w:fldChar w:fldCharType="end"/>
      </w:r>
    </w:p>
  </w:footnote>
  <w:footnote w:id="77">
    <w:p w14:paraId="7E1DBBAC" w14:textId="349C0D0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"http://www.performatism.de/What-is-Performatism", "accessed" : { "date-parts" : [ [ "2017", "8", "22" ] ] }, "author" : [ { "dropping-particle" : "", "family" : "Eshelman", "given" : "Raoul", "non-dropping-particle" : "", "parse-names" : false, "suffix" : "" } ], "container-title" : "Performatism.de", "id" : "ITEM-1", "issued" : { "date-parts" : [ [ "2015" ] ] }, "note" : "Performatism describes an across-the-board cultural reaction to post-modernism that began sometime in the mid 1990s.\n\nPostmodernism doesnt simply &amp;quot;extend&amp;quot; or &amp;quot;intensify&amp;quot; or &amp;quot;Radically pluralize&amp;quot; modernism but ironically undercuts and subverts it.\n\nwhy is [postmodernism] boring the daylights out of us? [...] the fact is, the features [of postmodernism] are well known to the point of exhaustion and no longer can suprise or unsettle us. What was once a cleverly subversive, ironic mode of dealing with real social and political problems has become a heavily stylized, aesthetically predictable form of social critique that no longer has the power to really move us.\n\nWhat, then, is performatism? One thing that it is not is a return to modernism or a fuzzy extension of postmodernism. \n\nThe original postmodern project of averting modernist totalitarianism and/or the totalizing devices that accompanied it is passe.\n\nPerformatism's basic goal is to choke off irony by forcing us to beleive using literary or other aesthetic devices. [...] Aesthetically mediated belief, and not endlessly receding ironic skepticism, is the basis of the new epoch.\n\nPerformatist works offer us a unified object, person, or the situation isnide the work that we intuitively identify with, and then rigs the work as a whole so that we don't [have] any other choice but to accept this identification, even if the person or thing in question is rather dubious.\n\nyou wind up wanting to beleive.\n\nPerformatist narratives tend to trick or coerce us into a position of beleiving in something unified.\n\nPerformatism revives both history and the feeling of experiencing events.\n\nThese [narrative] &amp;quot;suprises&amp;quot;, which cause us to believe in something fictional or artistic, can be thought of as performances that also change our attitude towards the real world.\n\nThe performatist sibject is not &amp;quot;authentic&amp;quot; but is formally &amp;quot;out of it&amp;quot;. This allows him or her to resist outside influence and act autonomously, against the logic of prevaling discourse.\n\nHence performatist narratives often involve positive or productive dyadic relationships between human beings that are unthinkable in postmodernism.", "title" : "What is Performatism", "type" : "webpage" }, "uris" : [ "http://www.mendeley.com/documents/?uuid=5c8f6716-0630-4a17-9699-72563b3224b3" ] } ], "mendeley" : { "formattedCitation" : "Eshelman, \u2018What Is Performatism\u2019.", "plainTextFormattedCitation" : "Eshelman, \u2018What Is Performatism\u2019.", "previouslyFormattedCitation" : "Eshelman, \u2018What Is Performatism\u2019."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Eshelman, ‘What Is Performatism’.</w:t>
      </w:r>
      <w:r w:rsidRPr="00505CF0">
        <w:rPr>
          <w:rFonts w:asciiTheme="majorBidi" w:hAnsiTheme="majorBidi" w:cstheme="majorBidi"/>
        </w:rPr>
        <w:fldChar w:fldCharType="end"/>
      </w:r>
    </w:p>
  </w:footnote>
  <w:footnote w:id="78">
    <w:p w14:paraId="55B5BAC8" w14:textId="57D391E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"Seah", "given" : "Audrey", "non-dropping-particle" : "", "parse-names" : false, "suffix" : "" } ], "container-title" : "Obsculta", "id" : "ITEM-1", "issue" : "1", "issued" : { "date-parts" : [ [ "2014" ] ] }, "note" : "the inner frame provides the originating context, while the outer frame imposes some sort of unequivocal resolution to the provlems raised in the work on the reader or the viewer. p.20\n\nDouble framing as such, can be summarized as a specific way of creating aesthetic closure; allowing an opaque or dense subjectivity, governed by an authorial mode of organaizing temporal and spatial relations, which in turn promotes a false sense of objectivity. p.20\n\nthe Performatist's double frame traps the subject in a recursive loop of false objectivity of the outer frame, preventing true interation with the ultimate divine &amp;quot;object&amp;quot;. The subject never attempts to break the frame, choosing instead to bounce back and forth between the inner and outer frame, for fear of drowning in a sea of relativism. p.20\n\nBecause performatism locks the subject within an enclosed space, there is also little space for adaptation. p.22\n\nWhen Performatism is coupled with the shallow notions of beauty and symbols embraced by a materialistic world, true aestheticization becomes even more challenging. Thus, aesthetics as a theological method must be re-situated within an alternative theological framework for its full value to be realized. p.22", "page" : "16-22", "title" : "Theological Aesthetics and Performatism in the Aestheticization of the Roman Catholic Liturgy", "type" : "article-journal", "volume" : "5" }, "locator" : "20", "uris" : [ "http://www.mendeley.com/documents/?uuid=c6627b16-2a63-41d9-82b7-92c1973c1efc" ] } ], "mendeley" : { "formattedCitation" : "Audrey Seah, \u2018Theological Aesthetics and Performatism in the Aestheticization of the Roman Catholic Liturgy\u2019, &lt;i&gt;Obsculta&lt;/i&gt;, 5 (2014), 16\u201322 (p. 20).", "plainTextFormattedCitation" : "Audrey Seah, \u2018Theological Aesthetics and Performatism in the Aestheticization of the Roman Catholic Liturgy\u2019, Obsculta, 5 (2014), 16\u201322 (p. 20).", "previouslyFormattedCitation" : "Audrey Seah, \u2018Theological Aesthetics and Performatism in the Aestheticization of the Roman Catholic Liturgy\u2019, &lt;i&gt;Obsculta&lt;/i&gt;, 5 (2014), 16\u201322 (p. 20) &lt;http://digitalcommons.csbsju.edu/obsculta/vol5/iss1/5.&gt;."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Audrey Seah, ‘Theological Aesthetics and Performatism in the Aestheticization of the Roman Catholic Liturgy’, </w:t>
      </w:r>
      <w:r w:rsidRPr="0025171E">
        <w:rPr>
          <w:rFonts w:asciiTheme="majorBidi" w:hAnsiTheme="majorBidi" w:cstheme="majorBidi"/>
          <w:i/>
          <w:noProof/>
        </w:rPr>
        <w:t>Obsculta</w:t>
      </w:r>
      <w:r w:rsidRPr="0025171E">
        <w:rPr>
          <w:rFonts w:asciiTheme="majorBidi" w:hAnsiTheme="majorBidi" w:cstheme="majorBidi"/>
          <w:noProof/>
        </w:rPr>
        <w:t>, 5 (2014), 16–22 (p. 20).</w:t>
      </w:r>
      <w:r w:rsidRPr="00505CF0">
        <w:rPr>
          <w:rFonts w:asciiTheme="majorBidi" w:hAnsiTheme="majorBidi" w:cstheme="majorBidi"/>
        </w:rPr>
        <w:fldChar w:fldCharType="end"/>
      </w:r>
    </w:p>
  </w:footnote>
  <w:footnote w:id="79">
    <w:p w14:paraId="37CB69E4" w14:textId="63E35966"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"Eshelman", "given" : "Raoul", "non-dropping-particle" : "", "parse-names" : false, "suffix" : "" } ], "container-title" : "Anthropoetics", "id" : "ITEM-1", "issue" : "2", "issued" : { "date-parts" : [ [ "2001" ] ] }, "note" : "For the subject, postmodernism presents a mighty, seemingly inescapable trap.Any attempt it makes to find itself through a search for meaning is bound to go awry, for every sign promising some sort of originary knowledge is embedded in further contexts whose explication requires the setting of even more signs. [...] \n\nThe way out of postmodernism does therefore not lead through the intensified search for meaning, through the introduction of new, surprising forms or through the return to an authentic origin. Instead, it must take place through a mechanism completely impervious to postmodernism\u2019s modes of dispersal, deconstruction and proliferation. This mechanism, which has been making itself felt with increasing strength in the cultural events of the last few years, can be best understood using the notion of\u00a0performance.\n\nA performance foregrounds of Emakes strange&amp;quot; the border between life and art\n\nThe new notion of performability serves neither to foreground not contextualize the subject, but rather to preserve it: the subject is presented (or presents itself) as a holistic, irreducible unit that makes a binding impression on a reader or observer. This holistic incarnation of the subject can, however, only succeed when the subject does not offer a semantically differentiated surface that can be absorbed and dispersed in the surrounding context. For this reason the new subject always appears to the observer as reduced and \u201csolid,\u201d as single- or simple-minded and in a certain sense identical with the things it stands for.\n\nThe first models fo a reduced, holistic subject seem not to have been formulated by writers or artists, but rather by literary critics reacting with antitheoretical or minimalistic arguments to poststructuralism.\n\nIn literature and particularly in cinema, the performatist sign and a holistic, reduced subject begin to appear in the mid-to-late 1990s\n\nThe new performatist concept of the subject expresses itself nost clearly in films [...] in which dumb or dumbed-down heroes play a central role.\n\nThese subjects present themselves (or are presented) as self-sufficient wholes impervious to the demands or responsabilities emnating from the social context around them. Out of these self-presentations arise new freedoms which [...] serve to renew human relationships through love.\n\nthe retrograde self-fashioning of the subject has something prodoundly sacral about it, for every successful act of establishing selfhood implies a transcending, context-disrupting act of sacrifice which can exhaust or destroy the subject.\n\nThe performative subject, who delineates as a whole, closed space within a certain context, must reckon with the entire resentment of the context being directed against the foreign body in its midst. At the same time the subject's &amp;quot;message&amp;quot; can spread when other subjects are infected by its example and create new free spaces of their own. \n\nJust as postmodernism institutionalized evil\u2013continuous boundary transgression\u2013the new epoch institutionalizes the good\u2013the one-time, firm drawing of borders. Accordingly, there is a strong tendency among performative works of art to justify divine creation, to turn to theodicy\n\nThe performative drawing of boundaries expresses itself most clearly in terms of plot. Postmodernism, as is well known, allows no time or space for causal ties to develop. Chronotopes arise and disperse almost simultaneously (as can be seen in Derridian modes like\u00a0diff\u00e9rance\u00a0or undecidability, which cannot be fixed in temporal, spatial or causal terms). In contrast, in the new, performatist epoch there is a tendency to create chronotopes allowing a choice between possibilities or even repeated choices between possibilities. [...] the point is to preserve the integrity of the subject even under the most unfavorable conditions.\n\nThe actions of the subject are no longer determined by aleatory, ultimately uncontrollable equivalances among signs, but rather through the manipulation of the transcendental frame by a subject endowed with authorial powers.\n\nSince the positively acting subject should be preserved at all costs, we find in performatist works a tendency to invest characters with far-ranging authorial perogatives. Accordingly, characters are endowed with the ability to manipulate time, space, and causality for their own benefit.\n\nThe act of narrating becomes an act of beleif that cannot be made the object of metaphysical critique or deconstruction.\n\nA successful performance depends on the unforced will of an authorially framed subject and not on the author himself.\n\nWhereas postmodern architecture disorients the subject by causing spacial coordinates to appear equivalent and interchangeable, the glass dome of the Reichstag presents a transparent, unmarked frame whcih allows the visitor to experience his or her own apotheosis by slowly ascending the spiral-shaped walkway curling around the dome; at the end of the climb the visitor, now completely surrounded by blu sky, &amp;quot;thrones&amp;quot; over the members of the Bundestag deliberating directly below.\n\nIn terms of media, the performative reduction and drawing of boundaries aims neither one-sidedly at the authentic reproduction of the real nor at the effortless, endless reproduction of signs in virtual, secondary reality. Rather, it performs a paradoxical unification of both moments in a cinematic frame which, precisely because it is constructed by an author and not by an interplay of signs, is maked by personal and technical &amp;quot;mistakes&amp;quot;.\n\nThe graffiti on the Reichstag walls are not citations, they are real; rather than producing a nostalgic, stimulatory effect, they domstrate the materiality, subjectivity, and fracturedness of history within a holistic, intentionally constructed framework.\n\nIn general, performatism encourages self-therapy, it suggests we can transcend the force of rampant, oppressive contexts by repeatedly assering our own selfhood.\n\nBecause it will not come without law and government, changing ourselves is all the more important. We are the beginning as well as the end of a dsecent economy's possibility, becayse we are the sole site of responsability.\n\nFinally, the unifying intention of performatism is closely tied to the return of the phallus as a positive enabling force in culture. Contrary to the poststructuralist assumption that the phallus functions only by muzzling, suppressing, or penetrating the female, the performative phallus creates a poisitive, gender-transcending unity through a process of more-or-less voluntary self-sacrifice. The centrifying, attention-grabbing fusion of corporality and semioticity which the act of self0sacrifice entails leaves behind an empty space which is not seldom filled out by female characters. The phallic thus annihilates itself [...] practices continence [...] or leaves behind a codex or testament. \n\nIn veiw of this active presentation and retraction of the phallus (not castration!) the female characters themselves receive the opportunity to act in a phallic - which is to say active and unifying - way.\n\nIndeed, in the world of performatism the symbolic order of language and the chain of signifiers with its distracting puns play little or no role [...] decisive for for [sic] the performatist work is the hollistic, object-orientated force of the utterance and not the glissement of signifiers.\n\nPerformatism's break with postmodernism did not take place cleanly and in one stroke. \n\nI would also suggest that it is not evil qhich determines the post-postmodern condition (even if evil is still active and present as a residual phenomenon), but rather love, for love, as the optimal condition of innovation, enables any subject to be loved - that is, to enter with another, alien subject into a whole, salvational space or frame. \n\nIn performatism the set is always toward transcending irony; in postmodernism it is toward generating irony ad infinitum. \n\nwe feel the presence of an epoch whose contours are just barely visable and in which we can perceive only simplicity or simple-mindedness. The main thing, though, is to already be in love with it.", "title" : "Performatism, or the End of Postmodernism", "type" : "article-journal", "volume" : "6" }, "uris" : [ "http://www.mendeley.com/documents/?uuid=1cf4233d-2396-4973-ae3f-8b7aea0c6194" ] } ], "mendeley" : { "formattedCitation" : "Raoul Eshelman, \u2018Performatism, or the End of Postmodernism\u2019, &lt;i&gt;Anthropoetics&lt;/i&gt;, 6 (2001).", "plainTextFormattedCitation" : "Raoul Eshelman, \u2018Performatism, or the End of Postmodernism\u2019, Anthropoetics, 6 (2001).", "previouslyFormattedCitation" : "Raoul Eshelman, \u2018Performatism, or the End of Postmodernism\u2019, &lt;i&gt;Anthropoetics&lt;/i&gt;, 6 (2001) &lt;http://anthropoetics.ucla.edu/ap0602/perform/&gt;."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Raoul Eshelman, ‘Performatism, or the End of Postmodernism’, </w:t>
      </w:r>
      <w:r w:rsidRPr="0025171E">
        <w:rPr>
          <w:rFonts w:asciiTheme="majorBidi" w:hAnsiTheme="majorBidi" w:cstheme="majorBidi"/>
          <w:i/>
          <w:noProof/>
        </w:rPr>
        <w:t>Anthropoetics</w:t>
      </w:r>
      <w:r w:rsidRPr="0025171E">
        <w:rPr>
          <w:rFonts w:asciiTheme="majorBidi" w:hAnsiTheme="majorBidi" w:cstheme="majorBidi"/>
          <w:noProof/>
        </w:rPr>
        <w:t>, 6 (2001).</w:t>
      </w:r>
      <w:r w:rsidRPr="00505CF0">
        <w:rPr>
          <w:rFonts w:asciiTheme="majorBidi" w:hAnsiTheme="majorBidi" w:cstheme="majorBidi"/>
        </w:rPr>
        <w:fldChar w:fldCharType="end"/>
      </w:r>
    </w:p>
  </w:footnote>
  <w:footnote w:id="80">
    <w:p w14:paraId="11AA2480"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Honourable mentions go to Transmodernism, Neomodernism, Light Modernity, Post-Mortemism [if only for the pun], Para-Modernism, and Planetarism, all of which have thus far less impact than the ‘major’ theories presented above.</w:t>
      </w:r>
    </w:p>
  </w:footnote>
  <w:footnote w:id="81">
    <w:p w14:paraId="4746FFB7" w14:textId="0638319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"3", "uris" : [ "http://www.mendeley.com/documents/?uuid=be2c4028-80df-4158-a2e8-39b871d0085f" ] } ], "mendeley" : { "formattedCitation" : "Robert Samuels, &lt;i&gt;New Media, Cultural Studies, and Critical Theory After Postmodernism: Automodernity from Zizek to Laclau&lt;/i&gt; (New York: Palgrave Macmillan, 2010), p. 3.", "plainTextFormattedCitation" : "Robert Samuels, New Media, Cultural Studies, and Critical Theory After Postmodernism: Automodernity from Zizek to Laclau (New York: Palgrave Macmillan, 2010), p. 3.", "previouslyFormattedCitation" : "Robert Samuels, &lt;i&gt;New Media, Cultural Studies, and Critical Theory After Postmodernism: Automodernity from Zizek to Laclau&lt;/i&gt; (New York: Palgrave Macmillan, 2010),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Robert 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xml:space="preserve"> (New York: Palgrave Macmillan, 2010), p. 3.</w:t>
      </w:r>
      <w:r w:rsidRPr="00505CF0">
        <w:rPr>
          <w:rFonts w:asciiTheme="majorBidi" w:hAnsiTheme="majorBidi" w:cstheme="majorBidi"/>
        </w:rPr>
        <w:fldChar w:fldCharType="end"/>
      </w:r>
    </w:p>
  </w:footnote>
  <w:footnote w:id="82">
    <w:p w14:paraId="09CCF8AF" w14:textId="6F0AFEC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"5", "uris" : [ "http://www.mendeley.com/documents/?uuid=be2c4028-80df-4158-a2e8-39b871d0085f" ] } ], "mendeley" : { "formattedCitation" : "Samuels, &lt;i&gt;New Media, Cultural Studies, and Critical Theory After Postmodernism: Automodernity from Zizek to Laclau&lt;/i&gt;, p. 5.", "plainTextFormattedCitation" : "Samuels, New Media, Cultural Studies, and Critical Theory After Postmodernism: Automodernity from Zizek to Laclau, p. 5.", "previouslyFormattedCitation" : "Samuels, &lt;i&gt;New Media, Cultural Studies, and Critical Theory After Postmodernism: Automodernity from Zizek to Laclau&lt;/i&gt;,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5.</w:t>
      </w:r>
      <w:r w:rsidRPr="00505CF0">
        <w:rPr>
          <w:rFonts w:asciiTheme="majorBidi" w:hAnsiTheme="majorBidi" w:cstheme="majorBidi"/>
        </w:rPr>
        <w:fldChar w:fldCharType="end"/>
      </w:r>
    </w:p>
  </w:footnote>
  <w:footnote w:id="83">
    <w:p w14:paraId="176D05F4" w14:textId="4088AC9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"132", "uris" : [ "http://www.mendeley.com/documents/?uuid=be2c4028-80df-4158-a2e8-39b871d0085f" ] } ], "mendeley" : { "formattedCitation" : "Samuels, &lt;i&gt;New Media, Cultural Studies, and Critical Theory After Postmodernism: Automodernity from Zizek to Laclau&lt;/i&gt;, p. 132.", "plainTextFormattedCitation" : "Samuels, New Media, Cultural Studies, and Critical Theory After Postmodernism: Automodernity from Zizek to Laclau, p. 132.", "previouslyFormattedCitation" : "Samuels, &lt;i&gt;New Media, Cultural Studies, and Critical Theory After Postmodernism: Automodernity from Zizek to Laclau&lt;/i&gt;, p. 132."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132.</w:t>
      </w:r>
      <w:r w:rsidRPr="00505CF0">
        <w:rPr>
          <w:rFonts w:asciiTheme="majorBidi" w:hAnsiTheme="majorBidi" w:cstheme="majorBidi"/>
        </w:rPr>
        <w:fldChar w:fldCharType="end"/>
      </w:r>
      <w:r w:rsidRPr="00505CF0">
        <w:rPr>
          <w:rFonts w:asciiTheme="majorBidi" w:hAnsiTheme="majorBidi" w:cstheme="majorBidi"/>
        </w:rPr>
        <w:t xml:space="preserve"> [</w:t>
      </w:r>
      <w:r w:rsidRPr="00505CF0">
        <w:rPr>
          <w:rFonts w:asciiTheme="majorBidi" w:hAnsiTheme="majorBidi" w:cstheme="majorBidi"/>
          <w:i/>
          <w:iCs/>
        </w:rPr>
        <w:t>My Emphasis</w:t>
      </w:r>
      <w:r w:rsidRPr="00505CF0">
        <w:rPr>
          <w:rFonts w:asciiTheme="majorBidi" w:hAnsiTheme="majorBidi" w:cstheme="majorBidi"/>
        </w:rPr>
        <w:t>]</w:t>
      </w:r>
    </w:p>
  </w:footnote>
  <w:footnote w:id="84">
    <w:p w14:paraId="4C8A13D8" w14:textId="6EE0696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"container-title" : "Digital Youth, Innovation, and the Unexpected", "editor" : [ { "dropping-particle" : "", "family" : "McPherson", "given" : "Tara", "non-dropping-particle" : "", "parse-names" : false, "suffix" : "" } ], "id" : "ITEM-1", "issued" : { "date-parts" : [ [ "2008" ] ] }, "note" : "instead of technological automation creating a sense of mechanical alienation and impersonal predetermination, digital youth turn to new media technologies to increase their sense of freedom and individual control. p.220\n\npostmodern theorists have failed to account for the ways digital youth are combining automation with autonomy. In fact, I will posit that we have moved into a new beriod beyond postmodernity, and it is important for educators to understand how automdernity undermines postmodern theories and educational efforts. p.221\n\nAccording to this logic, modernity represents the rise of capitalism, science, and democracy through the rhetoric of universal reason and equality. Morever, the modern period is seen as a reaction to the premodern stress on deudal heirarchy, relegious fate, cosmic belief, and political monarchy. p.222\n\nThis [quoted] digital youth feels that since there is too much information available on the Web for one person to encounter, then all information must be available: here, information excess leads to a sense of universal acces. Furthermore, it is often the automated nature of new media that functions to hide social disparities behind a a veil of easy, global acces. p.226\n\nAutomodern literacies based on televion, advertising, movies and the internet do not typically function to undermine people's beleifs in modern universal reason and unified subjectivity; instead, automodern technologies help to provide a greater sense of technological neutrality, universalized information, and individual power, even if this sense may be all illusory. p.228\n\nThese technological objects share a common emphasis on combining a high level of mechanical automation with a heightened sense of personal autonomy. p.228\n\nthe new stress on autonomy through mechanical automation. p.229\n\nLike automobiles, personal computers indidcate a paradoxical combination of individual autonomy and automated mechanics. While some of the postmodern theorists discussed above argue that computers and other modes of new media allow for a high level of social and cultural interactio, and thus these new communication technologies help digital youth to see how the world is based on social mediation and intersubjective communication, we can also understand these machines as central sources for an antisocial sense of personal control and autonomy. p.229\n\nthe digital youth rightly proclaims the power of autonomy afforded by the personal computer, and I do not think that we should posit that he is simply being duped by the lure of false individiualism. p.231\n\nanother location of automated autonomy on the internet are search engines, which allow individuals to perform quickly and easily the complicated tasks of locating, sorting, and accessing diverse information. p.232\n\nOne could argue that the more mass society makes us feel that we are just a number and that our voices do not count, the more we need to simply use techinology to have our autonomy registered through automation. For example, one of the appealing aspects of pupular television shows like American Idol is that they allow for the individual viewer to call in and register his or her own preference and presence. p.234\n\nModernity sees technology as a tool or object that is controlled by the active subject. However, in automodernity, all of these releationships are reversed. For instance, in video games, the player's active role is often reduced to the movement of a finger or fingers, while the object on the screen moves around. [...] therefore, through automation, autnomoy has been projected onto the external object, while the subject remains passive. p.235", "page" : "219-240", "publisher" : "The MIT Press", "publisher-place" : "Cambridge", "title" : "Auto-Modernity after Postmodernism: Autonomy and Automation in Culture, Technology, and Education", "type" : "chapter" }, "locator" : "234", "uris" : [ "http://www.mendeley.com/documents/?uuid=f495634a-5759-4d47-b99b-81facc7a2cf3" ] } ], "mendeley" : { "formattedCitation" : "Robert Samuels, \u2018Auto-Modernity after Postmodernism: Autonomy and Automation in Culture, Technology, and Education\u2019, in &lt;i&gt;Digital Youth, Innovation, and the Unexpected&lt;/i&gt;, ed. by Tara McPherson (Cambridge: The MIT Press, 2008), pp. 219\u2013240 (p. 234).", "plainTextFormattedCitation" : "Robert Samuels, \u2018Auto-Modernity after Postmodernism: Autonomy and Automation in Culture, Technology, and Education\u2019, in Digital Youth, Innovation, and the Unexpected, ed. by Tara McPherson (Cambridge: The MIT Press, 2008), pp. 219\u2013240 (p. 234).", "previouslyFormattedCitation" : "Robert Samuels, \u2018Auto-Modernity after Postmodernism: Autonomy and Automation in Culture, Technology, and Education\u2019, in &lt;i&gt;Digital Youth, Innovation, and the Unexpected&lt;/i&gt;, ed. by Tara McPherson (Cambridge: The MIT Press, 2008), pp. 219\u2013240 (p. 234)."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Robert Samuels, ‘Auto-Modernity after Postmodernism: Autonomy and Automation in Culture, Technology, and Education’, in </w:t>
      </w:r>
      <w:r w:rsidRPr="0025171E">
        <w:rPr>
          <w:rFonts w:asciiTheme="majorBidi" w:hAnsiTheme="majorBidi" w:cstheme="majorBidi"/>
          <w:i/>
          <w:noProof/>
        </w:rPr>
        <w:t>Digital Youth, Innovation, and the Unexpected</w:t>
      </w:r>
      <w:r w:rsidRPr="0025171E">
        <w:rPr>
          <w:rFonts w:asciiTheme="majorBidi" w:hAnsiTheme="majorBidi" w:cstheme="majorBidi"/>
          <w:noProof/>
        </w:rPr>
        <w:t>, ed. by Tara McPherson (Cambridge: The MIT Press, 2008), pp. 219–240 (p. 234).</w:t>
      </w:r>
      <w:r w:rsidRPr="00505CF0">
        <w:rPr>
          <w:rFonts w:asciiTheme="majorBidi" w:hAnsiTheme="majorBidi" w:cstheme="majorBidi"/>
        </w:rPr>
        <w:fldChar w:fldCharType="end"/>
      </w:r>
    </w:p>
  </w:footnote>
  <w:footnote w:id="85">
    <w:p w14:paraId="682813C4" w14:textId="76F4A1E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"122", "uris" : [ "http://www.mendeley.com/documents/?uuid=be2c4028-80df-4158-a2e8-39b871d0085f" ] } ], "mendeley" : { "formattedCitation" : "Samuels, &lt;i&gt;New Media, Cultural Studies, and Critical Theory After Postmodernism: Automodernity from Zizek to Laclau&lt;/i&gt;, p. 122.", "plainTextFormattedCitation" : "Samuels, New Media, Cultural Studies, and Critical Theory After Postmodernism: Automodernity from Zizek to Laclau, p. 122.", "previouslyFormattedCitation" : "Samuels, &lt;i&gt;New Media, Cultural Studies, and Critical Theory After Postmodernism: Automodernity from Zizek to Laclau&lt;/i&gt;, p. 122."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122.</w:t>
      </w:r>
      <w:r w:rsidRPr="00505CF0">
        <w:rPr>
          <w:rFonts w:asciiTheme="majorBidi" w:hAnsiTheme="majorBidi" w:cstheme="majorBidi"/>
        </w:rPr>
        <w:fldChar w:fldCharType="end"/>
      </w:r>
    </w:p>
  </w:footnote>
  <w:footnote w:id="86">
    <w:p w14:paraId="648B3F49" w14:textId="01FE313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"Baya", "given" : "Adina", "non-dropping-particle" : "", "parse-names" : false, "suffix" : "" } ], "container-title" : "Procedia- Social and Behavioral Sciences", "id" : "ITEM-1", "issued" : { "date-parts" : [ [ "2013" ] ] }, "note" : "However, what we are witnessing today in the field transcends the initial postmodern diagnosis and requires new perspectives upon understanding audiences. p.157\n\nThe features that characterize &amp;quot;automodern&amp;quot; public discourse, in Samuels' view, include self-contradiction and a reversal of previously proclaimed ideas, nihilism, a backlash against the public realm and progressive movements, and the use of automation to affirm acts of self-centredness. p.158\n\nNew media holds a major role in the &amp;quot;automodern&amp;quot; backlash against the government and public officials by generally hunting their private lives and iming to situate them in humiliating positions, thinsk Samuels. the new automated technologies provide their users with an increased sense of individual control and power over the public sphere and over what they consume. p.158\n\n[Automodernity implies] an apparently contradictory mixture between an amplified level of automation and an increased sense of autonomy, traces several contemporary trends that can be registered in the audiences' relation wth the media and, hence, facilitate a better portrayal of an up-to-date audience profile. p.158", "page" : "154-159", "title" : "Post-postmodernism: Automodernity and its relevance to understanding contemporary media audiences", "type" : "article-journal", "volume" : "71" }, "locator" : "158", "uris" : [ "http://www.mendeley.com/documents/?uuid=ef90e5ac-2ffd-4274-9cde-8c550e67814e" ] } ], "mendeley" : { "formattedCitation" : "Adina Baya, \u2018Post-Postmodernism: Automodernity and Its Relevance to Understanding Contemporary Media Audiences\u2019, &lt;i&gt;Procedia- Social and Behavioral Sciences&lt;/i&gt;, 71 (2013), 154\u2013159 (p. 158).", "plainTextFormattedCitation" : "Adina Baya, \u2018Post-Postmodernism: Automodernity and Its Relevance to Understanding Contemporary Media Audiences\u2019, Procedia- Social and Behavioral Sciences, 71 (2013), 154\u2013159 (p. 158).", "previouslyFormattedCitation" : "Adina Baya, \u2018Post-Postmodernism: Automodernity and Its Relevance to Understanding Contemporary Media Audiences\u2019, &lt;i&gt;Procedia- Social and Behavioral Sciences&lt;/i&gt;, 71 (2013), 154\u2013159 (p. 158)."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Adina Baya, ‘Post-Postmodernism: Automodernity and Its Relevance to Understanding Contemporary Media Audiences’, </w:t>
      </w:r>
      <w:r w:rsidRPr="0025171E">
        <w:rPr>
          <w:rFonts w:asciiTheme="majorBidi" w:hAnsiTheme="majorBidi" w:cstheme="majorBidi"/>
          <w:i/>
          <w:noProof/>
        </w:rPr>
        <w:t>Procedia- Social and Behavioral Sciences</w:t>
      </w:r>
      <w:r w:rsidRPr="0025171E">
        <w:rPr>
          <w:rFonts w:asciiTheme="majorBidi" w:hAnsiTheme="majorBidi" w:cstheme="majorBidi"/>
          <w:noProof/>
        </w:rPr>
        <w:t>, 71 (2013), 154–159 (p. 158).</w:t>
      </w:r>
      <w:r w:rsidRPr="00505CF0">
        <w:rPr>
          <w:rFonts w:asciiTheme="majorBidi" w:hAnsiTheme="majorBidi" w:cstheme="majorBidi"/>
        </w:rPr>
        <w:fldChar w:fldCharType="end"/>
      </w:r>
    </w:p>
  </w:footnote>
  <w:footnote w:id="87">
    <w:p w14:paraId="4D07C1BD" w14:textId="7D9F416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"50", "uris" : [ "http://www.mendeley.com/documents/?uuid=e701ae9c-d978-41c3-b76c-fca08064d446" ] } ], "mendeley" : { "formattedCitation" : "Kirby, &lt;i&gt;Digimodernism&lt;/i&gt;, p. 50.", "plainTextFormattedCitation" : "Kirby, Digimodernism, p. 50.", "previouslyFormattedCitation" : "Kirby, &lt;i&gt;Digimodernism&lt;/i&gt;, p. 50."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50.</w:t>
      </w:r>
      <w:r w:rsidRPr="00505CF0">
        <w:rPr>
          <w:rFonts w:asciiTheme="majorBidi" w:hAnsiTheme="majorBidi" w:cstheme="majorBidi"/>
        </w:rPr>
        <w:fldChar w:fldCharType="end"/>
      </w:r>
    </w:p>
  </w:footnote>
  <w:footnote w:id="88">
    <w:p w14:paraId="3DA050EB" w14:textId="36FE908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"The Times Higher Education Supplement", "id" : "ITEM-1", "issued" : { "date-parts" : [ [ "2010", "5", "27" ] ] }, "note" : "Postmodernism is dead. Wail and rend your clothes. Postmodernism is dead. The tyrant is vanquished!\n\nPostmodernism's heyday is over; its reign has ended. Muted and mutating, its traces and echoes linger on in the culture. Its shadow falls over us from behind. But it is no longer the best place to go to get a handle on the world that we live in. \n\nDigimodernism identifies as the critical event in contemporary culture, the profound and shattering encounter between computerisation and the text. Its most recognisable form is a new kind of digitised textuality - onward, haphazard and evanescent - that disrupts traditional ideas about authorship and reading.\n\nIn Television, the traits of the digimodernist text are reproduced through reality and interactive programming.\n\nTracing the violent and irrevocable impact that digitisation has had on all forms of the text, on one hand digimodernism studies structural upheavals such as the supersession of the music album by the downloaded track, the revolutions in print and publishing and the enhancements in access that have brought about what has been called a second golden age of radio. On the other, it sees across the media landscape a shift towards textual infantilisation, the apparently real, earnestness and narrative endlessness. \n\nIncreasingly, these [post-postmodern] theories feel less like ambitious rivals hoping to inherit postmodernism's esate before the body is even cold than pieces of a jigsaw puzzle whose final picture is still unclear.", "page" : "42", "publisher-place" : "London", "title" : "Successor States to an Empire in Free Fall", "type" : "article-newspaper" }, "uris" : [ "http://www.mendeley.com/documents/?uuid=dff0d63e-5470-4589-a900-b9375c4252d7" ] } ], "mendeley" : { "formattedCitation" : "Kirby, \u2018Successor States to an Empire in Free Fall\u2019.", "plainTextFormattedCitation" : "Kirby, \u2018Successor States to an Empire in Free Fall\u2019.", "previouslyFormattedCitation" : "Kirby, \u2018Successor States to an Empire in Free Fall\u2019."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‘Successor States to an Empire in Free Fall’.</w:t>
      </w:r>
      <w:r w:rsidRPr="00505CF0">
        <w:rPr>
          <w:rFonts w:asciiTheme="majorBidi" w:hAnsiTheme="majorBidi" w:cstheme="majorBidi"/>
        </w:rPr>
        <w:fldChar w:fldCharType="end"/>
      </w:r>
    </w:p>
  </w:footnote>
  <w:footnote w:id="89">
    <w:p w14:paraId="4A4D185E" w14:textId="4DF4BDC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"128", "uris" : [ "http://www.mendeley.com/documents/?uuid=e701ae9c-d978-41c3-b76c-fca08064d446" ] } ], "mendeley" : { "formattedCitation" : "Kirby, &lt;i&gt;Digimodernism&lt;/i&gt;, p. 128.", "plainTextFormattedCitation" : "Kirby, Digimodernism, p. 128.", "previouslyFormattedCitation" : "Kirby, &lt;i&gt;Digimodernism&lt;/i&gt;, p. 128."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128.</w:t>
      </w:r>
      <w:r w:rsidRPr="00505CF0">
        <w:rPr>
          <w:rFonts w:asciiTheme="majorBidi" w:hAnsiTheme="majorBidi" w:cstheme="majorBidi"/>
        </w:rPr>
        <w:fldChar w:fldCharType="end"/>
      </w:r>
    </w:p>
  </w:footnote>
  <w:footnote w:id="90">
    <w:p w14:paraId="0AACB58E" w14:textId="17A802A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"132", "uris" : [ "http://www.mendeley.com/documents/?uuid=e701ae9c-d978-41c3-b76c-fca08064d446" ] } ], "mendeley" : { "formattedCitation" : "Kirby, &lt;i&gt;Digimodernism&lt;/i&gt;, p. 132.", "plainTextFormattedCitation" : "Kirby, Digimodernism, p. 132.", "previouslyFormattedCitation" : "Kirby, &lt;i&gt;Digimodernism&lt;/i&gt;, p. 132."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132.</w:t>
      </w:r>
      <w:r w:rsidRPr="00505CF0">
        <w:rPr>
          <w:rFonts w:asciiTheme="majorBidi" w:hAnsiTheme="majorBidi" w:cstheme="majorBidi"/>
        </w:rPr>
        <w:fldChar w:fldCharType="end"/>
      </w:r>
    </w:p>
  </w:footnote>
  <w:footnote w:id="91">
    <w:p w14:paraId="1EBDAF2D" w14:textId="6B6E2D2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"134", "uris" : [ "http://www.mendeley.com/documents/?uuid=e701ae9c-d978-41c3-b76c-fca08064d446" ] } ], "mendeley" : { "formattedCitation" : "Kirby, &lt;i&gt;Digimodernism&lt;/i&gt;, p. 134.", "plainTextFormattedCitation" : "Kirby, Digimodernism, p. 134.", "previouslyFormattedCitation" : "Kirby, &lt;i&gt;Digimodernism&lt;/i&gt;, p. 134."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134.</w:t>
      </w:r>
      <w:r w:rsidRPr="00505CF0">
        <w:rPr>
          <w:rFonts w:asciiTheme="majorBidi" w:hAnsiTheme="majorBidi" w:cstheme="majorBidi"/>
        </w:rPr>
        <w:fldChar w:fldCharType="end"/>
      </w:r>
    </w:p>
  </w:footnote>
  <w:footnote w:id="92">
    <w:p w14:paraId="6DF619BA" w14:textId="524DDDF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"153", "uris" : [ "http://www.mendeley.com/documents/?uuid=e701ae9c-d978-41c3-b76c-fca08064d446" ] } ], "mendeley" : { "formattedCitation" : "Kirby, &lt;i&gt;Digimodernism&lt;/i&gt;, p. 153.", "plainTextFormattedCitation" : "Kirby, Digimodernism, p. 153.", "previouslyFormattedCitation" : "Kirby, &lt;i&gt;Digimodernism&lt;/i&gt;, p. 153."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153.</w:t>
      </w:r>
      <w:r w:rsidRPr="00505CF0">
        <w:rPr>
          <w:rFonts w:asciiTheme="majorBidi" w:hAnsiTheme="majorBidi" w:cstheme="majorBidi"/>
        </w:rPr>
        <w:fldChar w:fldCharType="end"/>
      </w:r>
    </w:p>
  </w:footnote>
  <w:footnote w:id="93">
    <w:p w14:paraId="1545E03F" w14:textId="6CCE9D6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"Bonfiglioli", "given" : "Catriona", "non-dropping-particle" : "", "parse-names" : false, "suffix" : "" } ], "container-title" : "Discourse &amp; Communication", "id" : "ITEM-1", "issue" : "2", "issued" : { "date-parts" : [ [ "2013" ] ] }, "note" : "'Digimodern' texts [are] charazterized by onwardness, haphazardness, evanescence, redefined textual roles, evolving authorship, fluid textual boundaries, electronic digitality and evincing aesthetics of earnestness, apparent realness and infantilism. p.248", "page" : "248-251", "title" : "Digimodernism, Review", "type" : "article-journal", "volume" : "7" }, "locator" : "248", "uris" : [ "http://www.mendeley.com/documents/?uuid=5acfd381-a97f-494a-b2fe-315e744e4c34" ] } ], "mendeley" : { "formattedCitation" : "Catriona Bonfiglioli, \u2018Digimodernism, Review\u2019, &lt;i&gt;Discourse &amp; Communication&lt;/i&gt;, 7 (2013), 248\u2013251 (p. 248) &lt;http://journals.sagepub.com/doi/abs/10.1177/1750481312472972c&gt;.", "manualFormatting" : "Catriona Bonfiglioli, \u2018Digimodernism, Review\u2019, Discourse &amp; Communication, 7 (2013), 248\u2013251 (p. 248).", "plainTextFormattedCitation" : "Catriona Bonfiglioli, \u2018Digimodernism, Review\u2019, Discourse &amp; Communication, 7 (2013), 248\u2013251 (p. 248) .", "previouslyFormattedCitation" : "Catriona Bonfiglioli, \u2018Digimodernism, Review\u2019, &lt;i&gt;Discourse &amp; Communication&lt;/i&gt;, 7 (2013), 248\u2013251 (p. 248) &lt;http://journals.sagepub.com/doi/abs/10.1177/1750481312472972c&gt;."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Catriona Bonfiglioli, ‘Digimodernism, Review’, </w:t>
      </w:r>
      <w:r w:rsidRPr="00505CF0">
        <w:rPr>
          <w:rFonts w:asciiTheme="majorBidi" w:hAnsiTheme="majorBidi" w:cstheme="majorBidi"/>
          <w:i/>
          <w:noProof/>
        </w:rPr>
        <w:t>Discourse &amp; Communication</w:t>
      </w:r>
      <w:r w:rsidRPr="00505CF0">
        <w:rPr>
          <w:rFonts w:asciiTheme="majorBidi" w:hAnsiTheme="majorBidi" w:cstheme="majorBidi"/>
          <w:noProof/>
        </w:rPr>
        <w:t>, 7 (2013), 248–251 (p. 248).</w:t>
      </w:r>
      <w:r w:rsidRPr="00505CF0">
        <w:rPr>
          <w:rFonts w:asciiTheme="majorBidi" w:hAnsiTheme="majorBidi" w:cstheme="majorBidi"/>
        </w:rPr>
        <w:fldChar w:fldCharType="end"/>
      </w:r>
    </w:p>
  </w:footnote>
  <w:footnote w:id="94">
    <w:p w14:paraId="34B8851D" w14:textId="0274E42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"53", "uris" : [ "http://www.mendeley.com/documents/?uuid=e701ae9c-d978-41c3-b76c-fca08064d446" ] } ], "mendeley" : { "formattedCitation" : "Kirby, &lt;i&gt;Digimodernism&lt;/i&gt;, p. 53.", "plainTextFormattedCitation" : "Kirby, Digimodernism, p. 53.", "previouslyFormattedCitation" : "Kirby, &lt;i&gt;Digimodernism&lt;/i&gt;, p. 53."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53.</w:t>
      </w:r>
      <w:r w:rsidRPr="00505CF0">
        <w:rPr>
          <w:rFonts w:asciiTheme="majorBidi" w:hAnsiTheme="majorBidi" w:cstheme="majorBidi"/>
        </w:rPr>
        <w:fldChar w:fldCharType="end"/>
      </w:r>
    </w:p>
  </w:footnote>
  <w:footnote w:id="95">
    <w:p w14:paraId="25D7742A" w14:textId="6004810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"The Times Higher Education Supplement", "id" : "ITEM-1", "issued" : { "date-parts" : [ [ "2010", "5", "27" ] ] }, "note" : "Postmodernism is dead. Wail and rend your clothes. Postmodernism is dead. The tyrant is vanquished!\n\nPostmodernism's heyday is over; its reign has ended. Muted and mutating, its traces and echoes linger on in the culture. Its shadow falls over us from behind. But it is no longer the best place to go to get a handle on the world that we live in. \n\nDigimodernism identifies as the critical event in contemporary culture, the profound and shattering encounter between computerisation and the text. Its most recognisable form is a new kind of digitised textuality - onward, haphazard and evanescent - that disrupts traditional ideas about authorship and reading.\n\nIn Television, the traits of the digimodernist text are reproduced through reality and interactive programming.\n\nTracing the violent and irrevocable impact that digitisation has had on all forms of the text, on one hand digimodernism studies structural upheavals such as the supersession of the music album by the downloaded track, the revolutions in print and publishing and the enhancements in access that have brought about what has been called a second golden age of radio. On the other, it sees across the media landscape a shift towards textual infantilisation, the apparently real, earnestness and narrative endlessness. \n\nIncreasingly, these [post-postmodern] theories feel less like ambitious rivals hoping to inherit postmodernism's esate before the body is even cold than pieces of a jigsaw puzzle whose final picture is still unclear.", "page" : "42", "publisher-place" : "London", "title" : "Successor States to an Empire in Free Fall", "type" : "article-newspaper" }, "uris" : [ "http://www.mendeley.com/documents/?uuid=dff0d63e-5470-4589-a900-b9375c4252d7" ] } ], "mendeley" : { "formattedCitation" : "Kirby, \u2018Successor States to an Empire in Free Fall\u2019.", "plainTextFormattedCitation" : "Kirby, \u2018Successor States to an Empire in Free Fall\u2019.", "previouslyFormattedCitation" : "Kirby, \u2018Successor States to an Empire in Free Fall\u2019."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‘Successor States to an Empire in Free Fall’.</w:t>
      </w:r>
      <w:r w:rsidRPr="00505CF0">
        <w:rPr>
          <w:rFonts w:asciiTheme="majorBidi" w:hAnsiTheme="majorBidi" w:cstheme="majorBidi"/>
        </w:rPr>
        <w:fldChar w:fldCharType="end"/>
      </w:r>
    </w:p>
  </w:footnote>
  <w:footnote w:id="96">
    <w:p w14:paraId="559045CD" w14:textId="05098C77"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"https://www.the-tls.co.uk/articles/public/postmodernism-dead-comes-next/", "accessed" : { "date-parts" : [ [ "2017", "8", "24" ] ] }, "author" : [ { "dropping-particle" : "", "family" : "Gibbons", "given" : "Alison", "non-dropping-particle" : "", "parse-names" : false, "suffix" : "" } ], "container-title" : "TLS Online", "id" : "ITEM-1", "issued" : { "date-parts" : [ [ "2017" ] ] }, "note" : "Taken together, postmodernism seems essentially to invoke a questioning of the real, both in terms of the actual world, and in the representational efficacy and fidelity of fiction.\n\nYet when authors, or other real elements, appear in fiction now [...] their presence is intended to signal realism, rather than to foreground the artifice of the text. [...] emotions, furthermore, are again playing a central role in literary fiction, as authors insist on our essential relationality - our connectedness as humans to one another in the globalizing world and with fictional characters as representations of our selves.\n\nThe cumulitive effect of these events - and the accompanying hyper-anxiety brought about by twenty-four hour news - has made the western world feel like a more precarious and volatile place, in which we can no longer be nonchalent about our safety or future. Hence Nostalgia - Return to safety/ ignorance of better times. \n\nThere are convergences and divergences between these conceptualizations; they complement each other as much as they complete. Even so, consistent across these formations is a legacy of modernist and postmodernist stylistic practice, and a rehabilitated ethical consciousness. \n\nIt can be categorizes as autofiction, a genre that integrates the autobiographical into fiction, and that has blossomed alongside the so-called memoir boom. [...] Yet contemporary autofictions narrativize the self not as a game, but in order to enhance the realism of a text and tackle the sociological and phenomonological dimensions of personal life. \n\nAt the same time, our culture retains many of the themes and concerns that exercised writers of earlier generations; there is little sign of a radical literary avant garde sweeping away the old to make way for the new. Postmodernism might not be as emphatically over as some critics like to claim, but it does seem to be in retreat. Its devices have become so commonplace that they have been absorbed into mainstream, commercial and popular culture. Postmodernism has lost its value in part because it has oversaturated the market. And with the end of postmodernism\u2019s playfulness and affectation, we are better placed to construct a literature that engages earnestly with real-world problems. This new literature can, in good faith, examine complex and ever-shifting crises \u2013 of racial inequality, capitalism and climate change \u2013 to which it is easy to close one\u2019s eyes.", "title" : "Postmodernism is dead. What comes next?", "type" : "webpage" }, "uris" : [ "http://www.mendeley.com/documents/?uuid=b68ce122-c4b7-41f0-87d6-f79fae86eab4" ] } ], "mendeley" : { "formattedCitation" : "Alison Gibbons, \u2018Postmodernism Is Dead. What Comes Next?\u2019, &lt;i&gt;TLS Online&lt;/i&gt;, 2017 &lt;https://www.the-tls.co.uk/articles/public/postmodernism-dead-comes-next/&gt; [accessed 24 August 2017].", "plainTextFormattedCitation" : "Alison Gibbons, \u2018Postmodernism Is Dead. What Comes Next?\u2019, TLS Online, 2017  [accessed 24 August 2017].", "previouslyFormattedCitation" : "Alison Gibbons, \u2018Postmodernism Is Dead. What Comes Next?\u2019, &lt;i&gt;TLS Online&lt;/i&gt;, 2017 &lt;https://www.the-tls.co.uk/articles/public/postmodernism-dead-comes-next/&gt; [accessed 24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Alison Gibbons, ‘Postmodernism Is Dead. What Comes Next?’, </w:t>
      </w:r>
      <w:r w:rsidRPr="0025171E">
        <w:rPr>
          <w:rFonts w:asciiTheme="majorBidi" w:hAnsiTheme="majorBidi" w:cstheme="majorBidi"/>
          <w:i/>
          <w:noProof/>
        </w:rPr>
        <w:t>TLS Online</w:t>
      </w:r>
      <w:r w:rsidRPr="0025171E">
        <w:rPr>
          <w:rFonts w:asciiTheme="majorBidi" w:hAnsiTheme="majorBidi" w:cstheme="majorBidi"/>
          <w:noProof/>
        </w:rPr>
        <w:t>, 2017 &lt;https://www.the-tls.co.uk/articles/public/postmodernism-dead-comes-next/&gt; [accessed 24 August 2017].</w:t>
      </w:r>
      <w:r w:rsidRPr="00505CF0">
        <w:rPr>
          <w:rFonts w:asciiTheme="majorBidi" w:hAnsiTheme="majorBidi" w:cstheme="majorBidi"/>
        </w:rPr>
        <w:fldChar w:fldCharType="end"/>
      </w:r>
    </w:p>
  </w:footnote>
  <w:footnote w:id="97">
    <w:p w14:paraId="23F1B472" w14:textId="78AD2CD0" w:rsidR="00054009" w:rsidRPr="001D6679" w:rsidRDefault="00054009">
      <w:pPr>
        <w:pStyle w:val="FootnoteText"/>
      </w:pPr>
      <w:r>
        <w:rPr>
          <w:rStyle w:val="FootnoteReference"/>
        </w:rPr>
        <w:footnoteRef/>
      </w:r>
      <w:r>
        <w:t xml:space="preserve"> </w:t>
      </w:r>
      <w:r>
        <w:rPr>
          <w:i/>
          <w:iCs/>
        </w:rPr>
        <w:t>ACO: How prescient these words seem now. Did Southward foresee the end he was to cause, or merely predict the cataclysm to come without realising his role in such? For more on this, see my own ‘Southward Vs Cassandra: Prophecy and rejection in the latter works of our adored tyrant.’ (Forthcoming)</w:t>
      </w:r>
    </w:p>
  </w:footnote>
  <w:footnote w:id="98">
    <w:p w14:paraId="1AD29B72" w14:textId="6F5497B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"http://electronicbookreview.com/thread/fictionspresent/tense", "accessed" : { "date-parts" : [ [ "2017", "6", "6" ] ] }, "author" : [ { "dropping-particle" : "", "family" : "McHale", "given" : "Brian", "non-dropping-particle" : "", "parse-names" : false, "suffix" : "" } ], "container-title" : "Electronic Book Review", "id" : "ITEM-1", "issued" : { "date-parts" : [ [ "2007" ] ] }, "note" : "it would be sad to see postmodernism disappear before we tried to explain it.\n\nPeriods in cultural history are typically constituted retrospectively [...] Now, this is strikingly not the case with postmodernism. Almost from the beginning, whenever that might have been, and certainly from about 1975 on, people doing postmodernism could think of themsevkes as postmodernists[...] and as belonging to the postmodern period.\n\nBy way of analogy, think of how animated feature films have operated since Disney studio perfected the formula, around the time of Aladdin: animated features appeal to children through slapstick and cuteness, and to their parents through pop-culture allusions and double entendres that go right over youngsters' heads. That, in a nut-shell, is double-coding. Links to Kirby, death of Pomo\n\nModernism is driven by the imperative to innovate, and every innovation is rendered obsolete by the next one, so that modernism is constantly distancing itself from its own most recent manifestation, which then &amp;quot;slides into the past&amp;quot; (quoting John Frow)\n\nthroughout the entire second half of the twentieth century, we have been living in the ruins of our own civilisation, if only in our imaginations. Is this another version of postmodernism? I'm not sure; perhaps it's a foretaste of what comes after postmodernism. Maybe on 9/11 history finally caught up with our postmodern imagination of disaster, and we are now living in the aftermath of postmodernism.", "title" : "What was Postmodernism", "type" : "webpage" }, "uris" : [ "http://www.mendeley.com/documents/?uuid=8bce43f8-0a11-4a08-bbc2-32c91ca3c61f" ] } ], "mendeley" : { "formattedCitation" : "McHale, \u2018What Was Postmodernism\u2019.", "plainTextFormattedCitation" : "McHale, \u2018What Was Postmodernism\u2019.", "previouslyFormattedCitation" : "McHale, \u2018What Was Postmodernism\u2019."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McHale, ‘What Was Postmodernism’.</w:t>
      </w:r>
      <w:r w:rsidRPr="00505CF0">
        <w:rPr>
          <w:rFonts w:asciiTheme="majorBidi" w:hAnsiTheme="majorBidi" w:cstheme="majorBidi"/>
        </w:rPr>
        <w:fldChar w:fldCharType="end"/>
      </w:r>
    </w:p>
  </w:footnote>
  <w:footnote w:id="99">
    <w:p w14:paraId="1CA23351" w14:textId="7BD1CA4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"editor" : [ { "dropping-particle" : "", "family" : "Gordin", "given" : "Michael D.", "non-dropping-particle" : "", "parse-names" : false, "suffix" : "" }, { "dropping-particle" : "", "family" : "Tilley", "given" : "Helen", "non-dropping-particle" : "", "parse-names" : false, "suffix" : "" }, { "dropping-particle" : "", "family" : "Prakash", "given" : "Gyan", "non-dropping-particle" : "", "parse-names" : false, "suffix" : "" } ], "id" : "ITEM-1", "issued" : { "date-parts" : [ [ "2010" ] ] }, "publisher" : "Princeton University Press", "publisher-place" : "Princeton", "title" : "Utopia/Dystopia: Conditions of Historical Possibility", "type" : "book" }, "locator" : "1", "uris" : [ "http://www.mendeley.com/documents/?uuid=ac3c99e7-c5bf-410e-a0c4-5c055dd8b480" ] } ], "mendeley" : { "formattedCitation" : "Michael D. Gordin, Helen Tilley and Gyan Prakash, eds., &lt;i&gt;Utopia/Dystopia: Conditions of Historical Possibility&lt;/i&gt; (Princeton: Princeton University Press, 2010), p. 1.", "plainTextFormattedCitation" : "Michael D. Gordin, Helen Tilley and Gyan Prakash, eds., Utopia/Dystopia: Conditions of Historical Possibility (Princeton: Princeton University Press, 2010), p. 1.", "previouslyFormattedCitation" : "Michael D. Gordin, Helen Tilley and Gyan Prakash, eds., &lt;i&gt;Utopia/Dystopia: Conditions of Historical Possibility&lt;/i&gt; (Princeton: Princeton University Press, 2010), p. 1."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Michael D. Gordin, Helen Tilley and Gyan Prakash, eds., </w:t>
      </w:r>
      <w:r w:rsidRPr="0025171E">
        <w:rPr>
          <w:rFonts w:asciiTheme="majorBidi" w:hAnsiTheme="majorBidi" w:cstheme="majorBidi"/>
          <w:i/>
          <w:noProof/>
        </w:rPr>
        <w:t>Utopia/Dystopia: Conditions of Historical Possibility</w:t>
      </w:r>
      <w:r w:rsidRPr="0025171E">
        <w:rPr>
          <w:rFonts w:asciiTheme="majorBidi" w:hAnsiTheme="majorBidi" w:cstheme="majorBidi"/>
          <w:noProof/>
        </w:rPr>
        <w:t xml:space="preserve"> (Princeton: Princeton University Press, 2010), p. 1.</w:t>
      </w:r>
      <w:r w:rsidRPr="00505CF0">
        <w:rPr>
          <w:rFonts w:asciiTheme="majorBidi" w:hAnsiTheme="majorBidi" w:cstheme="majorBidi"/>
        </w:rPr>
        <w:fldChar w:fldCharType="end"/>
      </w:r>
    </w:p>
  </w:footnote>
  <w:footnote w:id="100">
    <w:p w14:paraId="1597682B"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An interesting side note is the slow degeneration across the seasons of the Candy Kingdom from a peaceful and seemingly eutopian (if not utopian) land, to a totalitarian state run by the tyrannical mad scientist Princess Bubblegum, who experiments on the citizens at various points in order to protect them from themselves.    </w:t>
      </w:r>
    </w:p>
  </w:footnote>
  <w:footnote w:id="101">
    <w:p w14:paraId="6C8406DF" w14:textId="2BD8DBE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"id" : "ITEM-1", "issued" : { "date-parts" : [ [ "2001" ] ] }, "publisher" : "Warner Bros. Television Distribution", "publisher-place" : "United States", "title" : "Samurai Jack", "type" : "broadcast" }, "suffix" : "Main title theme by Will Adams and George Pajon, Jr., Aku voiced by Mako.", "uris" : [ "http://www.mendeley.com/documents/?uuid=bdaaf7f8-0826-45ce-8f1e-0c0e0af830d5" ] } ], "mendeley" : { "formattedCitation" : "\u2018Samurai Jack\u2019 (United States: Warner Bros. Television Distribution, 2001) Main title theme by Will Adams and George Pajon, Jr., Aku voiced by Mako.", "plainTextFormattedCitation" : "\u2018Samurai Jack\u2019 (United States: Warner Bros. Television Distribution, 2001) Main title theme by Will Adams and George Pajon, Jr., Aku voiced by Mako.", "previouslyFormattedCitation" : "\u2018Samurai Jack\u2019 (United States: Warner Bros. Television Distribution, 2001) Main title theme by Will Adams and George Pajon, Jr., Aku voiced by Mako."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‘Samurai Jack’ (United States: Warner Bros. Television Distribution, 2001) Main title theme by Will Adams and George Pajon, Jr., Aku voiced by Mako.</w:t>
      </w:r>
      <w:r w:rsidRPr="00505CF0">
        <w:rPr>
          <w:rFonts w:asciiTheme="majorBidi" w:hAnsiTheme="majorBidi" w:cstheme="majorBidi"/>
        </w:rPr>
        <w:fldChar w:fldCharType="end"/>
      </w:r>
    </w:p>
  </w:footnote>
  <w:footnote w:id="102">
    <w:p w14:paraId="6D89E474" w14:textId="1A40A779" w:rsidR="00054009" w:rsidRDefault="00054009" w:rsidP="00391287">
      <w:pPr>
        <w:pStyle w:val="FootnoteText"/>
      </w:pPr>
      <w:r>
        <w:rPr>
          <w:rStyle w:val="FootnoteReference"/>
        </w:rPr>
        <w:footnoteRef/>
      </w:r>
      <w:r>
        <w:t xml:space="preserve"> </w:t>
      </w:r>
      <w:r w:rsidRPr="00391287">
        <w:rPr>
          <w:i/>
          <w:iCs/>
        </w:rPr>
        <w:t xml:space="preserve">ACO: This phrase actually echoes that of the Ethno-Archaeological Society of Idaho’s </w:t>
      </w:r>
      <w:proofErr w:type="gramStart"/>
      <w:r w:rsidRPr="00391287">
        <w:rPr>
          <w:i/>
          <w:iCs/>
        </w:rPr>
        <w:t>latin</w:t>
      </w:r>
      <w:proofErr w:type="gramEnd"/>
      <w:r w:rsidRPr="00391287">
        <w:rPr>
          <w:i/>
          <w:iCs/>
        </w:rPr>
        <w:t xml:space="preserve"> motto, which translates to “The past is no protection from the future.” Strangely, Southward seems to have had something of an obsession with archaeology at this point in his career – the notes I found within my great-grand uncle Leigh V Eyestan’s secret cache include, strangely, a meeting this society in 2002, including the translated motto above. Cobbling together the rather ad-hoc series of notes and scrawlings Southward collected on this meeting (his handwriting is a terrible thing to behold in and of itself), shows a seeming obsession with one London, as it was then known, born venture capitalist – William Allan. I have found no other records of this remarkable sounding man, however.</w:t>
      </w:r>
    </w:p>
  </w:footnote>
  <w:footnote w:id="103">
    <w:p w14:paraId="20087D45" w14:textId="33C07CE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"id" : "ITEM-1", "issued" : { "date-parts" : [ [ "1990" ] ] }, "publisher" : "Warner Bros. Television Distribution", "publisher-place" : "United States", "title" : "Captain Planet and the Planeteers", "type" : "broadcast" }, "suffix" : "Main Title and Score by Tom Worrall", "uris" : [ "http://www.mendeley.com/documents/?uuid=b33deb65-93a8-44f1-a10c-7e6be0efef6f" ] } ], "mendeley" : { "formattedCitation" : "\u2018Captain Planet and the Planeteers\u2019 (United States: Warner Bros. Television Distribution, 1990) Main Title and Score by Tom Worrall.", "plainTextFormattedCitation" : "\u2018Captain Planet and the Planeteers\u2019 (United States: Warner Bros. Television Distribution, 1990) Main Title and Score by Tom Worrall.", "previouslyFormattedCitation" : "\u2018Captain Planet and the Planeteers\u2019 (United States: Warner Bros. Television Distribution, 1990) Main Title and Score by Tom Worrall."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‘Captain Planet and the Planeteers’ (United States: Warner Bros. Television Distribution, 1990) Main Title and Score by Tom Worrall.</w:t>
      </w:r>
      <w:r w:rsidRPr="00505CF0">
        <w:rPr>
          <w:rFonts w:asciiTheme="majorBidi" w:hAnsiTheme="majorBidi" w:cstheme="majorBidi"/>
        </w:rPr>
        <w:fldChar w:fldCharType="end"/>
      </w:r>
    </w:p>
  </w:footnote>
  <w:footnote w:id="104">
    <w:p w14:paraId="00BA750B" w14:textId="0000932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"www.newyorker.com/magazine/2017/06/05/a-golden-age-for-dystopian-fiction", "accessed" : { "date-parts" : [ [ "2017", "9", "27" ] ] }, "author" : [ { "dropping-particle" : "", "family" : "Lepore", "given" : "Jill", "non-dropping-particle" : "", "parse-names" : false, "suffix" : "" } ], "container-title" : "The New Yorker", "id" : "ITEM-1", "issued" : { "date-parts" : [ [ "2017" ] ] }, "note" : "In its modern definition, a dystopia can be apocalyptic, or post-apocalyptic, or neither, but it has to be anti-utopian, a utopia turned upside down, a world in which people tried to build a republic of perfection only to find that they had created a republic of misery.", "title" : "A Golden Age For Dystopian Fiction.", "type" : "webpage" }, "uris" : [ "http://www.mendeley.com/documents/?uuid=613a3b85-87d8-4a67-9e92-d8230e7e555a" ] } ], "mendeley" : { "formattedCitation" : "Jill Lepore, \u2018A Golden Age For Dystopian Fiction.\u2019, &lt;i&gt;The New Yorker&lt;/i&gt;, 2017 &lt;www.newyorker.com/magazine/2017/06/05/a-golden-age-for-dystopian-fiction&gt; [accessed 27 September 2017].", "plainTextFormattedCitation" : "Jill Lepore, \u2018A Golden Age For Dystopian Fiction.\u2019, The New Yorker, 2017  [accessed 27 September 2017].", "previouslyFormattedCitation" : "Jill Lepore, \u2018A Golden Age For Dystopian Fiction.\u2019, &lt;i&gt;The New Yorker&lt;/i&gt;, 2017 &lt;www.newyorker.com/magazine/2017/06/05/a-golden-age-for-dystopian-fiction&gt; [accessed 27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Jill Lepore, ‘A Golden Age For Dystopian Fiction.’, </w:t>
      </w:r>
      <w:r w:rsidRPr="0025171E">
        <w:rPr>
          <w:rFonts w:asciiTheme="majorBidi" w:hAnsiTheme="majorBidi" w:cstheme="majorBidi"/>
          <w:i/>
          <w:noProof/>
        </w:rPr>
        <w:t>The New Yorker</w:t>
      </w:r>
      <w:r w:rsidRPr="0025171E">
        <w:rPr>
          <w:rFonts w:asciiTheme="majorBidi" w:hAnsiTheme="majorBidi" w:cstheme="majorBidi"/>
          <w:noProof/>
        </w:rPr>
        <w:t>, 2017 &lt;www.newyorker.com/magazine/2017/06/05/a-golden-age-for-dystopian-fiction&gt; [accessed 27 September 2017].</w:t>
      </w:r>
      <w:r w:rsidRPr="00505CF0">
        <w:rPr>
          <w:rFonts w:asciiTheme="majorBidi" w:hAnsiTheme="majorBidi" w:cstheme="majorBidi"/>
        </w:rPr>
        <w:fldChar w:fldCharType="end"/>
      </w:r>
    </w:p>
  </w:footnote>
  <w:footnote w:id="105">
    <w:p w14:paraId="0C28EA96" w14:textId="15F342C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"www.newyorker.com/magazine/2017/06/05/a-golden-age-for-dystopian-fiction", "accessed" : { "date-parts" : [ [ "2017", "9", "27" ] ] }, "author" : [ { "dropping-particle" : "", "family" : "Lepore", "given" : "Jill", "non-dropping-particle" : "", "parse-names" : false, "suffix" : "" } ], "container-title" : "The New Yorker", "id" : "ITEM-1", "issued" : { "date-parts" : [ [ "2017" ] ] }, "note" : "In its modern definition, a dystopia can be apocalyptic, or post-apocalyptic, or neither, but it has to be anti-utopian, a utopia turned upside down, a world in which people tried to build a republic of perfection only to find that they had created a republic of misery.", "title" : "A Golden Age For Dystopian Fiction.", "type" : "webpage" }, "uris" : [ "http://www.mendeley.com/documents/?uuid=613a3b85-87d8-4a67-9e92-d8230e7e555a" ] } ], "mendeley" : { "formattedCitation" : "Lepore.", "plainTextFormattedCitation" : "Lepore.", "previouslyFormattedCitation" : "Lepore."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Lepore.</w:t>
      </w:r>
      <w:r w:rsidRPr="00505CF0">
        <w:rPr>
          <w:rFonts w:asciiTheme="majorBidi" w:hAnsiTheme="majorBidi" w:cstheme="majorBidi"/>
        </w:rPr>
        <w:fldChar w:fldCharType="end"/>
      </w:r>
    </w:p>
  </w:footnote>
  <w:footnote w:id="106">
    <w:p w14:paraId="18BC29D4" w14:textId="3FCECFBD"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"https://www.wired.com/2017/02/dystopian-fiction-why-we-read", "accessed" : { "date-parts" : [ [ "2017", "9", "28" ] ] }, "author" : [ { "dropping-particle" : "", "family" : "Locke", "given" : "Charley", "non-dropping-particle" : "", "parse-names" : false, "suffix" : "" } ], "container-title" : "WIRED", "id" : "ITEM-1", "issued" : { "date-parts" : [ [ "2017" ] ] }, "title" : "The Real Reason Dystopian Fiction is Roaring Back", "type" : "webpage" }, "uris" : [ "http://www.mendeley.com/documents/?uuid=c5409033-fc1e-4c13-8591-850f80e49fa1" ] } ], "mendeley" : { "formattedCitation" : "Charley Locke, \u2018The Real Reason Dystopian Fiction Is Roaring Back\u2019, &lt;i&gt;WIRED&lt;/i&gt;, 2017 &lt;https://www.wired.com/2017/02/dystopian-fiction-why-we-read&gt; [accessed 28 September 2017].", "plainTextFormattedCitation" : "Charley Locke, \u2018The Real Reason Dystopian Fiction Is Roaring Back\u2019, WIRED, 2017  [accessed 28 September 2017].", "previouslyFormattedCitation" : "Charley Locke, \u2018The Real Reason Dystopian Fiction Is Roaring Back\u2019, &lt;i&gt;WIRED&lt;/i&gt;, 2017 &lt;https://www.wired.com/2017/02/dystopian-fiction-why-we-read&gt; [accessed 28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Charley Locke, ‘The Real Reason Dystopian Fiction Is Roaring Back’, </w:t>
      </w:r>
      <w:r w:rsidRPr="0025171E">
        <w:rPr>
          <w:rFonts w:asciiTheme="majorBidi" w:hAnsiTheme="majorBidi" w:cstheme="majorBidi"/>
          <w:i/>
          <w:noProof/>
        </w:rPr>
        <w:t>WIRED</w:t>
      </w:r>
      <w:r w:rsidRPr="0025171E">
        <w:rPr>
          <w:rFonts w:asciiTheme="majorBidi" w:hAnsiTheme="majorBidi" w:cstheme="majorBidi"/>
          <w:noProof/>
        </w:rPr>
        <w:t>, 2017 &lt;https://www.wired.com/2017/02/dystopian-fiction-why-we-read&gt; [accessed 28 September 2017].</w:t>
      </w:r>
      <w:r w:rsidRPr="00505CF0">
        <w:rPr>
          <w:rFonts w:asciiTheme="majorBidi" w:hAnsiTheme="majorBidi" w:cstheme="majorBidi"/>
        </w:rPr>
        <w:fldChar w:fldCharType="end"/>
      </w:r>
    </w:p>
  </w:footnote>
  <w:footnote w:id="107">
    <w:p w14:paraId="059D64E0"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There are, of course, outliers to this growing trend – </w:t>
      </w:r>
      <w:r w:rsidRPr="00505CF0">
        <w:rPr>
          <w:rFonts w:asciiTheme="majorBidi" w:hAnsiTheme="majorBidi" w:cstheme="majorBidi"/>
          <w:i/>
          <w:iCs/>
        </w:rPr>
        <w:t>Reign of fire, Wall-E, Equilibrium, Thundarr the Barbarian</w:t>
      </w:r>
      <w:r w:rsidRPr="00505CF0">
        <w:rPr>
          <w:rFonts w:asciiTheme="majorBidi" w:hAnsiTheme="majorBidi" w:cstheme="majorBidi"/>
        </w:rPr>
        <w:t xml:space="preserve"> to name but a few</w:t>
      </w:r>
      <w:r w:rsidRPr="00505CF0">
        <w:rPr>
          <w:rFonts w:asciiTheme="majorBidi" w:hAnsiTheme="majorBidi" w:cstheme="majorBidi"/>
          <w:i/>
          <w:iCs/>
        </w:rPr>
        <w:t xml:space="preserve"> </w:t>
      </w:r>
      <w:r w:rsidRPr="00505CF0">
        <w:rPr>
          <w:rFonts w:asciiTheme="majorBidi" w:hAnsiTheme="majorBidi" w:cstheme="majorBidi"/>
        </w:rPr>
        <w:t xml:space="preserve">– But these are merely continuations of past modes of thought, clearly there is a </w:t>
      </w:r>
      <w:r w:rsidRPr="00505CF0">
        <w:rPr>
          <w:rFonts w:asciiTheme="majorBidi" w:hAnsiTheme="majorBidi" w:cstheme="majorBidi"/>
          <w:i/>
          <w:iCs/>
        </w:rPr>
        <w:t>growing</w:t>
      </w:r>
      <w:r w:rsidRPr="00505CF0">
        <w:rPr>
          <w:rFonts w:asciiTheme="majorBidi" w:hAnsiTheme="majorBidi" w:cstheme="majorBidi"/>
        </w:rPr>
        <w:t xml:space="preserve"> concern with the issues outlined here, though it is not a dominating certainty of all cultural output. Yet. </w:t>
      </w:r>
    </w:p>
  </w:footnote>
  <w:footnote w:id="108">
    <w:p w14:paraId="02339FB6" w14:textId="17DAFE8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"Hoberek", "given" : "Andrew", "non-dropping-particle" : "", "parse-names" : false, "suffix" : "" } ], "container-title" : "The Cambridge History of Postmodern Literature", "editor" : [ { "dropping-particle" : "", "family" : "McHale", "given" : "Brian", "non-dropping-particle" : "", "parse-names" : false, "suffix" : "" }, { "dropping-particle" : "", "family" : "Platt", "given" : "Len", "non-dropping-particle" : "", "parse-names" : false, "suffix" : "" } ], "id" : "ITEM-1", "issued" : { "date-parts" : [ [ "2016" ] ] }, "note" : "[Brian McHale Proposes] that in 1989, its high phase of cultural production over, postmodernism enters into a liminal phase of uncertainty and testing that lasts until 2001. p.497\n\nthe post-apocalyptic genre, no longer dependent on an established name to boost it to literary status, can no in fact make literary reputations. Indeed, it is tempting to say that if, as McHale has argued, detective fiction provides the generic template for modernism and science fiction for postmodernism, then post-apocalypse does so for post-postmodernism. p.499\n\nthe contemporary rise of post=apocalypse as an early twenty-first century master genre might have everything to do with the present it seemingly rejects. p.508-9", "page" : "497-514", "publisher" : "Cambridge University Press", "publisher-place" : "Cambridge", "title" : "Epilogue: 2001, 2008, and after", "type" : "chapter" }, "locator" : "508-9", "uris" : [ "http://www.mendeley.com/documents/?uuid=2bfd9720-9b32-46f3-8aeb-803ea50d2a04" ] } ], "mendeley" : { "formattedCitation" : "Andrew Hoberek, \u2018Epilogue: 2001, 2008, and after\u2019, in &lt;i&gt;The Cambridge History of Postmodern Literature&lt;/i&gt;, ed. by Brian McHale and Len Platt (Cambridge: Cambridge University Press, 2016), pp. 497\u2013514 (pp. 508\u20139).", "plainTextFormattedCitation" : "Andrew Hoberek, \u2018Epilogue: 2001, 2008, and after\u2019, in The Cambridge History of Postmodern Literature, ed. by Brian McHale and Len Platt (Cambridge: Cambridge University Press, 2016), pp. 497\u2013514 (pp. 508\u20139).", "previouslyFormattedCitation" : "Andrew Hoberek, \u2018Epilogue: 2001, 2008, and after\u2019, in &lt;i&gt;The Cambridge History of Postmodern Literature&lt;/i&gt;, ed. by Brian McHale and Len Platt (Cambridge: Cambridge University Press, 2016), pp. 497\u2013514 (pp. 508\u20139)."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Andrew Hoberek, ‘Epilogue: 2001, 2008, and after’, in </w:t>
      </w:r>
      <w:r w:rsidRPr="00505CF0">
        <w:rPr>
          <w:rFonts w:asciiTheme="majorBidi" w:hAnsiTheme="majorBidi" w:cstheme="majorBidi"/>
          <w:i/>
          <w:noProof/>
        </w:rPr>
        <w:t>The Cambridge History of Postmodern Literature</w:t>
      </w:r>
      <w:r w:rsidRPr="00505CF0">
        <w:rPr>
          <w:rFonts w:asciiTheme="majorBidi" w:hAnsiTheme="majorBidi" w:cstheme="majorBidi"/>
          <w:noProof/>
        </w:rPr>
        <w:t>, ed. by Brian McHale and Len Platt (Cambridge: Cambridge University Press, 2016), pp. 497–514 (pp. 508–9).</w:t>
      </w:r>
      <w:r w:rsidRPr="00505CF0">
        <w:rPr>
          <w:rFonts w:asciiTheme="majorBidi" w:hAnsiTheme="majorBidi" w:cstheme="majorBidi"/>
        </w:rPr>
        <w:fldChar w:fldCharType="end"/>
      </w:r>
    </w:p>
  </w:footnote>
  <w:footnote w:id="109">
    <w:p w14:paraId="1182B909"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Though such worries do seem eternal to the human condition, one could argue.</w:t>
      </w:r>
    </w:p>
  </w:footnote>
  <w:footnote w:id="110">
    <w:p w14:paraId="5F015B09" w14:textId="53B9EA8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"Yoonsuk Paik", "given" : "Peter", "non-dropping-particle" : "", "parse-names" : false, "suffix" : "" } ], "id" : "ITEM-1", "issued" : { "date-parts" : [ [ "2010" ] ] }, "note" : "[he describes the complications of society as an] infernal constellation of unsolveable problems: unchecked capitalism, catastrophic climate change, the depeltion of natural resources, and a hedonistic society that categorically rejects any limits on individual pleasure. p.119", "publisher" : "University of Minnesota Press", "publisher-place" : "Minneapolis", "title" : "From Utopia to Apocalypse: Science Fiction and the Politics of Catastrophe", "type" : "book" }, "uris" : [ "http://www.mendeley.com/documents/?uuid=938ffc9e-2a01-4404-99ec-cbd112b89221" ] } ], "mendeley" : { "formattedCitation" : "Yoonsuk Paik.", "plainTextFormattedCitation" : "Yoonsuk Paik.", "previouslyFormattedCitation" : "Yoonsuk Paik."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Yoonsuk Paik.</w:t>
      </w:r>
      <w:r w:rsidRPr="00505CF0">
        <w:rPr>
          <w:rFonts w:asciiTheme="majorBidi" w:hAnsiTheme="majorBidi" w:cstheme="majorBidi"/>
        </w:rPr>
        <w:fldChar w:fldCharType="end"/>
      </w:r>
    </w:p>
  </w:footnote>
  <w:footnote w:id="111">
    <w:p w14:paraId="520E496A" w14:textId="3D48957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2.</w:t>
      </w:r>
      <w:r w:rsidRPr="00505CF0">
        <w:rPr>
          <w:rFonts w:asciiTheme="majorBidi" w:hAnsiTheme="majorBidi" w:cstheme="majorBidi"/>
        </w:rPr>
        <w:fldChar w:fldCharType="end"/>
      </w:r>
    </w:p>
  </w:footnote>
  <w:footnote w:id="112">
    <w:p w14:paraId="09234147" w14:textId="3ACFBF8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"394-5", "uris" : [ "http://www.mendeley.com/documents/?uuid=32b762a8-e009-4994-b9f0-0a1b75d6403b" ] } ], "mendeley" : { "formattedCitation" : "Sebastien Charles, \u2018For a Humanism Amid Hypermodernity: From a Soceity of Knowledge to a Critical Knowledge of Society\u2019, &lt;i&gt;Axiomathes&lt;/i&gt;, 2009, 389\u2013400 (pp. 394\u20135).", "plainTextFormattedCitation" : "Sebastien Charles, \u2018For a Humanism Amid Hypermodernity: From a Soceity of Knowledge to a Critical Knowledge of Society\u2019, Axiomathes, 2009, 389\u2013400 (pp. 394\u20135).", "previouslyFormattedCitation" : "Sebastien Charles, \u2018For a Humanism Amid Hypermodernity: From a Soceity of Knowledge to a Critical Knowledge of Society\u2019, &lt;i&gt;Axiomathes&lt;/i&gt;, 2009, 389\u2013400 (pp. 394\u20135)."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Sebastien Charles, ‘For a Humanism Amid Hypermodernity: From a Soceity of Knowledge to a Critical Knowledge of Society’, </w:t>
      </w:r>
      <w:r w:rsidRPr="0025171E">
        <w:rPr>
          <w:rFonts w:asciiTheme="majorBidi" w:hAnsiTheme="majorBidi" w:cstheme="majorBidi"/>
          <w:i/>
          <w:noProof/>
        </w:rPr>
        <w:t>Axiomathes</w:t>
      </w:r>
      <w:r w:rsidRPr="0025171E">
        <w:rPr>
          <w:rFonts w:asciiTheme="majorBidi" w:hAnsiTheme="majorBidi" w:cstheme="majorBidi"/>
          <w:noProof/>
        </w:rPr>
        <w:t>, 2009, 389–400 (pp. 394–5).</w:t>
      </w:r>
      <w:r w:rsidRPr="00505CF0">
        <w:rPr>
          <w:rFonts w:asciiTheme="majorBidi" w:hAnsiTheme="majorBidi" w:cstheme="majorBidi"/>
        </w:rPr>
        <w:fldChar w:fldCharType="end"/>
      </w:r>
    </w:p>
  </w:footnote>
  <w:footnote w:id="113">
    <w:p w14:paraId="288BE523" w14:textId="3A376A7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"394-5", "uris" : [ "http://www.mendeley.com/documents/?uuid=32b762a8-e009-4994-b9f0-0a1b75d6403b" ] } ], "mendeley" : { "formattedCitation" : "Charles, pp. 394\u20135.", "plainTextFormattedCitation" : "Charles, pp. 394\u20135.", "previouslyFormattedCitation" : "Charles, pp. 394\u20135."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Charles, pp. 394–5.</w:t>
      </w:r>
      <w:r w:rsidRPr="00505CF0">
        <w:rPr>
          <w:rFonts w:asciiTheme="majorBidi" w:hAnsiTheme="majorBidi" w:cstheme="majorBidi"/>
        </w:rPr>
        <w:fldChar w:fldCharType="end"/>
      </w:r>
    </w:p>
  </w:footnote>
  <w:footnote w:id="114">
    <w:p w14:paraId="19E226DD" w14:textId="41CA79D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"394-5", "uris" : [ "http://www.mendeley.com/documents/?uuid=32b762a8-e009-4994-b9f0-0a1b75d6403b" ] } ], "mendeley" : { "formattedCitation" : "Charles, pp. 394\u20135.", "plainTextFormattedCitation" : "Charles, pp. 394\u20135.", "previouslyFormattedCitation" : "Charles, pp. 394\u20135."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Charles, pp. 394–5.</w:t>
      </w:r>
      <w:r w:rsidRPr="00505CF0">
        <w:rPr>
          <w:rFonts w:asciiTheme="majorBidi" w:hAnsiTheme="majorBidi" w:cstheme="majorBidi"/>
        </w:rPr>
        <w:fldChar w:fldCharType="end"/>
      </w:r>
    </w:p>
  </w:footnote>
  <w:footnote w:id="115">
    <w:p w14:paraId="13F9BA23" w14:textId="4BE9599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"www.newyorker.com/magazine/2017/06/05/a-golden-age-for-dystopian-fiction", "accessed" : { "date-parts" : [ [ "2017", "9", "27" ] ] }, "author" : [ { "dropping-particle" : "", "family" : "Lepore", "given" : "Jill", "non-dropping-particle" : "", "parse-names" : false, "suffix" : "" } ], "container-title" : "The New Yorker", "id" : "ITEM-1", "issued" : { "date-parts" : [ [ "2017" ] ] }, "note" : "In its modern definition, a dystopia can be apocalyptic, or post-apocalyptic, or neither, but it has to be anti-utopian, a utopia turned upside down, a world in which people tried to build a republic of perfection only to find that they had created a republic of misery.", "title" : "A Golden Age For Dystopian Fiction.", "type" : "webpage" }, "uris" : [ "http://www.mendeley.com/documents/?uuid=613a3b85-87d8-4a67-9e92-d8230e7e555a" ] } ], "mendeley" : { "formattedCitation" : "Lepore.", "plainTextFormattedCitation" : "Lepore.", "previouslyFormattedCitation" : "Lepore."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Lepore.</w:t>
      </w:r>
      <w:r w:rsidRPr="00505CF0">
        <w:rPr>
          <w:rFonts w:asciiTheme="majorBidi" w:hAnsiTheme="majorBidi" w:cstheme="majorBidi"/>
        </w:rPr>
        <w:fldChar w:fldCharType="end"/>
      </w:r>
    </w:p>
  </w:footnote>
  <w:footnote w:id="116">
    <w:p w14:paraId="6E669FFD" w14:textId="48EC47EC"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 xml:space="preserve">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w:instrText>
      </w:r>
      <w:r w:rsidRPr="00FE7EAF">
        <w:rPr>
          <w:rFonts w:asciiTheme="majorBidi" w:hAnsiTheme="majorBidi" w:cstheme="majorBidi"/>
          <w:lang w:val="nl-NL"/>
        </w:rPr>
        <w:instrText>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 p. 2.</w:t>
      </w:r>
      <w:r w:rsidRPr="00505CF0">
        <w:rPr>
          <w:rFonts w:asciiTheme="majorBidi" w:hAnsiTheme="majorBidi" w:cstheme="majorBidi"/>
        </w:rPr>
        <w:fldChar w:fldCharType="end"/>
      </w:r>
    </w:p>
  </w:footnote>
  <w:footnote w:id="117">
    <w:p w14:paraId="72148D7D" w14:textId="06F076E6"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"URL" : "www.newyorker.com/magazine/2017/06/05/a-golden-age-for-dystopian-fiction", "accessed" : { "date-parts" : [ [ "2017", "9", "27" ] ] }, "author" : [ { "dropping-particle" : "", "family" : "Lepore", "given" : "Jill", "non-dropping-particle" : "", "parse-names" : false, "suffix" : "" } ], "container-title" : "The New Yorker", "id" : "ITEM-1", "issued" : { "date-parts" : [ [ "2017" ] ] }, "note" : "In its modern definition, a dystopia can be apocalyptic, or post-apocalyptic, or neither, but it has to be anti-utopian, a utopia turned upside down, a world in which people tried to build a republic of perfection only to find that they had created a republic of misery.", "title" : "A Golden Age For Dystopian Fiction.", "type" : "webpage" }, "uris" : [ "http://www.mendeley.com/documents/?uuid=613a3b85-87d8-4a67-9e92-d8230e7e555a" ] } ], "mendeley" : { "formattedCitation" : "Lepore.", "plainTextFormattedCitation" : "Lepore.", "previouslyFormattedCitation" : "Lepore."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Lepore.</w:t>
      </w:r>
      <w:r w:rsidRPr="00505CF0">
        <w:rPr>
          <w:rFonts w:asciiTheme="majorBidi" w:hAnsiTheme="majorBidi" w:cstheme="majorBidi"/>
        </w:rPr>
        <w:fldChar w:fldCharType="end"/>
      </w:r>
    </w:p>
  </w:footnote>
  <w:footnote w:id="118">
    <w:p w14:paraId="1984F9DC" w14:textId="35C4C183"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"394-5", "uris" : [ "http://www.mendeley.com/documents/?uuid=32b762a8-e009-4994-b9f0-0a1b75d6403b" ] } ], "mendeley" : { "formattedCitation" : "Charles, pp. 394\u20135.", "plainTextFormattedCitation" : "Charles, pp. 394\u20135.", "previouslyFormattedCitation" : "Charles, pp. 394\u20135."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lang w:val="nl-NL"/>
        </w:rPr>
        <w:t>Charles, pp. 394–5.</w:t>
      </w:r>
      <w:r w:rsidRPr="00505CF0">
        <w:rPr>
          <w:rFonts w:asciiTheme="majorBidi" w:hAnsiTheme="majorBidi" w:cstheme="majorBidi"/>
        </w:rPr>
        <w:fldChar w:fldCharType="end"/>
      </w:r>
    </w:p>
  </w:footnote>
  <w:footnote w:id="119">
    <w:p w14:paraId="1D7233BB" w14:textId="55E38214"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Pr>
          <w:rFonts w:asciiTheme="majorBidi" w:hAnsiTheme="majorBidi" w:cstheme="majorBidi"/>
          <w:lang w:val="nl-NL"/>
        </w:rPr>
        <w:t>While Torralba ascribes these features to Hypermodernity, the analysis does still form a significant overall examination of contemporary society, hypermodern or otherwise.</w:t>
      </w:r>
    </w:p>
  </w:footnote>
  <w:footnote w:id="120">
    <w:p w14:paraId="4137595C" w14:textId="43CDF33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"Torralba", "given" : "Francesc", "non-dropping-particle" : "", "parse-names" : false, "suffix" : "" } ], "container-title" : "Transfer: Journal of Contemporary Culture", "id" : "ITEM-1", "issued" : { "date-parts" : [ [ "2011" ] ] }, "note" : "It would seem a priori that fear is a sentiment more in keeping with the pre-scientific age than the technological era and yet fear, in a vague but persistent way, spreads into all areas of collective life. There is fear in the macro-sphere that has to do with the world\u2019s ecological crisis, but there is also fear in the micro-sphere, that of the citizen walking down a dark narrow street, afraid of being attacked. There is fear in lucrative organisations, but also in the more intimate sphere, in the home, the fear of losing bonds, of not being well enough prepared to compete and that of losing importance and prestige in social life. p.58\n\nIn hypermodernity, the gods have been wiped off the horizon and nature is described according to universal laws. We no longer fear the gods of Antiquity or the madness of nature, but other forms of fear proliferate. There is fear of organisations, fear of job insecurity, fear of losing one\u2019s health, fear due to the inconsistency of ties. New scenarios of this threat appear, new tales of future devastations that strike fear into the average citizen. p.58\n\nWe are no longer frightened by the gods, but by what human beings are capable of doing and legitimating in the name of the gods. p.58\n\nfear has occupied a marginal place in treatises on the passions that the most illustrious modern thinkers have left us. p.59\n\nIf it is true, as has been written, that we live in the society of uncertainty and risk, it is no supruse, then, that the feeling of fear should grow, because there is a directly proportional relationship between both. p.60\n\nLet us identify the most important, stressing that some of the current forms have coexisted throughout the history of humankind and are constituent aspects of the finite and contingent structure of the human being: p.60\n- Fear of Death. Death causes fear because it means the end of the biological process and coming into contact with uncertainty. These days, fear is not aroused by stories from beyond the grave or by threatening eschatological symbolism, but by the fact of ceasing to be, of disappearing from this world.\n-Fear of the Strange. Fear is caused by the worrying presence of the strange, ignorance of its intentions and reasons, its customs and its ways of life. [...] The strange is always a violent presence, because it questions our own ways, because it demands we find a common language and guarantee minimum laws for good social coexistence. At the same time, though, it is also an opportunity to reflect on our own identity, on the collective singularity. Never before has it been so utterly difficult to define ourselves. This fear is not, of course, new in the history of Western civilisation, but in contexts of intense migratory flows like the present one, it once again bursts in and generates attitudes of putting up barriers.\n-Fear of Technology. Today\u2019s citizens seem to be always threatened by what they produce, namely, by the result of the labour of their hands and, even more so, by the working of their intelligence. [...] This state of threat against people by their products has several directions and degrees of intensity. It seems, fortunately, that we are ever more aware of the fact that the exploitation of the Earth, of the planet we live on, demands rational and honest planning. \n-Fear of Failure. In the society of success, the fear of failure, of losing social and economic status, emerges forcefully. A growing intolerance of failure and a sacralisation of success in social and economic terms has been detected. [...] Failure, like evil, is such insofar as it represents a threat to our identity; it will depend, then, on what we think realises us, what makes us. What we consider as failure will help us to understand what we are and, the other way round, what we are will make us consider something a failure or not. [...] The melancholy of failure and the obsession with success are two evils of finalising: two ways of not knowing how to finish in order to be able, by sorting oneself out, to beat new paths. Failure is undeniably an evil.\n-Fear of Freedom. Nevertheless, the fear of personal self-determination, of exercising one\u2019s own autonomy, of defending one\u2019s own convictions in such liquid and inconsistent contexts as postmodern scenarios, is growing significantly. We live in an age in which defending solid ideas like freedom, truth, dignity or even equality arouses a certain fear as we are crossing the line of what is politically correct, of that which travels along the highways of official thinking. [...] Therefore, the fear of freedom is, at heart, a clear consequence of the crisis of character.\n-Fear of Loneliness. As Zygmunt Bauman [Liquid Modernity] has made clear in his sociological analyses, interpersonal ties, social and affective relationships are characterised, in the present, by their fragility and inconsistency. [...] Ties are ephemeral and this arouses great anxiety, even in the form of pathological worry, because people do not want to lose the bonds of affection that make their emotional balance possible, but they are not prepared to give of themselves wholeheartedly, to commit themselves solidly to their partner. p.60-4", "page" : "56-67", "title" : "The Essence and Forms of Fear in Hypermodernity", "type" : "article-journal", "volume" : "6" }, "locator" : "58", "uris" : [ "http://www.mendeley.com/documents/?uuid=e76757a6-494a-4749-9241-dee2182ef50c" ] } ], "mendeley" : { "formattedCitation" : "Francesc Torralba, \u2018The Essence and Forms of Fear in Hypermodernity\u2019, &lt;i&gt;Transfer: Journal of Contemporary Culture&lt;/i&gt;, 6 (2011), 56\u201367 (p. 58).", "plainTextFormattedCitation" : "Francesc Torralba, \u2018The Essence and Forms of Fear in Hypermodernity\u2019, Transfer: Journal of Contemporary Culture, 6 (2011), 56\u201367 (p. 58).", "previouslyFormattedCitation" : "Francesc Torralba, \u2018The Essence and Forms of Fear in Hypermodernity\u2019, &lt;i&gt;Transfer: Journal of Contemporary Culture&lt;/i&gt;, 6 (2011), 56\u201367 (p. 58)."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Francesc Torralba, ‘The Essence and Forms of Fear in Hypermodernity’, </w:t>
      </w:r>
      <w:r w:rsidRPr="00505CF0">
        <w:rPr>
          <w:rFonts w:asciiTheme="majorBidi" w:hAnsiTheme="majorBidi" w:cstheme="majorBidi"/>
          <w:i/>
          <w:noProof/>
        </w:rPr>
        <w:t>Transfer: Journal of Contemporary Culture</w:t>
      </w:r>
      <w:r w:rsidRPr="00505CF0">
        <w:rPr>
          <w:rFonts w:asciiTheme="majorBidi" w:hAnsiTheme="majorBidi" w:cstheme="majorBidi"/>
          <w:noProof/>
        </w:rPr>
        <w:t>, 6 (2011), 56–67 (p. 58).</w:t>
      </w:r>
      <w:r w:rsidRPr="00505CF0">
        <w:rPr>
          <w:rFonts w:asciiTheme="majorBidi" w:hAnsiTheme="majorBidi" w:cstheme="majorBidi"/>
        </w:rPr>
        <w:fldChar w:fldCharType="end"/>
      </w:r>
    </w:p>
  </w:footnote>
  <w:footnote w:id="121">
    <w:p w14:paraId="036C02C1" w14:textId="42B20BB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"394", "uris" : [ "http://www.mendeley.com/documents/?uuid=32b762a8-e009-4994-b9f0-0a1b75d6403b" ] } ], "mendeley" : { "formattedCitation" : "Charles, p. 394.", "plainTextFormattedCitation" : "Charles, p. 394.", "previouslyFormattedCitation" : "Charles, p. 394."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Charles, p. 394.</w:t>
      </w:r>
      <w:r w:rsidRPr="00505CF0">
        <w:rPr>
          <w:rFonts w:asciiTheme="majorBidi" w:hAnsiTheme="majorBidi" w:cstheme="majorBidi"/>
        </w:rPr>
        <w:fldChar w:fldCharType="end"/>
      </w:r>
    </w:p>
  </w:footnote>
  <w:footnote w:id="122">
    <w:p w14:paraId="61B261E8" w14:textId="544E335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"www.theguardian.com/books/2006/feb/11/society.politics", "accessed" : { "date-parts" : [ [ "2017", "9", "21" ] ] }, "author" : [ { "dropping-particle" : "", "family" : "Jeffries", "given" : "Stuart", "non-dropping-particle" : "", "parse-names" : false, "suffix" : "" } ], "container-title" : "The Guardian", "id" : "ITEM-1", "issued" : { "date-parts" : [ [ "2006" ] ] }, "note" : "We live in a terrifying new millennium of global risks.\n\nhe German professor has thrived as a professional Cassandra, diagnosing the optimistic futility with which we try to manage the unmanageable\n\nThis, I suggest, is not an upbeat message.\n\nOne of the side-effects of capitalism's triumph is that it makes our lives more risky, precisely when we try to make them more secure and comfortable, says Beck. &amp;quot;The success of modernity - the better technology, the better production of markets - increases all kinds of risk,&amp;quot; he says. At the same time nations restrict civil rights in order to protect their populations from terrorism &amp;quot;with the result that, in the end, open, free society may be abolished, but the terrorist threat is by no means averted&amp;quot;.\n\n&amp;quot;I was looking for a basic term to characterise the second modernity.&amp;quot; For Beck, it's worth pointing out, the first modernity was a period in which nation states, at least in the west, could be relied on to provide democracy, economic growth and security. The second modernity, by contrast, is defined for Beck by global ecological and economic crises, widening transnational inequalities, precarious forms of paid work and other challenges of globalisation that those nation states can't manage efficiently on their own. &amp;quot;Post-modernity&amp;quot; wouldn't do.\n\nBeck argues we have tried to deal with new risks by old means, using national states to tackle global problems.\n\nWhat do you mean by that? Beck tells the story of a drunk man who loses his wallet on a dark night. The drunk is looking for it under a street light when a passer-by comes up and asks: &amp;quot;Did you lose your wallet here?&amp;quot; &amp;quot;No,&amp;quot; the drunk replies, &amp;quot;but at least I can look for it in the light.&amp;quot; This is what modern nation states are like - committed to futile attempts at problem-solving.\n\n&amp;quot;How to live,&amp;quot; Beck asks in his lecture, &amp;quot;when old certainties are shattered or revealed as lies?&amp;quot; His answer is cosmopolitanism.&amp;quot;The cosmopolitan model is about acknowledging difference and the dignity of difference,&amp;quot; he says. &amp;quot;I think it's a matter of survival in this explosive, risky, global society.&amp;quot; It involves not only securing human rights at a transnational level but also what he calls a politics of golden handcuffs, the creation of a dense network of transnational interdependencies to secure human rights, to scupper cheap wages, insecure employment, tax havens and other intolerable symptoms of globalisation.", "title" : "Risky Business", "type" : "webpage" }, "uris" : [ "http://www.mendeley.com/documents/?uuid=6b394f71-1fc7-4de4-a994-fd0a705d27f0" ] } ], "mendeley" : { "formattedCitation" : "Stuart Jeffries, \u2018Risky Business\u2019, &lt;i&gt;The Guardian&lt;/i&gt;, 2006 &lt;www.theguardian.com/books/2006/feb/11/society.politics&gt; [accessed 21 September 2017].", "plainTextFormattedCitation" : "Stuart Jeffries, \u2018Risky Business\u2019, The Guardian, 2006  [accessed 21 September 2017].", "previouslyFormattedCitation" : "Stuart Jeffries, \u2018Risky Business\u2019, &lt;i&gt;The Guardian&lt;/i&gt;, 2006 &lt;www.theguardian.com/books/2006/feb/11/society.politics&gt; [accessed 21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Stuart Jeffries, ‘Risky Business’, </w:t>
      </w:r>
      <w:r w:rsidRPr="0025171E">
        <w:rPr>
          <w:rFonts w:asciiTheme="majorBidi" w:hAnsiTheme="majorBidi" w:cstheme="majorBidi"/>
          <w:i/>
          <w:noProof/>
        </w:rPr>
        <w:t>The Guardian</w:t>
      </w:r>
      <w:r w:rsidRPr="0025171E">
        <w:rPr>
          <w:rFonts w:asciiTheme="majorBidi" w:hAnsiTheme="majorBidi" w:cstheme="majorBidi"/>
          <w:noProof/>
        </w:rPr>
        <w:t>, 2006 &lt;www.theguardian.com/books/2006/feb/11/society.politics&gt; [accessed 21 September 2017].</w:t>
      </w:r>
      <w:r w:rsidRPr="00505CF0">
        <w:rPr>
          <w:rFonts w:asciiTheme="majorBidi" w:hAnsiTheme="majorBidi" w:cstheme="majorBidi"/>
        </w:rPr>
        <w:fldChar w:fldCharType="end"/>
      </w:r>
    </w:p>
  </w:footnote>
  <w:footnote w:id="123">
    <w:p w14:paraId="1362D92D" w14:textId="7A07A49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"https://www.the-tls.co.uk/articles/public/postmodernism-dead-comes-next/", "accessed" : { "date-parts" : [ [ "2017", "8", "24" ] ] }, "author" : [ { "dropping-particle" : "", "family" : "Gibbons", "given" : "Alison", "non-dropping-particle" : "", "parse-names" : false, "suffix" : "" } ], "container-title" : "TLS Online", "id" : "ITEM-1", "issued" : { "date-parts" : [ [ "2017" ] ] }, "note" : "Taken together, postmodernism seems essentially to invoke a questioning of the real, both in terms of the actual world, and in the representational efficacy and fidelity of fiction.\n\nYet when authors, or other real elements, appear in fiction now [...] their presence is intended to signal realism, rather than to foreground the artifice of the text. [...] emotions, furthermore, are again playing a central role in literary fiction, as authors insist on our essential relationality - our connectedness as humans to one another in the globalizing world and with fictional characters as representations of our selves.\n\nThe cumulitive effect of these events - and the accompanying hyper-anxiety brought about by twenty-four hour news - has made the western world feel like a more precarious and volatile place, in which we can no longer be nonchalent about our safety or future. Hence Nostalgia - Return to safety/ ignorance of better times. \n\nThere are convergences and divergences between these conceptualizations; they complement each other as much as they complete. Even so, consistent across these formations is a legacy of modernist and postmodernist stylistic practice, and a rehabilitated ethical consciousness. \n\nIt can be categorizes as autofiction, a genre that integrates the autobiographical into fiction, and that has blossomed alongside the so-called memoir boom. [...] Yet contemporary autofictions narrativize the self not as a game, but in order to enhance the realism of a text and tackle the sociological and phenomonological dimensions of personal life. \n\nAt the same time, our culture retains many of the themes and concerns that exercised writers of earlier generations; there is little sign of a radical literary avant garde sweeping away the old to make way for the new. Postmodernism might not be as emphatically over as some critics like to claim, but it does seem to be in retreat. Its devices have become so commonplace that they have been absorbed into mainstream, commercial and popular culture. Postmodernism has lost its value in part because it has oversaturated the market. And with the end of postmodernism\u2019s playfulness and affectation, we are better placed to construct a literature that engages earnestly with real-world problems. This new literature can, in good faith, examine complex and ever-shifting crises \u2013 of racial inequality, capitalism and climate change \u2013 to which it is easy to close one\u2019s eyes.", "title" : "Postmodernism is dead. What comes next?", "type" : "webpage" }, "uris" : [ "http://www.mendeley.com/documents/?uuid=b68ce122-c4b7-41f0-87d6-f79fae86eab4" ] } ], "mendeley" : { "formattedCitation" : "Gibbons, \u2018Postmodernism Is Dead. What Comes Next?\u2019", "plainTextFormattedCitation" : "Gibbons, \u2018Postmodernism Is Dead. What Comes Next?\u2019", "previouslyFormattedCitation" : "Gibbons, \u2018Postmodernism Is Dead. What Comes Next?\u2019"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‘Postmodernism Is Dead. What Comes Next?’</w:t>
      </w:r>
      <w:r w:rsidRPr="00505CF0">
        <w:rPr>
          <w:rFonts w:asciiTheme="majorBidi" w:hAnsiTheme="majorBidi" w:cstheme="majorBidi"/>
        </w:rPr>
        <w:fldChar w:fldCharType="end"/>
      </w:r>
    </w:p>
  </w:footnote>
  <w:footnote w:id="124">
    <w:p w14:paraId="5232494C" w14:textId="16BB919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"Baya", "given" : "Adina", "non-dropping-particle" : "", "parse-names" : false, "suffix" : "" } ], "container-title" : "Procedia- Social and Behavioral Sciences", "id" : "ITEM-1", "issued" : { "date-parts" : [ [ "2013" ] ] }, "note" : "However, what we are witnessing today in the field transcends the initial postmodern diagnosis and requires new perspectives upon understanding audiences. p.157\n\nThe features that characterize &amp;quot;automodern&amp;quot; public discourse, in Samuels' view, include self-contradiction and a reversal of previously proclaimed ideas, nihilism, a backlash against the public realm and progressive movements, and the use of automation to affirm acts of self-centredness. p.158\n\nNew media holds a major role in the &amp;quot;automodern&amp;quot; backlash against the government and public officials by generally hunting their private lives and iming to situate them in humiliating positions, thinsk Samuels. the new automated technologies provide their users with an increased sense of individual control and power over the public sphere and over what they consume. p.158\n\n[Automodernity implies] an apparently contradictory mixture between an amplified level of automation and an increased sense of autonomy, traces several contemporary trends that can be registered in the audiences' relation wth the media and, hence, facilitate a better portrayal of an up-to-date audience profile. p.158", "page" : "154-159", "title" : "Post-postmodernism: Automodernity and its relevance to understanding contemporary media audiences", "type" : "article-journal", "volume" : "71" }, "locator" : "158", "uris" : [ "http://www.mendeley.com/documents/?uuid=ef90e5ac-2ffd-4274-9cde-8c550e67814e" ] } ], "mendeley" : { "formattedCitation" : "Baya, p. 158.", "plainTextFormattedCitation" : "Baya, p. 158.", "previouslyFormattedCitation" : "Baya, p. 158."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Baya, p. 158.</w:t>
      </w:r>
      <w:r w:rsidRPr="00505CF0">
        <w:rPr>
          <w:rFonts w:asciiTheme="majorBidi" w:hAnsiTheme="majorBidi" w:cstheme="majorBidi"/>
        </w:rPr>
        <w:fldChar w:fldCharType="end"/>
      </w:r>
    </w:p>
  </w:footnote>
  <w:footnote w:id="125">
    <w:p w14:paraId="6E32BA0E"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Climate change deniers and the capitalist-rich may have differing opinions, however. </w:t>
      </w:r>
    </w:p>
  </w:footnote>
  <w:footnote w:id="126">
    <w:p w14:paraId="2B1895EF" w14:textId="431548EC" w:rsidR="00054009" w:rsidRPr="00505CF0"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w:instrText>
      </w:r>
      <w:r w:rsidRPr="00FE7EAF">
        <w:rPr>
          <w:rFonts w:asciiTheme="majorBidi" w:hAnsiTheme="majorBidi" w:cstheme="majorBidi"/>
          <w:lang w:val="sv-SE"/>
        </w:rPr>
        <w:instrText>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"170", "uris" : [ "http://www.mendeley.com/documents/?uuid=375b0b4a-bfad-4d0a-a1e7-1338c698bdca" ] } ], "mendeley" : { "formattedCitation" : "Lipovetsky, p. 170.", "plainTextFormattedCitation" : "Lipovetsky, p. 170.", "previouslyFormattedCitation" : "Lipovetsky, p. 170."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Lipovetsky, p. 170.</w:t>
      </w:r>
      <w:r w:rsidRPr="00505CF0">
        <w:rPr>
          <w:rFonts w:asciiTheme="majorBidi" w:hAnsiTheme="majorBidi" w:cstheme="majorBidi"/>
        </w:rPr>
        <w:fldChar w:fldCharType="end"/>
      </w:r>
    </w:p>
  </w:footnote>
  <w:footnote w:id="127">
    <w:p w14:paraId="693CCC8F" w14:textId="33E04EFF" w:rsidR="00054009" w:rsidRPr="00FE7EAF"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FE7EAF">
        <w:rPr>
          <w:rFonts w:asciiTheme="majorBidi" w:hAnsiTheme="majorBidi" w:cstheme="majorBidi"/>
          <w:lang w:val="sv-SE"/>
        </w:rPr>
        <w:t xml:space="preserve"> </w:t>
      </w:r>
      <w:r w:rsidRPr="00505CF0">
        <w:rPr>
          <w:rFonts w:asciiTheme="majorBidi" w:hAnsiTheme="majorBidi" w:cstheme="majorBidi"/>
        </w:rPr>
        <w:fldChar w:fldCharType="begin" w:fldLock="1"/>
      </w:r>
      <w:r w:rsidRPr="00FE7EAF">
        <w:rPr>
          <w:rFonts w:asciiTheme="majorBidi" w:hAnsiTheme="majorBidi" w:cstheme="majorBidi"/>
          <w:lang w:val="sv-SE"/>
        </w:rPr>
        <w:instrText>ADDIN CSL_CITATION { "citationItems" : [ { "id" : "ITEM-1", "itemData" : { "URL" : "https://www.opendemocracy.net/globalization-vision_reflections/modernity_3082.jsp", "accessed" : { "date-parts" : [ [ "2017", "8", "15" ] ] }, "author" : [ { "dropping-particle" : "", "family" : "Bauman", "given" : "Zygmunt", "non-dropping-particle" : "", "parse-names" : false, "suffix" : "" }, { "dropping-particle" : "", "family" : "Galecki", "given" : "Lukasz", "non-dropping-particle" : "", "parse-names" : false, "suffix" : "" } ], "container-title" : "openDemocracy", "id" : "ITEM-1", "issued" : { "date-parts" : [ [ "2005" ] ] }, "note" : "ZB: 'The main trouble is that the globalisation we are dealing with today is strictly negative. It is based on the breaking down of barriers, allowing for the globalisation of capital, the movement of goods, information, crime, and terrorism, but not of the political and judicial institutions whose basis is national sovereignty.\n\nZB: 'In today's world the possibilites for collective action run far behind what is required, although almost everyone agrees that at least something must be done.\n\nZB: 'the events of 11 septembet 2001 and the attacks in Madrid (march 2004) and London (July 2005) have made clear that the traditional means of seciting and maintaing respect for law and order, crudely stated, are worthless. It surprised us - all of us. \n\nZB: 'This is so different from the picture of the future world designed at the beginning of the modern era. Enlightemnent philsophers dreamed of a orderly world, obedient to human will: mild and hospitable. And humans would not be forced to rely on the wisdom of divine creation, but were to realise these dreams on their own. \n\nZB: 'The very project of modernity is born out of the desire for a world without suprises, a safe world, a world without fear.", "title" : "The Unwinnable War: an interview with Zygmunt Bauman", "type" : "webpage" }, "uris" : [ "http://www.mendeley.com/documents/?uuid=a41af416-ac22-48e0-b283-e45e877846ac" ] } ], "mendeley" : { "formattedCitation" : "Bauman and Galecki.", "plainTextFormattedCitation" : "Bauman and Galecki.", "previouslyFormattedCitation" : "Bauman and Galecki."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sv-SE"/>
        </w:rPr>
        <w:t>Bauman and Galecki.</w:t>
      </w:r>
      <w:r w:rsidRPr="00505CF0">
        <w:rPr>
          <w:rFonts w:asciiTheme="majorBidi" w:hAnsiTheme="majorBidi" w:cstheme="majorBidi"/>
        </w:rPr>
        <w:fldChar w:fldCharType="end"/>
      </w:r>
    </w:p>
  </w:footnote>
  <w:footnote w:id="128">
    <w:p w14:paraId="5C8088E0" w14:textId="221333D5" w:rsidR="00054009" w:rsidRPr="00FE7EAF"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FE7EAF">
        <w:rPr>
          <w:rFonts w:asciiTheme="majorBidi" w:hAnsiTheme="majorBidi" w:cstheme="majorBidi"/>
          <w:lang w:val="sv-SE"/>
        </w:rPr>
        <w:t xml:space="preserve"> </w:t>
      </w:r>
      <w:r w:rsidRPr="00505CF0">
        <w:rPr>
          <w:rFonts w:asciiTheme="majorBidi" w:hAnsiTheme="majorBidi" w:cstheme="majorBidi"/>
        </w:rPr>
        <w:fldChar w:fldCharType="begin" w:fldLock="1"/>
      </w:r>
      <w:r w:rsidRPr="00FE7EAF">
        <w:rPr>
          <w:rFonts w:asciiTheme="majorBidi" w:hAnsiTheme="majorBidi" w:cstheme="majorBidi"/>
          <w:lang w:val="sv-SE"/>
        </w:rPr>
        <w:instrText>ADDIN CSL_CITATION { "citationItems" : [ { "id" : "ITEM-1", "itemData" : { "URL" : "https://www.opendemocracy.net/globalization-vision_reflections/modernity_3082.jsp", "accessed" : { "date-parts" : [ [ "2017", "8", "15" ] ] }, "author" : [ { "dropping-particle" : "", "family" : "Bauman", "given" : "Zygmunt", "non-dropping-particle" : "", "parse-names" : false, "suffix" : "" }, { "dropping-particle" : "", "family" : "Galecki", "given" : "Lukasz", "non-dropping-particle" : "", "parse-names" : false, "suffix" : "" } ], "container-title" : "openDemocracy", "id" : "ITEM-1", "issued" : { "date-parts" : [ [ "2005" ] ] }, "note" : "ZB: 'The main trouble is that the globalisation we are dealing with today is strictly negative. It is based on the breaking down of barriers, allowing for the globalisation of capital, the movement of goods, information, crime, and terrorism, but not of the political and judicial institutions whose basis is national sovereignty.\n\nZB: 'In today's world the possibilites for collective action run far behind what is required, although almost everyone agrees that at least something must be done.\n\nZB: 'the events of 11 septembet 2001 and the attacks in Madrid (march 2004) and London (July 2005) have made clear that the traditional means of seciting and maintaing respect for law and order, crudely stated, are worthless. It surprised us - all of us. \n\nZB: 'This is so different from the picture of the future world designed at the beginning of the modern era. Enlightemnent philsophers dreamed of a orderly world, obedient to human will: mild and hospitable. And humans would not be forced to rely on the wisdom of divine creation, but were to realise these dreams on their own. \n\nZB: 'The very project of modernity is born out of the desire for a world without suprises, a safe world, a world without fear.", "title" : "The Unwinnable War: an interview with Zygmunt Bauman", "type" : "webpage" }, "uris" : [ "http://www.mendeley.com/documents/?uuid=a41af416-ac22-48e0-b283-e45e877846ac" ] } ], "mendeley" : { "formattedCitation" : "Bauman and Galecki.", "plainTextFormattedCitation" : "Bauman and Galecki.", "previouslyFormattedCitation" : "Bauman and Galecki."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sv-SE"/>
        </w:rPr>
        <w:t>Bauman and Galecki.</w:t>
      </w:r>
      <w:r w:rsidRPr="00505CF0">
        <w:rPr>
          <w:rFonts w:asciiTheme="majorBidi" w:hAnsiTheme="majorBidi" w:cstheme="majorBidi"/>
        </w:rPr>
        <w:fldChar w:fldCharType="end"/>
      </w:r>
    </w:p>
  </w:footnote>
  <w:footnote w:id="129">
    <w:p w14:paraId="4A0FEE0A" w14:textId="4508715A" w:rsidR="00054009" w:rsidRPr="00505CF0"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lang w:val="sv-SE"/>
        </w:rPr>
        <w:t xml:space="preserve"> </w:t>
      </w:r>
      <w:r w:rsidRPr="00505CF0">
        <w:rPr>
          <w:rFonts w:asciiTheme="majorBidi" w:hAnsiTheme="majorBidi" w:cstheme="majorBidi"/>
        </w:rPr>
        <w:fldChar w:fldCharType="begin" w:fldLock="1"/>
      </w:r>
      <w:r>
        <w:rPr>
          <w:rFonts w:asciiTheme="majorBidi" w:hAnsiTheme="majorBidi" w:cstheme="majorBidi"/>
          <w:lang w:val="sv-SE"/>
        </w:rPr>
        <w:instrText>ADDIN CSL_CITATION { "citationItems" : [ { "id" : "ITEM-1", "itemData" : { "author" : [ { "dropping-particle" : "", "family" : "Beck", "given" : "Ulrich", "non-dropping-particle" : "", "parse-names" : false, "suffix" : "" } ], "container-title" : "Theory, Culture &amp; Society", "id" : "ITEM-1", "issue" : "7-8", "issued" : { "date-parts" : [ [ "2016" ] ] }, "note" : "In my book Risk Society (1992) I argue that there is an epocal shift from industrial to risk societies [...] the concept of risk society is based on the importance of bads. Risk societies involve the distribution of bads that flow within and across various territories and are not confined within the borders of a single society. Nuclear radiation is a key example of this, but also financial risks, global warming, SARS, etc. p.258-9\n\nCosmopolitanism in Immanuel Kat's philosophical sense means something active, a task, a conscious and voluntary choice, clearly the affair of an elite, top-down issue. But today in reality a 'banal', 'coercive' and 'impure' cosmopolitization unfolds unwanted, unseen - powerful and confrontational beneath the surface or behind the facade of persisting national spaces, jurisdictions and labels. p.260\n\nWhat others have viewed as a 'postmodern eclecticism' I see not against the modern but as rather a new relexivity about what modernity is. p.260\n\nDespite this rapidly growing number of global organizations and transnational institutions, there is an increasing unease, nourished not least by the hesitant responses to the global financial crisis, the European currency crisis, and the poor results of the last global climate conference at Copenhagen, that these institutions are proving unable to address the challenges they were created to meet. p.262\n\nthe world of a second modernity is a world of unbelievable contradictions and contrasts where super-modern castles or citadels are constructed next to scenes of Apocalypse Now (as with the now destroyed World Trade Center in New York, with thousands of beggars living in the subway below). Class hardly captures such shimmering inequality. Third, the major movements of change have little to do with class, even that responsible for the most stunning transformation of the past three decades, such as the financial crisis of 2008, \u20189/11\u2019 and the dramatic and unpredicted bringing down of the Soviet empire by various rights-based social networks. p.262-3\n\nThe performance principle legitimates national inequality, the nation-state principle legitimates global inequality (in another form). How? The inequalities between countries, regions and states are accounted politically incomparable. In a perspective bounded by nation-state, politically relevant comparisons can only be played out within the nation-state, never between states p.263\n\nThe wealthy democracies carry the banner of human rights to the furthest corners of the earth, without noticing that the national border defences, with which they want to repel the streams of migrants, thereby lose their legitimation. p.263\n\nRisk does not mean catastrophe. Risk means the anticipation of catastrophe. Risks are about staging the future in the present, whereas the future of future catastrophes is in principle unknown. Without techniques of visualization, without symbolic forms, without mass media, without art, risks are nothing at all. p.264", "page" : "257-270", "title" : "Varieties of Second Modernity and the Cosmopolitan Vision", "type" : "article-journal", "volume" : "33" }, "locator" : "262", "uris" : [ "http://www.mendeley.com/documents/?uuid=ad66caa7-3492-41b8-9dcf-8edc6e13bfda" ] } ], "mendeley" : { "formattedCitation" : "Beck, p. 262.", "manualFormatting" : "Ulrich Beck, \u2018Varieties of Second Modernity and the Cosmopolitan Vision\u2019, Theory, Culture &amp; Society, 33 (2016), 257\u2013270 (p. 262).", "plainTextFormattedCitation" : "Beck, p. 262.", "previouslyFormattedCitation" : "Beck, p. 262."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 xml:space="preserve">Ulrich Beck, ‘Varieties of Second Modernity and the Cosmopolitan Vision’, </w:t>
      </w:r>
      <w:r w:rsidRPr="00505CF0">
        <w:rPr>
          <w:rFonts w:asciiTheme="majorBidi" w:hAnsiTheme="majorBidi" w:cstheme="majorBidi"/>
          <w:i/>
          <w:noProof/>
          <w:lang w:val="sv-SE"/>
        </w:rPr>
        <w:t>Theory, Culture &amp; Society</w:t>
      </w:r>
      <w:r w:rsidRPr="00505CF0">
        <w:rPr>
          <w:rFonts w:asciiTheme="majorBidi" w:hAnsiTheme="majorBidi" w:cstheme="majorBidi"/>
          <w:noProof/>
          <w:lang w:val="sv-SE"/>
        </w:rPr>
        <w:t>, 33 (2016), 257–270 (p. 262).</w:t>
      </w:r>
      <w:r w:rsidRPr="00505CF0">
        <w:rPr>
          <w:rFonts w:asciiTheme="majorBidi" w:hAnsiTheme="majorBidi" w:cstheme="majorBidi"/>
        </w:rPr>
        <w:fldChar w:fldCharType="end"/>
      </w:r>
    </w:p>
  </w:footnote>
  <w:footnote w:id="130">
    <w:p w14:paraId="602BC85A" w14:textId="7191D3A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"Grande", "given" : "Edgar", "non-dropping-particle" : "", "parse-names" : false, "suffix" : "" } ], "container-title" : "The British Journal of Sociology", "id" : "ITEM-1", "issue" : "3", "issued" : { "date-parts" : [ [ "2010" ] ] }, "note" : "When a world order collapses, that's the moment when reflection should begin. Surprisingly, this has not been the case with the type of social theory dominant today. The mainstream of social theory still floats loftily above the lowlands of epochal transformations (climate change, financial crisis, nation-states) in a condition of universalistic superiority and instinctive uncertainty. This universalistic social theory, whether structuralist, interactionist, Marxist or systems-theoretical, is now both out of date and provincial.\n\nIt has become commonplace that national institutions alone are unable to cope with the challenges of regulating global capitalism and responding to new global risks.\n\nCosmopolitanism thus understood implies a specific approach to ensuring that one's own (individual or collective) interests are promoted and made to prevail. Cosmopolitan realism calls for neither the sacrifice of one's own interests, nor an exclusive bias towards higher ideas and ideals. On the contrary, it accepts that for the most part political action is interest-based. But it insists on an approach to the pursuit of one's own interests that is compatible with those of a larger community. Thus cosmopolitical realism basically means the recognition of the legitimate interests of others and their inclusion in the calculation of one's own interests. In this process, interests become \u2018reflexive national interests\u2019 through repeated joint strategies of self-limitation; more precisely, empowerment arises from self-limitation. Ideally, individual and collective goals, both national and global, can be achieved simultaneously. In reality, however, there are often limits and dilemmas of cosmopolitan realpolitik. It is no panacea for all the world's problems and it by no means always works. In particular, whether a problem has a cosmopolitan solution, depends on the normative and institutional framework, in which decisions have to be taken.\u00a0Nevertheless, the basic message of cosmopolitan realpolitik is this: The future is open. It depends on decisions we make. The research we do and the conceptual frames we use make a difference.\n\n\n\nWe do not argue that a universal theory of modern society as such is impossible in principle. Rather, we criticize the hegemonic short-circuit from\u00a0one\u00a0society to society (in general). In the Second Modernity, social and political theory-building must go all the way through the \u2018plurality\u2019 of modernization paths, of Western and non-Western experiences and projects, their dependencies, interdependencies and interactions. In essence, this is what we call \u2018methodological cosmopolitanism'\n\nAt present, the politics of the \u2018world risk society\u2019 (Beck 1999, 2009) is an extraordinarily intricate terrain, composed, among other things, of co-ordinated national mechanisms, bilateral and multilateral agreements, inter-, trans- and supranational institutions, transnational corporations, private charity foundations, and civil society groups\n\nCan the World Bank solve the global problem of poverty? Can the Food and Agriculture Organisation of the United Nations (FAO) solve a global food crisis? Can the World Trade Organisation effectively regulate global trade? It seems as if these institutions do not constitute a sufficient basis for managing or controlling the global risks and crises created by the global\u00a0victoryof industrial capitalism. This is exactly what the transformative dynamics of the Second, Cosmopolitan Modernity is about!\n\nCosmopolitanism thus understood implies a specific approach to ensuring that one's own (individual or collective) interests are promoted and made to prevail. Cosmopolitan realism calls for neither the sacrifice of one's own interests, nor an exclusive bias towards higher ideas and ideals. On the contrary, it accepts that for the most part political action is interest-based. But it insists on an approach to the pursuit of one's own interests that is compatible with those of a larger community. Thus cosmopolitical realism basically means the recognition of the legitimate interests of others and their inclusion in the calculation of one's own interests. In this process, interests become \u2018reflexive national interests\u2019 through repeated joint strategies of self-limitation; more precisely, empowerment arises from self-limitation. Ideally, individual and collective goals, both national and global, can be achieved simultaneously. In reality, however, there are often limits and dilemmas of cosmopolitan realpolitik. It is no panacea for all the world's problems and it by no means always works. In particular, whether a problem has a cosmopolitan solution, depends on the normative and institutional framework, in which decisions have to be taken.11\u00a0Nevertheless, the basic message of cosmopolitan realpolitik is this: The future is open. It depends on decisions we make. The research we do and the conceptual frames we use make a difference. Links to metamodernism, the need to try for change, despite knowing it might not work!!\n\nHow can global risks be successfully dealt with under the conditions of multiple competing modernities with their different normative models, material interests and political power constellations? The key to answering this question is provided by the concept of\u00a0cosmopolitical realpolitik. In order to understand and develop this concept it has to be distinguished in particular from normative-philosophical\u00a0cosmopolitanism\u00a0on the one hand, and idealistic utopian cosmopolitanism (Held 2004;\u00a0Archibugi 2008) on the other. Cosmopolitical realpolitik does not appeal (at least not primarily) to shared ideas and identities, but to power and interests to be brought into play. If we adopt such a \u2018realist\u2019 perspective, the crucial question is how the hegemonic \u2018meta-power games\u2019 of global domestic politics (Weltinnenpolitik) can be shaped and interests pursued in such a way that they serve the realization of common cosmopolitan goals? In short (following Mandeville), how can private vices be transformed into public, cosmopolitan virtues?", "page" : "409-443", "title" : "Varieties of Second Modernity: the cosmopolitan turn in social and political theory and research", "type" : "article-journal", "volume" : "61" }, "uris" : [ "http://www.mendeley.com/documents/?uuid=43443676-9f35-42d2-8b18-d609b30cdb53" ] } ], "mendeley" : { "formattedCitation" : "Ulrich Beck and Edgar Grande, \u2018Varieties of Second Modernity: The Cosmopolitan Turn in Social and Political Theory and Research\u2019, &lt;i&gt;The British Journal of Sociology&lt;/i&gt;, 61 (2010), 409\u2013443 &lt;http://onlinelibrary.wiley.com/doi/10.1111/j.1468-4446.2010.01320.x/abstract&gt;.", "manualFormatting" : "Ulrich Beck and Edgar Grande, \u2018Varieties of Second Modernity: The Cosmopolitan Turn in Social and Political Theory and Research\u2019, The British Journal of Sociology, 61 (2010), 409\u2013443.", "plainTextFormattedCitation" : "Ulrich Beck and Edgar Grande, \u2018Varieties of Second Modernity: The Cosmopolitan Turn in Social and Political Theory and Research\u2019, The British Journal of Sociology, 61 (2010), 409\u2013443 .", "previouslyFormattedCitation" : "Ulrich Beck and Edgar Grande, \u2018Varieties of Second Modernity: The Cosmopolitan Turn in Social and Political Theory and Research\u2019, &lt;i&gt;The British Journal of Sociology&lt;/i&gt;, 61 (2010), 409\u2013443 &lt;http://onlinelibrary.wiley.com/doi/10.1111/j.1468-4446.2010.01320.x/abstract&gt;."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Ulrich Beck and Edgar Grande, ‘Varieties of Second Modernity: The Cosmopolitan Turn in Social and Political Theory and Research’, </w:t>
      </w:r>
      <w:r w:rsidRPr="00505CF0">
        <w:rPr>
          <w:rFonts w:asciiTheme="majorBidi" w:hAnsiTheme="majorBidi" w:cstheme="majorBidi"/>
          <w:i/>
          <w:noProof/>
        </w:rPr>
        <w:t>The British Journal of Sociology</w:t>
      </w:r>
      <w:r w:rsidRPr="00505CF0">
        <w:rPr>
          <w:rFonts w:asciiTheme="majorBidi" w:hAnsiTheme="majorBidi" w:cstheme="majorBidi"/>
          <w:noProof/>
        </w:rPr>
        <w:t>, 61 (2010), 409–443.</w:t>
      </w:r>
      <w:r w:rsidRPr="00505CF0">
        <w:rPr>
          <w:rFonts w:asciiTheme="majorBidi" w:hAnsiTheme="majorBidi" w:cstheme="majorBidi"/>
        </w:rPr>
        <w:fldChar w:fldCharType="end"/>
      </w:r>
    </w:p>
  </w:footnote>
  <w:footnote w:id="131">
    <w:p w14:paraId="0AB212EB" w14:textId="07D9714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"Grande", "given" : "Edgar", "non-dropping-particle" : "", "parse-names" : false, "suffix" : "" } ], "container-title" : "The British Journal of Sociology", "id" : "ITEM-1", "issue" : "3", "issued" : { "date-parts" : [ [ "2010" ] ] }, "note" : "When a world order collapses, that's the moment when reflection should begin. Surprisingly, this has not been the case with the type of social theory dominant today. The mainstream of social theory still floats loftily above the lowlands of epochal transformations (climate change, financial crisis, nation-states) in a condition of universalistic superiority and instinctive uncertainty. This universalistic social theory, whether structuralist, interactionist, Marxist or systems-theoretical, is now both out of date and provincial.\n\nIt has become commonplace that national institutions alone are unable to cope with the challenges of regulating global capitalism and responding to new global risks.\n\nCosmopolitanism thus understood implies a specific approach to ensuring that one's own (individual or collective) interests are promoted and made to prevail. Cosmopolitan realism calls for neither the sacrifice of one's own interests, nor an exclusive bias towards higher ideas and ideals. On the contrary, it accepts that for the most part political action is interest-based. But it insists on an approach to the pursuit of one's own interests that is compatible with those of a larger community. Thus cosmopolitical realism basically means the recognition of the legitimate interests of others and their inclusion in the calculation of one's own interests. In this process, interests become \u2018reflexive national interests\u2019 through repeated joint strategies of self-limitation; more precisely, empowerment arises from self-limitation. Ideally, individual and collective goals, both national and global, can be achieved simultaneously. In reality, however, there are often limits and dilemmas of cosmopolitan realpolitik. It is no panacea for all the world's problems and it by no means always works. In particular, whether a problem has a cosmopolitan solution, depends on the normative and institutional framework, in which decisions have to be taken.\u00a0Nevertheless, the basic message of cosmopolitan realpolitik is this: The future is open. It depends on decisions we make. The research we do and the conceptual frames we use make a difference.\n\n\n\nWe do not argue that a universal theory of modern society as such is impossible in principle. Rather, we criticize the hegemonic short-circuit from\u00a0one\u00a0society to society (in general). In the Second Modernity, social and political theory-building must go all the way through the \u2018plurality\u2019 of modernization paths, of Western and non-Western experiences and projects, their dependencies, interdependencies and interactions. In essence, this is what we call \u2018methodological cosmopolitanism'\n\nAt present, the politics of the \u2018world risk society\u2019 (Beck 1999, 2009) is an extraordinarily intricate terrain, composed, among other things, of co-ordinated national mechanisms, bilateral and multilateral agreements, inter-, trans- and supranational institutions, transnational corporations, private charity foundations, and civil society groups\n\nCan the World Bank solve the global problem of poverty? Can the Food and Agriculture Organisation of the United Nations (FAO) solve a global food crisis? Can the World Trade Organisation effectively regulate global trade? It seems as if these institutions do not constitute a sufficient basis for managing or controlling the global risks and crises created by the global\u00a0victoryof industrial capitalism. This is exactly what the transformative dynamics of the Second, Cosmopolitan Modernity is about!\n\nCosmopolitanism thus understood implies a specific approach to ensuring that one's own (individual or collective) interests are promoted and made to prevail. Cosmopolitan realism calls for neither the sacrifice of one's own interests, nor an exclusive bias towards higher ideas and ideals. On the contrary, it accepts that for the most part political action is interest-based. But it insists on an approach to the pursuit of one's own interests that is compatible with those of a larger community. Thus cosmopolitical realism basically means the recognition of the legitimate interests of others and their inclusion in the calculation of one's own interests. In this process, interests become \u2018reflexive national interests\u2019 through repeated joint strategies of self-limitation; more precisely, empowerment arises from self-limitation. Ideally, individual and collective goals, both national and global, can be achieved simultaneously. In reality, however, there are often limits and dilemmas of cosmopolitan realpolitik. It is no panacea for all the world's problems and it by no means always works. In particular, whether a problem has a cosmopolitan solution, depends on the normative and institutional framework, in which decisions have to be taken.11\u00a0Nevertheless, the basic message of cosmopolitan realpolitik is this: The future is open. It depends on decisions we make. The research we do and the conceptual frames we use make a difference. Links to metamodernism, the need to try for change, despite knowing it might not work!!\n\nHow can global risks be successfully dealt with under the conditions of multiple competing modernities with their different normative models, material interests and political power constellations? The key to answering this question is provided by the concept of\u00a0cosmopolitical realpolitik. In order to understand and develop this concept it has to be distinguished in particular from normative-philosophical\u00a0cosmopolitanism\u00a0on the one hand, and idealistic utopian cosmopolitanism (Held 2004;\u00a0Archibugi 2008) on the other. Cosmopolitical realpolitik does not appeal (at least not primarily) to shared ideas and identities, but to power and interests to be brought into play. If we adopt such a \u2018realist\u2019 perspective, the crucial question is how the hegemonic \u2018meta-power games\u2019 of global domestic politics (Weltinnenpolitik) can be shaped and interests pursued in such a way that they serve the realization of common cosmopolitan goals? In short (following Mandeville), how can private vices be transformed into public, cosmopolitan virtues?", "page" : "409-443", "title" : "Varieties of Second Modernity: the cosmopolitan turn in social and political theory and research", "type" : "article-journal", "volume" : "61" }, "uris" : [ "http://www.mendeley.com/documents/?uuid=43443676-9f35-42d2-8b18-d609b30cdb53" ] } ], "mendeley" : { "formattedCitation" : "Beck and Grande.", "plainTextFormattedCitation" : "Beck and Grande.", "previouslyFormattedCitation" : "Beck and Grande."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Beck and Grande.</w:t>
      </w:r>
      <w:r w:rsidRPr="00505CF0">
        <w:rPr>
          <w:rFonts w:asciiTheme="majorBidi" w:hAnsiTheme="majorBidi" w:cstheme="majorBidi"/>
        </w:rPr>
        <w:fldChar w:fldCharType="end"/>
      </w:r>
    </w:p>
  </w:footnote>
  <w:footnote w:id="132">
    <w:p w14:paraId="6C8C7C43"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Anand Giridharadas, ‘Millennials, Government and Mistrust’, The New York Times, 2014 &lt;https://www.nytimes.com/2014/07/22/us/millennials-government-and-mistrust.html?mcubz=3&gt; [accessed 29 September 2017]. &amp; </w:t>
      </w:r>
    </w:p>
    <w:p w14:paraId="64880DB3" w14:textId="77777777" w:rsidR="00054009" w:rsidRPr="00505CF0" w:rsidRDefault="00054009" w:rsidP="00C111D3">
      <w:pPr>
        <w:pStyle w:val="FootnoteText"/>
        <w:rPr>
          <w:rFonts w:asciiTheme="majorBidi" w:hAnsiTheme="majorBidi" w:cstheme="majorBidi"/>
        </w:rPr>
      </w:pPr>
      <w:r w:rsidRPr="00505CF0">
        <w:rPr>
          <w:rFonts w:asciiTheme="majorBidi" w:hAnsiTheme="majorBidi" w:cstheme="majorBidi"/>
        </w:rPr>
        <w:t xml:space="preserve">C.K, ‘Why America Has a Trust Problem’, The Economist, 2017 &lt;https://www.economist.com/blogs/democracyinamerica/2017/04/verify-then-trust&gt; [accessed 29 September 2017], respectively. </w:t>
      </w:r>
    </w:p>
  </w:footnote>
  <w:footnote w:id="133">
    <w:p w14:paraId="52827381"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elderly, the young, the homeless and soon-to-be-deported. </w:t>
      </w:r>
    </w:p>
  </w:footnote>
  <w:footnote w:id="134">
    <w:p w14:paraId="7195EFC8" w14:textId="77777777" w:rsidR="00054009" w:rsidRPr="00505CF0" w:rsidRDefault="00054009" w:rsidP="00C111D3">
      <w:pPr>
        <w:pStyle w:val="FootnoteText"/>
        <w:rPr>
          <w:rFonts w:asciiTheme="majorBidi" w:hAnsiTheme="majorBidi" w:cstheme="majorBidi"/>
          <w:i/>
          <w:iCs/>
        </w:rPr>
      </w:pPr>
      <w:r w:rsidRPr="00505CF0">
        <w:rPr>
          <w:rStyle w:val="FootnoteReference"/>
          <w:rFonts w:asciiTheme="majorBidi" w:hAnsiTheme="majorBidi" w:cstheme="majorBidi"/>
        </w:rPr>
        <w:footnoteRef/>
      </w:r>
      <w:r w:rsidRPr="00505CF0">
        <w:rPr>
          <w:rFonts w:asciiTheme="majorBidi" w:hAnsiTheme="majorBidi" w:cstheme="majorBidi"/>
        </w:rPr>
        <w:t xml:space="preserve"> See: Captain America directing the police of New York during the alien invasion sequence of </w:t>
      </w:r>
      <w:r w:rsidRPr="00505CF0">
        <w:rPr>
          <w:rFonts w:asciiTheme="majorBidi" w:hAnsiTheme="majorBidi" w:cstheme="majorBidi"/>
          <w:i/>
          <w:iCs/>
        </w:rPr>
        <w:t xml:space="preserve">The Avengers </w:t>
      </w:r>
      <w:r w:rsidRPr="00505CF0">
        <w:rPr>
          <w:rFonts w:asciiTheme="majorBidi" w:hAnsiTheme="majorBidi" w:cstheme="majorBidi"/>
        </w:rPr>
        <w:t>(2012).</w:t>
      </w:r>
    </w:p>
  </w:footnote>
  <w:footnote w:id="135">
    <w:p w14:paraId="201CB648" w14:textId="43269BD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"https://www.opendemocracy.net/globalization-vision_reflections/modernity_3082.jsp", "accessed" : { "date-parts" : [ [ "2017", "8", "15" ] ] }, "author" : [ { "dropping-particle" : "", "family" : "Bauman", "given" : "Zygmunt", "non-dropping-particle" : "", "parse-names" : false, "suffix" : "" }, { "dropping-particle" : "", "family" : "Galecki", "given" : "Lukasz", "non-dropping-particle" : "", "parse-names" : false, "suffix" : "" } ], "container-title" : "openDemocracy", "id" : "ITEM-1", "issued" : { "date-parts" : [ [ "2005" ] ] }, "note" : "ZB: 'The main trouble is that the globalisation we are dealing with today is strictly negative. It is based on the breaking down of barriers, allowing for the globalisation of capital, the movement of goods, information, crime, and terrorism, but not of the political and judicial institutions whose basis is national sovereignty.\n\nZB: 'In today's world the possibilites for collective action run far behind what is required, although almost everyone agrees that at least something must be done.\n\nZB: 'the events of 11 septembet 2001 and the attacks in Madrid (march 2004) and London (July 2005) have made clear that the traditional means of seciting and maintaing respect for law and order, crudely stated, are worthless. It surprised us - all of us. \n\nZB: 'This is so different from the picture of the future world designed at the beginning of the modern era. Enlightemnent philsophers dreamed of a orderly world, obedient to human will: mild and hospitable. And humans would not be forced to rely on the wisdom of divine creation, but were to realise these dreams on their own. \n\nZB: 'The very project of modernity is born out of the desire for a world without suprises, a safe world, a world without fear.", "title" : "The Unwinnable War: an interview with Zygmunt Bauman", "type" : "webpage" }, "uris" : [ "http://www.mendeley.com/documents/?uuid=a41af416-ac22-48e0-b283-e45e877846ac" ] } ], "mendeley" : { "formattedCitation" : "Bauman and Galecki.", "plainTextFormattedCitation" : "Bauman and Galecki.", "previouslyFormattedCitation" : "Bauman and Galecki."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Bauman and Galecki.</w:t>
      </w:r>
      <w:r w:rsidRPr="00505CF0">
        <w:rPr>
          <w:rFonts w:asciiTheme="majorBidi" w:hAnsiTheme="majorBidi" w:cstheme="majorBidi"/>
        </w:rPr>
        <w:fldChar w:fldCharType="end"/>
      </w:r>
    </w:p>
  </w:footnote>
  <w:footnote w:id="136">
    <w:p w14:paraId="0889ADEB" w14:textId="36CED38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137">
    <w:p w14:paraId="24E1C7F8" w14:textId="783E052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"52", "uris" : [ "http://www.mendeley.com/documents/?uuid=e701ae9c-d978-41c3-b76c-fca08064d446" ] } ], "mendeley" : { "formattedCitation" : "Kirby, &lt;i&gt;Digimodernism&lt;/i&gt;, p. 52.", "plainTextFormattedCitation" : "Kirby, Digimodernism, p. 52.", "previouslyFormattedCitation" : "Kirby, &lt;i&gt;Digimodernism&lt;/i&gt;, p. 52."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52.</w:t>
      </w:r>
      <w:r w:rsidRPr="00505CF0">
        <w:rPr>
          <w:rFonts w:asciiTheme="majorBidi" w:hAnsiTheme="majorBidi" w:cstheme="majorBidi"/>
        </w:rPr>
        <w:fldChar w:fldCharType="end"/>
      </w:r>
    </w:p>
  </w:footnote>
  <w:footnote w:id="138">
    <w:p w14:paraId="04C14665" w14:textId="1402164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r w:rsidRPr="00505CF0">
        <w:rPr>
          <w:rFonts w:asciiTheme="majorBidi" w:hAnsiTheme="majorBidi" w:cstheme="majorBidi"/>
        </w:rPr>
        <w:t xml:space="preserve"> A contestable phrase. Almost nothing of cultural value devalues all previous attempts by artists attempting to break free of the yoke of the postmodern. New ideas continue to be generated, technology does continue to advance for the better – see recent advancements in CAR T-cell therapy, described as ‘the first treatment to truly turn the tables on recurrent pediatric</w:t>
      </w:r>
      <w:r>
        <w:rPr>
          <w:rFonts w:asciiTheme="majorBidi" w:hAnsiTheme="majorBidi" w:cstheme="majorBidi"/>
        </w:rPr>
        <w:t xml:space="preserve"> </w:t>
      </w:r>
      <w:r w:rsidRPr="00505CF0">
        <w:rPr>
          <w:rFonts w:asciiTheme="majorBidi" w:hAnsiTheme="majorBidi" w:cstheme="majorBidi"/>
        </w:rPr>
        <w:t xml:space="preserve">acute lymphoblastic leukemia, one of the most common cancers in children.’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"Heymach", "given" : "John", "non-dropping-particle" : "", "parse-names" : false, "suffix" : "" }, { "dropping-particle" : "", "family" : "Krilov", "given" : "Lada", "non-dropping-particle" : "", "parse-names" : false, "suffix" : "" } ], "container-title" : "Journal of Clinical Oncology", "id" : "ITEM-1", "issued" : { "date-parts" : [ [ "2017" ] ] }, "title" : "Clinical Cancer Advances 2018: Annual Report on Progress Against Cancer", "type" : "report" }, "uris" : [ "http://www.mendeley.com/documents/?uuid=a27ba30a-f363-4d3e-a65c-8fd9ea6799a0" ] } ], "mendeley" : { "formattedCitation" : "John Heymach and Lada Krilov, &lt;i&gt;Clinical Cancer Advances 2018: Annual Report on Progress Against Cancer&lt;/i&gt;, &lt;i&gt;Journal of Clinical Oncology&lt;/i&gt;, 2017 &lt;https://www.asco.org/research-progress/reports-studies/clinical-cancer-advances-2018&gt;.", "plainTextFormattedCitation" : "John Heymach and Lada Krilov, Clinical Cancer Advances 2018: Annual Report on Progress Against Cancer, Journal of Clinical Oncology, 2017 .", "previouslyFormattedCitation" : "John Heymach and Lada Krilov, &lt;i&gt;Clinical Cancer Advances 2018: Annual Report on Progress Against Cancer&lt;/i&gt;, &lt;i&gt;Journal of Clinical Oncology&lt;/i&gt;, 2017 &lt;https://www.asco.org/research-progress/reports-studies/clinical-cancer-advances-2018&gt;."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John Heymach and Lada Krilov, </w:t>
      </w:r>
      <w:r w:rsidRPr="0025171E">
        <w:rPr>
          <w:rFonts w:asciiTheme="majorBidi" w:hAnsiTheme="majorBidi" w:cstheme="majorBidi"/>
          <w:i/>
          <w:noProof/>
        </w:rPr>
        <w:t>Clinical Cancer Advances 2018: Annual Report on Progress Against Cancer</w:t>
      </w:r>
      <w:r w:rsidRPr="0025171E">
        <w:rPr>
          <w:rFonts w:asciiTheme="majorBidi" w:hAnsiTheme="majorBidi" w:cstheme="majorBidi"/>
          <w:noProof/>
        </w:rPr>
        <w:t xml:space="preserve">, </w:t>
      </w:r>
      <w:r w:rsidRPr="0025171E">
        <w:rPr>
          <w:rFonts w:asciiTheme="majorBidi" w:hAnsiTheme="majorBidi" w:cstheme="majorBidi"/>
          <w:i/>
          <w:noProof/>
        </w:rPr>
        <w:t>Journal of Clinical Oncology</w:t>
      </w:r>
      <w:r w:rsidRPr="0025171E">
        <w:rPr>
          <w:rFonts w:asciiTheme="majorBidi" w:hAnsiTheme="majorBidi" w:cstheme="majorBidi"/>
          <w:noProof/>
        </w:rPr>
        <w:t>, 2017 &lt;https://www.asco.org/research-progress/reports-studies/clinical-cancer-advances-2018&gt;.</w:t>
      </w:r>
      <w:r w:rsidRPr="00505CF0">
        <w:rPr>
          <w:rFonts w:asciiTheme="majorBidi" w:hAnsiTheme="majorBidi" w:cstheme="majorBidi"/>
        </w:rPr>
        <w:fldChar w:fldCharType="end"/>
      </w:r>
    </w:p>
  </w:footnote>
  <w:footnote w:id="139">
    <w:p w14:paraId="05B6473E" w14:textId="4BCBAB4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"Charles", "given" : "Sebastien", "non-dropping-particle" : "", "parse-names" : false, "suffix" : "" } ], "container-title" : "Axiomathes", "id" : "ITEM-1", "issue" : "19", "issued" : { "date-parts" : [ [ "2009" ] ] }, "note" : "In reality, not only have we not left modernity, but it actualizes itself more and more as ancient defences against its spread stop working, or even exisitng - out of which condistions arises the bafflegab &amp;quot;Hypermodernity&amp;quot;. p.392\n\nHypermodernity is then distinguished primarily by this dynamic of excess: we feel that modernity is rather more in excess than at fault. p.392\n\nHypermodernity thus amounts to a\u00a0radical\u00a0modernity characterized by the exacerbation and intensification of that modern logic by which human rights and democracy have been made into mandatory values, by the market having become a global economic reference system reaching the remotest places on the planet and invading every sphere of our existence, and by science as an only partly controllable instrument that now throws even the notion of humanity itself into question by opening the possibility of human cloning. Modernity was supposed to bring a happy ending to its own excesses, a glorious future in which humanity would achieve peace with itself, the disappearance of exploitation and inequality, and international cooperation and universal harmony. Hypermodernity, inversely, hands us a modernity bereft of any such element of transcendence and unable to justify or mitigate its own workings. p.392\n\nNot only has the hypermodernist regime set in, but there seems to be no global alternative. One might lament certain trends in democratic populism, the mounting clamour of individualist demands, the pernicious effects of capitalist logic, or the dangers of the techno-scientific model, but their replacement by something else hardly seems likely, and their being better regulated seems all that remains to be aspired to. What characterizes hypermodernity is this very lack of a coherent alternative. p.393\n\nHypermodernity\u2019s taking the form of excess is surely then why\u00a0instability\u00a0is the term that best describes hypermodern societies, societies which value permanence and stability least of all, instead preferring competition, flexibility, mobility, and adaptability\u2014all characteristics of what Zygmunt Bauman hails as\u00a0liquid modernity. p.393\n\nTo finish the point, the ongoing disintegration of tradition amid hypermodernism is no longer pursued as a project of emancipation, but rather as a kind of shrivelling. It is fear that rules as we face an uncertain future, a globalist logic indifferent to individuals, an exacerbated liberalism of competition, the deepening of inequalities, a hectic engineering of information technologies, and a volatilization of labour with stagnant and worryingly high levels of unemployment in the wake of spiralling financial crises that seem as though never to end. p.394-5\n\nHypermodern society is thus a complex and paradoxical one, continuing to stimulate pleasures even while generating pathological and anxious behaviours. Its paradox is due to the fact that heightened levels of leisure and entertainment are accompanied by an ever-greater difficulty of living, and that material wealth knows a concomitant poverty. p.395\n\nIn the age of hypermodernism, the deliverance of each individual over to his own freedom is also his submission to paradoxical demands for hedonism while also for liability, the consequence of which is a kind of schizophrenic society caught between a culture of excess and the praise of moderation. p.395", "page" : "389-400", "title" : "For a Humanism Amid Hypermodernity: From a Soceity of Knowledge to a Critical Knowledge of Society", "type" : "article-journal" }, "locator" : "393", "uris" : [ "http://www.mendeley.com/documents/?uuid=32b762a8-e009-4994-b9f0-0a1b75d6403b" ] } ], "mendeley" : { "formattedCitation" : "Charles, p. 393.", "plainTextFormattedCitation" : "Charles, p. 393.", "previouslyFormattedCitation" : "Charles, p. 393."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Charles, p. 393.</w:t>
      </w:r>
      <w:r w:rsidRPr="00505CF0">
        <w:rPr>
          <w:rFonts w:asciiTheme="majorBidi" w:hAnsiTheme="majorBidi" w:cstheme="majorBidi"/>
        </w:rPr>
        <w:fldChar w:fldCharType="end"/>
      </w:r>
    </w:p>
  </w:footnote>
  <w:footnote w:id="140">
    <w:p w14:paraId="3CD7D1FE" w14:textId="15C1AF4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"Bauman", "given" : "Zygmunt", "non-dropping-particle" : "", "parse-names" : false, "suffix" : "" } ], "edition" : "2", "id" : "ITEM-1", "issued" : { "date-parts" : [ [ "2012" ] ] }, "publisher" : "Polity Press", "publisher-place" : "Malden", "title" : "Liquid Modernity", "type" : "book" }, "locator" : "iix-ix", "uris" : [ "http://www.mendeley.com/documents/?uuid=fe5f44bb-6964-488a-9ea2-a0ea7330564e" ] } ], "mendeley" : { "formattedCitation" : "Zygmunt Bauman, &lt;i&gt;Liquid Modernity&lt;/i&gt;, 2nd edn (Malden: Polity Press, 2012), pp. iix\u2013ix.", "plainTextFormattedCitation" : "Zygmunt Bauman, Liquid Modernity, 2nd edn (Malden: Polity Press, 2012), pp. iix\u2013ix.", "previouslyFormattedCitation" : "Zygmunt Bauman, &lt;i&gt;Liquid Modernity&lt;/i&gt;, 2nd edn (Malden: Polity Press, 2012), pp. iix\u2013ix."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Zygmunt Bauman, </w:t>
      </w:r>
      <w:r w:rsidRPr="00505CF0">
        <w:rPr>
          <w:rFonts w:asciiTheme="majorBidi" w:hAnsiTheme="majorBidi" w:cstheme="majorBidi"/>
          <w:i/>
          <w:noProof/>
        </w:rPr>
        <w:t>Liquid Modernity</w:t>
      </w:r>
      <w:r w:rsidRPr="00505CF0">
        <w:rPr>
          <w:rFonts w:asciiTheme="majorBidi" w:hAnsiTheme="majorBidi" w:cstheme="majorBidi"/>
          <w:noProof/>
        </w:rPr>
        <w:t>, 2nd edn (Malden: Polity Press, 2012), pp. iix–ix.</w:t>
      </w:r>
      <w:r w:rsidRPr="00505CF0">
        <w:rPr>
          <w:rFonts w:asciiTheme="majorBidi" w:hAnsiTheme="majorBidi" w:cstheme="majorBidi"/>
        </w:rPr>
        <w:fldChar w:fldCharType="end"/>
      </w:r>
    </w:p>
  </w:footnote>
  <w:footnote w:id="141">
    <w:p w14:paraId="3E9FC727" w14:textId="51396CD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"www.culturewars.org.uk/2004-02/identity.htm", "accessed" : { "date-parts" : [ [ "2017", "8", "15" ] ] }, "author" : [ { "dropping-particle" : "", "family" : "Cummings", "given" : "Dolan", "non-dropping-particle" : "", "parse-names" : false, "suffix" : "" } ], "container-title" : "Culture Wars", "id" : "ITEM-1", "issued" : { "date-parts" : [ [ "2004" ] ] }, "note" : "Buman's thesis [...] is that we have moved from a solid to a fluid phase of modernity, in which nothing keeps it shape and social forms are constantly changing at great speed, radically transforming the experience of being human. \n\nThe idea of liquid modernity could be seen as Bauman's attempt to resolve the tension that exists in much social theory between explaining social phenomena as aspects of modernity, and accounting for their appearance only recently. \n\nLiquid modernity seems perhaps to be the late realisation of a tendency that has characterised modernity from the start. What remains at issue is whether the 'solid' institutions of prior modernity were merely the residue of tradition, or pointed towards a more enduring potential of modernity itself. \n\nIndeed, Bauman points to a more profound transformation of how we undertsand what it means to be human in the absence of transcendent ideologies (Traditional or otherwise) such as have characterized modernity until recrently.\n\nthe liquidity of which Bauman writers is nowehre more evident than in his own writing.\n\nWhat Bauman means is not simply that the object of one's affections is vulnerable, and therefore a liability, but that in modernity the object of one's affections is also a subject. Loving a subject means 'making oneself dependent on another person endowed with a similar freedom to choose and the will to follow that choice - and so a person full of surprises, unpredictable.'\n\nArguably, this is the first time we have been able to make such risky commitments autonomously, not to be defined by others, but to choose to define ourselves through others - and not just in personal relationships.\n\nBauman mentions in passing another French philosopher Paul Ricoeur's terms,\u00a0la m\u00eamete(sameness) to describe consistency of self over time, and\u00a0l'ipseite\u00a0(selfness) to describe what distinguishes us from others. His contention is that both categories are increasingly problematic in 'liquid modernity'. Certainly, these are less 'given' than in the past. There is no overbearing social script dictating how we should live our lives, and placing individual biographies in the context of a greater whole. Tradition is a collection of disenchanted stories with little grip on our lives.\n\n\nModernity, or 'solid modernity' can be understood as one more such disenchanted story, but this to miss what is unique about it; that it requires not enchantment but active commitment. The modern ideal of rational self-determining subjects is indeed a script of sorts, but one which allows, indeed requires, people to take authorship. This implies a subjective commitment to particular goals and even institutions that embody those goals. What Bauman calls liquid modernity is a consequence of the failure of the 'grand narratives' of modernity, most obviously nationalism and socialism.\n\nAt a time when it is difficult to sustain a coherent identity over time, it is reassuring to be told that it doesn't matter. Instead of lamenting the absence of stories through which to make sense of our lives, we should celebrate our liberation from narrative (not to mention metanarrative) and get on with our lives-es.\u00a0\n\nThe peculiar 'liquidity' of our times may be less the consequence of structural change than intellectual exhaustion, the failure of the great ideologies of the twentieth century to bring about change on a scale that really would transform what it means to be human. Bauman rightly warns against attempts to seek refuge in the identities of the past, but in his lament at the passing of lasting values, he perhaps underestimates the possibilities for self-assured human beings unencumbered by the past, and brave enough to face the future.", "title" : "The Trouble with Being Human These Days: Identity by Zygmunt Bauman", "type" : "webpage" }, "uris" : [ "http://www.mendeley.com/documents/?uuid=b9133e1f-e33b-451f-b0eb-cf7e4fca2901" ] } ], "mendeley" : { "formattedCitation" : "Cummings.", "plainTextFormattedCitation" : "Cummings.", "previouslyFormattedCitation" : "Cummings."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Cummings.</w:t>
      </w:r>
      <w:r w:rsidRPr="00505CF0">
        <w:rPr>
          <w:rFonts w:asciiTheme="majorBidi" w:hAnsiTheme="majorBidi" w:cstheme="majorBidi"/>
        </w:rPr>
        <w:fldChar w:fldCharType="end"/>
      </w:r>
    </w:p>
  </w:footnote>
  <w:footnote w:id="142">
    <w:p w14:paraId="12A800C2" w14:textId="29C66508" w:rsidR="00054009" w:rsidRPr="00505CF0"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w:instrText>
      </w:r>
      <w:r w:rsidRPr="00FE7EAF">
        <w:rPr>
          <w:rFonts w:asciiTheme="majorBidi" w:hAnsiTheme="majorBidi" w:cstheme="majorBidi"/>
          <w:lang w:val="sv-SE"/>
        </w:rPr>
        <w:instrText>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"160", "uris" : [ "http://www.mendeley.com/documents/?uuid=375b0b4a-bfad-4d0a-a1e7-1338c698bdca" ] } ], "mendeley" : { "formattedCitation" : "Lipovetsky, p. 160.", "plainTextFormattedCitation" : "Lipovetsky, p. 160.", "previouslyFormattedCitation" : "Lipovetsky, p. 160."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Lipovetsky, p. 160.</w:t>
      </w:r>
      <w:r w:rsidRPr="00505CF0">
        <w:rPr>
          <w:rFonts w:asciiTheme="majorBidi" w:hAnsiTheme="majorBidi" w:cstheme="majorBidi"/>
        </w:rPr>
        <w:fldChar w:fldCharType="end"/>
      </w:r>
    </w:p>
  </w:footnote>
  <w:footnote w:id="143">
    <w:p w14:paraId="5231C0EE" w14:textId="2FBD56C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lang w:val="sv-SE"/>
        </w:rPr>
        <w:t xml:space="preserve"> </w:t>
      </w:r>
      <w:r w:rsidRPr="00505CF0">
        <w:rPr>
          <w:rFonts w:asciiTheme="majorBidi" w:hAnsiTheme="majorBidi" w:cstheme="majorBidi"/>
        </w:rPr>
        <w:fldChar w:fldCharType="begin" w:fldLock="1"/>
      </w:r>
      <w:r>
        <w:rPr>
          <w:rFonts w:asciiTheme="majorBidi" w:hAnsiTheme="majorBidi" w:cstheme="majorBidi"/>
          <w:lang w:val="sv-SE"/>
        </w:rPr>
        <w:instrText>ADDIN CSL_CITATION { "citationItems" : [ { "id" : "ITEM-1", "itemData" : { "author" : [ { "dropping-particle" : "", "family" : "Baya", "given" : "Adina", "non-dropping-particle" : "", "parse-names" : false, "suffix" : "" } ], "container-title" : "Procedia- Social and Behavioral Sciences", "id" : "ITEM-1", "issued" : { "date-parts" : [ [ "2013" ] ] }, "note" : "However, what we are witnessing today in the field transcends the initial postmodern diagnosis and requires new perspectives upon understanding audiences. p.157\n\nThe features that characterize &amp;quot;automodern&amp;quot; public discourse, in Samuels' view, include self-contradiction and a reversal of previously proclaimed ideas, nihilism, a backlash against the public realm and progressive movements, and the use of automation to affirm acts of self-centredness. p.158\n\nNew media holds a major role in the &amp;quot;automodern&amp;quot; backlash against the government and public officials by generally hunting their private lives and iming to situate them in humiliating positions, thinsk Samuels. the new automated technologies provide their users with an increased sense of individual control and power over the public sphere and over what they consume. p.158\n\n[Automodernity implies] an apparently contradictory mixture between an amplified level of automation and an increased sense of autonomy, traces several contemporary trends that can be registered in the audiences' relation wth the media and, hence, facilitate a better portrayal of an up-to-date audience profile. p.158", "page" : "154-159", "title" : "Post-postmodernism: Automodernity and its relevance to understanding contemporary media audiences", "type" : "article-journal", "volume" : "71" }, "locator" : "158", "uris" : [ "http://www.mendeley.com/documents/?uuid=ef90e5ac-2ffd-4274-9cde-8c550e67814e" ] } ], "mendeley" : { "formattedCitation" : "Baya, p. 158.", "plainTextFormattedCitation" : "Baya, p. 158.", "previouslyFormattedCitation" : "Baya, p. 158."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Baya, p. 158.</w:t>
      </w:r>
      <w:r w:rsidRPr="00505CF0">
        <w:rPr>
          <w:rFonts w:asciiTheme="majorBidi" w:hAnsiTheme="majorBidi" w:cstheme="majorBidi"/>
        </w:rPr>
        <w:fldChar w:fldCharType="end"/>
      </w:r>
      <w:r w:rsidRPr="00505CF0">
        <w:rPr>
          <w:rFonts w:asciiTheme="majorBidi" w:hAnsiTheme="majorBidi" w:cstheme="majorBidi"/>
          <w:lang w:val="sv-SE"/>
        </w:rPr>
        <w:t xml:space="preserve"> </w:t>
      </w:r>
      <w:r w:rsidRPr="00FE7EAF">
        <w:rPr>
          <w:rFonts w:asciiTheme="majorBidi" w:hAnsiTheme="majorBidi" w:cstheme="majorBidi"/>
          <w:lang w:val="sv-SE"/>
        </w:rPr>
        <w:t>Note: Not necessarily a change for the positive here, but a reaction to globalisation and standardization  that have come to oppress,</w:t>
      </w:r>
      <w:r w:rsidRPr="00FE7EAF">
        <w:rPr>
          <w:rFonts w:asciiTheme="majorBidi" w:hAnsiTheme="majorBidi" w:cstheme="majorBidi"/>
          <w:i/>
          <w:iCs/>
          <w:lang w:val="sv-SE"/>
        </w:rPr>
        <w:t xml:space="preserve"> (ACO: as will be discussed in the chapters to come.)</w:t>
      </w:r>
      <w:r w:rsidRPr="00FE7EAF">
        <w:rPr>
          <w:rFonts w:asciiTheme="majorBidi" w:hAnsiTheme="majorBidi" w:cstheme="majorBidi"/>
          <w:lang w:val="sv-SE"/>
        </w:rPr>
        <w:t xml:space="preserve"> </w:t>
      </w:r>
      <w:r w:rsidRPr="00505CF0">
        <w:rPr>
          <w:rFonts w:asciiTheme="majorBidi" w:hAnsiTheme="majorBidi" w:cstheme="majorBidi"/>
        </w:rPr>
        <w:t xml:space="preserve">Automodernity also, rather depressingly, describes the contemporary backlash against minority rights (p. 67), and while we can increasingly see such a backlash in </w:t>
      </w:r>
      <w:r>
        <w:rPr>
          <w:rFonts w:asciiTheme="majorBidi" w:hAnsiTheme="majorBidi" w:cstheme="majorBidi"/>
        </w:rPr>
        <w:t xml:space="preserve">reports of </w:t>
      </w:r>
      <w:r w:rsidRPr="00505CF0">
        <w:rPr>
          <w:rFonts w:asciiTheme="majorBidi" w:hAnsiTheme="majorBidi" w:cstheme="majorBidi"/>
        </w:rPr>
        <w:t xml:space="preserve">Trump’s America, one would hope that such rampant racism does </w:t>
      </w:r>
      <w:r w:rsidRPr="00505CF0">
        <w:rPr>
          <w:rFonts w:asciiTheme="majorBidi" w:hAnsiTheme="majorBidi" w:cstheme="majorBidi"/>
          <w:i/>
          <w:iCs/>
        </w:rPr>
        <w:t xml:space="preserve">not </w:t>
      </w:r>
      <w:r w:rsidRPr="00505CF0">
        <w:rPr>
          <w:rFonts w:asciiTheme="majorBidi" w:hAnsiTheme="majorBidi" w:cstheme="majorBidi"/>
        </w:rPr>
        <w:t xml:space="preserve">come to define the next epoch.  </w:t>
      </w:r>
    </w:p>
  </w:footnote>
  <w:footnote w:id="144">
    <w:p w14:paraId="59C35BFA" w14:textId="1C146DC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"https://www.theguardian.com/artanddesign/2009/feb/08/altermodern-tate-britain-triennial-2009", "accessed" : { "date-parts" : [ [ "2017", "8", "15" ] ] }, "author" : [ { "dropping-particle" : "", "family" : "Cumming", "given" : "Laura", "non-dropping-particle" : "", "parse-names" : false, "suffix" : "" } ], "container-title" : "The Guardian", "id" : "ITEM-1", "issued" : { "date-parts" : [ [ "2009" ] ] }, "note" : "And he [Bourriaud] came up with practically the only substantial theory of art in recent years - relational aesthetics, in which art is what you might call user-friendly. \n\nAltermodernism, if I understand it, is international art that never quite touches down but keeps on moving through places and ideas, made up by artists connected across the globe rather than grouped around any central hub such as New York or London.\n\nWhat [Altermodernism] is not, I don't think, is anything as grand, or significant, as a movement. \n\nAstute and satirical ideas in the catalogue, alas, translate into nothing more than pastiche decor juxtaposed in the gallery.// In Fact, the more one considers the art as opposed to the ideas, the worse this show seems.\n\nAltermodernism does not work as an idea so much as a web of observations, a web with a weaver at its centre. The real hyperlink here is not the art, but Bourriaud himself.", "title" : "The World as a Waste of Space", "type" : "webpage" }, "uris" : [ "http://www.mendeley.com/documents/?uuid=5a9d5fb7-7abf-4a32-ac4c-f24be20c0298" ] } ], "mendeley" : { "formattedCitation" : "Laura Cumming, \u2018The World as a Waste of Space\u2019, &lt;i&gt;The Guardian&lt;/i&gt;, 2009 &lt;https://www.theguardian.com/artanddesign/2009/feb/08/altermodern-tate-britain-triennial-2009&gt; [accessed 15 August 2017].", "plainTextFormattedCitation" : "Laura Cumming, \u2018The World as a Waste of Space\u2019, The Guardian, 2009  [accessed 15 August 2017].", "previouslyFormattedCitation" : "Laura Cumming, \u2018The World as a Waste of Space\u2019, &lt;i&gt;The Guardian&lt;/i&gt;, 2009 &lt;https://www.theguardian.com/artanddesign/2009/feb/08/altermodern-tate-britain-triennial-2009&gt;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Laura Cumming, ‘The World as a Waste of Space’, </w:t>
      </w:r>
      <w:r w:rsidRPr="0025171E">
        <w:rPr>
          <w:rFonts w:asciiTheme="majorBidi" w:hAnsiTheme="majorBidi" w:cstheme="majorBidi"/>
          <w:i/>
          <w:noProof/>
        </w:rPr>
        <w:t>The Guardian</w:t>
      </w:r>
      <w:r w:rsidRPr="0025171E">
        <w:rPr>
          <w:rFonts w:asciiTheme="majorBidi" w:hAnsiTheme="majorBidi" w:cstheme="majorBidi"/>
          <w:noProof/>
        </w:rPr>
        <w:t>, 2009 &lt;https://www.theguardian.com/artanddesign/2009/feb/08/altermodern-tate-britain-triennial-2009&gt; [accessed 15 August 2017].</w:t>
      </w:r>
      <w:r w:rsidRPr="00505CF0">
        <w:rPr>
          <w:rFonts w:asciiTheme="majorBidi" w:hAnsiTheme="majorBidi" w:cstheme="majorBidi"/>
        </w:rPr>
        <w:fldChar w:fldCharType="end"/>
      </w:r>
    </w:p>
  </w:footnote>
  <w:footnote w:id="145">
    <w:p w14:paraId="69BCE002" w14:textId="4584E72F" w:rsidR="00054009" w:rsidRPr="009C7513" w:rsidRDefault="00054009" w:rsidP="009C7513">
      <w:pPr>
        <w:pStyle w:val="FootnoteText"/>
        <w:rPr>
          <w:i/>
          <w:iCs/>
        </w:rPr>
      </w:pPr>
      <w:r>
        <w:rPr>
          <w:rStyle w:val="FootnoteReference"/>
        </w:rPr>
        <w:footnoteRef/>
      </w:r>
      <w:r>
        <w:t xml:space="preserve"> </w:t>
      </w:r>
      <w:r>
        <w:rPr>
          <w:i/>
          <w:iCs/>
        </w:rPr>
        <w:t>ACO: Archaic categories now – the ‘U.S’ was the United States of America, now the Western Dandom, while the U.K (United Kingdom) is Pax Dandom as we know it today. Interesting that all it took to unite these separate, yet somehow ‘united’ governments was terror. Dylan Juthapsa makes just such an argument in North West East, Never Southward, a text which I’m sure the reader will be familiar. See also Juthapsa’s How Series (How I learned to Love Southward, How Southward Made Me Mate Me,and the critically acclaimed pseudo-historiographic novel  Howe yonder Southward Wynds Blew Stronge Iynto Mine Heart.)</w:t>
      </w:r>
    </w:p>
  </w:footnote>
  <w:footnote w:id="146">
    <w:p w14:paraId="36AC66C7"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 refer to the United Kingdom referendum of the 23</w:t>
      </w:r>
      <w:r w:rsidRPr="00505CF0">
        <w:rPr>
          <w:rFonts w:asciiTheme="majorBidi" w:hAnsiTheme="majorBidi" w:cstheme="majorBidi"/>
          <w:vertAlign w:val="superscript"/>
        </w:rPr>
        <w:t>rd</w:t>
      </w:r>
      <w:r w:rsidRPr="00505CF0">
        <w:rPr>
          <w:rFonts w:asciiTheme="majorBidi" w:hAnsiTheme="majorBidi" w:cstheme="majorBidi"/>
        </w:rPr>
        <w:t xml:space="preserve"> of June 2016, the United Kingdom General Election of June 8</w:t>
      </w:r>
      <w:r w:rsidRPr="00505CF0">
        <w:rPr>
          <w:rFonts w:asciiTheme="majorBidi" w:hAnsiTheme="majorBidi" w:cstheme="majorBidi"/>
          <w:vertAlign w:val="superscript"/>
        </w:rPr>
        <w:t>th</w:t>
      </w:r>
      <w:r w:rsidRPr="00505CF0">
        <w:rPr>
          <w:rFonts w:asciiTheme="majorBidi" w:hAnsiTheme="majorBidi" w:cstheme="majorBidi"/>
        </w:rPr>
        <w:t xml:space="preserve"> 2017, and the U.S Presidential Election 2016. </w:t>
      </w:r>
    </w:p>
  </w:footnote>
  <w:footnote w:id="147">
    <w:p w14:paraId="0EEFBBC9" w14:textId="5D15D8A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"Smythe", "given" : "Luke", "non-dropping-particle" : "", "parse-names" : false, "suffix" : "" } ], "container-title" : "Modernism/Modernity", "id" : "ITEM-1", "issue" : "2", "issued" : { "date-parts" : [ [ "2015" ] ] }, "note" : "In the wake of postmodernism has come a widespread interest in the art world in revisiting the fate of modernism in the visual arts, a trend that has resulted in two main appraisals of the movement's current fortunes. The first stems from authors who argue for its present-day persistence and the sceond from those who lodge a claim for its revival. p.365\n\nIf [the] neomodern theories share a common focus, then they also share a common failing, namely a tendency to say too little about the movement that sustains them. p.365\n\nThat modernism, like modernity, has long been wed to innovation is true enough. p.366\n\nWhat follows is an effort to confront this challenge, one that takes the passing of postmodernism as an invitation to rethink the histories of both modernism and modernity alike from the ground up, tracing their main lines of development and intertwined fortunes from the late-eighteenth century to the present day, p.366\n\nUshered into being by the interlaces energies of scientific, economic and social revolution during the late-eighteenth century, which helped to precipitate a final turn away from the cultural and social models of the ancients, I understand modern life as a social order orientated towards future-directed goals of mounting prosperity and growing control of nature [...] the ultimate objective of these efforts is to advance the cause of human freedom. p.366-7\n\n[...]quantitative changes in the dynamics of modernization have given rise to a qualitative shift in the character of modern life, promting growing uncertainty concerning bouth our relationship to nature and the roles of reason, technology, and wealth production in the modern pursuit of freedom. In line with this escalating uncertainty, the path to further social development has also grown increasingly unclear, while the present has grown increasingly chaotic and disaster-prone. Amid this atmopshere of growing risk, the focus of collective life has been diverted from planning with assurance for a better, more enlightened world to come, to be realized under the assured stewardship of reason, to scrambling fitfuly to respond to one short-term crisis after another, with no clear sense of how to move beyond this short-range outlook and focus once again on the long-term goal of liberation. p.367", "page" : "365-79", "title" : "Modernism Post-postmodernism: Art in the Era of Light Modernity", "type" : "article-journal", "volume" : "22" }, "locator" : "366", "uris" : [ "http://www.mendeley.com/documents/?uuid=37fd16d3-bf02-445d-9606-301c16b4be33" ] } ], "mendeley" : { "formattedCitation" : "Luke Smythe, \u2018Modernism Post-Postmodernism: Art in the Era of Light Modernity\u2019, &lt;i&gt;Modernism/Modernity&lt;/i&gt;, 22 (2015), 365\u201379 (p. 366) &lt;https://muse.jhu.edu/article/589313&gt;.", "manualFormatting" : "Luke Smythe, \u2018Modernism Post-Postmodernism: Art in the Era of Light Modernity\u2019, Modernism/Modernity, 22 (2015), 365\u201379 (p. 366).", "plainTextFormattedCitation" : "Luke Smythe, \u2018Modernism Post-Postmodernism: Art in the Era of Light Modernity\u2019, Modernism/Modernity, 22 (2015), 365\u201379 (p. 366) .", "previouslyFormattedCitation" : "Luke Smythe, \u2018Modernism Post-Postmodernism: Art in the Era of Light Modernity\u2019, &lt;i&gt;Modernism/Modernity&lt;/i&gt;, 22 (2015), 365\u201379 (p. 366) &lt;https://muse.jhu.edu/article/589313&gt;."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Luke Smythe, ‘Modernism Post-Postmodernism: Art in the Era of Light Modernity’, </w:t>
      </w:r>
      <w:r w:rsidRPr="00505CF0">
        <w:rPr>
          <w:rFonts w:asciiTheme="majorBidi" w:hAnsiTheme="majorBidi" w:cstheme="majorBidi"/>
          <w:i/>
          <w:noProof/>
        </w:rPr>
        <w:t>Modernism/Modernity</w:t>
      </w:r>
      <w:r w:rsidRPr="00505CF0">
        <w:rPr>
          <w:rFonts w:asciiTheme="majorBidi" w:hAnsiTheme="majorBidi" w:cstheme="majorBidi"/>
          <w:noProof/>
        </w:rPr>
        <w:t>, 22 (2015), 365–79 (p. 366).</w:t>
      </w:r>
      <w:r w:rsidRPr="00505CF0">
        <w:rPr>
          <w:rFonts w:asciiTheme="majorBidi" w:hAnsiTheme="majorBidi" w:cstheme="majorBidi"/>
        </w:rPr>
        <w:fldChar w:fldCharType="end"/>
      </w:r>
    </w:p>
  </w:footnote>
  <w:footnote w:id="148">
    <w:p w14:paraId="1E03B92E" w14:textId="1D54A5D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"Smythe", "given" : "Luke", "non-dropping-particle" : "", "parse-names" : false, "suffix" : "" } ], "container-title" : "Modernism/Modernity", "id" : "ITEM-1", "issue" : "2", "issued" : { "date-parts" : [ [ "2015" ] ] }, "note" : "In the wake of postmodernism has come a widespread interest in the art world in revisiting the fate of modernism in the visual arts, a trend that has resulted in two main appraisals of the movement's current fortunes. The first stems from authors who argue for its present-day persistence and the sceond from those who lodge a claim for its revival. p.365\n\nIf [the] neomodern theories share a common focus, then they also share a common failing, namely a tendency to say too little about the movement that sustains them. p.365\n\nThat modernism, like modernity, has long been wed to innovation is true enough. p.366\n\nWhat follows is an effort to confront this challenge, one that takes the passing of postmodernism as an invitation to rethink the histories of both modernism and modernity alike from the ground up, tracing their main lines of development and intertwined fortunes from the late-eighteenth century to the present day, p.366\n\nUshered into being by the interlaces energies of scientific, economic and social revolution during the late-eighteenth century, which helped to precipitate a final turn away from the cultural and social models of the ancients, I understand modern life as a social order orientated towards future-directed goals of mounting prosperity and growing control of nature [...] the ultimate objective of these efforts is to advance the cause of human freedom. p.366-7\n\n[...]quantitative changes in the dynamics of modernization have given rise to a qualitative shift in the character of modern life, promting growing uncertainty concerning bouth our relationship to nature and the roles of reason, technology, and wealth production in the modern pursuit of freedom. In line with this escalating uncertainty, the path to further social development has also grown increasingly unclear, while the present has grown increasingly chaotic and disaster-prone. Amid this atmopshere of growing risk, the focus of collective life has been diverted from planning with assurance for a better, more enlightened world to come, to be realized under the assured stewardship of reason, to scrambling fitfuly to respond to one short-term crisis after another, with no clear sense of how to move beyond this short-range outlook and focus once again on the long-term goal of liberation. p.367", "page" : "365-79", "title" : "Modernism Post-postmodernism: Art in the Era of Light Modernity", "type" : "article-journal", "volume" : "22" }, "locator" : "365", "uris" : [ "http://www.mendeley.com/documents/?uuid=37fd16d3-bf02-445d-9606-301c16b4be33" ] } ], "mendeley" : { "formattedCitation" : "Smythe, p. 365.", "plainTextFormattedCitation" : "Smythe, p. 365.", "previouslyFormattedCitation" : "Smythe, p. 365."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Smythe, p. 365.</w:t>
      </w:r>
      <w:r w:rsidRPr="00505CF0">
        <w:rPr>
          <w:rFonts w:asciiTheme="majorBidi" w:hAnsiTheme="majorBidi" w:cstheme="majorBidi"/>
        </w:rPr>
        <w:fldChar w:fldCharType="end"/>
      </w:r>
    </w:p>
  </w:footnote>
  <w:footnote w:id="149">
    <w:p w14:paraId="0FE3E52B" w14:textId="3D9C4B3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94764F">
        <w:rPr>
          <w:rFonts w:asciiTheme="majorBidi" w:hAnsiTheme="majorBidi" w:cstheme="majorBidi"/>
          <w:i/>
          <w:iCs/>
        </w:rPr>
        <w:t>ACO: Expanded upon  in chapter 2: Southward vs Sincerity</w:t>
      </w:r>
    </w:p>
  </w:footnote>
  <w:footnote w:id="150">
    <w:p w14:paraId="34DB52BA" w14:textId="751DCB3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"https://www.opendemocracy.net/globalization-vision_reflections/modernity_3082.jsp", "accessed" : { "date-parts" : [ [ "2017", "8", "15" ] ] }, "author" : [ { "dropping-particle" : "", "family" : "Bauman", "given" : "Zygmunt", "non-dropping-particle" : "", "parse-names" : false, "suffix" : "" }, { "dropping-particle" : "", "family" : "Galecki", "given" : "Lukasz", "non-dropping-particle" : "", "parse-names" : false, "suffix" : "" } ], "container-title" : "openDemocracy", "id" : "ITEM-1", "issued" : { "date-parts" : [ [ "2005" ] ] }, "note" : "ZB: 'The main trouble is that the globalisation we are dealing with today is strictly negative. It is based on the breaking down of barriers, allowing for the globalisation of capital, the movement of goods, information, crime, and terrorism, but not of the political and judicial institutions whose basis is national sovereignty.\n\nZB: 'In today's world the possibilites for collective action run far behind what is required, although almost everyone agrees that at least something must be done.\n\nZB: 'the events of 11 septembet 2001 and the attacks in Madrid (march 2004) and London (July 2005) have made clear that the traditional means of seciting and maintaing respect for law and order, crudely stated, are worthless. It surprised us - all of us. \n\nZB: 'This is so different from the picture of the future world designed at the beginning of the modern era. Enlightemnent philsophers dreamed of a orderly world, obedient to human will: mild and hospitable. And humans would not be forced to rely on the wisdom of divine creation, but were to realise these dreams on their own. \n\nZB: 'The very project of modernity is born out of the desire for a world without suprises, a safe world, a world without fear.", "title" : "The Unwinnable War: an interview with Zygmunt Bauman", "type" : "webpage" }, "uris" : [ "http://www.mendeley.com/documents/?uuid=a41af416-ac22-48e0-b283-e45e877846ac" ] } ], "mendeley" : { "formattedCitation" : "Bauman and Galecki.", "plainTextFormattedCitation" : "Bauman and Galecki.", "previouslyFormattedCitation" : "Bauman and Galecki."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Bauman and Galecki.</w:t>
      </w:r>
      <w:r w:rsidRPr="00505CF0">
        <w:rPr>
          <w:rFonts w:asciiTheme="majorBidi" w:hAnsiTheme="majorBidi" w:cstheme="majorBidi"/>
        </w:rPr>
        <w:fldChar w:fldCharType="end"/>
      </w:r>
    </w:p>
  </w:footnote>
  <w:footnote w:id="151">
    <w:p w14:paraId="5D017492" w14:textId="38A4708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p>
  </w:footnote>
  <w:footnote w:id="152">
    <w:p w14:paraId="1BE1FE6D" w14:textId="5AD34EA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"Federman", "given" : "Raymond", "non-dropping-particle" : "", "parse-names" : false, "suffix" : "" } ], "chapter-number" : "11", "container-title" : "In Memoriam to Postmodernism: Essays on the Avant-Pop", "editor" : [ { "dropping-particle" : "", "family" : "Amerika", "given" : "Mark", "non-dropping-particle" : "", "parse-names" : false, "suffix" : "" }, { "dropping-particle" : "", "family" : "Olsen", "given" : "Lance", "non-dropping-particle" : "", "parse-names" : false, "suffix" : "" } ], "id" : "ITEM-1", "issued" : { "date-parts" : [ [ "1995" ] ] }, "note" : "When Literature ceases to understand the world and accepts the crisis of representation in which it functions, it becomes mere entertainment, it comes part of the Spectacle. \n\nBut now one must ask, is it possible for fiction, for the serious writers of fiction (I assume there are still a few writers among us who think of themselves as serious writers) --is it possible for these writers to escape the generalized recuperation that is taking place in the marketplace of books? Is it possible for fiction to survive the kind of reduction, the kind of banalization that mass media imposes on contemporary culture? Is it possible for fiction to escape the way publicity and advertising ingest and digest culture? Is it possible for fiction to survive the hypnosis of marketing, the sweet boredom of consensus, the cellophane wrapping of thinking, the commercialization of desire? In other words, can fiction escape conformity and banality, triviality and obscenity, and yet play a role in our society, have a place in our culture? And finally, are there still people out there willing to turn their backs on the SPECTACLE and find time to write and read works of fiction? These are urgent questions that demand immediate answers.", "publisher" : "San Diego University Press", "publisher-place" : "San Diego", "title" : "Avant-Pop: You're Kidding, or, The Real Begins Where The Spectacle End", "type" : "chapter" }, "uris" : [ "http://www.mendeley.com/documents/?uuid=95283198-d39f-4379-b539-c09acf6fb8fa" ] } ], "mendeley" : { "formattedCitation" : "Raymond Federman, \u2018Avant-Pop: You\u2019re Kidding, Or, The Real Begins Where The Spectacle End\u2019, in &lt;i&gt;In Memoriam to Postmodernism: Essays on the Avant-Pop&lt;/i&gt;, ed. by Mark Amerika and Lance Olsen (San Diego: San Diego University Press, 1995).", "plainTextFormattedCitation" : "Raymond Federman, \u2018Avant-Pop: You\u2019re Kidding, Or, The Real Begins Where The Spectacle End\u2019, in In Memoriam to Postmodernism: Essays on the Avant-Pop, ed. by Mark Amerika and Lance Olsen (San Diego: San Diego University Press, 1995).", "previouslyFormattedCitation" : "Raymond Federman, \u2018Avant-Pop: You\u2019re Kidding, Or, The Real Begins Where The Spectacle End\u2019, in &lt;i&gt;In Memoriam to Postmodernism: Essays on the Avant-Pop&lt;/i&gt;, ed. by Mark Amerika and Lance Olsen (San Diego: San Diego University Press, 1995)."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Raymond Federman, ‘Avant-Pop: You’re Kidding, Or, The Real Begins Where The Spectacle End’, in </w:t>
      </w:r>
      <w:r w:rsidRPr="00505CF0">
        <w:rPr>
          <w:rFonts w:asciiTheme="majorBidi" w:hAnsiTheme="majorBidi" w:cstheme="majorBidi"/>
          <w:i/>
          <w:noProof/>
        </w:rPr>
        <w:t>In Memoriam to Postmodernism: Essays on the Avant-Pop</w:t>
      </w:r>
      <w:r w:rsidRPr="00505CF0">
        <w:rPr>
          <w:rFonts w:asciiTheme="majorBidi" w:hAnsiTheme="majorBidi" w:cstheme="majorBidi"/>
          <w:noProof/>
        </w:rPr>
        <w:t>, ed. by Mark Amerika and Lance Olsen (San Diego: San Diego University Press, 1995).</w:t>
      </w:r>
      <w:r w:rsidRPr="00505CF0">
        <w:rPr>
          <w:rFonts w:asciiTheme="majorBidi" w:hAnsiTheme="majorBidi" w:cstheme="majorBidi"/>
        </w:rPr>
        <w:fldChar w:fldCharType="end"/>
      </w:r>
    </w:p>
  </w:footnote>
  <w:footnote w:id="153">
    <w:p w14:paraId="47EA58F7" w14:textId="067BDF7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"Moraru", "given" : "Christian", "non-dropping-particle" : "", "parse-names" : false, "suffix" : "" } ], "chapter-number" : "29", "container-title" : "The Cambridge History of Postmodern Literature", "editor" : [ { "dropping-particle" : "", "family" : "McHale", "given" : "Brian", "non-dropping-particle" : "", "parse-names" : false, "suffix" : "" }, { "dropping-particle" : "", "family" : "Platt", "given" : "Len", "non-dropping-particle" : "", "parse-names" : false, "suffix" : "" } ], "id" : "ITEM-1", "issued" : { "date-parts" : [ [ "2016" ] ] }, "note" : "one should recognize, as I do here, that the end of the Cold War brings to the fore not only the world system but also a new stage in the system\u2019s history. p.480\n\nTo be sure, few subjects in the humanities have been in greater need of reevaluation after 1989. In fact, this may be the right time to write postmodernism\u2019s history, now that, under the sway of broader historical changes, the sixty-year postmodern saga seems to have reached its final episode. p.481\n\nI have talked about a transition to \u201ccosmodernism\u201d \u2013 an \u201cism\u201d of sorts itself transitional, as we shall observe momentarily \u2013 while, when I have expanded my analysis to other areas, my preferred concept has been \u201cplanetarism.\u201d p.482\n\nI write transition advisedly. For I want us to envision the shift in question not as a radical hiatus that has already occurred but as an ongoing, nonlinear, uncoordinated, multifaceted, protracted, and contradictory mutation worldwide. p.482\n\nCosmodernism, the name I have assigned to this new cultural-historical formation, rests on a relational poetics. This is the place to repeat, though, that wider world relationality, of which cosmodern relatedness aspires to be, as I maintain, a \u201crogue\u201d subset, worlded by not only the connections among societies, locales, economies, and cultures but also their troubles. p.482\n\n\u201d It can shore up our life-giving differences or work as a conduit for indiscriminate, homogenizing mimesis and toward a world culture of selfsameness. p. 483\n\nAs it has turned out, despite their remarkable diffusion, postmodern literature, TV series, and video have not wound up postmodernizing world cultures. At the same time, at its own, Euroatlantic sources, postmodern discourse does appear to have reached a fairly conspicuous saturation level, at which \u201cnew\u201d postmodern work basically derives its novelty from overdoing \u2013 doing again and blowing out of proportions \u2013 postmodern precedents, their hallmark themes, and recipes. p.483\n\nFairly or not, the prevailing perception of postmodernism\u2019s efforts to globalize foregrounds the global, not the postmodern. In this light, postmodernism appears preponderantly as a globalization issue, an aspect of globalism\u2019s tautological rationality rather than its corrective culturally, philosophically, or otherwise. p.485\n\nPut differently: at loggerheads with its own philosophical and political agenda, postmodernism often carries on modernity\u2019s utmost egological project, Western colonialism. p.486\n\nInstead, the more reasonable thing to do at this point in cultural history would be to give the postmoderns credit for laying the groundwork, setting the basic agenda, and developing, in the interval between the late 1960s and the late 1980s, the overall framework for a task whose completion by and large lies beyond the postmodern\u2019s purview. p.486\n\nthe cosmodern paradigm to which this turn gives birth both participates in and critiques late globalization\u2019s highly networked environment \u2013 this is cosmodernism\u2019s \u201cdouble-bind.\u201d In keeping with post-1989 worldwide amplification and densification of human relations, cosmodernism projects postmodernism\u2019s newly found historical relationality horizontally across traditions and their unsynchronized temporalities. Thus, cosmodernism starts replacing postmodernism\u2019s conceptual unit, the nation-state, with an ever more networked world. p.488\n\nAmerican postmodern intertexts generally roam the room of the nation or of the Western family of nations. p.488\n\nHowever, with cosmoderns such as Chang-rae Lee, the later Don DeLillo, Nicole Mones, Jhumpa Lahiri, Karen Tei Yamashita, or Jonathan Safran Foer, this horizon widens dramatically to incorporate the formerly less immediate and less contingent (\u201cout there\u201d) worldly \u201cweb of ideas and images.\u201d This is a transnational rather than post-national process. p.488\n\ncosmodernism articulates and in turn can be represented critically as a vision of cross-traditional and polycentric intertextuality and interculturality that builds on the largely theoretical, fantastical, or mystical-Kabbalistic idea of \u201cThe Library of Babel\u201d in the vein of Jorge Luis Borges to project a more transidiomatic, transcultural, and geopolitical world library. p.489\n\nThe cosmodern vision declines to be another egological extrapolation of US/Western nuclei of values, ideologies, and intertextual repertoires. p.489\n\nThe cosmodern problematic of otherness is more authentically \u2013 more heterologically \u2013 \u201cother,\u201d vaster, more capacious ethnically, racially, or religiously. p.489\n\nBut not only are \u201cothers\u201d becoming the master theme of the American literature of the past twenty years. The \u201ctheme\u201d is also ethically explored. This means that the other\u2019s presence in cosmodern discourse is no longer just a matter of \u201ctheme,\u201d and hence of thematization, of rational reduction. The other\u2019s presence founds, organizes, and orients cosmodern representation rather than merely supplying it with the subject du jour. p.489\n\nCosmodernism does follow in postmodernism\u2019s footsteps thematically and formally, as we have noticed throughout. Yet the cosmodern authors grow increasingly uncomfortable with an approach that, on an important level, reinforces an older worldview that conceptualizes and thus further \u201cothers\u201d and externalizes alterity qua \u201ctheme\u201d and \u201cform.\u201d Cosmodernism seeks to engage with otherness beyond the thematic, the exotic, and the formal, ethically. p.490-90\n\ncosmodernism is a \u201csoft\u201d cultural period. Because its onset entails a highly complex and deep-reaching reordering of the world as we know it, the paradigm will take a while to stabilize. p.490\n\nLet us also keep in mind that cosmodernism is not postmodernism\u2019s sole successor. Nor is postmodernism completely \u201cover.\u201d The postmodern project too is \u201cincomplete.\u201d p.491\n\nCosmodernism is that move itself, a transitional act in an unfolding drama that will end in a sea change eventually. p.491\n\nBut its devotion to the concept that \u201cthe subject can no longer be conceived of as closed up in itself\u201d goes beyond the stylistic and the conceptual, and thus beyond the postmodern, into the ethical. p.491\n\nthe systematic, explicit, and supremely ethical tackling of the problematics of alterity can be said to have become a matter of recognizable narrative style. p.491\n\ndiscourse, history, culture, community, patrimony, and tradition. The cosmoderns complicate all these issues by rewriting them as paragraphs in a worldly phenomenology of self-other mutuality. p.492\n\nNeither the only new thing to supersede postmodernism nor distinct enough as a movement or school so far, cosmodernism is, in sum: (1) an increasingly recognizable imaginary pattern, viz., a way of mapping \u201ctoday\u201d\u2019s world as a cultural geography of relationality; (2) by the same token, a capacious scenario of discourse and subjectivity formation; (3) an ethical imperative pointing to the present as much as to the future; and (4) a critical algorithm for interpreting and assembling a range of post-1989 narrative and theoretical US imaginings into a coherent and, again, forward-looking model. p.492\n\n[cosmodernism is] a harbinger of and sometimes a blueprint for a turn on a larger scale. p.492\n\nMy 2015 book posits that cosmodernism is that which planetarism is becoming for the entire world on the threshold of the twenty-first century. p.492\n\nCosmodernity and cosmodernization are to the US and the West generally what planetarity and planetarization are to the world, its present, and foreseeable future. p.492\n\nEmbodying this condition is the planet. This is not so much the physical earth at this point as the geocultural matrix increasingly fashioning human expressivity and comprehension worldwide, the emerging \u201csingle unit\u201d of cultural discourse and analysis, of world writing and world reading. p.493\n\nwe are running into problems testing the effectiveness of our approaches, the boundaries of our discourses and of the \u201cscholarly\u201d more generally, the limitations of our epistemologies, and the germane limits of our academic setups and units. p.493\n\nno matter what they see in the places they explore, they also register the world within these places. Characteristically, their fiction reads for the planet\u2019s footprint on the local or, better yet, on the apparently local, cloistered, autarchic, and insular. The job of planetary critics is, very basically, to read for these readings \u2013 for the planet\u2019s footprint in the cultures\u2019 fine print, so to speak. p.494", "page" : "480-496", "publisher" : "Cambridge University Press", "publisher-place" : "Cambridge", "title" : "Postmodernism, Cosmodernism, Planetarism", "type" : "chapter" }, "locator" : "483", "uris" : [ "http://www.mendeley.com/documents/?uuid=42b2297c-6c32-4113-b8ba-9536fe80c5ea" ] } ], "mendeley" : { "formattedCitation" : "Moraru, p. 483.", "manualFormatting" : "Christian Moraru, \u2018Postmodernism, Cosmodernism, Planetarism\u2019, in The Cambridge History of Postmodern Literature, ed. by Brian McHale and Len Platt (Cambridge: Cambridge University Press, 2016), pp. 480\u2013496 (p. 483).", "plainTextFormattedCitation" : "Moraru, p. 483.", "previouslyFormattedCitation" : "Moraru, p. 483."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Christian Moraru, ‘Postmodernism, Cosmodernism, Planetarism’, in </w:t>
      </w:r>
      <w:r w:rsidRPr="00505CF0">
        <w:rPr>
          <w:rFonts w:asciiTheme="majorBidi" w:hAnsiTheme="majorBidi" w:cstheme="majorBidi"/>
          <w:i/>
          <w:noProof/>
        </w:rPr>
        <w:t>The Cambridge History of Postmodern Literature</w:t>
      </w:r>
      <w:r w:rsidRPr="00505CF0">
        <w:rPr>
          <w:rFonts w:asciiTheme="majorBidi" w:hAnsiTheme="majorBidi" w:cstheme="majorBidi"/>
          <w:noProof/>
        </w:rPr>
        <w:t>, ed. by Brian McHale and Len Platt (Cambridge: Cambridge University Press, 2016), pp. 480–496 (p. 483).</w:t>
      </w:r>
      <w:r w:rsidRPr="00505CF0">
        <w:rPr>
          <w:rFonts w:asciiTheme="majorBidi" w:hAnsiTheme="majorBidi" w:cstheme="majorBidi"/>
        </w:rPr>
        <w:fldChar w:fldCharType="end"/>
      </w:r>
    </w:p>
  </w:footnote>
  <w:footnote w:id="154">
    <w:p w14:paraId="0463CC82" w14:textId="6F5841B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"http://www.artinamericamagazine.com/news-features/interviews/altermodern-a-conversation-with-nicolas-bourriaud/", "accessed" : { "date-parts" : [ [ "2017", "8", "15" ] ] }, "author" : [ { "dropping-particle" : "", "family" : "Ryan", "given" : "Bartholemew", "non-dropping-particle" : "", "parse-names" : false, "suffix" : "" } ], "container-title" : "Art in America", "id" : "ITEM-1", "issued" : { "date-parts" : [ [ "2009" ] ] }, "note" : "NB: [Altermodernity] is an attempt to rexamine our present, by replacing one preiodizing tool with another. After 30 years into the 'aftershock' of modernism and its mourning, then into the neccesary post-colonial reexamination of our cultural frames, 'Altermodern' is a word that intends to define the specific modernity according to the specific context we live in - globalization and its economic, political and cultural conditions.\n\nNB: The use of the prefix &amp;quot;alter&amp;quot; means that the historical period defined by postmodernism is coming to an end, and alludes to the local struggles against standardization. \n\nNB: The core of this new modernity is, according to me, the experience of wandering.\n\nNB: In every spot opf the planet, you can see this new cultural stratus, coexisting with the later of traditional culture and some local specific contemporary elements.\n\nNB: We have to get out of this dialectical loop between the global and the local, to get rid of the binary opposition between globalization and traditions. And what is the name of this third way? Modernity, whose historical ambiguity is directed against both standardization and nostalgia. \n\nNB: To cut a long story short, what we traditionally call reality is in fact a simple montage. On the vbasis of that conclusion, aesthetic challenge of contemporary art resides in recomposing that montage: art is an editing table that enables us to realize alternative, temporary versions of reality with the same material (basically, everyday life).\n\nThe cultural or social structures in which we live are nore more for art than elements to be used, objects that myst be examined and formally addressed.", "title" : "Altermodern: A Conversation with Nicolas Bourriaud", "type" : "webpage" }, "uris" : [ "http://www.mendeley.com/documents/?uuid=2bb14a30-3b10-413e-b1fd-16e4e090b398" ] } ], "mendeley" : { "formattedCitation" : "Bartholemew Ryan, \u2018Altermodern: A Conversation with Nicolas Bourriaud\u2019, &lt;i&gt;Art in America&lt;/i&gt;, 2009 &lt;http://www.artinamericamagazine.com/news-features/interviews/altermodern-a-conversation-with-nicolas-bourriaud/&gt; [accessed 15 August 2017].", "plainTextFormattedCitation" : "Bartholemew Ryan, \u2018Altermodern: A Conversation with Nicolas Bourriaud\u2019, Art in America, 2009  [accessed 15 August 2017].", "previouslyFormattedCitation" : "Bartholemew Ryan, \u2018Altermodern: A Conversation with Nicolas Bourriaud\u2019, &lt;i&gt;Art in America&lt;/i&gt;, 2009 &lt;http://www.artinamericamagazine.com/news-features/interviews/altermodern-a-conversation-with-nicolas-bourriaud/&gt; [accessed 15 August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Bartholemew Ryan, ‘Altermodern: A Conversation with Nicolas Bourriaud’, </w:t>
      </w:r>
      <w:r w:rsidRPr="0025171E">
        <w:rPr>
          <w:rFonts w:asciiTheme="majorBidi" w:hAnsiTheme="majorBidi" w:cstheme="majorBidi"/>
          <w:i/>
          <w:noProof/>
        </w:rPr>
        <w:t>Art in America</w:t>
      </w:r>
      <w:r w:rsidRPr="0025171E">
        <w:rPr>
          <w:rFonts w:asciiTheme="majorBidi" w:hAnsiTheme="majorBidi" w:cstheme="majorBidi"/>
          <w:noProof/>
        </w:rPr>
        <w:t>, 2009 &lt;http://www.artinamericamagazine.com/news-features/interviews/altermodern-a-conversation-with-nicolas-bourriaud/&gt; [accessed 15 August 2017].</w:t>
      </w:r>
      <w:r w:rsidRPr="00505CF0">
        <w:rPr>
          <w:rFonts w:asciiTheme="majorBidi" w:hAnsiTheme="majorBidi" w:cstheme="majorBidi"/>
        </w:rPr>
        <w:fldChar w:fldCharType="end"/>
      </w:r>
    </w:p>
  </w:footnote>
  <w:footnote w:id="155">
    <w:p w14:paraId="03A9435D" w14:textId="2F4267F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"http://cargocollective.com/alab/The-Altermodern", "accessed" : { "date-parts" : [ [ "2017", "9", "10" ] ] }, "author" : [ { "dropping-particle" : "", "family" : "Abercrombie", "given" : "Alec", "non-dropping-particle" : "", "parse-names" : false, "suffix" : "" } ], "container-title" : "A-Lab", "id" : "ITEM-1", "issued" : { "date-parts" : [ [ "2011" ] ] }, "note" : "The term 'Altermodernism', coined by Nicolas Bourriaud, lends an ahcor point to an otherwise mercurial state of turmoil within the world of art and design today,\n\nHowever, the idea that one word encapsulates the multitudinous nature of modern design, as well as art and architecture, does stretch the plausability of such a notion, as it is in fact too disparate and fast moving to be confined to all but one ambit, and suggests, that we are slowly moving towards a kind oif conceptual anarchy whereby anything goes, , and have already passed the point where all dialectic dialogue has been lost. The altermodern project, far form trying to \u2018define\u2019 an era with this term, is simple; to discover the current habitations of contemporary practice.\u00a0\n\nSo what may seem like an insurmountable task given the current plethora of work and ideas being produced, will, or at least in theory should, slowly come to together as patterns emerge, and typologies, or \u2018clusters\u2019, can be formulated. However, this does not mean to say that it will be an altogether clear picture, and almost by definition it will be shifting and evolving just as quickly as we can put together a coherent map.\n\n\u00a0So here it appears that the dialectic dialogue has been lost and it is assumed we will all fall into line if we are all fed the same thing, but in reality it leads to a distinct lack of integrity, perceptible even by the most perfunctory mind\n\nt is, in essence, altermodern, as it follows no formal design rules, and the text floats on top of the image acting as the interface between the sound of the Beatles and the user, as well as promoting the idea of connecting people through embracing their new technology, at the click of a button,\n\nGlobalisation has had a positive impact in one sense that, if we accept that appropriation is as much a part of art, design and architecture as any other aspect of these disciplines, it exposes us to a much more diverse range of ideas, through the internet, for example, and therefore enriches the end product with a more culturally varied and contemporary outlook.\n\nIn conclusion, the altermodern seeks to identify and to some degree, regulate, the ever-expanding atmosphere of ideas that are hurtling around the world via satellites and electrical waves;", "title" : "The Altermodern", "type" : "webpage" }, "uris" : [ "http://www.mendeley.com/documents/?uuid=be326deb-e887-49d8-a1b2-a846448827e5" ] } ], "mendeley" : { "formattedCitation" : "Alec Abercrombie, \u2018The Altermodern\u2019, &lt;i&gt;A-Lab&lt;/i&gt;, 2011 &lt;http://cargocollective.com/alab/The-Altermodern&gt; [accessed 10 September 2017].", "plainTextFormattedCitation" : "Alec Abercrombie, \u2018The Altermodern\u2019, A-Lab, 2011  [accessed 10 September 2017].", "previouslyFormattedCitation" : "Alec Abercrombie, \u2018The Altermodern\u2019, &lt;i&gt;A-Lab&lt;/i&gt;, 2011 &lt;http://cargocollective.com/alab/The-Altermodern&gt; [accessed 10 September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Alec Abercrombie, ‘The Altermodern’, </w:t>
      </w:r>
      <w:r w:rsidRPr="0025171E">
        <w:rPr>
          <w:rFonts w:asciiTheme="majorBidi" w:hAnsiTheme="majorBidi" w:cstheme="majorBidi"/>
          <w:i/>
          <w:noProof/>
        </w:rPr>
        <w:t>A-Lab</w:t>
      </w:r>
      <w:r w:rsidRPr="0025171E">
        <w:rPr>
          <w:rFonts w:asciiTheme="majorBidi" w:hAnsiTheme="majorBidi" w:cstheme="majorBidi"/>
          <w:noProof/>
        </w:rPr>
        <w:t>, 2011 &lt;http://cargocollective.com/alab/The-Altermodern&gt; [accessed 10 September 2017].</w:t>
      </w:r>
      <w:r w:rsidRPr="00505CF0">
        <w:rPr>
          <w:rFonts w:asciiTheme="majorBidi" w:hAnsiTheme="majorBidi" w:cstheme="majorBidi"/>
        </w:rPr>
        <w:fldChar w:fldCharType="end"/>
      </w:r>
    </w:p>
  </w:footnote>
  <w:footnote w:id="156">
    <w:p w14:paraId="0F89F9BD" w14:textId="16DBD3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"40", "uris" : [ "http://www.mendeley.com/documents/?uuid=be2c4028-80df-4158-a2e8-39b871d0085f" ] } ], "mendeley" : { "formattedCitation" : "Samuels, &lt;i&gt;New Media, Cultural Studies, and Critical Theory After Postmodernism: Automodernity from Zizek to Laclau&lt;/i&gt;, p. 40.", "plainTextFormattedCitation" : "Samuels, New Media, Cultural Studies, and Critical Theory After Postmodernism: Automodernity from Zizek to Laclau, p. 40.", "previouslyFormattedCitation" : "Samuels, &lt;i&gt;New Media, Cultural Studies, and Critical Theory After Postmodernism: Automodernity from Zizek to Laclau&lt;/i&gt;, p. 40."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40.</w:t>
      </w:r>
      <w:r w:rsidRPr="00505CF0">
        <w:rPr>
          <w:rFonts w:asciiTheme="majorBidi" w:hAnsiTheme="majorBidi" w:cstheme="majorBidi"/>
        </w:rPr>
        <w:fldChar w:fldCharType="end"/>
      </w:r>
    </w:p>
  </w:footnote>
  <w:footnote w:id="157">
    <w:p w14:paraId="3B3E8EEB" w14:textId="7CCEE6B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"Wiilms", "given" : "Johannes", "non-dropping-particle" : "", "parse-names" : false, "suffix" : "" } ], "chapter-number" : "1", "container-title" : "Conversations with Ulrich Beck", "id" : "ITEM-1", "issued" : { "date-parts" : [ [ "2004" ] ] }, "note" : "UB: 'Our job now is to rethink sociology so that it no longer presumes this interference in each and every one of its concepts. We have to change our perspective. p.15\n\nUB: 'the reason that this task has finally become urget is that the explanatory power of the classical model has been steadily growing weaker. Globalization is creating a world very different from the nineteenth-century world in which this universalist inference took form. It presupposed a world of bounded and opposed societies, each in its own container, and each with is own culture, its own economy, its own identity, and control over the destiny of its own people. // What we need to do now is make the change from a universal perspective to a cosmopolitan perspective. p.16\n\nUB: 'My theory is that what we are dealing with here is a meta-change, a change in the coordinates of change. This meta-change is best understood as a new dynamic that was created when the process of modernization began to transform its own taken-for-granted foundations. Modernity then passed an infliction point and began to change into something qualitatively new. p.18\n\nUB: 'There could not have been a theory of relexive modernity without having engaged with the central ideas of postmodernism.// However, that said, postmodernist theory only tells us what is not the case. It doesnt say what is the case. p.25\n\nUB: 'Modernity needs to be re-formed in the fullest sense on a global level. For this task, postmodern thought is inadequate. p.25\n\nUB: 'This finally is my real beef with postmodernism. Despite all the hubbub, when its stance is reasoned out to its ultimate conclusions, postmodernism fanally seems to deny the newness and crisis nature of our situation. p.26\n\nUB: 'We need to reconstruct and to restructure our concepts. [...] We are trying to make clear what distinguishes the first modernity from the second modernity. p.26\n\nUB: 'Where postmodernism simply celebrates this multiplication and opening up of boundaries, the theory of second modernity starts with the problem this new reality poses for individual and collective decisions, and with the provlem that the continued existence of such decisions poses for theory. People have to make decisions. p.28\n\nUB: 'Modernity has not vanished, we are not post it. [...] What is new is that modernity has begun to modernize its own foundations [...] it has become directed at itself very literally a metamodernism, then? p.29\n\nUB: 'Simple modernization becomes reflexive modernization to the extent that it disenchants and dissolves its own taken-for-granted premises. Eventually this leads to the undermining of every aspect of the modern nation-state: the welfare state; the power of the legal system; the national economy; the corporatist systems that connected one with the other; and the parliamentary democracy that goverened the whole. A parallel process undermines the social institutions that buttressed this state and were supported by it in turn. The normal family, the normal career, and the normal life history are all radically called into question and subsequently have to be continually re-negotiated. This is the new and complex reality we have to figure out on both a theorietical and an empirical level. It is not beyond modernity. p.29\n\nBig Point time\nUB: 'In the framework of the first modernity, society is thought of as organized in terms of the nation-state. Secondly, it is conceived of as based on pre-given collective identities that are anchored in large collective groups. Thirdly, it is thought of as full-employment society. Paid labor is supposed to be available for all normal people, and people are defined as normal by participating in it. Fourthly, the first modernity rests on a clear distinction between society and nature. Nature is conceived of as the \u201coutside\u201d of society, and as a functionally infinite resource and sink. And lastly, the first modernity presupposes Weber\u2019s principle of technical rationality, which presumes that all the side effects of industrialization and rationalization are predictable and controllable. These are the basic premises of the first modernity. When I say they are increasingly being called into question through the process of reflexive modernization, this is not something that happens all at once, but rather something that has been happening on several different time scales since the middle of the twentieth century. The presumption that society is something \u201ccontained\u201d in nation-states has been undermined by globalization, which I don\u2019t mean only, or even mostly, in the economic sense, but even more as a social and cultural and political phenomenon. The idea of pre-given collective identities that are provided by a small number of large collective groups has less and less empirical relevance to a society that has been structurally transformed by the ongoing process of individualization. The paradigm of a full-employment society is increasingly inapplicable on account of the fragmentation of work and the increasing variety and predominance of non-normal forms of 30 Conversation 1 employment. The idea that nature is an infinite sink and resource has been called into question by the ecological crises that loom in every direction. The idea that that there is a clear distinction between society and nature has been called into question by things like gene technology, human genetics, and nano-technology, all of which blur the line between them. These last technologies also bear on the premise of predictability and controllability, which has been undermined by the proliferation of global risks. Because such risks are systemic, they change the very concept of risk, from one of probability to one of radical uncertainty. The fact that they cross national borders also makes them impossible to capture in national statistics or to cope with through national action. Global risks produce global risk society. p.30-1\n\nUB: 'We can't describe it in terms of a closed arrangement of institutions. We can only describe [second modernity] as a process of transformation of the first modernity. p.31\n\nUB: 'I think therefore we are standing before two alternatives. The globalization process will affect all local identities, there is no escaping that. The alternatives result from how each local culture responds. It can try to block itself off from these developments. But \u2013 and we have to be clear on this point \u2013 that is just as much an active process as opening up. It means a locality has to actively attempt to change its course of development, and in a sense to refound itself anew against resistance. The other option is that the duality that local inhabitants are already experiencing can become conscious of itself and find a way of expressing itself coherently. It can produce a new kind of plural culture, one that satisfies the desire to reach backward into local traditions without stopping local culture from opening up and letting more of the world in. The second modernity emerges from this field of tensions p.43", "publisher" : "Blackwell Publishing Ltd", "publisher-place" : "Oxford", "title" : "Conversation 1: Postmodernity or Second Modernity?", "translator" : [ { "dropping-particle" : "", "family" : "Pollak", "given" : "Michael", "non-dropping-particle" : "", "parse-names" : false, "suffix" : "" } ], "type" : "chapter" }, "locator" : "43", "uris" : [ "http://www.mendeley.com/documents/?uuid=f8997d67-85df-4585-ac9a-64a7b8e54fc4" ] } ], "mendeley" : { "formattedCitation" : "Beck and Wiilms, p. 43.", "plainTextFormattedCitation" : "Beck and Wiilms, p. 43.", "previouslyFormattedCitation" : "Beck and Wiilms, p. 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Beck and Wiilms, p. 43.</w:t>
      </w:r>
      <w:r w:rsidRPr="00505CF0">
        <w:rPr>
          <w:rFonts w:asciiTheme="majorBidi" w:hAnsiTheme="majorBidi" w:cstheme="majorBidi"/>
        </w:rPr>
        <w:fldChar w:fldCharType="end"/>
      </w:r>
    </w:p>
  </w:footnote>
  <w:footnote w:id="158">
    <w:p w14:paraId="69FD9D3E" w14:textId="2CCFF65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"Beck", "given" : "Ulrich", "non-dropping-particle" : "", "parse-names" : false, "suffix" : "" }, { "dropping-particle" : "", "family" : "Wiilms", "given" : "Johannes", "non-dropping-particle" : "", "parse-names" : false, "suffix" : "" } ], "chapter-number" : "1", "container-title" : "Conversations with Ulrich Beck", "id" : "ITEM-1", "issued" : { "date-parts" : [ [ "2004" ] ] }, "note" : "UB: 'Our job now is to rethink sociology so that it no longer presumes this interference in each and every one of its concepts. We have to change our perspective. p.15\n\nUB: 'the reason that this task has finally become urget is that the explanatory power of the classical model has been steadily growing weaker. Globalization is creating a world very different from the nineteenth-century world in which this universalist inference took form. It presupposed a world of bounded and opposed societies, each in its own container, and each with is own culture, its own economy, its own identity, and control over the destiny of its own people. // What we need to do now is make the change from a universal perspective to a cosmopolitan perspective. p.16\n\nUB: 'My theory is that what we are dealing with here is a meta-change, a change in the coordinates of change. This meta-change is best understood as a new dynamic that was created when the process of modernization began to transform its own taken-for-granted foundations. Modernity then passed an infliction point and began to change into something qualitatively new. p.18\n\nUB: 'There could not have been a theory of relexive modernity without having engaged with the central ideas of postmodernism.// However, that said, postmodernist theory only tells us what is not the case. It doesnt say what is the case. p.25\n\nUB: 'Modernity needs to be re-formed in the fullest sense on a global level. For this task, postmodern thought is inadequate. p.25\n\nUB: 'This finally is my real beef with postmodernism. Despite all the hubbub, when its stance is reasoned out to its ultimate conclusions, postmodernism fanally seems to deny the newness and crisis nature of our situation. p.26\n\nUB: 'We need to reconstruct and to restructure our concepts. [...] We are trying to make clear what distinguishes the first modernity from the second modernity. p.26\n\nUB: 'Where postmodernism simply celebrates this multiplication and opening up of boundaries, the theory of second modernity starts with the problem this new reality poses for individual and collective decisions, and with the provlem that the continued existence of such decisions poses for theory. People have to make decisions. p.28\n\nUB: 'Modernity has not vanished, we are not post it. [...] What is new is that modernity has begun to modernize its own foundations [...] it has become directed at itself very literally a metamodernism, then? p.29\n\nUB: 'Simple modernization becomes reflexive modernization to the extent that it disenchants and dissolves its own taken-for-granted premises. Eventually this leads to the undermining of every aspect of the modern nation-state: the welfare state; the power of the legal system; the national economy; the corporatist systems that connected one with the other; and the parliamentary democracy that goverened the whole. A parallel process undermines the social institutions that buttressed this state and were supported by it in turn. The normal family, the normal career, and the normal life history are all radically called into question and subsequently have to be continually re-negotiated. This is the new and complex reality we have to figure out on both a theorietical and an empirical level. It is not beyond modernity. p.29\n\nBig Point time\nUB: 'In the framework of the first modernity, society is thought of as organized in terms of the nation-state. Secondly, it is conceived of as based on pre-given collective identities that are anchored in large collective groups. Thirdly, it is thought of as full-employment society. Paid labor is supposed to be available for all normal people, and people are defined as normal by participating in it. Fourthly, the first modernity rests on a clear distinction between society and nature. Nature is conceived of as the \u201coutside\u201d of society, and as a functionally infinite resource and sink. And lastly, the first modernity presupposes Weber\u2019s principle of technical rationality, which presumes that all the side effects of industrialization and rationalization are predictable and controllable. These are the basic premises of the first modernity. When I say they are increasingly being called into question through the process of reflexive modernization, this is not something that happens all at once, but rather something that has been happening on several different time scales since the middle of the twentieth century. The presumption that society is something \u201ccontained\u201d in nation-states has been undermined by globalization, which I don\u2019t mean only, or even mostly, in the economic sense, but even more as a social and cultural and political phenomenon. The idea of pre-given collective identities that are provided by a small number of large collective groups has less and less empirical relevance to a society that has been structurally transformed by the ongoing process of individualization. The paradigm of a full-employment society is increasingly inapplicable on account of the fragmentation of work and the increasing variety and predominance of non-normal forms of 30 Conversation 1 employment. The idea that nature is an infinite sink and resource has been called into question by the ecological crises that loom in every direction. The idea that that there is a clear distinction between society and nature has been called into question by things like gene technology, human genetics, and nano-technology, all of which blur the line between them. These last technologies also bear on the premise of predictability and controllability, which has been undermined by the proliferation of global risks. Because such risks are systemic, they change the very concept of risk, from one of probability to one of radical uncertainty. The fact that they cross national borders also makes them impossible to capture in national statistics or to cope with through national action. Global risks produce global risk society. p.30-1\n\nUB: 'We can't describe it in terms of a closed arrangement of institutions. We can only describe [second modernity] as a process of transformation of the first modernity. p.31\n\nUB: 'I think therefore we are standing before two alternatives. The globalization process will affect all local identities, there is no escaping that. The alternatives result from how each local culture responds. It can try to block itself off from these developments. But \u2013 and we have to be clear on this point \u2013 that is just as much an active process as opening up. It means a locality has to actively attempt to change its course of development, and in a sense to refound itself anew against resistance. The other option is that the duality that local inhabitants are already experiencing can become conscious of itself and find a way of expressing itself coherently. It can produce a new kind of plural culture, one that satisfies the desire to reach backward into local traditions without stopping local culture from opening up and letting more of the world in. The second modernity emerges from this field of tensions p.43", "publisher" : "Blackwell Publishing Ltd", "publisher-place" : "Oxford", "title" : "Conversation 1: Postmodernity or Second Modernity?", "translator" : [ { "dropping-particle" : "", "family" : "Pollak", "given" : "Michael", "non-dropping-particle" : "", "parse-names" : false, "suffix" : "" } ], "type" : "chapter" }, "locator" : "43", "uris" : [ "http://www.mendeley.com/documents/?uuid=f8997d67-85df-4585-ac9a-64a7b8e54fc4" ] } ], "mendeley" : { "formattedCitation" : "Beck and Wiilms, p. 43.", "plainTextFormattedCitation" : "Beck and Wiilms, p. 43.", "previouslyFormattedCitation" : "Beck and Wiilms, p. 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Beck and Wiilms, p. 43.</w:t>
      </w:r>
      <w:r w:rsidRPr="00505CF0">
        <w:rPr>
          <w:rFonts w:asciiTheme="majorBidi" w:hAnsiTheme="majorBidi" w:cstheme="majorBidi"/>
        </w:rPr>
        <w:fldChar w:fldCharType="end"/>
      </w:r>
    </w:p>
  </w:footnote>
  <w:footnote w:id="159">
    <w:p w14:paraId="4186457D" w14:textId="313638C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"157", "uris" : [ "http://www.mendeley.com/documents/?uuid=375b0b4a-bfad-4d0a-a1e7-1338c698bdca" ] } ], "mendeley" : { "formattedCitation" : "Lipovetsky, p. 157.", "plainTextFormattedCitation" : "Lipovetsky, p. 157.", "previouslyFormattedCitation" : "Lipovetsky, p. 157."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Lipovetsky, p. 157.</w:t>
      </w:r>
      <w:r w:rsidRPr="00505CF0">
        <w:rPr>
          <w:rFonts w:asciiTheme="majorBidi" w:hAnsiTheme="majorBidi" w:cstheme="majorBidi"/>
        </w:rPr>
        <w:fldChar w:fldCharType="end"/>
      </w:r>
    </w:p>
  </w:footnote>
  <w:footnote w:id="160">
    <w:p w14:paraId="5724B0D0" w14:textId="0B5C2C2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"Torralba", "given" : "Francesc", "non-dropping-particle" : "", "parse-names" : false, "suffix" : "" } ], "container-title" : "Transfer: Journal of Contemporary Culture", "id" : "ITEM-1", "issued" : { "date-parts" : [ [ "2011" ] ] }, "note" : "It would seem a priori that fear is a sentiment more in keeping with the pre-scientific age than the technological era and yet fear, in a vague but persistent way, spreads into all areas of collective life. There is fear in the macro-sphere that has to do with the world\u2019s ecological crisis, but there is also fear in the micro-sphere, that of the citizen walking down a dark narrow street, afraid of being attacked. There is fear in lucrative organisations, but also in the more intimate sphere, in the home, the fear of losing bonds, of not being well enough prepared to compete and that of losing importance and prestige in social life. p.58\n\nIn hypermodernity, the gods have been wiped off the horizon and nature is described according to universal laws. We no longer fear the gods of Antiquity or the madness of nature, but other forms of fear proliferate. There is fear of organisations, fear of job insecurity, fear of losing one\u2019s health, fear due to the inconsistency of ties. New scenarios of this threat appear, new tales of future devastations that strike fear into the average citizen. p.58\n\nWe are no longer frightened by the gods, but by what human beings are capable of doing and legitimating in the name of the gods. p.58\n\nfear has occupied a marginal place in treatises on the passions that the most illustrious modern thinkers have left us. p.59\n\nIf it is true, as has been written, that we live in the society of uncertainty and risk, it is no supruse, then, that the feeling of fear should grow, because there is a directly proportional relationship between both. p.60\n\nLet us identify the most important, stressing that some of the current forms have coexisted throughout the history of humankind and are constituent aspects of the finite and contingent structure of the human being: p.60\n- Fear of Death. Death causes fear because it means the end of the biological process and coming into contact with uncertainty. These days, fear is not aroused by stories from beyond the grave or by threatening eschatological symbolism, but by the fact of ceasing to be, of disappearing from this world.\n-Fear of the Strange. Fear is caused by the worrying presence of the strange, ignorance of its intentions and reasons, its customs and its ways of life. [...] The strange is always a violent presence, because it questions our own ways, because it demands we find a common language and guarantee minimum laws for good social coexistence. At the same time, though, it is also an opportunity to reflect on our own identity, on the collective singularity. Never before has it been so utterly difficult to define ourselves. This fear is not, of course, new in the history of Western civilisation, but in contexts of intense migratory flows like the present one, it once again bursts in and generates attitudes of putting up barriers.\n-Fear of Technology. Today\u2019s citizens seem to be always threatened by what they produce, namely, by the result of the labour of their hands and, even more so, by the working of their intelligence. [...] This state of threat against people by their products has several directions and degrees of intensity. It seems, fortunately, that we are ever more aware of the fact that the exploitation of the Earth, of the planet we live on, demands rational and honest planning. \n-Fear of Failure. In the society of success, the fear of failure, of losing social and economic status, emerges forcefully. A growing intolerance of failure and a sacralisation of success in social and economic terms has been detected. [...] Failure, like evil, is such insofar as it represents a threat to our identity; it will depend, then, on what we think realises us, what makes us. What we consider as failure will help us to understand what we are and, the other way round, what we are will make us consider something a failure or not. [...] The melancholy of failure and the obsession with success are two evils of finalising: two ways of not knowing how to finish in order to be able, by sorting oneself out, to beat new paths. Failure is undeniably an evil.\n-Fear of Freedom. Nevertheless, the fear of personal self-determination, of exercising one\u2019s own autonomy, of defending one\u2019s own convictions in such liquid and inconsistent contexts as postmodern scenarios, is growing significantly. We live in an age in which defending solid ideas like freedom, truth, dignity or even equality arouses a certain fear as we are crossing the line of what is politically correct, of that which travels along the highways of official thinking. [...] Therefore, the fear of freedom is, at heart, a clear consequence of the crisis of character.\n-Fear of Loneliness. As Zygmunt Bauman [Liquid Modernity] has made clear in his sociological analyses, interpersonal ties, social and affective relationships are characterised, in the present, by their fragility and inconsistency. [...] Ties are ephemeral and this arouses great anxiety, even in the form of pathological worry, because people do not want to lose the bonds of affection that make their emotional balance possible, but they are not prepared to give of themselves wholeheartedly, to commit themselves solidly to their partner. p.60-4", "page" : "56-67", "title" : "The Essence and Forms of Fear in Hypermodernity", "type" : "article-journal", "volume" : "6" }, "locator" : "60-1", "suffix" : "Original Emphasis in Bold.", "uris" : [ "http://www.mendeley.com/documents/?uuid=e76757a6-494a-4749-9241-dee2182ef50c" ] } ], "mendeley" : { "formattedCitation" : "Torralba, pp. 60\u20131 Original Emphasis in Bold.", "manualFormatting" : "Francesc Torralba, \u2018The Essence and Forms of Fear in Hypermodernity\u2019, Transfer: Journal of Contemporary Culture, 6 (2011), 56\u201367 (pp. 60\u20131) Original emphasis in bold.", "plainTextFormattedCitation" : "Torralba, pp. 60\u20131 Original Emphasis in Bold.", "previouslyFormattedCitation" : "Torralba, pp. 60\u20131 Original Emphasis in Bold."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Francesc Torralba, ‘The Essence and Forms of Fear in Hypermodernity’, </w:t>
      </w:r>
      <w:r w:rsidRPr="00505CF0">
        <w:rPr>
          <w:rFonts w:asciiTheme="majorBidi" w:hAnsiTheme="majorBidi" w:cstheme="majorBidi"/>
          <w:i/>
          <w:noProof/>
        </w:rPr>
        <w:t>Transfer: Journal of Contemporary Culture</w:t>
      </w:r>
      <w:r w:rsidRPr="00505CF0">
        <w:rPr>
          <w:rFonts w:asciiTheme="majorBidi" w:hAnsiTheme="majorBidi" w:cstheme="majorBidi"/>
          <w:noProof/>
        </w:rPr>
        <w:t>, 6 (2011), 56–67 (pp. 60–1) Original emphasis in bold.</w:t>
      </w:r>
      <w:r w:rsidRPr="00505CF0">
        <w:rPr>
          <w:rFonts w:asciiTheme="majorBidi" w:hAnsiTheme="majorBidi" w:cstheme="majorBidi"/>
        </w:rPr>
        <w:fldChar w:fldCharType="end"/>
      </w:r>
    </w:p>
  </w:footnote>
  <w:footnote w:id="161">
    <w:p w14:paraId="35A004B0" w14:textId="0C016C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"67", "uris" : [ "http://www.mendeley.com/documents/?uuid=be2c4028-80df-4158-a2e8-39b871d0085f" ] } ], "mendeley" : { "formattedCitation" : "Samuels, &lt;i&gt;New Media, Cultural Studies, and Critical Theory After Postmodernism: Automodernity from Zizek to Laclau&lt;/i&gt;, p. 67.", "plainTextFormattedCitation" : "Samuels, New Media, Cultural Studies, and Critical Theory After Postmodernism: Automodernity from Zizek to Laclau, p. 67.", "previouslyFormattedCitation" : "Samuels, &lt;i&gt;New Media, Cultural Studies, and Critical Theory After Postmodernism: Automodernity from Zizek to Laclau&lt;/i&gt;, p. 67."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67.</w:t>
      </w:r>
      <w:r w:rsidRPr="00505CF0">
        <w:rPr>
          <w:rFonts w:asciiTheme="majorBidi" w:hAnsiTheme="majorBidi" w:cstheme="majorBidi"/>
        </w:rPr>
        <w:fldChar w:fldCharType="end"/>
      </w:r>
    </w:p>
  </w:footnote>
  <w:footnote w:id="162">
    <w:p w14:paraId="56E0A7B5" w14:textId="4329D3D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"Samuels", "given" : "Robert", "non-dropping-particle" : "", "parse-names" : false, "suffix" : "" } ], "id" : "ITEM-1", "issued" : { "date-parts" : [ [ "2010" ] ] }, "note" : "This book argues that we have moved into a new cultural period, automodernity, which represents a social, psychological, and technological reaction to post-modernity. p.ix\n\nNew Media, Cultural Studies, and Critical Theory after Postmodernism argues that we have entered a new era of cultural history, which is dominated by the paradoxical combination of social automation and individual autonomy. p.3\n\nautomodernity reacts to the postmodern stress on social and cultural conflict by celebrating the autonomous individual's ability to exploit unregulated, automaterd social systems. p.3\n\nA central claim of this book is that since the automodern movement concerns a cultural backlash that is political, psychological, economic, tehcnological, historical, and artistic, we need a theory that can integrate these different levels of thought and experience. Moreover, critical theory is not only supposed to help us to see connections and to relate seemingly unrelated phenomena, it also needs to be rhetorical in the sense that it has to be critically aware of its own use of language, while it is historically and psychologically accurate. p.4\n\npart of the automodern rhetorical campaign is to deny the need to help these social groups. This rhetoric of denial occurs on several disconnected fronts. p.5\n\nThe challenge for criticval theory in the period of automodernity is to first recognize the dominant combination of autonomy and automation and then employ this new cultural order in a more self-critical and social way. p.24\n\nas a popular gesture of automodern theory and culture, this combination of production and conscumption within a consumer society and culture points to the idea that resistant and critical modes of art have now been transformed into personalized expressions and repressions of capatalistic, mass mediated alienation. However, by turning the act of consuming objects borrowed from popular culture into a subversive act of individual appropriation, both the desire for social change and the recognition of social determinism may be effaced. p.40-1\n\nOne reason why many academic thinkers are now so taken with this rhetoric of new media appropriation is that academic theorists and critics also experience the simultaeneous sense that they are alienated by dominant culture and that they must change things, but they are not in a position to change very much, and so they must settle for subversive readings of cultural productions. p.41\n\nAfter postmodernity, what we then find is that new media, cultural studies, and critical theory often promote the automodern celebration of individual autonomy combined with social and technological automation. p.50\n\nJameson's work also helps us to see how the ironic posturing of automodern culture is in part derived from an underlying sense of globalized nihilism. Since, we now lived in a period where most resistances to capitalist explasion have been overcome, the modern dialectic of capitalism and its other has been undermined, and what we find is the spreading of a system that is void of any internal content. p.67\n\nautomodern backlash against minorit rights. p.67\n\nin automodern culture, there is no longer a strong tension between high and low culture. p.79\n\nThis notion of idiotic enjoyment (jouissance?) helps us to clarify Zizek's use of humour, irony, and popular culture because what functions to ground his work is this enjoyment of the unconscious, and like so many automodern cultural productions, what we find is a combination of repressed social constructions with a heightened senses of individual freedoms. Thus, just as new media often represses social mediation by automating cultural production, Zizek use repetition and unconscious enjoyment to hide the social construction of his discourse. Moreover, since he grounds subjectivity in self-negation, and he critiques the social construction of reality, the only way his work is able to gain any sense of stability is through acts oforthodoxy or in the repetition of idiotic enjoyment. \nThe combination of universalized self-negation and pop culture enjoyment constitutes the ironic foundation for much of automodern subjectitivity. From this persepctive, since all social claims are suspect, but all one can do is make social claims, the only possible solution is to take multiple positions on the same topic and to keep one's distance from all commitments. In Zizek's case, this ironic position is displayed by the repetition of sane examples, texts, and concepts for often very different purposes. therefore, in allowing Zizek's own early stress on form over content, we must see in the repetative form of his writing, the key to his ideological desire. p.82-3\n\nto better understand the psychopathology of automodernity and the rejection of postmodern politics... p.103\n\nWe also find in students, faculty, and administrators, a strong automodern backlash agaubst progressive, postmodern education and social movements. p. 108\n\ncurrent dominance of glocal cultural nihilism, self-reflexive individualism, and nostalgic fundamentalism p.122\n\nin turn, by denying the violent nature of [video games] and claiming that they are part of an escape and meaningless etertainment, our culture is cut off from confronting our own aggressive tendencies. \nCentral to the confliced relation to aggression in contemporary society is the way that automodern society utlizes an ironic and self-divided mode of subjectivity. For example, in interviews I have conducted with avid new media game players, people often tell me that what attracts them to these cultural products is their realness, and at the same time , they insist that these games have no effect on reality or how they really view the world. p.125\n\nThis theory of ironic avoidance echoes Freud's conception of humour, and it shows why the automodern turn to comedy, irony, and satire in popular culture fuels a libertarian and nihilistic desire to remove the self from any level of social resplosibility or cultural criticism. p.125\n\nThe great idological trick of automodernity, then, is to autmoate social order of knowledge and material telations and to then use this simplification of the Other to clear a space for the illusion of individual freedom. In short, the symbolic order produces a sense of freedom at the same time that it repressed its own symbolic power. P.132", "publisher" : "Palgrave Macmillan", "publisher-place" : "New York", "title" : "New Media, Cultural Studies, and Critical Theory After Postmodernism: Automodernity from Zizek to Laclau", "type" : "book" }, "locator" : "5", "uris" : [ "http://www.mendeley.com/documents/?uuid=be2c4028-80df-4158-a2e8-39b871d0085f" ] } ], "mendeley" : { "formattedCitation" : "Samuels, &lt;i&gt;New Media, Cultural Studies, and Critical Theory After Postmodernism: Automodernity from Zizek to Laclau&lt;/i&gt;, p. 5.", "plainTextFormattedCitation" : "Samuels, New Media, Cultural Studies, and Critical Theory After Postmodernism: Automodernity from Zizek to Laclau, p. 5.", "previouslyFormattedCitation" : "Samuels, &lt;i&gt;New Media, Cultural Studies, and Critical Theory After Postmodernism: Automodernity from Zizek to Laclau&lt;/i&gt;,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Samuels, </w:t>
      </w:r>
      <w:r w:rsidRPr="00505CF0">
        <w:rPr>
          <w:rFonts w:asciiTheme="majorBidi" w:hAnsiTheme="majorBidi" w:cstheme="majorBidi"/>
          <w:i/>
          <w:noProof/>
        </w:rPr>
        <w:t>New Media, Cultural Studies, and Critical Theory After Postmodernism: Automodernity from Zizek to Laclau</w:t>
      </w:r>
      <w:r w:rsidRPr="00505CF0">
        <w:rPr>
          <w:rFonts w:asciiTheme="majorBidi" w:hAnsiTheme="majorBidi" w:cstheme="majorBidi"/>
          <w:noProof/>
        </w:rPr>
        <w:t>, p. 5.</w:t>
      </w:r>
      <w:r w:rsidRPr="00505CF0">
        <w:rPr>
          <w:rFonts w:asciiTheme="majorBidi" w:hAnsiTheme="majorBidi" w:cstheme="majorBidi"/>
        </w:rPr>
        <w:fldChar w:fldCharType="end"/>
      </w:r>
    </w:p>
  </w:footnote>
  <w:footnote w:id="163">
    <w:p w14:paraId="038EA772" w14:textId="1A79F9B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"159", "uris" : [ "http://www.mendeley.com/documents/?uuid=375b0b4a-bfad-4d0a-a1e7-1338c698bdca" ] } ], "mendeley" : { "formattedCitation" : "Lipovetsky, p. 159.", "plainTextFormattedCitation" : "Lipovetsky, p. 159.", "previouslyFormattedCitation" : "Lipovetsky, p. 159."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Lipovetsky, p. 159.</w:t>
      </w:r>
      <w:r w:rsidRPr="00505CF0">
        <w:rPr>
          <w:rFonts w:asciiTheme="majorBidi" w:hAnsiTheme="majorBidi" w:cstheme="majorBidi"/>
        </w:rPr>
        <w:fldChar w:fldCharType="end"/>
      </w:r>
    </w:p>
  </w:footnote>
  <w:footnote w:id="164">
    <w:p w14:paraId="12BA67FB" w14:textId="069CC6A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"Eshelman", "given" : "Raoul", "non-dropping-particle" : "", "parse-names" : false, "suffix" : "" } ], "container-title" : "Anthropoetics", "id" : "ITEM-1", "issue" : "2", "issued" : { "date-parts" : [ [ "2001" ] ] }, "note" : "For the subject, postmodernism presents a mighty, seemingly inescapable trap.Any attempt it makes to find itself through a search for meaning is bound to go awry, for every sign promising some sort of originary knowledge is embedded in further contexts whose explication requires the setting of even more signs. [...] \n\nThe way out of postmodernism does therefore not lead through the intensified search for meaning, through the introduction of new, surprising forms or through the return to an authentic origin. Instead, it must take place through a mechanism completely impervious to postmodernism\u2019s modes of dispersal, deconstruction and proliferation. This mechanism, which has been making itself felt with increasing strength in the cultural events of the last few years, can be best understood using the notion of\u00a0performance.\n\nA performance foregrounds of Emakes strange&amp;quot; the border between life and art\n\nThe new notion of performability serves neither to foreground not contextualize the subject, but rather to preserve it: the subject is presented (or presents itself) as a holistic, irreducible unit that makes a binding impression on a reader or observer. This holistic incarnation of the subject can, however, only succeed when the subject does not offer a semantically differentiated surface that can be absorbed and dispersed in the surrounding context. For this reason the new subject always appears to the observer as reduced and \u201csolid,\u201d as single- or simple-minded and in a certain sense identical with the things it stands for.\n\nThe first models fo a reduced, holistic subject seem not to have been formulated by writers or artists, but rather by literary critics reacting with antitheoretical or minimalistic arguments to poststructuralism.\n\nIn literature and particularly in cinema, the performatist sign and a holistic, reduced subject begin to appear in the mid-to-late 1990s\n\nThe new performatist concept of the subject expresses itself nost clearly in films [...] in which dumb or dumbed-down heroes play a central role.\n\nThese subjects present themselves (or are presented) as self-sufficient wholes impervious to the demands or responsabilities emnating from the social context around them. Out of these self-presentations arise new freedoms which [...] serve to renew human relationships through love.\n\nthe retrograde self-fashioning of the subject has something prodoundly sacral about it, for every successful act of establishing selfhood implies a transcending, context-disrupting act of sacrifice which can exhaust or destroy the subject.\n\nThe performative subject, who delineates as a whole, closed space within a certain context, must reckon with the entire resentment of the context being directed against the foreign body in its midst. At the same time the subject's &amp;quot;message&amp;quot; can spread when other subjects are infected by its example and create new free spaces of their own. \n\nJust as postmodernism institutionalized evil\u2013continuous boundary transgression\u2013the new epoch institutionalizes the good\u2013the one-time, firm drawing of borders. Accordingly, there is a strong tendency among performative works of art to justify divine creation, to turn to theodicy\n\nThe performative drawing of boundaries expresses itself most clearly in terms of plot. Postmodernism, as is well known, allows no time or space for causal ties to develop. Chronotopes arise and disperse almost simultaneously (as can be seen in Derridian modes like\u00a0diff\u00e9rance\u00a0or undecidability, which cannot be fixed in temporal, spatial or causal terms). In contrast, in the new, performatist epoch there is a tendency to create chronotopes allowing a choice between possibilities or even repeated choices between possibilities. [...] the point is to preserve the integrity of the subject even under the most unfavorable conditions.\n\nThe actions of the subject are no longer determined by aleatory, ultimately uncontrollable equivalances among signs, but rather through the manipulation of the transcendental frame by a subject endowed with authorial powers.\n\nSince the positively acting subject should be preserved at all costs, we find in performatist works a tendency to invest characters with far-ranging authorial perogatives. Accordingly, characters are endowed with the ability to manipulate time, space, and causality for their own benefit.\n\nThe act of narrating becomes an act of beleif that cannot be made the object of metaphysical critique or deconstruction.\n\nA successful performance depends on the unforced will of an authorially framed subject and not on the author himself.\n\nWhereas postmodern architecture disorients the subject by causing spacial coordinates to appear equivalent and interchangeable, the glass dome of the Reichstag presents a transparent, unmarked frame whcih allows the visitor to experience his or her own apotheosis by slowly ascending the spiral-shaped walkway curling around the dome; at the end of the climb the visitor, now completely surrounded by blu sky, &amp;quot;thrones&amp;quot; over the members of the Bundestag deliberating directly below.\n\nIn terms of media, the performative reduction and drawing of boundaries aims neither one-sidedly at the authentic reproduction of the real nor at the effortless, endless reproduction of signs in virtual, secondary reality. Rather, it performs a paradoxical unification of both moments in a cinematic frame which, precisely because it is constructed by an author and not by an interplay of signs, is maked by personal and technical &amp;quot;mistakes&amp;quot;.\n\nThe graffiti on the Reichstag walls are not citations, they are real; rather than producing a nostalgic, stimulatory effect, they domstrate the materiality, subjectivity, and fracturedness of history within a holistic, intentionally constructed framework.\n\nIn general, performatism encourages self-therapy, it suggests we can transcend the force of rampant, oppressive contexts by repeatedly assering our own selfhood.\n\nBecause it will not come without law and government, changing ourselves is all the more important. We are the beginning as well as the end of a dsecent economy's possibility, becayse we are the sole site of responsability.\n\nFinally, the unifying intention of performatism is closely tied to the return of the phallus as a positive enabling force in culture. Contrary to the poststructuralist assumption that the phallus functions only by muzzling, suppressing, or penetrating the female, the performative phallus creates a poisitive, gender-transcending unity through a process of more-or-less voluntary self-sacrifice. The centrifying, attention-grabbing fusion of corporality and semioticity which the act of self0sacrifice entails leaves behind an empty space which is not seldom filled out by female characters. The phallic thus annihilates itself [...] practices continence [...] or leaves behind a codex or testament. \n\nIn veiw of this active presentation and retraction of the phallus (not castration!) the female characters themselves receive the opportunity to act in a phallic - which is to say active and unifying - way.\n\nIndeed, in the world of performatism the symbolic order of language and the chain of signifiers with its distracting puns play little or no role [...] decisive for for [sic] the performatist work is the hollistic, object-orientated force of the utterance and not the glissement of signifiers.\n\nPerformatism's break with postmodernism did not take place cleanly and in one stroke. \n\nI would also suggest that it is not evil qhich determines the post-postmodern condition (even if evil is still active and present as a residual phenomenon), but rather love, for love, as the optimal condition of innovation, enables any subject to be loved - that is, to enter with another, alien subject into a whole, salvational space or frame. \n\nIn performatism the set is always toward transcending irony; in postmodernism it is toward generating irony ad infinitum. \n\nwe feel the presence of an epoch whose contours are just barely visable and in which we can perceive only simplicity or simple-mindedness. The main thing, though, is to already be in love with it.", "title" : "Performatism, or the End of Postmodernism", "type" : "article-journal", "volume" : "6" }, "uris" : [ "http://www.mendeley.com/documents/?uuid=1cf4233d-2396-4973-ae3f-8b7aea0c6194" ] } ], "mendeley" : { "formattedCitation" : "Eshelman, \u2018Performatism, or the End of Postmodernism\u2019.", "plainTextFormattedCitation" : "Eshelman, \u2018Performatism, or the End of Postmodernism\u2019.", "previouslyFormattedCitation" : "Eshelman, \u2018Performatism, or the End of Postmodernism\u2019."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Eshelman, ‘Performatism, or the End of Postmodernism’.</w:t>
      </w:r>
      <w:r w:rsidRPr="00505CF0">
        <w:rPr>
          <w:rFonts w:asciiTheme="majorBidi" w:hAnsiTheme="majorBidi" w:cstheme="majorBidi"/>
        </w:rPr>
        <w:fldChar w:fldCharType="end"/>
      </w:r>
    </w:p>
  </w:footnote>
  <w:footnote w:id="165">
    <w:p w14:paraId="1433B811" w14:textId="71287F2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"Seah", "given" : "Audrey", "non-dropping-particle" : "", "parse-names" : false, "suffix" : "" } ], "container-title" : "Obsculta", "id" : "ITEM-1", "issue" : "1", "issued" : { "date-parts" : [ [ "2014" ] ] }, "note" : "the inner frame provides the originating context, while the outer frame imposes some sort of unequivocal resolution to the provlems raised in the work on the reader or the viewer. p.20\n\nDouble framing as such, can be summarized as a specific way of creating aesthetic closure; allowing an opaque or dense subjectivity, governed by an authorial mode of organaizing temporal and spatial relations, which in turn promotes a false sense of objectivity. p.20\n\nthe Performatist's double frame traps the subject in a recursive loop of false objectivity of the outer frame, preventing true interation with the ultimate divine &amp;quot;object&amp;quot;. The subject never attempts to break the frame, choosing instead to bounce back and forth between the inner and outer frame, for fear of drowning in a sea of relativism. p.20\n\nBecause performatism locks the subject within an enclosed space, there is also little space for adaptation. p.22\n\nWhen Performatism is coupled with the shallow notions of beauty and symbols embraced by a materialistic world, true aestheticization becomes even more challenging. Thus, aesthetics as a theological method must be re-situated within an alternative theological framework for its full value to be realized. p.22", "page" : "16-22", "title" : "Theological Aesthetics and Performatism in the Aestheticization of the Roman Catholic Liturgy", "type" : "article-journal", "volume" : "5" }, "locator" : "20", "uris" : [ "http://www.mendeley.com/documents/?uuid=c6627b16-2a63-41d9-82b7-92c1973c1efc" ] } ], "mendeley" : { "formattedCitation" : "Seah, p. 20.", "plainTextFormattedCitation" : "Seah, p. 20.", "previouslyFormattedCitation" : "Seah, p. 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Seah, p. 20.</w:t>
      </w:r>
      <w:r w:rsidRPr="00505CF0">
        <w:rPr>
          <w:rFonts w:asciiTheme="majorBidi" w:hAnsiTheme="majorBidi" w:cstheme="majorBidi"/>
        </w:rPr>
        <w:fldChar w:fldCharType="end"/>
      </w:r>
    </w:p>
  </w:footnote>
  <w:footnote w:id="166">
    <w:p w14:paraId="1F291A47" w14:textId="20979E6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"Morris", "given" : "Jason", "non-dropping-particle" : "", "parse-names" : false, "suffix" : "" } ], "container-title" : "Jacket Magezine", "id" : "ITEM-1", "issued" : { "date-parts" : [ [ "2008" ] ] }, "note" : "Artists in a variety of media have been talking about a \u201cNew Sincerity.\u201d In poetry, Andrew Mister, Joseph Massey, and Anthony Robinson have written manifestos. Drawing is the new old thing in visual art; in their use of the long take, among other stylistic devices, Wes Anderson and a few other young filmmakers (maybe quoting Dogme, Expressionism or Neo-Realism), nod toward the medium\u2019s first promise \u2014 to be an \u201chonest\u201d representation of reality. In pop music, folk is making a resurgence. Performers like Will Oldham, Cat Power, Devendra Banhart and Joanna Newsom play with a kind of lo-fi, scaled-back immediacy which has been widely welcomed by audiences and critics alike.\u00a0The Believer\u00a0(whose name itself denotes a wide-eyed credulity) is among America\u2019s best and most widely circulated literary magazines; its credo in large part defines it as against the ironic, the cynical, etc. (The Doubter?). And yet all of these seem to be immanent critiques of irony: if irony is the black, rich bed of dirt out of which these movements blossom, to what degree does the sincerity they anticipate remain within its magnetic poles?\u00a0\n\nThere is a sense of urgency in wanting to convey as much information as possible, with as little artifice \u2014 as much \u201csincerity\u201d \u2014 as possible, regardless of whether or not the information conveyed \u201cmatters.\u201d\n\nIrony is dead. Irony is not dead. For the New Sincerity, irony is the main event of contemporary poetry. The manifestos urgently preach simultaneously that the end of irony is near and yet that irony is dead. So which is it? In the paradoxical modality out of which both of these manifestos have been written, irony is the event the New Sincerity proposes to write the end of, even while struggling within it, as part of its history.", "title" : "The Time Between Time: Messianism &amp; The Promise of a \"New Sincerity\"", "type" : "article-journal", "volume" : "35" }, "uris" : [ "http://www.mendeley.com/documents/?uuid=a86c6515-6a90-499d-afa3-e2ca1da0e7b7" ] } ], "mendeley" : { "formattedCitation" : "Jason Morris, \u2018The Time Between Time: Messianism &amp; The Promise of a \u201cNew Sincerity\u201d\u2019, &lt;i&gt;Jacket Magezine&lt;/i&gt;, 35 (2008) &lt;http://jacketmagazine.com/35/morris-sincerity.shtml&gt; [accessed 9 June 2017].", "plainTextFormattedCitation" : "Jason Morris, \u2018The Time Between Time: Messianism &amp; The Promise of a \u201cNew Sincerity\u201d\u2019, Jacket Magezine, 35 (2008)  [accessed 9 June 2017].", "previouslyFormattedCitation" : "Jason Morris, \u2018The Time Between Time: Messianism &amp; The Promise of a \u201cNew Sincerity\u201d\u2019, &lt;i&gt;Jacket Magezine&lt;/i&gt;, 35 (2008) &lt;http://jacketmagazine.com/35/morris-sincerity.shtml&gt; [accessed 9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Jason Morris, ‘The Time Between Time: Messianism &amp; The Promise of a “New Sincerity”’, </w:t>
      </w:r>
      <w:r w:rsidRPr="0025171E">
        <w:rPr>
          <w:rFonts w:asciiTheme="majorBidi" w:hAnsiTheme="majorBidi" w:cstheme="majorBidi"/>
          <w:i/>
          <w:noProof/>
        </w:rPr>
        <w:t>Jacket Magezine</w:t>
      </w:r>
      <w:r w:rsidRPr="0025171E">
        <w:rPr>
          <w:rFonts w:asciiTheme="majorBidi" w:hAnsiTheme="majorBidi" w:cstheme="majorBidi"/>
          <w:noProof/>
        </w:rPr>
        <w:t>, 35 (2008) &lt;http://jacketmagazine.com/35/morris-sincerity.shtml&gt; [accessed 9 June 2017].</w:t>
      </w:r>
      <w:r w:rsidRPr="00505CF0">
        <w:rPr>
          <w:rFonts w:asciiTheme="majorBidi" w:hAnsiTheme="majorBidi" w:cstheme="majorBidi"/>
        </w:rPr>
        <w:fldChar w:fldCharType="end"/>
      </w:r>
    </w:p>
  </w:footnote>
  <w:footnote w:id="167">
    <w:p w14:paraId="06E1CED1" w14:textId="360371E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"http://www.metamodernism.com/2010/09/23/hard-boiled-wonderland-from-pomo-to-metamo", "accessed" : { "date-parts" : [ [ "2017", "6", "14" ] ] }, "author" : [ { "dropping-particle" : "", "family" : "Vermeulen", "given" : "Timotheus", "non-dropping-particle" : "", "parse-names" : false, "suffix" : "" } ], "container-title" : "Notes on Metamodernism", "id" : "ITEM-1", "issued" : { "date-parts" : [ [ "2010" ] ] }, "note" : "within and from practices and artists whose starting point might have been postmodern, sensibilities emerge that no longer fit its framework: sincerity, hope, the inexplicable, the prediscursive...\n\nThis development is the development of the metamodern, rediscovering within the postmodern the modern, within apathy hope, within irony sincerity, within distrust (of grand narratives) belief, within the representative presence.", "title" : "Hard-boiled wonderland, blue velvet and the end of postmodernism", "type" : "webpage" }, "uris" : [ "http://www.mendeley.com/documents/?uuid=dfba6856-69be-4f3a-a9d6-03c50b96ea48" ] } ], "mendeley" : { "formattedCitation" : "Timotheus Vermeulen, \u2018Hard-Boiled Wonderland, Blue Velvet and the End of Postmodernism\u2019, &lt;i&gt;Notes on Metamodernism&lt;/i&gt;, 2010 &lt;http://www.metamodernism.com/2010/09/23/hard-boiled-wonderland-from-pomo-to-metamo&gt; [accessed 14 June 2017].", "plainTextFormattedCitation" : "Timotheus Vermeulen, \u2018Hard-Boiled Wonderland, Blue Velvet and the End of Postmodernism\u2019, Notes on Metamodernism, 2010  [accessed 14 June 2017].", "previouslyFormattedCitation" : "Timotheus Vermeulen, \u2018Hard-Boiled Wonderland, Blue Velvet and the End of Postmodernism\u2019, &lt;i&gt;Notes on Metamodernism&lt;/i&gt;, 2010 &lt;http://www.metamodernism.com/2010/09/23/hard-boiled-wonderland-from-pomo-to-metamo&gt; [accessed 14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‘Hard-Boiled Wonderland, Blue Velvet and the End of Postmodernism’, </w:t>
      </w:r>
      <w:r w:rsidRPr="0025171E">
        <w:rPr>
          <w:rFonts w:asciiTheme="majorBidi" w:hAnsiTheme="majorBidi" w:cstheme="majorBidi"/>
          <w:i/>
          <w:noProof/>
        </w:rPr>
        <w:t>Notes on Metamodernism</w:t>
      </w:r>
      <w:r w:rsidRPr="0025171E">
        <w:rPr>
          <w:rFonts w:asciiTheme="majorBidi" w:hAnsiTheme="majorBidi" w:cstheme="majorBidi"/>
          <w:noProof/>
        </w:rPr>
        <w:t>, 2010 &lt;http://www.metamodernism.com/2010/09/23/hard-boiled-wonderland-from-pomo-to-metamo&gt; [accessed 14 June 2017].</w:t>
      </w:r>
      <w:r w:rsidRPr="00505CF0">
        <w:rPr>
          <w:rFonts w:asciiTheme="majorBidi" w:hAnsiTheme="majorBidi" w:cstheme="majorBidi"/>
        </w:rPr>
        <w:fldChar w:fldCharType="end"/>
      </w:r>
    </w:p>
  </w:footnote>
  <w:footnote w:id="168">
    <w:p w14:paraId="1FC7E42C" w14:textId="16C436B7"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"http://www.maximumfun.org/blog/2006/02/manifesto-for-new-sincerity.html", "accessed" : { "date-parts" : [ [ "2017", "6", "9" ] ] }, "author" : [ { "dropping-particle" : "", "family" : "Thorn", "given" : "Jesse", "non-dropping-particle" : "", "parse-names" : false, "suffix" : "" } ], "container-title" : "MaximumFun", "id" : "ITEM-1", "issued" : { "date-parts" : [ [ "2006" ] ] }, "note" : "What is The New Sincerity? Think of it as iront and sincerity combined like Voltron, to form a new movement of astonishing power. Or think og it as the absence of irony and sincerity, where less is (obviously) more.", "title" : "A Manifesto for The New Sincerity", "type" : "webpage" }, "uris" : [ "http://www.mendeley.com/documents/?uuid=199b69e6-1ee3-4abd-a739-8840f231b183" ] } ], "mendeley" : { "formattedCitation" : "Jesse Thorn, \u2018A Manifesto for The New Sincerity\u2019, &lt;i&gt;MaximumFun&lt;/i&gt;, 2006 &lt;http://www.maximumfun.org/blog/2006/02/manifesto-for-new-sincerity.html&gt; [accessed 9 June 2017].", "plainTextFormattedCitation" : "Jesse Thorn, \u2018A Manifesto for The New Sincerity\u2019, MaximumFun, 2006  [accessed 9 June 2017].", "previouslyFormattedCitation" : "Jesse Thorn, \u2018A Manifesto for The New Sincerity\u2019, &lt;i&gt;MaximumFun&lt;/i&gt;, 2006 &lt;http://www.maximumfun.org/blog/2006/02/manifesto-for-new-sincerity.html&gt; [accessed 9 June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Jesse Thorn, ‘A Manifesto for The New Sincerity’, </w:t>
      </w:r>
      <w:r w:rsidRPr="0025171E">
        <w:rPr>
          <w:rFonts w:asciiTheme="majorBidi" w:hAnsiTheme="majorBidi" w:cstheme="majorBidi"/>
          <w:i/>
          <w:noProof/>
        </w:rPr>
        <w:t>MaximumFun</w:t>
      </w:r>
      <w:r w:rsidRPr="0025171E">
        <w:rPr>
          <w:rFonts w:asciiTheme="majorBidi" w:hAnsiTheme="majorBidi" w:cstheme="majorBidi"/>
          <w:noProof/>
        </w:rPr>
        <w:t>, 2006 &lt;http://www.maximumfun.org/blog/2006/02/manifesto-for-new-sincerity.html&gt; [accessed 9 June 2017].</w:t>
      </w:r>
      <w:r w:rsidRPr="00505CF0">
        <w:rPr>
          <w:rFonts w:asciiTheme="majorBidi" w:hAnsiTheme="majorBidi" w:cstheme="majorBidi"/>
        </w:rPr>
        <w:fldChar w:fldCharType="end"/>
      </w:r>
    </w:p>
  </w:footnote>
  <w:footnote w:id="169">
    <w:p w14:paraId="528920F5" w14:textId="5ABF30E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"https://www.theatlantic.com/entertainment/archive/2012/11/sincerity-not-irony-is-our-ages-ethos/265466/", "accessed" : { "date-parts" : [ [ "2017", "6", "9" ] ] }, "author" : [ { "dropping-particle" : "", "family" : "Fitzgerald", "given" : "Jonathan D.", "non-dropping-particle" : "", "parse-names" : false, "suffix" : "" } ], "container-title" : "The Atlantic", "id" : "ITEM-1", "issued" : { "date-parts" : [ [ "2012" ] ] }, "note" : "Maybe it was September 11, and maybe it was that combined with the pendulum swing of time, but whatever the case, around the turn of the century, something began to shift. Today, vulnerability shows up in pop music where bravado and posturing once ruled.\n\nAll across the pop culture spectrum, the emphasis on sincerity and authenticity that has arisen has made it un-ironically cool to care about spirituality, family, neighbors, the environment, and the country.", "title" : "Sincerity, Not Irony, Is Our Age's Ethos", "type" : "webpage" }, "uris" : [ "http://www.mendeley.com/documents/?uuid=e1ea8295-298f-42c3-b970-1dd20ab6fa71" ] } ], "mendeley" : { "formattedCitation" : "Fitzgerald.", "plainTextFormattedCitation" : "Fitzgerald.", "previouslyFormattedCitation" : "Fitzgerald."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Fitzgerald.</w:t>
      </w:r>
      <w:r w:rsidRPr="00505CF0">
        <w:rPr>
          <w:rFonts w:asciiTheme="majorBidi" w:hAnsiTheme="majorBidi" w:cstheme="majorBidi"/>
        </w:rPr>
        <w:fldChar w:fldCharType="end"/>
      </w:r>
    </w:p>
  </w:footnote>
  <w:footnote w:id="170">
    <w:p w14:paraId="71C240F3" w14:textId="48679E7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"https://www.theatlantic.com/entertainment/archive/2012/11/sincerity-not-irony-is-our-ages-ethos/265466/", "accessed" : { "date-parts" : [ [ "2017", "6", "9" ] ] }, "author" : [ { "dropping-particle" : "", "family" : "Fitzgerald", "given" : "Jonathan D.", "non-dropping-particle" : "", "parse-names" : false, "suffix" : "" } ], "container-title" : "The Atlantic", "id" : "ITEM-1", "issued" : { "date-parts" : [ [ "2012" ] ] }, "note" : "Maybe it was September 11, and maybe it was that combined with the pendulum swing of time, but whatever the case, around the turn of the century, something began to shift. Today, vulnerability shows up in pop music where bravado and posturing once ruled.\n\nAll across the pop culture spectrum, the emphasis on sincerity and authenticity that has arisen has made it un-ironically cool to care about spirituality, family, neighbors, the environment, and the country.", "title" : "Sincerity, Not Irony, Is Our Age's Ethos", "type" : "webpage" }, "uris" : [ "http://www.mendeley.com/documents/?uuid=e1ea8295-298f-42c3-b970-1dd20ab6fa71" ] } ], "mendeley" : { "formattedCitation" : "Fitzgerald.", "plainTextFormattedCitation" : "Fitzgerald.", "previouslyFormattedCitation" : "Fitzgerald."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Fitzgerald.</w:t>
      </w:r>
      <w:r w:rsidRPr="00505CF0">
        <w:rPr>
          <w:rFonts w:asciiTheme="majorBidi" w:hAnsiTheme="majorBidi" w:cstheme="majorBidi"/>
        </w:rPr>
        <w:fldChar w:fldCharType="end"/>
      </w:r>
    </w:p>
  </w:footnote>
  <w:footnote w:id="171">
    <w:p w14:paraId="4442A456" w14:textId="7466D0A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"151", "uris" : [ "http://www.mendeley.com/documents/?uuid=e701ae9c-d978-41c3-b76c-fca08064d446" ] } ], "mendeley" : { "formattedCitation" : "Kirby, &lt;i&gt;Digimodernism&lt;/i&gt;, p. 151.", "plainTextFormattedCitation" : "Kirby, Digimodernism, p. 151.", "previouslyFormattedCitation" : "Kirby, &lt;i&gt;Digimodernism&lt;/i&gt;, p. 151."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151.</w:t>
      </w:r>
      <w:r w:rsidRPr="00505CF0">
        <w:rPr>
          <w:rFonts w:asciiTheme="majorBidi" w:hAnsiTheme="majorBidi" w:cstheme="majorBidi"/>
        </w:rPr>
        <w:fldChar w:fldCharType="end"/>
      </w:r>
    </w:p>
  </w:footnote>
  <w:footnote w:id="172">
    <w:p w14:paraId="4BA74D09" w14:textId="283C754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"151", "uris" : [ "http://www.mendeley.com/documents/?uuid=e701ae9c-d978-41c3-b76c-fca08064d446" ] } ], "mendeley" : { "formattedCitation" : "Kirby, &lt;i&gt;Digimodernism&lt;/i&gt;, p. 151.", "plainTextFormattedCitation" : "Kirby, Digimodernism, p. 151.", "previouslyFormattedCitation" : "Kirby, &lt;i&gt;Digimodernism&lt;/i&gt;, p. 151."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151.</w:t>
      </w:r>
      <w:r w:rsidRPr="00505CF0">
        <w:rPr>
          <w:rFonts w:asciiTheme="majorBidi" w:hAnsiTheme="majorBidi" w:cstheme="majorBidi"/>
        </w:rPr>
        <w:fldChar w:fldCharType="end"/>
      </w:r>
    </w:p>
  </w:footnote>
  <w:footnote w:id="173">
    <w:p w14:paraId="23D538FA" w14:textId="7E11FB6A" w:rsidR="00054009" w:rsidRPr="00391287" w:rsidRDefault="00054009">
      <w:pPr>
        <w:pStyle w:val="FootnoteText"/>
        <w:rPr>
          <w:i/>
          <w:iCs/>
        </w:rPr>
      </w:pPr>
      <w:r>
        <w:rPr>
          <w:rStyle w:val="FootnoteReference"/>
        </w:rPr>
        <w:footnoteRef/>
      </w:r>
      <w:r>
        <w:t xml:space="preserve"> </w:t>
      </w:r>
      <w:r>
        <w:rPr>
          <w:i/>
          <w:iCs/>
        </w:rPr>
        <w:t xml:space="preserve">ACO: </w:t>
      </w:r>
      <w:r w:rsidRPr="00391287">
        <w:rPr>
          <w:i/>
          <w:iCs/>
        </w:rPr>
        <w:t>William Allan, the venture capitalist mentioned in Southward’s notes, was not a member of the ethno-archa</w:t>
      </w:r>
      <w:r>
        <w:rPr>
          <w:i/>
          <w:iCs/>
        </w:rPr>
        <w:t>eological society, but rather described as a ‘sincere-seeming visitor’ in the records.</w:t>
      </w:r>
    </w:p>
  </w:footnote>
  <w:footnote w:id="174">
    <w:p w14:paraId="6C432B48" w14:textId="3D626E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"153", "uris" : [ "http://www.mendeley.com/documents/?uuid=e701ae9c-d978-41c3-b76c-fca08064d446" ] } ], "mendeley" : { "formattedCitation" : "Kirby, &lt;i&gt;Digimodernism&lt;/i&gt;, p. 153.", "plainTextFormattedCitation" : "Kirby, Digimodernism, p. 153.", "previouslyFormattedCitation" : "Kirby, &lt;i&gt;Digimodernism&lt;/i&gt;, p. 153."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153.</w:t>
      </w:r>
      <w:r w:rsidRPr="00505CF0">
        <w:rPr>
          <w:rFonts w:asciiTheme="majorBidi" w:hAnsiTheme="majorBidi" w:cstheme="majorBidi"/>
        </w:rPr>
        <w:fldChar w:fldCharType="end"/>
      </w:r>
    </w:p>
  </w:footnote>
  <w:footnote w:id="175">
    <w:p w14:paraId="67E06144" w14:textId="2A78D63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"154", "uris" : [ "http://www.mendeley.com/documents/?uuid=e701ae9c-d978-41c3-b76c-fca08064d446" ] } ], "mendeley" : { "formattedCitation" : "Kirby, &lt;i&gt;Digimodernism&lt;/i&gt;, p. 154.", "plainTextFormattedCitation" : "Kirby, Digimodernism, p. 154.", "previouslyFormattedCitation" : "Kirby, &lt;i&gt;Digimodernism&lt;/i&gt;, p. 154."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154.</w:t>
      </w:r>
      <w:r w:rsidRPr="00505CF0">
        <w:rPr>
          <w:rFonts w:asciiTheme="majorBidi" w:hAnsiTheme="majorBidi" w:cstheme="majorBidi"/>
        </w:rPr>
        <w:fldChar w:fldCharType="end"/>
      </w:r>
    </w:p>
  </w:footnote>
  <w:footnote w:id="176">
    <w:p w14:paraId="26004E23" w14:textId="41280DC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177">
    <w:p w14:paraId="74C265C9" w14:textId="50A2D7C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"http://flavorwire.com/496570/2014-the-death-of-the-postmodern-novel-and-the-rise-of-autofiction", "accessed" : { "date-parts" : [ [ "2015", "6", "2" ] ] }, "author" : [ { "dropping-particle" : "", "family" : "Sturgeon", "given" : "Jonathan", "non-dropping-particle" : "", "parse-names" : false, "suffix" : "" } ], "container-title" : "Flavorwire", "id" : "ITEM-1", "issued" : { "date-parts" : [ [ "2014" ] ] }, "title" : "2014: The Death of the Postmodern Novel and the Rise of Autofiction", "type" : "webpage" }, "uris" : [ "http://www.mendeley.com/documents/?uuid=b2b44e8c-82dc-44fa-aa54-89b441b21543" ] } ], "mendeley" : { "formattedCitation" : "Jonathan Sturgeon, \u20182014: The Death of the Postmodern Novel and the Rise of Autofiction\u2019, &lt;i&gt;Flavorwire&lt;/i&gt;, 2014 &lt;http://flavorwire.com/496570/2014-the-death-of-the-postmodern-novel-and-the-rise-of-autofiction&gt; [accessed 2 June 2015].", "plainTextFormattedCitation" : "Jonathan Sturgeon, \u20182014: The Death of the Postmodern Novel and the Rise of Autofiction\u2019, Flavorwire, 2014  [accessed 2 June 2015].", "previouslyFormattedCitation" : "Jonathan Sturgeon, \u20182014: The Death of the Postmodern Novel and the Rise of Autofiction\u2019, &lt;i&gt;Flavorwire&lt;/i&gt;, 2014 &lt;http://flavorwire.com/496570/2014-the-death-of-the-postmodern-novel-and-the-rise-of-autofiction&gt; [accessed 2 June 2015]."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Jonathan Sturgeon, ‘2014: The Death of the Postmodern Novel and the Rise of Autofiction’, </w:t>
      </w:r>
      <w:r w:rsidRPr="0025171E">
        <w:rPr>
          <w:rFonts w:asciiTheme="majorBidi" w:hAnsiTheme="majorBidi" w:cstheme="majorBidi"/>
          <w:i/>
          <w:noProof/>
        </w:rPr>
        <w:t>Flavorwire</w:t>
      </w:r>
      <w:r w:rsidRPr="0025171E">
        <w:rPr>
          <w:rFonts w:asciiTheme="majorBidi" w:hAnsiTheme="majorBidi" w:cstheme="majorBidi"/>
          <w:noProof/>
        </w:rPr>
        <w:t>, 2014 &lt;http://flavorwire.com/496570/2014-the-death-of-the-postmodern-novel-and-the-rise-of-autofiction&gt; [accessed 2 June 2015].</w:t>
      </w:r>
      <w:r w:rsidRPr="00505CF0">
        <w:rPr>
          <w:rFonts w:asciiTheme="majorBidi" w:hAnsiTheme="majorBidi" w:cstheme="majorBidi"/>
        </w:rPr>
        <w:fldChar w:fldCharType="end"/>
      </w:r>
    </w:p>
  </w:footnote>
  <w:footnote w:id="178">
    <w:p w14:paraId="60C7BE63" w14:textId="5DB8619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"https://www.the-tls.co.uk/articles/public/postmodernism-dead-comes-next/", "accessed" : { "date-parts" : [ [ "2017", "8", "24" ] ] }, "author" : [ { "dropping-particle" : "", "family" : "Gibbons", "given" : "Alison", "non-dropping-particle" : "", "parse-names" : false, "suffix" : "" } ], "container-title" : "TLS Online", "id" : "ITEM-1", "issued" : { "date-parts" : [ [ "2017" ] ] }, "note" : "Taken together, postmodernism seems essentially to invoke a questioning of the real, both in terms of the actual world, and in the representational efficacy and fidelity of fiction.\n\nYet when authors, or other real elements, appear in fiction now [...] their presence is intended to signal realism, rather than to foreground the artifice of the text. [...] emotions, furthermore, are again playing a central role in literary fiction, as authors insist on our essential relationality - our connectedness as humans to one another in the globalizing world and with fictional characters as representations of our selves.\n\nThe cumulitive effect of these events - and the accompanying hyper-anxiety brought about by twenty-four hour news - has made the western world feel like a more precarious and volatile place, in which we can no longer be nonchalent about our safety or future. Hence Nostalgia - Return to safety/ ignorance of better times. \n\nThere are convergences and divergences between these conceptualizations; they complement each other as much as they complete. Even so, consistent across these formations is a legacy of modernist and postmodernist stylistic practice, and a rehabilitated ethical consciousness. \n\nIt can be categorizes as autofiction, a genre that integrates the autobiographical into fiction, and that has blossomed alongside the so-called memoir boom. [...] Yet contemporary autofictions narrativize the self not as a game, but in order to enhance the realism of a text and tackle the sociological and phenomonological dimensions of personal life. \n\nAt the same time, our culture retains many of the themes and concerns that exercised writers of earlier generations; there is little sign of a radical literary avant garde sweeping away the old to make way for the new. Postmodernism might not be as emphatically over as some critics like to claim, but it does seem to be in retreat. Its devices have become so commonplace that they have been absorbed into mainstream, commercial and popular culture. Postmodernism has lost its value in part because it has oversaturated the market. And with the end of postmodernism\u2019s playfulness and affectation, we are better placed to construct a literature that engages earnestly with real-world problems. This new literature can, in good faith, examine complex and ever-shifting crises \u2013 of racial inequality, capitalism and climate change \u2013 to which it is easy to close one\u2019s eyes.", "title" : "Postmodernism is dead. What comes next?", "type" : "webpage" }, "uris" : [ "http://www.mendeley.com/documents/?uuid=b68ce122-c4b7-41f0-87d6-f79fae86eab4" ] } ], "mendeley" : { "formattedCitation" : "Gibbons, \u2018Postmodernism Is Dead. What Comes Next?\u2019", "plainTextFormattedCitation" : "Gibbons, \u2018Postmodernism Is Dead. What Comes Next?\u2019", "previouslyFormattedCitation" : "Gibbons, \u2018Postmodernism Is Dead. What Comes Next?\u2019"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‘Postmodernism Is Dead. What Comes Next?’</w:t>
      </w:r>
      <w:r w:rsidRPr="00505CF0">
        <w:rPr>
          <w:rFonts w:asciiTheme="majorBidi" w:hAnsiTheme="majorBidi" w:cstheme="majorBidi"/>
        </w:rPr>
        <w:fldChar w:fldCharType="end"/>
      </w:r>
    </w:p>
  </w:footnote>
  <w:footnote w:id="179">
    <w:p w14:paraId="69DFCB3B" w14:textId="2D3965C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"https://www.the-tls.co.uk/articles/public/postmodernism-dead-comes-next/", "accessed" : { "date-parts" : [ [ "2017", "8", "24" ] ] }, "author" : [ { "dropping-particle" : "", "family" : "Gibbons", "given" : "Alison", "non-dropping-particle" : "", "parse-names" : false, "suffix" : "" } ], "container-title" : "TLS Online", "id" : "ITEM-1", "issued" : { "date-parts" : [ [ "2017" ] ] }, "note" : "Taken together, postmodernism seems essentially to invoke a questioning of the real, both in terms of the actual world, and in the representational efficacy and fidelity of fiction.\n\nYet when authors, or other real elements, appear in fiction now [...] their presence is intended to signal realism, rather than to foreground the artifice of the text. [...] emotions, furthermore, are again playing a central role in literary fiction, as authors insist on our essential relationality - our connectedness as humans to one another in the globalizing world and with fictional characters as representations of our selves.\n\nThe cumulitive effect of these events - and the accompanying hyper-anxiety brought about by twenty-four hour news - has made the western world feel like a more precarious and volatile place, in which we can no longer be nonchalent about our safety or future. Hence Nostalgia - Return to safety/ ignorance of better times. \n\nThere are convergences and divergences between these conceptualizations; they complement each other as much as they complete. Even so, consistent across these formations is a legacy of modernist and postmodernist stylistic practice, and a rehabilitated ethical consciousness. \n\nIt can be categorizes as autofiction, a genre that integrates the autobiographical into fiction, and that has blossomed alongside the so-called memoir boom. [...] Yet contemporary autofictions narrativize the self not as a game, but in order to enhance the realism of a text and tackle the sociological and phenomonological dimensions of personal life. \n\nAt the same time, our culture retains many of the themes and concerns that exercised writers of earlier generations; there is little sign of a radical literary avant garde sweeping away the old to make way for the new. Postmodernism might not be as emphatically over as some critics like to claim, but it does seem to be in retreat. Its devices have become so commonplace that they have been absorbed into mainstream, commercial and popular culture. Postmodernism has lost its value in part because it has oversaturated the market. And with the end of postmodernism\u2019s playfulness and affectation, we are better placed to construct a literature that engages earnestly with real-world problems. This new literature can, in good faith, examine complex and ever-shifting crises \u2013 of racial inequality, capitalism and climate change \u2013 to which it is easy to close one\u2019s eyes.", "title" : "Postmodernism is dead. What comes next?", "type" : "webpage" }, "uris" : [ "http://www.mendeley.com/documents/?uuid=b68ce122-c4b7-41f0-87d6-f79fae86eab4" ] } ], "mendeley" : { "formattedCitation" : "Gibbons, \u2018Postmodernism Is Dead. What Comes Next?\u2019", "plainTextFormattedCitation" : "Gibbons, \u2018Postmodernism Is Dead. What Comes Next?\u2019", "previouslyFormattedCitation" : "Gibbons, \u2018Postmodernism Is Dead. What Comes Next?\u2019"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‘Postmodernism Is Dead. What Comes Next?’</w:t>
      </w:r>
      <w:r w:rsidRPr="00505CF0">
        <w:rPr>
          <w:rFonts w:asciiTheme="majorBidi" w:hAnsiTheme="majorBidi" w:cstheme="majorBidi"/>
        </w:rPr>
        <w:fldChar w:fldCharType="end"/>
      </w:r>
    </w:p>
  </w:footnote>
  <w:footnote w:id="180">
    <w:p w14:paraId="49848C85" w14:textId="7387ECF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"https://www.the-tls.co.uk/articles/public/postmodernism-dead-comes-next/", "accessed" : { "date-parts" : [ [ "2017", "8", "24" ] ] }, "author" : [ { "dropping-particle" : "", "family" : "Gibbons", "given" : "Alison", "non-dropping-particle" : "", "parse-names" : false, "suffix" : "" } ], "container-title" : "TLS Online", "id" : "ITEM-1", "issued" : { "date-parts" : [ [ "2017" ] ] }, "note" : "Taken together, postmodernism seems essentially to invoke a questioning of the real, both in terms of the actual world, and in the representational efficacy and fidelity of fiction.\n\nYet when authors, or other real elements, appear in fiction now [...] their presence is intended to signal realism, rather than to foreground the artifice of the text. [...] emotions, furthermore, are again playing a central role in literary fiction, as authors insist on our essential relationality - our connectedness as humans to one another in the globalizing world and with fictional characters as representations of our selves.\n\nThe cumulitive effect of these events - and the accompanying hyper-anxiety brought about by twenty-four hour news - has made the western world feel like a more precarious and volatile place, in which we can no longer be nonchalent about our safety or future. Hence Nostalgia - Return to safety/ ignorance of better times. \n\nThere are convergences and divergences between these conceptualizations; they complement each other as much as they complete. Even so, consistent across these formations is a legacy of modernist and postmodernist stylistic practice, and a rehabilitated ethical consciousness. \n\nIt can be categorizes as autofiction, a genre that integrates the autobiographical into fiction, and that has blossomed alongside the so-called memoir boom. [...] Yet contemporary autofictions narrativize the self not as a game, but in order to enhance the realism of a text and tackle the sociological and phenomonological dimensions of personal life. \n\nAt the same time, our culture retains many of the themes and concerns that exercised writers of earlier generations; there is little sign of a radical literary avant garde sweeping away the old to make way for the new. Postmodernism might not be as emphatically over as some critics like to claim, but it does seem to be in retreat. Its devices have become so commonplace that they have been absorbed into mainstream, commercial and popular culture. Postmodernism has lost its value in part because it has oversaturated the market. And with the end of postmodernism\u2019s playfulness and affectation, we are better placed to construct a literature that engages earnestly with real-world problems. This new literature can, in good faith, examine complex and ever-shifting crises \u2013 of racial inequality, capitalism and climate change \u2013 to which it is easy to close one\u2019s eyes.", "title" : "Postmodernism is dead. What comes next?", "type" : "webpage" }, "uris" : [ "http://www.mendeley.com/documents/?uuid=b68ce122-c4b7-41f0-87d6-f79fae86eab4" ] } ], "mendeley" : { "formattedCitation" : "Gibbons, \u2018Postmodernism Is Dead. What Comes Next?\u2019", "plainTextFormattedCitation" : "Gibbons, \u2018Postmodernism Is Dead. What Comes Next?\u2019", "previouslyFormattedCitation" : "Gibbons, \u2018Postmodernism Is Dead. What Comes Next?\u2019"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‘Postmodernism Is Dead. What Comes Next?’</w:t>
      </w:r>
      <w:r w:rsidRPr="00505CF0">
        <w:rPr>
          <w:rFonts w:asciiTheme="majorBidi" w:hAnsiTheme="majorBidi" w:cstheme="majorBidi"/>
        </w:rPr>
        <w:fldChar w:fldCharType="end"/>
      </w:r>
    </w:p>
  </w:footnote>
  <w:footnote w:id="181">
    <w:p w14:paraId="2450D854" w14:textId="05BD220B" w:rsidR="00054009" w:rsidRDefault="00054009">
      <w:pPr>
        <w:pStyle w:val="FootnoteText"/>
      </w:pPr>
      <w:r>
        <w:rPr>
          <w:rStyle w:val="FootnoteReference"/>
        </w:rPr>
        <w:footnoteRef/>
      </w:r>
      <w:r>
        <w:t xml:space="preserve"> </w:t>
      </w:r>
      <w:r>
        <w:rPr>
          <w:i/>
        </w:rPr>
        <w:t>ACO: The reader should note that W.J. Arapaima has published on nostalgia for the Southwardian era under the (justifiably maligned) title of ‘Who Cares Anymore? Can we move on?’ Justify,  2152</w:t>
      </w:r>
    </w:p>
  </w:footnote>
  <w:footnote w:id="182">
    <w:p w14:paraId="7D0FAE58" w14:textId="2F6C2B5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"dropping-particle" : "", "family" : "Vald\u00e9s", "given" : "Mario J.", "non-dropping-particle" : "", "parse-names" : false, "suffix" : "" } ], "container-title" : "Poligraf\u00edas", "id" : "ITEM-1", "issued" : { "date-parts" : [ [ "1998" ] ] }, "note" : "in the 1990s, it appears to be nostalgia that is holding sway [...] Nostalgia, the media tell us, has become an obsession of both mass culture and high art. And they may be right, though some poeple feel the obsession is really the media's obsession. p. 18\n\nThe explanations offered for the recent commerxialized luxuriating in the culture of the past have ranged from economic cynicism to moral superiority. They usually point to a dissatisfaction with the culture of the present - something that is then either applauded or condemned. p.19\n\nWhat exactly is &amp;quot;nostalgia,&amp;quot; though? Or perhaps the first question really should be: what was nostalgia? with its Greek roots -nostos, meaning &amp;quot;to return home&amp;quot; and algos meaning &amp;quot;pain&amp;quot; - this word sounds so familiar to us that we may forget that it is a relatively new word, as words go. p.19\n\nNostalgia was no longer simply a yearning to return home. As early as 1798, Immanuel Kant had noted that people who did return home were usually disappointed because, in fact, they did not want to return to a place, but to a time, a time of youth. p.19\n\nthe ideal that is not being lived now is projected into the pasty. It is &amp;quot;memorialized&amp;quot; as past, crystallized into precious moments selected by memory, but also by forgetting, and by desire's distortions and reorganizations. Simultaneously distancing and proximating, nostalgia exiles us from the present as it brings the imagined past near. [...] Nostalgic distancind sanitizes as it selects, making the past feel comfortable, stable, coherent, safe. p. 20.\n\nThe postmodern does indeed recall the past, but always with the kind of ironic double vision that acknowledges the final impossibility of indulging nostalgia, even as it consciously evokes nostalgia's affective power. p.23\n\nOur contemporary culture is indeed nostalgic; some parts of it - postmodern parts - are aware of the risks and lures of nostalgia, and seek to expose those through irony. p.23", "page" : "18-41", "title" : "Irony, Nostalgia, and the Postmodern: A Dialogue", "type" : "article-journal", "volume" : "3" }, "locator" : "18", "uris" : [ "http://www.mendeley.com/documents/?uuid=366349e5-3f08-47b8-be63-6003161cd1c1" ] } ], "mendeley" : { "formattedCitation" : "Linda Hutcheon and Mario J. Vald\u00e9s, \u2018Irony, Nostalgia, and the Postmodern: A Dialogue\u2019, &lt;i&gt;Poligraf\u00edas&lt;/i&gt;, 3 (1998), 18\u201341 (p. 18) &lt;http://www.revistas.unam.mx/index.php/poligrafias/issue/view/2579/showToc&gt;.", "manualFormatting" : "Linda Hutcheon and Mario J. Vald\u00e9s, \u2018Irony, Nostalgia, and the Postmodern: A Dialogue\u2019, Poligraf\u00edas, 3 (1998), 18\u201341 (p. 18).", "plainTextFormattedCitation" : "Linda Hutcheon and Mario J. Vald\u00e9s, \u2018Irony, Nostalgia, and the Postmodern: A Dialogue\u2019, Poligraf\u00edas, 3 (1998), 18\u201341 (p. 18) .", "previouslyFormattedCitation" : "Linda Hutcheon and Mario J. Vald\u00e9s, \u2018Irony, Nostalgia, and the Postmodern: A Dialogue\u2019, &lt;i&gt;Poligraf\u00edas&lt;/i&gt;, 3 (1998), 18\u201341 (p. 18) &lt;http://www.revistas.unam.mx/index.php/poligrafias/issue/view/2579/showToc&gt;."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Linda Hutcheon and Mario J. Valdés, ‘Irony, Nostalgia, and the Postmodern: A Dialogue’, </w:t>
      </w:r>
      <w:r w:rsidRPr="00505CF0">
        <w:rPr>
          <w:rFonts w:asciiTheme="majorBidi" w:hAnsiTheme="majorBidi" w:cstheme="majorBidi"/>
          <w:i/>
          <w:noProof/>
        </w:rPr>
        <w:t>Poligrafías</w:t>
      </w:r>
      <w:r w:rsidRPr="00505CF0">
        <w:rPr>
          <w:rFonts w:asciiTheme="majorBidi" w:hAnsiTheme="majorBidi" w:cstheme="majorBidi"/>
          <w:noProof/>
        </w:rPr>
        <w:t>, 3 (1998), 18–41 (p. 18).</w:t>
      </w:r>
      <w:r w:rsidRPr="00505CF0">
        <w:rPr>
          <w:rFonts w:asciiTheme="majorBidi" w:hAnsiTheme="majorBidi" w:cstheme="majorBidi"/>
        </w:rPr>
        <w:fldChar w:fldCharType="end"/>
      </w:r>
    </w:p>
  </w:footnote>
  <w:footnote w:id="183">
    <w:p w14:paraId="5DA0529D" w14:textId="5CD1ED0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"Stewart", "given" : "Susan", "non-dropping-particle" : "", "parse-names" : false, "suffix" : "" } ], "id" : "ITEM-1", "issued" : { "date-parts" : [ [ "1993" ] ] }, "note" : "[...] social disease of nostalgia p.ix\n\nby the narrative process of nostalgic reconstruction the present is denied and the past takes on an authenticity of being. p.23\n\nNostalgia is a sadness without an object, a sadness with creates a longing that of necessity is authentic because it does not take part in lived experience. Rather, it remains begind and before that experience. Nostalgia, like any form of narrative, is always ideological: the past it seeks has never exissted except as narrative, and ghence, always absent, that past contounually threatens to reproduce itself as a felt lack. p.23\n\nnostalgia wears a discinctly utopian face, a face that turns toward a future-past, a past which has only ideological reality. p.23\n\nthe prevailing motif of nostalgia is the erasure of the gap between nature and culture, and gence a return to the utopia of biology and symbol united within the walled city of the maternal [...] [nostalgia creates a utopia where] authenticity suffuses both word and world. p.23\n\nThe nostalgic dreams of a moment before knowledge and self-consciousnes that itself lives only in the self-consciousness of the nostaglic narrative. Post-Pomo? p.23", "publisher" : "Duke University Press", "publisher-place" : "London", "title" : "On Longing", "type" : "book" }, "locator" : "ix", "uris" : [ "http://www.mendeley.com/documents/?uuid=05b2a193-a8b9-4541-a7db-e3fd305ee467" ] } ], "mendeley" : { "formattedCitation" : "Susan Stewart, &lt;i&gt;On Longing&lt;/i&gt; (London: Duke University Press, 1993), p. ix.", "plainTextFormattedCitation" : "Susan Stewart, On Longing (London: Duke University Press, 1993), p. ix.", "previouslyFormattedCitation" : "Susan Stewart, &lt;i&gt;On Longing&lt;/i&gt; (London: Duke University Press, 1993), p. ix."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Susan Stewart, </w:t>
      </w:r>
      <w:r w:rsidRPr="00505CF0">
        <w:rPr>
          <w:rFonts w:asciiTheme="majorBidi" w:hAnsiTheme="majorBidi" w:cstheme="majorBidi"/>
          <w:i/>
          <w:noProof/>
        </w:rPr>
        <w:t>On Longing</w:t>
      </w:r>
      <w:r w:rsidRPr="00505CF0">
        <w:rPr>
          <w:rFonts w:asciiTheme="majorBidi" w:hAnsiTheme="majorBidi" w:cstheme="majorBidi"/>
          <w:noProof/>
        </w:rPr>
        <w:t xml:space="preserve"> (London: Duke University Press, 1993), p. ix.</w:t>
      </w:r>
      <w:r w:rsidRPr="00505CF0">
        <w:rPr>
          <w:rFonts w:asciiTheme="majorBidi" w:hAnsiTheme="majorBidi" w:cstheme="majorBidi"/>
        </w:rPr>
        <w:fldChar w:fldCharType="end"/>
      </w:r>
    </w:p>
  </w:footnote>
  <w:footnote w:id="184">
    <w:p w14:paraId="6A8E398F" w14:textId="33F0391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"https://www.the-tls.co.uk/articles/public/look-back-with-danger/", "accessed" : { "date-parts" : [ [ "2017", "10", "9" ] ] }, "author" : [ { "dropping-particle" : "", "family" : "Goldhill", "given" : "Simon", "non-dropping-particle" : "", "parse-names" : false, "suffix" : "" } ], "container-title" : "TLS Online", "id" : "ITEM-1", "issued" : { "date-parts" : [ [ "2017" ] ] }, "note" : "When we forget that the questions \u201cwhere have we come from?\u201d and \u201cwhere we going?\u201d are integrally linked, we drastically reduce our chances of self-understanding or effective action. If we oversimplify history, we will live \u2013 as both Cicero and Kant predicted \u2013 with the shallow mindfulness of children.\n\nToday\u2019s constant talk of nostalgia \u2013 for old passport covers, old manners, old food, and above all that fantasy of a Britain before multiculturalism \u2013 is in part a response to rapid social change and feelings of insecurity\n\nThere are two corollaries of this form of emotional attention to the past. The first is that the past remains selectively attractive; there is no misery, violence, prejudice or despair in a Hovis ad.", "title" : "Look Back with Danger", "type" : "webpage" }, "uris" : [ "http://www.mendeley.com/documents/?uuid=a31796e9-f153-4a88-a669-c20c469b2780" ] } ], "mendeley" : { "formattedCitation" : "Simon Goldhill, \u2018Look Back with Danger\u2019, &lt;i&gt;TLS Online&lt;/i&gt;, 2017 &lt;https://www.the-tls.co.uk/articles/public/look-back-with-danger/&gt; [accessed 9 October 2017].", "plainTextFormattedCitation" : "Simon Goldhill, \u2018Look Back with Danger\u2019, TLS Online, 2017  [accessed 9 October 2017].", "previouslyFormattedCitation" : "Simon Goldhill, \u2018Look Back with Danger\u2019, &lt;i&gt;TLS Online&lt;/i&gt;, 2017 &lt;https://www.the-tls.co.uk/articles/public/look-back-with-danger/&gt; [accessed 9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Simon Goldhill, ‘Look Back with Danger’, </w:t>
      </w:r>
      <w:r w:rsidRPr="0025171E">
        <w:rPr>
          <w:rFonts w:asciiTheme="majorBidi" w:hAnsiTheme="majorBidi" w:cstheme="majorBidi"/>
          <w:i/>
          <w:noProof/>
        </w:rPr>
        <w:t>TLS Online</w:t>
      </w:r>
      <w:r w:rsidRPr="0025171E">
        <w:rPr>
          <w:rFonts w:asciiTheme="majorBidi" w:hAnsiTheme="majorBidi" w:cstheme="majorBidi"/>
          <w:noProof/>
        </w:rPr>
        <w:t>, 2017 &lt;https://www.the-tls.co.uk/articles/public/look-back-with-danger/&gt; [accessed 9 October 2017].</w:t>
      </w:r>
      <w:r w:rsidRPr="00505CF0">
        <w:rPr>
          <w:rFonts w:asciiTheme="majorBidi" w:hAnsiTheme="majorBidi" w:cstheme="majorBidi"/>
        </w:rPr>
        <w:fldChar w:fldCharType="end"/>
      </w:r>
    </w:p>
  </w:footnote>
  <w:footnote w:id="185">
    <w:p w14:paraId="6D430BB2" w14:textId="659D1E1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"Rubenstein", "given" : "Roberta", "non-dropping-particle" : "", "parse-names" : false, "suffix" : "" } ], "id" : "ITEM-1", "issued" : { "date-parts" : [ [ "2001" ] ] }, "note" : "[nostalgia is] the expression of a regressive wish to retreat to a less complicated moment in history or personal experience. p.3", "publisher" : "Palgrave", "publisher-place" : "New York", "title" : "Home Matters: Longing and Belonging, Nostalgia and Mourning in Women's Fiction", "title-short" : "Home Matters", "type" : "book" }, "locator" : "3", "uris" : [ "http://www.mendeley.com/documents/?uuid=c72dead6-403f-4484-a308-c2524fc9e616" ] } ], "mendeley" : { "formattedCitation" : "Roberta Rubenstein, &lt;i&gt;Home Matters: Longing and Belonging, Nostalgia and Mourning in Women\u2019s Fiction&lt;/i&gt; (New York: Palgrave, 2001), p. 3.", "plainTextFormattedCitation" : "Roberta Rubenstein, Home Matters: Longing and Belonging, Nostalgia and Mourning in Women\u2019s Fiction (New York: Palgrave, 2001), p. 3.", "previouslyFormattedCitation" : "Roberta Rubenstein, &lt;i&gt;Home Matters: Longing and Belonging, Nostalgia and Mourning in Women\u2019s Fiction&lt;/i&gt; (New York: Palgrave, 2001),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Roberta Rubenstein, </w:t>
      </w:r>
      <w:r w:rsidRPr="00505CF0">
        <w:rPr>
          <w:rFonts w:asciiTheme="majorBidi" w:hAnsiTheme="majorBidi" w:cstheme="majorBidi"/>
          <w:i/>
          <w:noProof/>
        </w:rPr>
        <w:t>Home Matters: Longing and Belonging, Nostalgia and Mourning in Women’s Fiction</w:t>
      </w:r>
      <w:r w:rsidRPr="00505CF0">
        <w:rPr>
          <w:rFonts w:asciiTheme="majorBidi" w:hAnsiTheme="majorBidi" w:cstheme="majorBidi"/>
          <w:noProof/>
        </w:rPr>
        <w:t xml:space="preserve"> (New York: Palgrave, 2001), p. 3.</w:t>
      </w:r>
      <w:r w:rsidRPr="00505CF0">
        <w:rPr>
          <w:rFonts w:asciiTheme="majorBidi" w:hAnsiTheme="majorBidi" w:cstheme="majorBidi"/>
        </w:rPr>
        <w:fldChar w:fldCharType="end"/>
      </w:r>
    </w:p>
  </w:footnote>
  <w:footnote w:id="186">
    <w:p w14:paraId="4024A952" w14:textId="2BCE204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"165", "uris" : [ "http://www.mendeley.com/documents/?uuid=375b0b4a-bfad-4d0a-a1e7-1338c698bdca" ] } ], "mendeley" : { "formattedCitation" : "Lipovetsky, p. 165.", "plainTextFormattedCitation" : "Lipovetsky, p. 165.", "previouslyFormattedCitation" : "Lipovetsky, p. 165."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Lipovetsky, p. 165.</w:t>
      </w:r>
      <w:r w:rsidRPr="00505CF0">
        <w:rPr>
          <w:rFonts w:asciiTheme="majorBidi" w:hAnsiTheme="majorBidi" w:cstheme="majorBidi"/>
        </w:rPr>
        <w:fldChar w:fldCharType="end"/>
      </w:r>
    </w:p>
  </w:footnote>
  <w:footnote w:id="187">
    <w:p w14:paraId="598079CB" w14:textId="6FC7602B" w:rsidR="00054009" w:rsidRPr="00505CF0"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"Lipovetsky", "given" : "Giles",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"[The postmodern] era is now ended. Hypercapitalism, Hyperclass, Hyperpower, Hyperterrorism, Hyperindividualism, Hypermarket, Hypertext - is there anything that isn't 'hyper'? Is there anything now that does not reveal a modernity raised to the nth power? p.157\n\nFar from modernity having passed away, what we are seeing is its consummation, which takes the conrete form of a globalized liberalism, the quais-general commercialization of lifestyles, the exploitation 'to death' of instrumental reason, and rampant individualism. p.157\n\nThe society that is coming into being is oner in which the forces opposing democratic, liveral and individualistic modernity are innefectual, in which the great visions have collapsed, in which modernization no longer meets with any strong organizational or ideological resistance. p.157-8\n\nEven social classes and class cultures are fading away before the principle fo autonomous individuality. p.158\n\nThe state is on the retreat, religion and the family are being privatized, a market society is imposing itself: the cult of economic and democratic competition, technocratic ambition, and the rights if the individual all go unchallenged. A second modernity, deregulated and globalized, has shot into orbit: it has no opposite, and is absolutely modern, resting essentially on three axiomatic elements constitutive of modernity itself: the market, technocratic efficiency and the individual. We had a limited modernity: now is the time of consummate modernity. p.158\n\nIn this context, the most diverse sphgeres are seeing a rising tide of extremism, in thrall to a vboundless dynamic, a hyperbolic spiral. Thus we are witnessing a formidable expansion int he size and number of financial and stock-market activities, an acceleration in the speed of economic operations that now function in real time, and a phenomenal explosion the volume of capital circulating across the planet. For a long time, the consumer society paraded its own excess and the profusion of its merchandise: this has become even more so, thanks to hypermarkets and shopping centres that are incrwasingly gigantic and offer a whole plethora of all kinds of products, brands and services. In every domain there is a certain excessiveness, one that overtspes all limits, like an excrescence: witness different tehcnologies and the mind-blowing ways in whicvh they have overthrown the boundaries of death, food or procreation. The same thing can be seen in the images of the body produced in the hyperrealism of pron; television and the shows it broacsts that play with the idea of total transparency; the Internet galaxy and its deluge of digital streams: millions of sites, billions of pages and characters, doubling in numbers every year; tourism and its cohorts of holiday-makers; urban agglomerations and their over-populated, asphyxiated, tentacular megalopolises. In the fight against terrorism and crime, millions of cameras and other electronic means of surveillanceand vtizen identification have already been installed int he streets, shopping centres, public transport and businesses: taking over from the old disciplinary and totalitarian soceity, the society of hypersurveillance is ont he march. Rhe frenzied escalation of 'more, always more' has now infiltrated every sphere of collective life. p.158\n\non the one hand, more than ever, indivduals are taking care of their bodies, are obsessed by health and hygeine, and obey medical guide-lines. On the other hand, individual pathologies are proliferating, together with the consumption characterstic of anomie, and anarchic behaviour. p.159\n\nIn the functional universe of technology, dysfunctional behaviour is on the increase. p.159\n\nHyperindividualism coincides [...] with a rising tide of pathalogical problems, psychological disturbances and excessive behaviour. Through its operations of technocratic normalization and the loosening of social bones, the hypermodern age simultaneously manufactures order and disorder, subjective independence and dependence, moderation and excess. p.159\n\nit is just as if we had moved from the 'post' era to the 'hyper' era. A new society os modernity is coming into being. It is no longer a matter of emerging from the world of tradition to reach the stage of modern rationality, but of modernizationg modernity itself and rationalizing rationalization: in other words, destroying 'archaic survivals' and beuareaucratic routines, putting an end to institutional rigidities and protectionist shackles, privatizing everything and freeing it from dependency on local conditions, while sharpening the competiton. p.159\n\nThe heroic will to create a 'radiant future' has been replaced by managerial activism: a vast enthusiasm for change, reform and adaptation that is deprived of any confident horizon or grand historical vision. p.159. METAMODERN LINKS.\n\nIn hypermodernity, there is no longer any chouce or alternative other than that of constantly developing, accelerating the movement so as not to be overtaken by 'evolution'. p.160\n\nNo longer the destruction of the past but its intergration, its reformulation in the framework of the modern logic of the market, of consumption and individuality. p.160\n\nThe past is resurfacing. Anxieties about the future are replacing the mystique of progres [...] Evrywhere the speed of operations and exchanges is accelerating; time is short and becomes a problem looking at the heart of new social conflicts. p.160\n\nHypermodern society appears as the society in which time is increasingly experienced as a major preoccupation, one in which an increasing pressure on time is exerted in wider ways. p.161\n\nIt is no longer class against class, but time against time, future against present, present against future, present against present, present against past. What are we to choose as most important, and how can we fail to regret this or that option, when time has been torn away from tradition and made a matter for individual choice? p.162\n\nHypermodernity is distinguished by the way the reign of urgency has come ubiquitous and turned into an ideological matter. p.163\n\nIt is undeniable that, in celebrating the pleasures of the here-and-now and the latest thing, consumerist society is continually endeavouring to make collective memory wither away, to accelerate the loss of continuity and the abolition of any repetition of the ancestral. p.165\n\nCelebrating the slighest object from the past, invoking the duties of memory, remobilizing religious traditions, hypermodernity is not structured by an absolute present, it is structured by a paradoxical present, a present that ceaselessly exhumes and 'rediscovers' the past. p.165 NOSTALGIA DRIVE.\n\ncontemporary societies are witnessing a rise in the importance of guide-lines that point back to the past, a need for continuity between pat and present, a longing to find one's roots and discover one's history. p.165\n\nEven if people are falling back on an identity politics that means reviving older mentalities. p.166 NOSTALGIA DRIVE.\n\nIn the present situation, one's sense of identity and belonging to anything by instantaeneous , given once and for all: it is a problem, a claim, an object for individuals to appropriate for thesmselves. p.167\n\nrejecting every form of the contempt, depreciation or sense of inferiority under which one might suffer, demands the recognition of the other as equal in his or her difference. p.168\n\nIn other words, all the memories, all the universes of meaning, all the forms of the collective imaginary that refer to the past and that can be drawn on and redeployed to construct identities and enable individuals to find self-fulfilment. p.169\n\nWhat defi</w:instrText>
      </w:r>
      <w:r w:rsidRPr="00FE7EAF">
        <w:rPr>
          <w:rFonts w:asciiTheme="majorBidi" w:hAnsiTheme="majorBidi" w:cstheme="majorBidi"/>
          <w:lang w:val="sv-SE"/>
        </w:rPr>
        <w:instrText>nes hypermodernity is not exclusively the self-critique of modern institutions and forms of knowledge, but also revisionary memory, the remobilization of traditional beleifs, and the individualist hybridization of past and modernity. p.169\n\nIf hypermodernity is meta-modernity, it also manifests itself in the guise of meta-traditionality and a meta-relgiosity without bounds. p.169\n\nNo one will argue with the fact that the way the world is going arouses more anxiety than unbirdled optimism: the gulf between North and South is widening, social inequalities are increasing, all minds are obsessed by insecurity, and the globalized market is reducing the power of democracies to govern themselves. p.170\n\nThe present age is anything but closed, wrapped up in itself, doomed to an exponential nihilism. Because the depreciation of the supreme values is not limitless, the future remains opens. p.170.", "page" : "156-171", "publisher" : "Bloomsbury Publishing Plc", "publisher-place" : "London", "title" : "Time Against Time, or The Hypermodern Society", "type" : "chapter" }, "locator" : "165", "uris" : [ "http://www.mendeley.com/documents/?uuid=375b0b4a-bfad-4d0a-a1e7-1338c698bdca" ] } ], "mendeley" : { "formattedCitation" : "Lipovetsky, p. 165.", "plainTextFormattedCitation" : "Lipovetsky, p. 165.", "previouslyFormattedCitation" : "Lipovetsky, p. 165."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Lipovetsky, p. 165.</w:t>
      </w:r>
      <w:r w:rsidRPr="00505CF0">
        <w:rPr>
          <w:rFonts w:asciiTheme="majorBidi" w:hAnsiTheme="majorBidi" w:cstheme="majorBidi"/>
        </w:rPr>
        <w:fldChar w:fldCharType="end"/>
      </w:r>
    </w:p>
  </w:footnote>
  <w:footnote w:id="188">
    <w:p w14:paraId="30CD33C5" w14:textId="357A3F63" w:rsidR="00054009" w:rsidRPr="00505CF0" w:rsidRDefault="00054009" w:rsidP="0025171E">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lang w:val="sv-SE"/>
        </w:rPr>
        <w:t xml:space="preserve"> </w:t>
      </w:r>
      <w:r w:rsidRPr="00505CF0">
        <w:rPr>
          <w:rFonts w:asciiTheme="majorBidi" w:hAnsiTheme="majorBidi" w:cstheme="majorBidi"/>
        </w:rPr>
        <w:fldChar w:fldCharType="begin" w:fldLock="1"/>
      </w:r>
      <w:r>
        <w:rPr>
          <w:rFonts w:asciiTheme="majorBidi" w:hAnsiTheme="majorBidi" w:cstheme="majorBidi"/>
          <w:lang w:val="sv-SE"/>
        </w:rPr>
        <w:instrText>ADDIN CSL_CITATION { "citationItems" : [ { "id" : "ITEM-1", "itemData" : { "author" : [ { "dropping-particle" : "", "family" : "Rudrum", "given" : "David", "non-dropping-particle" : "", "parse-names" : false, "suffix" : "" }, { "dropping-particle" : "", "family" : "Stavris", "given" : "Nicholas", "non-dropping-particle" : "", "parse-names" : false, "suffix" : "" } ], "chapter-number" : "9", "container-title" : "Supplanting the Postmodern", "editor" : [ { "dropping-particle" : "", "family" : "Rudrum", "given" : "David", "non-dropping-particle" : "", "parse-names" : false, "suffix" : "" }, { "dropping-particle" : "", "family" : "Stavris", "given" : "Nicholas", "non-dropping-particle" : "", "parse-names" : false, "suffix" : "" } ], "id" : "ITEM-1", "issued" : { "date-parts" : [ [ "2015" ] ] }, "note" : "Modernity, for Lipovestsky, did not come to an end. Rather, it is undergoing its consummation, andf the name Lipovetsky suggests for this new phase of the modern is 'hypermodernity'. p.153\n\nThe unfetteredlogic of market forces has put paid to postmodernism's enthusiastic ambitions, and has even crept into the institutions of state, church, and family that withstood many of the onsloughts of postmodernism. The result, says Lipovetsky, is an endemic and unbridled consumerism, giving rise to a cult of excess. p.153\n\nThis consumderism does not always manifest itself simplay as a naked consumerism, but rather as an extreme form of individualism. The hypermodern individual lives a life characterized by flexibility, adaptability, and a demand for continuous improvement, both in the workplacer and throughout his or her general life. p.153\n\nLipovetsky argues that the hypermodern involves a preoccupation with time, as ever greater demands are made on the presents, and as (once again paradoxically) we take refuge from it in the nostalgia for memories from the cultural past. p.154\n\nHypermodernism's emphasis on individualism may indeed mark a new phase in the pursuit of freedom and self-fulfilment, while its emphasis on consumerism may just as easily lead in the very opposite dirextion, p. 154", "page" : "153-155", "publisher" : "Bloomsbury Publishing Plc", "publisher-place" : "London", "title" : "Hypermodernism", "type" : "chapter" }, "locator" : "154", "uris" : [ "http://www.mendeley.com/documents/?uuid=30876c47-4278-4470-9b83-5231cadf8dcc" ] } ], "mendeley" : { "formattedCitation" : "David Rudrum and Nicholas Stavris, \u2018Hypermodernism\u2019, in &lt;i&gt;Supplanting the Postmodern&lt;/i&gt;, ed. by David Rudrum and Nicholas Stavris (London: Bloomsbury Publishing Plc, 2015), pp. 153\u2013155 (p. 154).", "plainTextFormattedCitation" : "David Rudrum and Nicholas Stavris, \u2018Hypermodernism\u2019, in Supplanting the Postmodern, ed. by David Rudrum and Nicholas Stavris (London: Bloomsbury Publishing Plc, 2015), pp. 153\u2013155 (p. 154).", "previouslyFormattedCitation" : "David Rudrum and Nicholas Stavris, \u2018Hypermodernism\u2019, in &lt;i&gt;Supplanting the Postmodern&lt;/i&gt;, ed. by David Rudrum and Nicholas Stavris (London: Bloomsbury Publishing Plc, 2015), pp. 153\u2013155 (p. 154)."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lang w:val="sv-SE"/>
        </w:rPr>
        <w:t xml:space="preserve">David Rudrum and Nicholas Stavris, ‘Hypermodernism’, in </w:t>
      </w:r>
      <w:r w:rsidRPr="0025171E">
        <w:rPr>
          <w:rFonts w:asciiTheme="majorBidi" w:hAnsiTheme="majorBidi" w:cstheme="majorBidi"/>
          <w:i/>
          <w:noProof/>
          <w:lang w:val="sv-SE"/>
        </w:rPr>
        <w:t>Supplanting the Postmodern</w:t>
      </w:r>
      <w:r w:rsidRPr="0025171E">
        <w:rPr>
          <w:rFonts w:asciiTheme="majorBidi" w:hAnsiTheme="majorBidi" w:cstheme="majorBidi"/>
          <w:noProof/>
          <w:lang w:val="sv-SE"/>
        </w:rPr>
        <w:t>, ed. by David Rudrum and Nicholas Stavris (London: Bloomsbury Publishing Plc, 2015), pp. 153–155 (p. 154).</w:t>
      </w:r>
      <w:r w:rsidRPr="00505CF0">
        <w:rPr>
          <w:rFonts w:asciiTheme="majorBidi" w:hAnsiTheme="majorBidi" w:cstheme="majorBidi"/>
        </w:rPr>
        <w:fldChar w:fldCharType="end"/>
      </w:r>
    </w:p>
  </w:footnote>
  <w:footnote w:id="189">
    <w:p w14:paraId="4B47C9EF" w14:textId="1AF814F6" w:rsidR="00054009" w:rsidRPr="00505CF0" w:rsidRDefault="00054009" w:rsidP="00C111D3">
      <w:pPr>
        <w:pStyle w:val="FootnoteText"/>
        <w:rPr>
          <w:rFonts w:asciiTheme="majorBidi" w:hAnsiTheme="majorBidi" w:cstheme="majorBidi"/>
          <w:lang w:val="sv-SE"/>
        </w:rPr>
      </w:pPr>
      <w:r w:rsidRPr="00505CF0">
        <w:rPr>
          <w:rStyle w:val="FootnoteReference"/>
          <w:rFonts w:asciiTheme="majorBidi" w:hAnsiTheme="majorBidi" w:cstheme="majorBidi"/>
        </w:rPr>
        <w:footnoteRef/>
      </w:r>
      <w:r w:rsidRPr="00505CF0">
        <w:rPr>
          <w:rFonts w:asciiTheme="majorBidi" w:hAnsiTheme="majorBidi" w:cstheme="majorBidi"/>
          <w:lang w:val="sv-SE"/>
        </w:rPr>
        <w:t xml:space="preserve"> </w:t>
      </w:r>
      <w:r w:rsidRPr="00505CF0">
        <w:rPr>
          <w:rFonts w:asciiTheme="majorBidi" w:hAnsiTheme="majorBidi" w:cstheme="majorBidi"/>
        </w:rPr>
        <w:fldChar w:fldCharType="begin" w:fldLock="1"/>
      </w:r>
      <w:r>
        <w:rPr>
          <w:rFonts w:asciiTheme="majorBidi" w:hAnsiTheme="majorBidi" w:cstheme="majorBidi"/>
          <w:lang w:val="sv-SE"/>
        </w:rPr>
        <w:instrText>ADDIN CSL_CITATION { "citationItems" : [ { "id" : "ITEM-1", "itemData" : { "author" : [ { "dropping-particle" : "", "family" : "Hutcheon", "given" : "Linda", "non-dropping-particle" : "", "parse-names" : false, "suffix" : "" }, { "dropping-particle" : "", "family" : "Vald\u00e9s", "given" : "Mario J.", "non-dropping-particle" : "", "parse-names" : false, "suffix" : "" } ], "container-title" : "Poligraf\u00edas", "id" : "ITEM-1", "issued" : { "date-parts" : [ [ "1998" ] ] }, "note" : "in the 1990s, it appears to be nostalgia that is holding sway [...] Nostalgia, the media tell us, has become an obsession of both mass culture and high art. And they may be right, though some poeple feel the obsession is really the media's obsession. p. 18\n\nThe explanations offered for the recent commerxialized luxuriating in the culture of the past have ranged from economic cynicism to moral superiority. They usually point to a dissatisfaction with the culture of the present - something that is then either applauded or condemned. p.19\n\nWhat exactly is &amp;quot;nostalgia,&amp;quot; though? Or perhaps the first question really should be: what was nostalgia? with its Greek roots -nostos, meaning &amp;quot;to return home&amp;quot; and algos meaning &amp;quot;pain&amp;quot; - this word sounds so familiar to us that we may forget that it is a relatively new word, as words go. p.19\n\nNostalgia was no longer simply a yearning to return home. As early as 1798, Immanuel Kant had noted that people who did return home were usually disappointed because, in fact, they did not want to return to a place, but to a time, a time of youth. p.19\n\nthe ideal that is not being lived now is projected into the pasty. It is &amp;quot;memorialized&amp;quot; as past, crystallized into precious moments selected by memory, but also by forgetting, and by desire's distortions and reorganizations. Simultaneously distancing and proximating, nostalgia exiles us from the present as it brings the imagined past near. [...] Nostalgic distancind sanitizes as it selects, making the past feel comfortable, stable, coherent, safe. p. 20.\n\nThe postmodern does indeed recall the past, but always with the kind of ironic double vision that acknowledges the final impossibility of indulging nostalgia, even as it consciously evokes nostalgia's affective power. p.23\n\nOur contemporary culture is indeed nostalgic; some parts of it - postmodern parts - are aware of the risks and lures of nostalgia, and seek to expose those through irony. p.23", "page" : "18-41", "title" : "Irony, Nostalgia, and the Postmodern: A Dialogue", "type" : "article-journal", "volume" : "3" }, "locator" : "19", "uris" : [ "http://www.mendeley.com/documents/?uuid=366349e5-3f08-47b8-be63-6003161cd1c1" ] } ], "mendeley" : { "formattedCitation" : "Hutcheon and Vald\u00e9s, p. 19.", "plainTextFormattedCitation" : "Hutcheon and Vald\u00e9s, p. 19.", "previouslyFormattedCitation" : "Hutcheon and Vald\u00e9s, p. 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sv-SE"/>
        </w:rPr>
        <w:t>Hutcheon and Valdés, p. 19.</w:t>
      </w:r>
      <w:r w:rsidRPr="00505CF0">
        <w:rPr>
          <w:rFonts w:asciiTheme="majorBidi" w:hAnsiTheme="majorBidi" w:cstheme="majorBidi"/>
        </w:rPr>
        <w:fldChar w:fldCharType="end"/>
      </w:r>
    </w:p>
  </w:footnote>
  <w:footnote w:id="190">
    <w:p w14:paraId="1C1AA699" w14:textId="016024C4" w:rsidR="00054009" w:rsidRPr="00FE7EAF"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FE7EAF">
        <w:rPr>
          <w:rFonts w:asciiTheme="majorBidi" w:hAnsiTheme="majorBidi" w:cstheme="majorBidi"/>
        </w:rPr>
        <w:t xml:space="preserve"> </w:t>
      </w:r>
      <w:r w:rsidRPr="00505CF0">
        <w:rPr>
          <w:rFonts w:asciiTheme="majorBidi" w:hAnsiTheme="majorBidi" w:cstheme="majorBidi"/>
        </w:rPr>
        <w:fldChar w:fldCharType="begin" w:fldLock="1"/>
      </w:r>
      <w:r w:rsidRPr="00FE7EAF">
        <w:rPr>
          <w:rFonts w:asciiTheme="majorBidi" w:hAnsiTheme="majorBidi" w:cstheme="majorBidi"/>
        </w:rPr>
        <w:instrText>ADDIN CSL_CITATION { "citationItems" : [ { "id" : "ITEM-1", "itemData" : { "URL" : "https://www.forbes.com/sites/danidiplacido/2016/12/30/2016-the-year-of-nostalgia/#66949fb97aec", "accessed" : { "date-parts" : [ [ "2017", "10", "10" ] ] }, "author" : [ { "dropping-particle" : "", "family" : "Placido", "given" : "Dani", "non-dropping-particle" : "Di", "parse-names" : false, "suffix" : "" } ], "container-title" : "Forbes", "id" : "ITEM-1", "issued" : { "date-parts" : [ [ "2016" ] ] }, "note" : "It's almost over. 2016 has been a tough year, a year where change happened so quickly, it made us uncomfortable. \n\nIn a bid perhaps, to cope with the celebrity deaths and violent disagreements, we looked back to a simpler time [...] We wanted our beloved franchises rebooted and revitalized, to know that no matter what happens, our favorite fictional characters will always be there for us.\n\n2016 was the year of mass nostalgia.", "title" : "2016: The Year We Hit Peak Nostalgia", "type" : "webpage" }, "uris" : [ "http://www.mendeley.com/documents/?uuid=7a40afea-e8bb-43a5-a233-e8a7b3ec8681" ] } ], "mendeley" : { "formattedCitation" : "Dani Di Placido, \u20182016: The Year We Hit Peak Nostalgia\u2019, &lt;i&gt;Forbes&lt;/i&gt;, 2016 &lt;https://www.forbes.com/sites/danidiplacido/2016/12/30/2016-the-year-of-nostalgia/#66949fb97aec&gt; [accessed 10 October 2017].", "plainTextFormattedCitation" : "Dani Di Placido, \u20182016: The Year We Hit Peak Nostalgia\u2019, Forbes, 2016  [accessed 10 October 2017].", "previouslyFormattedCitation" : "Dani Di Placido, \u20182016: The Year We Hit Peak Nostalgia\u2019, &lt;i&gt;Forbes&lt;/i&gt;, 2016 &lt;https://www.forbes.com/sites/danidiplacido/2016/12/30/2016-the-year-of-nostalgia/#66949fb97aec&gt;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 xml:space="preserve">Dani Di Placido, ‘2016: The Year We Hit Peak Nostalgia’, </w:t>
      </w:r>
      <w:r w:rsidRPr="00FE7EAF">
        <w:rPr>
          <w:rFonts w:asciiTheme="majorBidi" w:hAnsiTheme="majorBidi" w:cstheme="majorBidi"/>
          <w:i/>
          <w:noProof/>
        </w:rPr>
        <w:t>Forbes</w:t>
      </w:r>
      <w:r w:rsidRPr="00FE7EAF">
        <w:rPr>
          <w:rFonts w:asciiTheme="majorBidi" w:hAnsiTheme="majorBidi" w:cstheme="majorBidi"/>
          <w:noProof/>
        </w:rPr>
        <w:t>, 2016 &lt;https://www.forbes.com/sites/danidiplacido/2016/12/30/2016-the-year-of-nostalgia/#66949fb97aec&gt; [accessed 10 October 2017].</w:t>
      </w:r>
      <w:r w:rsidRPr="00505CF0">
        <w:rPr>
          <w:rFonts w:asciiTheme="majorBidi" w:hAnsiTheme="majorBidi" w:cstheme="majorBidi"/>
        </w:rPr>
        <w:fldChar w:fldCharType="end"/>
      </w:r>
    </w:p>
  </w:footnote>
  <w:footnote w:id="191">
    <w:p w14:paraId="45760E14" w14:textId="1C45DDE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"http://flamingogroup.com/nostalgias-comfort-is-shaping-contemporary-culture", "accessed" : { "date-parts" : [ [ "2017", "10", "10" ] ] }, "author" : [ { "dropping-particle" : "", "family" : "Beer", "given" : "Carmen", "non-dropping-particle" : "", "parse-names" : false, "suffix" : "" } ], "container-title" : "Lens", "id" : "ITEM-1", "issued" : { "date-parts" : [ [ "2017" ] ] }, "note" : "Nostalgia is comfortable.\n\nThe creative industry has understood that [the 80s, 90s, and early 2000s are] alluring and has been spoon-feeding 'comfrot content' to nostaglic crwods through tributes to iconic pop culture symbols. \n\n[Friends'] optimistic tone is also an asset; set at a time before social networds, 9/11 or Trump, life seemed easier, simpler, and people more naive. \n\nIn 2015, sequels or reboots made up eight of the top 10 earners at the global box office, and 2016 also saw several comebacks, from Ghstbusters to The Jungle Book.\n\nThe most obvious reason is that recycling successes is a fairly safe marketing strategy. It relies on successful formulas and recalling brands and audiences that were formed years ago. \n\nIt's endemic to the digital age that people should look to the past for context, inspiration and references since today we have access like never before to a plentitutde of archived digital content. In this context, it's no suprise that we should see so much recycling of past work now - we reinteropret the past to give it an added layer of meaning in today's world.\n\nThere's nothing wrong with being haunted by content from the past as long as it also contriubtes and speaks to contemporary culture.", "title" : "Nostalgia's Comfort is Shaping Contemporary Culture", "type" : "webpage" }, "uris" : [ "http://www.mendeley.com/documents/?uuid=c0afb40c-f207-40ba-9541-731b5a7e7c12" ] } ], "mendeley" : { "formattedCitation" : "Carmen Beer, \u2018Nostalgia\u2019s Comfort Is Shaping Contemporary Culture\u2019, &lt;i&gt;Lens&lt;/i&gt;, 2017 &lt;http://flamingogroup.com/nostalgias-comfort-is-shaping-contemporary-culture&gt; [accessed 10 October 2017].", "plainTextFormattedCitation" : "Carmen Beer, \u2018Nostalgia\u2019s Comfort Is Shaping Contemporary Culture\u2019, Lens, 2017  [accessed 10 October 2017].", "previouslyFormattedCitation" : "Carmen Beer, \u2018Nostalgia\u2019s Comfort Is Shaping Contemporary Culture\u2019, &lt;i&gt;Lens&lt;/i&gt;, 2017 &lt;http://flamingogroup.com/nostalgias-comfort-is-shaping-contemporary-culture&gt;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Carmen Beer, ‘Nostalgia’s Comfort Is Shaping Contemporary Culture’, </w:t>
      </w:r>
      <w:r w:rsidRPr="0025171E">
        <w:rPr>
          <w:rFonts w:asciiTheme="majorBidi" w:hAnsiTheme="majorBidi" w:cstheme="majorBidi"/>
          <w:i/>
          <w:noProof/>
        </w:rPr>
        <w:t>Lens</w:t>
      </w:r>
      <w:r w:rsidRPr="0025171E">
        <w:rPr>
          <w:rFonts w:asciiTheme="majorBidi" w:hAnsiTheme="majorBidi" w:cstheme="majorBidi"/>
          <w:noProof/>
        </w:rPr>
        <w:t>, 2017 &lt;http://flamingogroup.com/nostalgias-comfort-is-shaping-contemporary-culture&gt; [accessed 10 October 2017].</w:t>
      </w:r>
      <w:r w:rsidRPr="00505CF0">
        <w:rPr>
          <w:rFonts w:asciiTheme="majorBidi" w:hAnsiTheme="majorBidi" w:cstheme="majorBidi"/>
        </w:rPr>
        <w:fldChar w:fldCharType="end"/>
      </w:r>
    </w:p>
  </w:footnote>
  <w:footnote w:id="192">
    <w:p w14:paraId="5D06EE94"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Dungeon Synth deserves a significant study to itself, evoking as it does an imagined fantastic past that has never existed. As Sam Sutherland, host of </w:t>
      </w:r>
      <w:r w:rsidRPr="00505CF0">
        <w:rPr>
          <w:rFonts w:asciiTheme="majorBidi" w:hAnsiTheme="majorBidi" w:cstheme="majorBidi"/>
          <w:i/>
          <w:iCs/>
        </w:rPr>
        <w:t>This Exists</w:t>
      </w:r>
      <w:r w:rsidRPr="00505CF0">
        <w:rPr>
          <w:rFonts w:asciiTheme="majorBidi" w:hAnsiTheme="majorBidi" w:cstheme="majorBidi"/>
        </w:rPr>
        <w:t xml:space="preserve">, explains: “Dungeon Synth is not traditionally nostalgic, backwards looking, no doubt, but to a time that never existed when none of were ever alive. It leaves room for the listener to imagine their own alternate worlds and history, setting the table for a unique and personal interpretation of each and every gloomy sustained note.” – Sutherland, Sam, </w:t>
      </w:r>
      <w:r w:rsidRPr="00505CF0">
        <w:rPr>
          <w:rFonts w:asciiTheme="majorBidi" w:hAnsiTheme="majorBidi" w:cstheme="majorBidi"/>
          <w:i/>
          <w:iCs/>
        </w:rPr>
        <w:t xml:space="preserve">Castle Creeps: A Dungeon Synth Primer </w:t>
      </w:r>
      <w:r w:rsidRPr="00505CF0">
        <w:rPr>
          <w:rFonts w:asciiTheme="majorBidi" w:hAnsiTheme="majorBidi" w:cstheme="majorBidi"/>
        </w:rPr>
        <w:t>[Youtube Video], 20</w:t>
      </w:r>
      <w:r w:rsidRPr="00505CF0">
        <w:rPr>
          <w:rFonts w:asciiTheme="majorBidi" w:hAnsiTheme="majorBidi" w:cstheme="majorBidi"/>
          <w:vertAlign w:val="superscript"/>
        </w:rPr>
        <w:t>th</w:t>
      </w:r>
      <w:r w:rsidRPr="00505CF0">
        <w:rPr>
          <w:rFonts w:asciiTheme="majorBidi" w:hAnsiTheme="majorBidi" w:cstheme="majorBidi"/>
        </w:rPr>
        <w:t xml:space="preserve"> April 2017 &lt; </w:t>
      </w:r>
      <w:hyperlink r:id="rId2" w:history="1">
        <w:r w:rsidRPr="00505CF0">
          <w:rPr>
            <w:rStyle w:val="Hyperlink"/>
            <w:rFonts w:asciiTheme="majorBidi" w:hAnsiTheme="majorBidi" w:cstheme="majorBidi"/>
          </w:rPr>
          <w:t>https://www.youtube.com/watch?v=4V5k3EQ1xHA</w:t>
        </w:r>
      </w:hyperlink>
      <w:r w:rsidRPr="00505CF0">
        <w:rPr>
          <w:rFonts w:asciiTheme="majorBidi" w:hAnsiTheme="majorBidi" w:cstheme="majorBidi"/>
        </w:rPr>
        <w:t>&gt; [Accessed 10</w:t>
      </w:r>
      <w:r w:rsidRPr="00505CF0">
        <w:rPr>
          <w:rFonts w:asciiTheme="majorBidi" w:hAnsiTheme="majorBidi" w:cstheme="majorBidi"/>
          <w:vertAlign w:val="superscript"/>
        </w:rPr>
        <w:t>th</w:t>
      </w:r>
      <w:r w:rsidRPr="00505CF0">
        <w:rPr>
          <w:rFonts w:asciiTheme="majorBidi" w:hAnsiTheme="majorBidi" w:cstheme="majorBidi"/>
        </w:rPr>
        <w:t xml:space="preserve"> October 2015].</w:t>
      </w:r>
    </w:p>
  </w:footnote>
  <w:footnote w:id="193">
    <w:p w14:paraId="6DFB9162" w14:textId="2BBA0A1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Mark Fisher, in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"https://www.varsity.co.uk/science/11929", "accessed" : { "date-parts" : [ [ "2017", "10", "10" ] ] }, "author" : [ { "dropping-particle" : "", "family" : "Evans", "given" : "Polly", "non-dropping-particle" : "", "parse-names" : false, "suffix" : "" } ], "container-title" : "Varsity", "id" : "ITEM-1", "issued" : { "date-parts" : [ [ "2017" ] ] }, "title" : "Is Electronic Music a Threat to Culture", "type" : "webpage" }, "uris" : [ "http://www.mendeley.com/documents/?uuid=ea476faa-3789-4d97-867f-58d3617e6a31" ] } ], "mendeley" : { "formattedCitation" : "Polly Evans, \u2018Is Electronic Music a Threat to Culture\u2019, &lt;i&gt;Varsity&lt;/i&gt;, 2017 &lt;https://www.varsity.co.uk/science/11929&gt; [accessed 10 October 2017].", "plainTextFormattedCitation" : "Polly Evans, \u2018Is Electronic Music a Threat to Culture\u2019, Varsity, 2017  [accessed 10 October 2017].", "previouslyFormattedCitation" : "Polly Evans, \u2018Is Electronic Music a Threat to Culture\u2019, &lt;i&gt;Varsity&lt;/i&gt;, 2017 &lt;https://www.varsity.co.uk/science/11929&gt;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Polly Evans, ‘Is Electronic Music a Threat to Culture’, </w:t>
      </w:r>
      <w:r w:rsidRPr="0025171E">
        <w:rPr>
          <w:rFonts w:asciiTheme="majorBidi" w:hAnsiTheme="majorBidi" w:cstheme="majorBidi"/>
          <w:i/>
          <w:noProof/>
        </w:rPr>
        <w:t>Varsity</w:t>
      </w:r>
      <w:r w:rsidRPr="0025171E">
        <w:rPr>
          <w:rFonts w:asciiTheme="majorBidi" w:hAnsiTheme="majorBidi" w:cstheme="majorBidi"/>
          <w:noProof/>
        </w:rPr>
        <w:t>, 2017 &lt;https://www.varsity.co.uk/science/11929&gt; [accessed 10 October 2017].</w:t>
      </w:r>
      <w:r w:rsidRPr="00505CF0">
        <w:rPr>
          <w:rFonts w:asciiTheme="majorBidi" w:hAnsiTheme="majorBidi" w:cstheme="majorBidi"/>
        </w:rPr>
        <w:fldChar w:fldCharType="end"/>
      </w:r>
    </w:p>
  </w:footnote>
  <w:footnote w:id="194">
    <w:p w14:paraId="670552D6" w14:textId="0EEAC558" w:rsidR="00054009" w:rsidRPr="00505CF0" w:rsidRDefault="00054009" w:rsidP="00C111D3">
      <w:pPr>
        <w:pStyle w:val="FootnoteText"/>
        <w:rPr>
          <w:rFonts w:asciiTheme="majorBidi" w:hAnsiTheme="majorBidi" w:cstheme="majorBidi"/>
          <w:lang w:val="de-DE"/>
        </w:rPr>
      </w:pPr>
      <w:r w:rsidRPr="00505CF0">
        <w:rPr>
          <w:rStyle w:val="FootnoteReference"/>
          <w:rFonts w:asciiTheme="majorBidi" w:hAnsiTheme="majorBidi" w:cstheme="majorBidi"/>
        </w:rPr>
        <w:footnoteRef/>
      </w:r>
      <w:r w:rsidRPr="00505CF0">
        <w:rPr>
          <w:rFonts w:asciiTheme="majorBidi" w:hAnsiTheme="majorBidi" w:cstheme="majorBidi"/>
          <w:lang w:val="de-DE"/>
        </w:rPr>
        <w:t xml:space="preserve"> </w:t>
      </w:r>
      <w:r w:rsidRPr="00505CF0">
        <w:rPr>
          <w:rFonts w:asciiTheme="majorBidi" w:hAnsiTheme="majorBidi" w:cstheme="majorBidi"/>
        </w:rPr>
        <w:fldChar w:fldCharType="begin" w:fldLock="1"/>
      </w:r>
      <w:r>
        <w:rPr>
          <w:rFonts w:asciiTheme="majorBidi" w:hAnsiTheme="majorBidi" w:cstheme="majorBidi"/>
          <w:lang w:val="de-DE"/>
        </w:rPr>
        <w:instrText>ADDIN CSL_CITATION { "citationItems" : [ { "id" : "ITEM-1", "itemData" : { "URL" : "https://www.the-tls.co.uk/articles/public/look-back-with-danger/", "accessed" : { "date-parts" : [ [ "2017", "10", "9" ] ] }, "author" : [ { "dropping-particle" : "", "family" : "Goldhill", "given" : "Simon", "non-dropping-particle" : "", "parse-names" : false, "suffix" : "" } ], "container-title" : "TLS Online", "id" : "ITEM-1", "issued" : { "date-parts" : [ [ "2017" ] ] }, "note" : "When we forget that the questions \u201cwhere have we come from?\u201d and \u201cwhere we going?\u201d are integrally linked, we drastically reduce our chances of self-understanding or effective action. If we oversimplify history, we will live \u2013 as both Cicero and Kant predicted \u2013 with the shallow mindfulness of children.\n\nToday\u2019s constant talk of nostalgia \u2013 for old passport covers, old manners, old food, and above all that fantasy of a Britain before multiculturalism \u2013 is in part a response to rapid social change and feelings of insecurity\n\nThere are two corollaries of this form of emotional attention to the past. The first is that the past remains selectively attractive; there is no misery, violence, prejudice or despair in a Hovis ad.", "title" : "Look Back with Danger", "type" : "webpage" }, "uris" : [ "http://www.mendeley.com/documents/?uuid=a31796e9-f153-4a88-a669-c20c469b2780" ] } ], "mendeley" : { "formattedCitation" : "Goldhill.", "plainTextFormattedCitation" : "Goldhill.", "previouslyFormattedCitation" : "Goldhill."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de-DE"/>
        </w:rPr>
        <w:t>Goldhill.</w:t>
      </w:r>
      <w:r w:rsidRPr="00505CF0">
        <w:rPr>
          <w:rFonts w:asciiTheme="majorBidi" w:hAnsiTheme="majorBidi" w:cstheme="majorBidi"/>
        </w:rPr>
        <w:fldChar w:fldCharType="end"/>
      </w:r>
    </w:p>
  </w:footnote>
  <w:footnote w:id="195">
    <w:p w14:paraId="5247CDDB" w14:textId="25476DEC" w:rsidR="00054009" w:rsidRPr="00505CF0" w:rsidRDefault="00054009" w:rsidP="00C111D3">
      <w:pPr>
        <w:pStyle w:val="FootnoteText"/>
        <w:rPr>
          <w:rFonts w:asciiTheme="majorBidi" w:hAnsiTheme="majorBidi" w:cstheme="majorBidi"/>
          <w:lang w:val="de-DE"/>
        </w:rPr>
      </w:pPr>
      <w:r w:rsidRPr="00505CF0">
        <w:rPr>
          <w:rStyle w:val="FootnoteReference"/>
          <w:rFonts w:asciiTheme="majorBidi" w:hAnsiTheme="majorBidi" w:cstheme="majorBidi"/>
        </w:rPr>
        <w:footnoteRef/>
      </w:r>
      <w:r w:rsidRPr="00505CF0">
        <w:rPr>
          <w:rFonts w:asciiTheme="majorBidi" w:hAnsiTheme="majorBidi" w:cstheme="majorBidi"/>
          <w:lang w:val="de-DE"/>
        </w:rPr>
        <w:t xml:space="preserve"> </w:t>
      </w:r>
      <w:r w:rsidRPr="00505CF0">
        <w:rPr>
          <w:rFonts w:asciiTheme="majorBidi" w:hAnsiTheme="majorBidi" w:cstheme="majorBidi"/>
        </w:rPr>
        <w:fldChar w:fldCharType="begin" w:fldLock="1"/>
      </w:r>
      <w:r>
        <w:rPr>
          <w:rFonts w:asciiTheme="majorBidi" w:hAnsiTheme="majorBidi" w:cstheme="majorBidi"/>
          <w:lang w:val="de-DE"/>
        </w:rPr>
        <w:instrText>ADDIN CSL_CITATION { "citationItems" : [ { "id" : "ITEM-1", "itemData" : { "author" : [ { "dropping-particle" : "", "family" : "Hutcheon", "given" : "Linda", "non-dropping-particle" : "", "parse-names" : false, "suffix" : "" }, { "dropping-particle" : "", "family" : "Vald\u00e9s", "given" : "Mario J.", "non-dropping-particle" : "", "parse-names" : false, "suffix" : "" } ], "container-title" : "Poligraf\u00edas", "id" : "ITEM-1", "issued" : { "date-parts" : [ [ "1998" ] ] }, "note" : "in the 1990s, it appears to be nostalgia that is holding sway [...] Nostalgia, the media tell us, has become an obsession of both mass culture and high art. And they may be right, though some poeple feel the obsession is really the media's obsession. p. 18\n\nThe explanations offered for the recent commerxialized luxuriating in the culture of the past have ranged from economic cynicism to moral superiority. They usually point to a dissatisfaction with the culture of the present - something that is then either applauded or condemned. p.19\n\nWhat exactly is &amp;quot;nostalgia,&amp;quot; though? Or perhaps the first question really should be: what was nostalgia? with its Greek roots -nostos, meaning &amp;quot;to return home&amp;quot; and algos meaning &amp;quot;pain&amp;quot; - this word sounds so familiar to us that we may forget that it is a relatively new word, as words go. p.19\n\nNostalgia was no longer simply a yearning to return home. As early as 1798, Immanuel Kant had noted that people who did return home were usually disappointed because, in fact, they did not want to return to a place, but to a time, a time of youth. p.19\n\nthe ideal that is not being lived now is projected into the pasty. It is &amp;quot;memorialized&amp;quot; as past, crystallized into precious moments selected by memory, but also by forgetting, and by desire's distortions and reorganizations. Simultaneously distancing and proximating, nostalgia exiles us from the present as it brings the imagined past near. [...] Nostalgic distancind sanitizes as it selects, making the past feel comfortable, stable, coherent, safe. p. 20.\n\nThe postmodern does indeed recall the past, but always with the kind of ironic double vision that acknowledges the final impossibility of indulging nostalgia, even as it consciously evokes nostalgia's affective power. p.23\n\nOur contemporary culture is indeed nostalgic; some parts of it - postmodern parts - are aware of the risks and lures of nostalgia, and seek to expose those through irony. p.23", "page" : "18-41", "title" : "Irony, Nostalgia, and the Postmodern: A Dialogue", "type" : "article-journal", "volume" : "3" }, "locator" : "19", "uris" : [ "http://www.mendeley.com/documents/?uuid=366349e5-3f08-47b8-be63-6003161cd1c1" ] } ], "mendeley" : { "formattedCitation" : "Hutcheon and Vald\u00e9s, p. 19.", "plainTextFormattedCitation" : "Hutcheon and Vald\u00e9s, p. 19.", "previouslyFormattedCitation" : "Hutcheon and Vald\u00e9s, p. 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de-DE"/>
        </w:rPr>
        <w:t>Hutcheon and Valdés, p. 19.</w:t>
      </w:r>
      <w:r w:rsidRPr="00505CF0">
        <w:rPr>
          <w:rFonts w:asciiTheme="majorBidi" w:hAnsiTheme="majorBidi" w:cstheme="majorBidi"/>
        </w:rPr>
        <w:fldChar w:fldCharType="end"/>
      </w:r>
    </w:p>
  </w:footnote>
  <w:footnote w:id="196">
    <w:p w14:paraId="27B13CE7" w14:textId="025F0397" w:rsidR="00054009" w:rsidRPr="001E3C4B"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FE7EAF">
        <w:rPr>
          <w:rFonts w:asciiTheme="majorBidi" w:hAnsiTheme="majorBidi" w:cstheme="majorBidi"/>
        </w:rPr>
        <w:t xml:space="preserve"> </w:t>
      </w:r>
      <w:r w:rsidRPr="00505CF0">
        <w:rPr>
          <w:rFonts w:asciiTheme="majorBidi" w:hAnsiTheme="majorBidi" w:cstheme="majorBidi"/>
        </w:rPr>
        <w:fldChar w:fldCharType="begin" w:fldLock="1"/>
      </w:r>
      <w:r w:rsidRPr="00FE7EAF">
        <w:rPr>
          <w:rFonts w:asciiTheme="majorBidi" w:hAnsiTheme="majorBidi" w:cstheme="majorBidi"/>
        </w:rPr>
        <w:instrText>ADDIN CSL_CITATION { "citationItems" : [ { "id" : "ITEM-1", "itemData" : { "URL" : "https://www.forbes.com/sites/danidiplacido/2016/12/30/2016-the-year-of-nostalgia/#66949fb97aec", "accessed" : { "date-parts" : [ [ "2017", "10", "10" ] ] }, "author" : [ { "dropping-particle" : "", "family" : "Placido", "given" : "Dani", "non-dropping-particle" : "Di", "parse-names" : false, "suffix" : "" } ], "container-title" : "Forbes", "id" : "ITEM-1", "issued" : { "date-parts" : [ [ "2016" ] ] }, "note" : "It's almost over. 2016 has been a tough year, a year where change happened so quickly, it made us uncomfortable. \n\nIn a bid perhaps, to cope with the celebrity deaths and violent disagreements, we looked back to a simpler time [...] We wanted our beloved franchises rebooted and revitalized, to know that no matter what happens, our favorite fictional characters will always be there for us.\n\n2016 was the year of mass nostalgia.", "title" : "2016: The Year We Hit Peak Nostalgia", "type" : "webpage" }, "uris" : [ "http://www.mendeley.com/documents/?uuid=7a40afea-e8bb-43a5-a233-e8a7b3ec8681" ] } ], "mendeley" : { "formattedCitation" : "Di Placido.", "plainTextFormattedCitation" : "Di Placido.", "previouslyFormattedCitation" : "Di Placido."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Di Placido.</w:t>
      </w:r>
      <w:r w:rsidRPr="00505CF0">
        <w:rPr>
          <w:rFonts w:asciiTheme="majorBidi" w:hAnsiTheme="majorBidi" w:cstheme="majorBidi"/>
        </w:rPr>
        <w:fldChar w:fldCharType="end"/>
      </w:r>
    </w:p>
  </w:footnote>
  <w:footnote w:id="197">
    <w:p w14:paraId="31145794" w14:textId="040836CA" w:rsidR="00054009" w:rsidRPr="001E3C4B" w:rsidRDefault="00054009">
      <w:pPr>
        <w:pStyle w:val="FootnoteText"/>
        <w:rPr>
          <w:i/>
          <w:iCs/>
        </w:rPr>
      </w:pPr>
      <w:r>
        <w:rPr>
          <w:rStyle w:val="FootnoteReference"/>
        </w:rPr>
        <w:footnoteRef/>
      </w:r>
      <w:r>
        <w:t xml:space="preserve"> </w:t>
      </w:r>
      <w:r>
        <w:rPr>
          <w:i/>
          <w:iCs/>
        </w:rPr>
        <w:t xml:space="preserve">ACO: I remember a time when I did not dream of yellow eyes. </w:t>
      </w:r>
    </w:p>
  </w:footnote>
  <w:footnote w:id="198">
    <w:p w14:paraId="557A2470" w14:textId="0D34E9A1" w:rsidR="00054009" w:rsidRPr="00FE7EAF"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1E3C4B">
        <w:rPr>
          <w:rFonts w:asciiTheme="majorBidi" w:hAnsiTheme="majorBidi" w:cstheme="majorBidi"/>
        </w:rPr>
        <w:t xml:space="preserve"> </w:t>
      </w:r>
      <w:r w:rsidRPr="00505CF0">
        <w:rPr>
          <w:rFonts w:asciiTheme="majorBidi" w:hAnsiTheme="majorBidi" w:cstheme="majorBidi"/>
        </w:rPr>
        <w:fldChar w:fldCharType="begin" w:fldLock="1"/>
      </w:r>
      <w:r w:rsidRPr="001E3C4B">
        <w:rPr>
          <w:rFonts w:asciiTheme="majorBidi" w:hAnsiTheme="majorBidi" w:cstheme="majorBidi"/>
        </w:rPr>
        <w:instrText>ADDIN CSL_CITATION { "citationItems" : [ { "id" : "ITEM-1", "ite</w:instrText>
      </w:r>
      <w:r w:rsidRPr="00FE7EAF">
        <w:rPr>
          <w:rFonts w:asciiTheme="majorBidi" w:hAnsiTheme="majorBidi" w:cstheme="majorBidi"/>
        </w:rPr>
        <w:instrText>mData" : { "author" : [ { "dropping-particle" : "", "family" : "Hutcheon", "given" : "Linda", "non-dropping-particle" : "", "parse-names" : false, "suffix" : "" }, { "dropping-particle" : "", "family" : "Vald\u00e9s", "given" : "Mario J.", "non-dropping-particle" : "", "parse-names" : false, "suffix" : "" } ], "container-title" : "Poligraf\u00edas", "id" : "ITEM-1", "issued" : { "date-parts" : [ [ "1998" ] ] }, "note" : "in the 1990s, it appears to be nostalgia that is holding sway [...] Nostalgia, the media tell us, has become an obsession of both mass culture and high art. And they may be right, though some poeple feel the obsession is really the media's obsession. p. 18\n\nThe explanations offered for the recent commerxialized luxuriating in the culture of the past have ranged from economic cynicism to moral superiority. They usually point to a dissatisfaction with the culture of the present - something that is then either applauded or condemned. p.19\n\nWhat exactly is &amp;quot;nostalgia,&amp;quot; though? Or perhaps the first question really should be: what was nostalgia? with its Greek roots -nostos, meaning &amp;quot;to return home&amp;quot; and algos meaning &amp;quot;pain&amp;quot; - this word sounds so familiar to us that we may forget that it is a relatively new word, as words go. p.19\n\nNostalgia was no longer simply a yearning to return home. As early as 1798, Immanuel Kant had noted that people who did return home were usually disappointed because, in fact, they did not want to return to a place, but to a time, a time of youth. p.19\n\nthe ideal that is not being lived now is projected into the pasty. It is &amp;quot;memorialized&amp;quot; as past, crystallized into precious moments selected by memory, but also by forgetting, and by desire's distortions and reorganizations. Simultaneously distancing and proximating, nostalgia exiles us from the present as it brings the imagined past near. [...] Nostalgic distancind sanitizes as it selects, making the past feel comfortable, stable, coherent, safe. p. 20.\n\nThe postmodern does indeed recall the past, but always with the kind of ironic double vision that acknowledges the final impossibility of indulging nostalgia, even as it consciously evokes nostalgia's affective power. p.23\n\nOur contemporary culture is indeed nostalgic; some parts of it - postmodern parts - are aware of the risks and lures of nostalgia, and seek to expose those through irony. p.23", "page" : "18-41", "title" : "Irony, Nostalgia, and the Postmodern: A Dialogue", "type" : "article-journal", "volume" : "3" }, "locator" : "20", "uris" : [ "http://www.mendeley.com/documents/?uuid=366349e5-3f08-47b8-be63-6003161cd1c1" ] } ], "mendeley" : { "formattedCitation" : "Hutcheon and Vald\u00e9s, p. 20.", "plainTextFormattedCitation" : "Hutcheon and Vald\u00e9s, p. 20.", "previouslyFormattedCitation" : "Hutcheon and Vald\u00e9s, p. 20."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Hutcheon and Valdés, p. 20.</w:t>
      </w:r>
      <w:r w:rsidRPr="00505CF0">
        <w:rPr>
          <w:rFonts w:asciiTheme="majorBidi" w:hAnsiTheme="majorBidi" w:cstheme="majorBidi"/>
        </w:rPr>
        <w:fldChar w:fldCharType="end"/>
      </w:r>
    </w:p>
  </w:footnote>
  <w:footnote w:id="199">
    <w:p w14:paraId="49D4B135" w14:textId="28002753" w:rsidR="00054009" w:rsidRPr="00FE7EAF"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FE7EAF">
        <w:rPr>
          <w:rFonts w:asciiTheme="majorBidi" w:hAnsiTheme="majorBidi" w:cstheme="majorBidi"/>
        </w:rPr>
        <w:t xml:space="preserve"> </w:t>
      </w:r>
      <w:r w:rsidRPr="00505CF0">
        <w:rPr>
          <w:rFonts w:asciiTheme="majorBidi" w:hAnsiTheme="majorBidi" w:cstheme="majorBidi"/>
        </w:rPr>
        <w:fldChar w:fldCharType="begin" w:fldLock="1"/>
      </w:r>
      <w:r w:rsidRPr="00FE7EAF">
        <w:rPr>
          <w:rFonts w:asciiTheme="majorBidi" w:hAnsiTheme="majorBidi" w:cstheme="majorBidi"/>
        </w:rPr>
        <w:instrText>ADDIN CSL_CITATION { "citationItems" : [ { "id" : "ITEM-1", "itemData" : { "URL" : "http://flamingogroup.com/nostalgias-comfort-is-shaping-contemporary-culture", "accessed" : { "date-parts" : [ [ "2017", "10", "10" ] ] }, "author" : [ { "dropping-particle" : "", "family" : "Beer", "given" : "Carmen", "non-dropping-particle" : "", "parse-names" : false, "suffix" : "" } ], "container-title" : "Lens", "id" : "ITEM-1", "issued" : { "date-parts" : [ [ "2017" ] ] }, "note" : "Nostalgia is comfortable.\n\nThe creative industry has understood that [the 80s, 90s, and early 2000s are] alluring and has been spoon-feeding 'comfrot content' to nostaglic crwods through tributes to iconic pop culture symbols. \n\n[Friends'] optimistic tone is also an asset; set at a time before social networds, 9/11 or Trump, life seemed easier, simpler, and people more naive. \n\nIn 2015, sequels or reboots made up eight of the top 10 earners at the global box office, and 2016 also saw several comebacks, from Ghstbusters to The Jungle Book.\n\nThe most obvious reason is that recycling successes is a fairly safe marketing strategy. It relies on successful formulas and recalling brands and audiences that were formed years ago. \n\nIt's endemic to the digital age that people should look to the past for context, inspiration and references since today we have access like never before to a plentitutde of archived digital content. In this context, it's no suprise that we should see so much recycling of past work now - we reinteropret the past to give it an added layer of meaning in today's world.\n\nThere's nothing wrong with being haunted by content from the past as long as it also contriubtes and speaks to contemporary culture.", "title" : "Nostalgia's Comfort is Shaping Contemporary Culture", "type" : "webpage" }, "uris" : [ "http://www.mendeley.com/documents/?uuid=c0afb40c-f207-40ba-9541-731b5a7e7c12" ] } ], "mendeley" : { "formattedCitation" : "Beer.", "plainTextFormattedCitation" : "Beer.", "previouslyFormattedCitation" : "Beer."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Beer.</w:t>
      </w:r>
      <w:r w:rsidRPr="00505CF0">
        <w:rPr>
          <w:rFonts w:asciiTheme="majorBidi" w:hAnsiTheme="majorBidi" w:cstheme="majorBidi"/>
        </w:rPr>
        <w:fldChar w:fldCharType="end"/>
      </w:r>
    </w:p>
  </w:footnote>
  <w:footnote w:id="200">
    <w:p w14:paraId="7F9F13E5" w14:textId="08E002FB" w:rsidR="00054009" w:rsidRPr="00FE7EAF"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FE7EAF">
        <w:rPr>
          <w:rFonts w:asciiTheme="majorBidi" w:hAnsiTheme="majorBidi" w:cstheme="majorBidi"/>
          <w:lang w:val="nl-NL"/>
        </w:rPr>
        <w:t xml:space="preserve"> </w:t>
      </w:r>
      <w:r w:rsidRPr="00505CF0">
        <w:rPr>
          <w:rFonts w:asciiTheme="majorBidi" w:hAnsiTheme="majorBidi" w:cstheme="majorBidi"/>
        </w:rPr>
        <w:fldChar w:fldCharType="begin" w:fldLock="1"/>
      </w:r>
      <w:r w:rsidRPr="00FE7EAF">
        <w:rPr>
          <w:rFonts w:asciiTheme="majorBidi" w:hAnsiTheme="majorBidi" w:cstheme="majorBidi"/>
          <w:lang w:val="nl-NL"/>
        </w:rPr>
        <w:instrText>ADDIN CSL_CITATION { "citationItems" : [ { "id" : "ITEM-1", "itemData" : { "URL" : "http://flamingogroup.com/nostalgias-comfort-is-shaping-contemporary-culture", "accessed" : { "date-parts" : [ [ "2017", "10", "10" ] ] }, "author" : [ { "dropping-particle" : "", "family" : "Beer", "given" : "Carmen", "non-dropping-particle" : "", "parse-names" : false, "suffix" : "" } ], "container-title" : "Lens", "id" : "ITEM-1", "issued" : { "date-parts" : [ [ "2017" ] ] }, "note" : "Nostalgia is comfortable.\n\nThe creative industry has understood that [the 80s, 90s, and early 2000s are] alluring and has been spoon-feeding 'comfrot content' to nostaglic crwods through tributes to iconic pop culture symbols. \n\n[Friends'] optimistic tone is also an asset; set at a time before social networds, 9/11 or Trump, life seemed easier, simpler, and people more naive. \n\nIn 2015, sequels or reboots made up eight of the top 10 earners at the global box office, and 2016 also saw several comebacks, from Ghstbusters to The Jungle Book.\n\nThe most obvious reason is that recycling successes is a fairly safe marketing strategy. It relies on successful formulas and recalling brands and audiences that were formed years ago. \n\nIt's endemic to the digital age that people should look to the past for context, inspiration and references since today we have access like never before to a plentitutde of archived digital content. In this context, it's no suprise that we should see so much recycling of past work now - we reinteropret the past to give it an added layer of meaning in today's world.\n\nThere's nothing wrong with being haunted by content from the past as long as it also contriubtes and speaks to contemporary culture.", "title" : "Nostalgia's Comfort is Shaping Contemporary Culture", "type" : "webpage" }, "uris" : [ "http://www.mendeley.com/documents/?uuid=c0afb40c-f207-40ba-9541-731b5a7e7c12" ] } ], "mendeley" : { "formattedCitation" : "Beer.", "plainTextFormattedCitation" : "Beer.", "previouslyFormattedCitation" : "Beer."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nl-NL"/>
        </w:rPr>
        <w:t>Beer.</w:t>
      </w:r>
      <w:r w:rsidRPr="00505CF0">
        <w:rPr>
          <w:rFonts w:asciiTheme="majorBidi" w:hAnsiTheme="majorBidi" w:cstheme="majorBidi"/>
        </w:rPr>
        <w:fldChar w:fldCharType="end"/>
      </w:r>
    </w:p>
  </w:footnote>
  <w:footnote w:id="201">
    <w:p w14:paraId="14CB29A3" w14:textId="5AABAC8D" w:rsidR="00054009" w:rsidRPr="00FE7EAF"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FE7EAF">
        <w:rPr>
          <w:rFonts w:asciiTheme="majorBidi" w:hAnsiTheme="majorBidi" w:cstheme="majorBidi"/>
          <w:lang w:val="nl-NL"/>
        </w:rPr>
        <w:t xml:space="preserve"> </w:t>
      </w:r>
      <w:r w:rsidRPr="00505CF0">
        <w:rPr>
          <w:rFonts w:asciiTheme="majorBidi" w:hAnsiTheme="majorBidi" w:cstheme="majorBidi"/>
        </w:rPr>
        <w:fldChar w:fldCharType="begin" w:fldLock="1"/>
      </w:r>
      <w:r w:rsidRPr="00FE7EAF">
        <w:rPr>
          <w:rFonts w:asciiTheme="majorBidi" w:hAnsiTheme="majorBidi" w:cstheme="majorBidi"/>
          <w:lang w:val="nl-NL"/>
        </w:rPr>
        <w:instrText>ADDIN CSL_CITATION { "citationItems" : [ { "id" : "ITEM-1", "itemData" : { "URL" : "https://www.the-tls.co.uk/articles/public/look-back-with-danger/", "accessed" : { "date-parts" : [ [ "2017", "10", "9" ] ] }, "author" : [ { "dropping-particle" : "", "family" : "Goldhill", "given" : "Simon", "non-dropping-particle" : "", "parse-names" : false, "suffix" : "" } ], "container-title" : "TLS Online", "id" : "ITEM-1", "issued" : { "date-parts" : [ [ "2017" ] ] }, "note" : "When we forget that the questions \u201cwhere have we come from?\u201d and \u201cwhere we going?\u201d are integrally linked, we drastically reduce our chances of self-understanding or effective action. If we oversimplify history, we will live \u2013 as both Cicero and Kant predicted \u2013 with the shallow mindfulness of children.\n\nToday\u2019s constant talk of nostalgia \u2013 for old passport covers, old manners, old food, and above all that fantasy of a Britain before multiculturalism \u2013 is in part a response to rapid social change and feelings of insecurity\n\nThere are two corollaries of this form of emotional attention to the past. The first is that the past remains selectively attractive; there is no misery, violence, prejudice or despair in a Hovis ad.", "title" : "Look Back with Danger", "type" : "webpage" }, "uris" : [ "http://www.mendeley.com/documents/?uuid=a31796e9-f153-4a88-a669-c20c469b2780" ] } ], "mendeley" : { "formattedCitation" : "Goldhill.", "plainTextFormattedCitation" : "Goldhill.", "previouslyFormattedCitation" : "Goldhill."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nl-NL"/>
        </w:rPr>
        <w:t>Goldhill.</w:t>
      </w:r>
      <w:r w:rsidRPr="00505CF0">
        <w:rPr>
          <w:rFonts w:asciiTheme="majorBidi" w:hAnsiTheme="majorBidi" w:cstheme="majorBidi"/>
        </w:rPr>
        <w:fldChar w:fldCharType="end"/>
      </w:r>
    </w:p>
  </w:footnote>
  <w:footnote w:id="202">
    <w:p w14:paraId="510905FD" w14:textId="2E6E1DC2" w:rsidR="00054009" w:rsidRPr="00FE7EAF"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FE7EAF">
        <w:rPr>
          <w:rFonts w:asciiTheme="majorBidi" w:hAnsiTheme="majorBidi" w:cstheme="majorBidi"/>
          <w:lang w:val="nl-NL"/>
        </w:rPr>
        <w:t xml:space="preserve"> </w:t>
      </w:r>
      <w:r w:rsidRPr="00505CF0">
        <w:rPr>
          <w:rFonts w:asciiTheme="majorBidi" w:hAnsiTheme="majorBidi" w:cstheme="majorBidi"/>
        </w:rPr>
        <w:fldChar w:fldCharType="begin" w:fldLock="1"/>
      </w:r>
      <w:r w:rsidRPr="00FE7EAF">
        <w:rPr>
          <w:rFonts w:asciiTheme="majorBidi" w:hAnsiTheme="majorBidi" w:cstheme="majorBidi"/>
          <w:lang w:val="nl-NL"/>
        </w:rPr>
        <w:instrText>ADDIN CSL_CITATION { "citationItems" : [ { "id" : "ITEM-1", "itemData" : { "author" : [ { "dropping-particle" : "", "family" : "Stewart", "given" : "Susan", "non-dropping-particle" : "", "parse-names" : false, "suffix" : "" } ], "id" : "ITEM-1", "issued" : { "date-parts" : [ [ "1993" ] ] }, "note" : "[...] social disease of nostalgia p.ix\n\nby the narrative process of nostalgic reconstruction the present is denied and the past takes on an authenticity of being. p.23\n\nNostalgia is a sadness without an object, a sadness with creates a longing that of necessity is authentic because it does not take part in lived experience. Rather, it remains begind and before that experience. Nostalgia, like any form of narrative, is always ideological: the past it seeks has never exissted except as narrative, and ghence, always absent, that past contounually threatens to reproduce itself as a felt lack. p.23\n\nnostalgia wears a discinctly utopian face, a face that turns toward a future-past, a past which has only ideological reality. p.23\n\nthe prevailing motif of nostalgia is the erasure of the gap between nature and culture, and gence a return to the utopia of biology and symbol united within the walled city of the maternal [...] [nostalgia creates a utopia where] authenticity suffuses both word and world. p.23\n\nThe nostalgic dreams of a moment before knowledge and self-consciousnes that itself lives only in the self-consciousness of the nostaglic narrative. Post-Pomo? p.23", "publisher" : "Duke University Press", "publisher-place" : "London", "title" : "On Longing", "type" : "book" }, "locator" : "23", "uris" : [ "http://www.mendeley.com/documents/?uuid=05b2a193-a8b9-4541-a7db-e3fd305ee467" ] } ], "mendeley" : { "formattedCitation" : "Stewart, p. 23.", "plainTextFormattedCitation" : "Stewart, p. 23.", "previouslyFormattedCitation" : "Stewart, p. 23."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nl-NL"/>
        </w:rPr>
        <w:t>Stewart, p. 23.</w:t>
      </w:r>
      <w:r w:rsidRPr="00505CF0">
        <w:rPr>
          <w:rFonts w:asciiTheme="majorBidi" w:hAnsiTheme="majorBidi" w:cstheme="majorBidi"/>
        </w:rPr>
        <w:fldChar w:fldCharType="end"/>
      </w:r>
    </w:p>
  </w:footnote>
  <w:footnote w:id="203">
    <w:p w14:paraId="6237A874" w14:textId="1DFEA5B6" w:rsidR="00054009" w:rsidRPr="00FE7EAF"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FE7EAF">
        <w:rPr>
          <w:rFonts w:asciiTheme="majorBidi" w:hAnsiTheme="majorBidi" w:cstheme="majorBidi"/>
          <w:lang w:val="nl-NL"/>
        </w:rPr>
        <w:t xml:space="preserve"> </w:t>
      </w:r>
      <w:r w:rsidRPr="00505CF0">
        <w:rPr>
          <w:rFonts w:asciiTheme="majorBidi" w:hAnsiTheme="majorBidi" w:cstheme="majorBidi"/>
        </w:rPr>
        <w:fldChar w:fldCharType="begin" w:fldLock="1"/>
      </w:r>
      <w:r w:rsidRPr="00FE7EAF">
        <w:rPr>
          <w:rFonts w:asciiTheme="majorBidi" w:hAnsiTheme="majorBidi" w:cstheme="majorBidi"/>
          <w:lang w:val="nl-NL"/>
        </w:rPr>
        <w:instrText>ADDIN CSL_CITATION { "citationItems" : [ { "id" : "ITEM-1", "itemData" : { "author" : [ { "dropping-particle" : "", "family" : "Stewart", "given" : "Susan", "non-dropping-particle" : "", "parse-names" : false, "suffix" : "" } ], "id" : "ITEM-1", "issued" : { "date-parts" : [ [ "1993" ] ] }, "note" : "[...] social disease of nostalgia p.ix\n\nby the narrative process of nostalgic reconstruction the present is denied and the past takes on an authenticity of being. p.23\n\nNostalgia is a sadness without an object, a sadness with creates a longing that of necessity is authentic because it does not take part in lived experience. Rather, it remains begind and before that experience. Nostalgia, like any form of narrative, is always ideological: the past it seeks has never exissted except as narrative, and ghence, always absent, that past contounually threatens to reproduce itself as a felt lack. p.23\n\nnostalgia wears a discinctly utopian face, a face that turns toward a future-past, a past which has only ideological reality. p.23\n\nthe prevailing motif of nostalgia is the erasure of the gap between nature and culture, and gence a return to the utopia of biology and symbol united within the walled city of the maternal [...] [nostalgia creates a utopia where] authenticity suffuses both word and world. p.23\n\nThe nostalgic dreams of a moment before knowledge and self-consciousnes that itself lives only in the self-consciousness of the nostaglic narrative. Post-Pomo? p.23", "publisher" : "Duke University Press", "publisher-place" : "London", "title" : "On Longing", "type" : "book" }, "locator" : "23", "uris" : [ "http://www.mendeley.com/documents/?uuid=05b2a193-a8b9-4541-a7db-e3fd305ee467" ] } ], "mendeley" : { "formattedCitation" : "Stewart, p. 23.", "plainTextFormattedCitation" : "Stewart, p. 23.", "previouslyFormattedCitation" : "Stewart, p. 23."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nl-NL"/>
        </w:rPr>
        <w:t>Stewart, p. 23.</w:t>
      </w:r>
      <w:r w:rsidRPr="00505CF0">
        <w:rPr>
          <w:rFonts w:asciiTheme="majorBidi" w:hAnsiTheme="majorBidi" w:cstheme="majorBidi"/>
        </w:rPr>
        <w:fldChar w:fldCharType="end"/>
      </w:r>
    </w:p>
  </w:footnote>
  <w:footnote w:id="204">
    <w:p w14:paraId="0C46596A" w14:textId="49679A09" w:rsidR="00054009" w:rsidRPr="00FE7EAF"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FE7EAF">
        <w:rPr>
          <w:rFonts w:asciiTheme="majorBidi" w:hAnsiTheme="majorBidi" w:cstheme="majorBidi"/>
        </w:rPr>
        <w:t xml:space="preserve"> </w:t>
      </w:r>
      <w:r w:rsidRPr="00505CF0">
        <w:rPr>
          <w:rFonts w:asciiTheme="majorBidi" w:hAnsiTheme="majorBidi" w:cstheme="majorBidi"/>
        </w:rPr>
        <w:fldChar w:fldCharType="begin" w:fldLock="1"/>
      </w:r>
      <w:r w:rsidRPr="00FE7EAF">
        <w:rPr>
          <w:rFonts w:asciiTheme="majorBidi" w:hAnsiTheme="majorBidi" w:cstheme="majorBidi"/>
        </w:rPr>
        <w:instrText>ADDIN CSL_CITATION { "citationItems" : [ { "id" : "ITEM-1", "itemData" : { "URL" : "https://www.the-tls.co.uk/articles/public/look-back-with-danger/", "accessed" : { "date-parts" : [ [ "2017", "10", "9" ] ] }, "author" : [ { "dropping-particle" : "", "family" : "Goldhill", "given" : "Simon", "non-dropping-particle" : "", "parse-names" : false, "suffix" : "" } ], "container-title" : "TLS Online", "id" : "ITEM-1", "issued" : { "date-parts" : [ [ "2017" ] ] }, "note" : "When we forget that the questions \u201cwhere have we come from?\u201d and \u201cwhere we going?\u201d are integrally linked, we drastically reduce our chances of self-understanding or effective action. If we oversimplify history, we will live \u2013 as both Cicero and Kant predicted \u2013 with the shallow mindfulness of children.\n\nToday\u2019s constant talk of nostalgia \u2013 for old passport covers, old manners, old food, and above all that fantasy of a Britain before multiculturalism \u2013 is in part a response to rapid social change and feelings of insecurity\n\nThere are two corollaries of this form of emotional attention to the past. The first is that the past remains selectively attractive; there is no misery, violence, prejudice or despair in a Hovis ad.", "title" : "Look Back with Danger", "type" : "webpage" }, "uris" : [ "http://www.mendeley.com/documents/?uuid=a31796e9-f153-4a88-a669-c20c469b2780" ] } ], "mendeley" : { "formattedCitation" : "Goldhill.", "plainTextFormattedCitation" : "Goldhill.", "previouslyFormattedCitation" : "Goldhill."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Goldhill.</w:t>
      </w:r>
      <w:r w:rsidRPr="00505CF0">
        <w:rPr>
          <w:rFonts w:asciiTheme="majorBidi" w:hAnsiTheme="majorBidi" w:cstheme="majorBidi"/>
        </w:rPr>
        <w:fldChar w:fldCharType="end"/>
      </w:r>
      <w:r w:rsidRPr="00FE7EAF">
        <w:rPr>
          <w:rFonts w:asciiTheme="majorBidi" w:hAnsiTheme="majorBidi" w:cstheme="majorBidi"/>
        </w:rPr>
        <w:t xml:space="preserve"> </w:t>
      </w:r>
      <w:proofErr w:type="gramStart"/>
      <w:r w:rsidRPr="00FE7EAF">
        <w:rPr>
          <w:rFonts w:asciiTheme="majorBidi" w:hAnsiTheme="majorBidi" w:cstheme="majorBidi"/>
          <w:i/>
          <w:iCs/>
        </w:rPr>
        <w:t>My emphasis</w:t>
      </w:r>
      <w:r w:rsidRPr="00FE7EAF">
        <w:rPr>
          <w:rFonts w:asciiTheme="majorBidi" w:hAnsiTheme="majorBidi" w:cstheme="majorBidi"/>
        </w:rPr>
        <w:t>.</w:t>
      </w:r>
      <w:proofErr w:type="gramEnd"/>
      <w:r w:rsidRPr="00FE7EAF">
        <w:rPr>
          <w:rFonts w:asciiTheme="majorBidi" w:hAnsiTheme="majorBidi" w:cstheme="majorBidi"/>
        </w:rPr>
        <w:t xml:space="preserve"> </w:t>
      </w:r>
    </w:p>
  </w:footnote>
  <w:footnote w:id="205">
    <w:p w14:paraId="61544BC9" w14:textId="14D1759C" w:rsidR="00054009" w:rsidRPr="001E3C4B" w:rsidRDefault="00054009">
      <w:pPr>
        <w:pStyle w:val="FootnoteText"/>
        <w:rPr>
          <w:i/>
          <w:iCs/>
        </w:rPr>
      </w:pPr>
      <w:r>
        <w:rPr>
          <w:rStyle w:val="FootnoteReference"/>
        </w:rPr>
        <w:footnoteRef/>
      </w:r>
      <w:r w:rsidRPr="001E3C4B">
        <w:t xml:space="preserve"> </w:t>
      </w:r>
      <w:r w:rsidRPr="001E3C4B">
        <w:rPr>
          <w:i/>
          <w:iCs/>
        </w:rPr>
        <w:t xml:space="preserve">ACO: Southward’s childhood is an interesting research topic in and of itself. </w:t>
      </w:r>
      <w:r>
        <w:rPr>
          <w:i/>
          <w:iCs/>
        </w:rPr>
        <w:t xml:space="preserve">I do not have the space, nor the energy, to recount much here, but do look up Rothman Shortholme’s’ Why We Need To Start Beating Kids Again’ for a fantastic post-Southwardian argument that, if only for a bit more savagery on the part of his father, Southward may have never come to do the terrible deeds he did. Rather an acerbic title, mind you, but Shortholme was reportedly visiting Scotland when the great Nova-Nova-Scotish-Scott bombs were released, poor fellow. </w:t>
      </w:r>
    </w:p>
  </w:footnote>
  <w:footnote w:id="206">
    <w:p w14:paraId="01E0E0DF" w14:textId="1EFFD22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1E3C4B">
        <w:rPr>
          <w:rFonts w:asciiTheme="majorBidi" w:hAnsiTheme="majorBidi" w:cstheme="majorBidi"/>
        </w:rPr>
        <w:t xml:space="preserve"> </w:t>
      </w:r>
      <w:r w:rsidRPr="00505CF0">
        <w:rPr>
          <w:rFonts w:asciiTheme="majorBidi" w:hAnsiTheme="majorBidi" w:cstheme="majorBidi"/>
        </w:rPr>
        <w:fldChar w:fldCharType="begin" w:fldLock="1"/>
      </w:r>
      <w:r w:rsidRPr="001E3C4B">
        <w:rPr>
          <w:rFonts w:asciiTheme="majorBidi" w:hAnsiTheme="majorBidi" w:cstheme="majorBidi"/>
        </w:rPr>
        <w:instrText>ADDIN CSL_CITATION { "citationItems" : [ { "id" : "ITEM-1", "itemData" : { "URL" : "http://flavorwire.com/518420/why-grow-up-philosophy-for-a-generation-of-adult-infants", "accessed" : { "date-parts" : [ [ "2017", "10", "10" ] ] }, "author" : [ { "dropping-particle" : "", "family" : "Sturgeon", "given" : "Jonathan", "non-dropping-particle" : "", "parse-names" : false, "suffix" : "" } ], "container-title" : "Flavorwire", "id" : "ITEM-1", "issued" : { "date-parts" : [ [ "2015" ] ] }, "note" : "We are infantilized and self-infantilized. The longing for childhood is broad cultural disposition.\n\nBut as different as they may seem, both men seem to express a longing for what Kant (and Neiman) refers to as the Unconditioned: a \u201ctranquil inactivity and constant peace\u201d that comes when all questions about the world have obvious answers. Basically, the Unconditioned results in the sort of childlike, carefree glee that comes about when one\u2019s imagination can resolve any logistical dilemma.\n\nOne feature of the Unconditioned \u2014 a sign of immaturity \u2014 is that humans\u00a0in this state cannot distinguish between \u201cthe way the world is\u201d and \u201cthe way it ought to be.\u201d I would agree with Nieman that this lack of distinction characterizes much of of millennial culture. (And I would add that the abovementioned inability to distinguish art from fashion is another huge problem.) But I would also agree with millennials that the reason for it is simple: there is no longer any benchmark for maturity.\n\nI think learning to distinguish between \u201cought\u201d and \u201cis\u201d\u00a0ought\u00a0to be our project. And I think Nieman is right to tie cultural infantilism to questions of the Enlightenment. Whether we choose to believe it or not, Enlightenment principles became the standard for maturity in Western culture \u2014 the Enlightenment, in fact, was always about maturity.", "title" : "Why Grow Up? Philosophy for a Generation of Adult Infants", "type" : "webpage" }, "uris" : [ "http://www.mendeley.com/documents/?uuid=b9f803b5-9542-407b-9cc2-4da928700963" ] } ], "mendeley" : { "formattedCitation" : "Jonathan Sturgeon, \u2018Why Grow Up? Philosophy for a Generation of Adult Infants\u2019, &lt;i&gt;Flavorwire&lt;/i&gt;, 2015 &lt;http://flavorwire.com/518420/why-grow-up-philosophy-for-a-generation-of-adult-infants&gt; [accessed 10 October 2017].", "manualFormatting" : "Jonathan Sturgeon, \u2018Why Grow Up? Philosophy for a Generation of Adult Infants\u2019, Flavorwire, 2015  [accessed 10 October 2017].", "plainTextFormattedCitation" : "Jonathan Sturgeon, \u2018Why Grow Up? Philosophy for a Generation of Adult Infants\u2019, Flavorwire, 2015  [accessed 10 October 2017].", "previouslyFormattedCitation" : "Jonathan Sturgeon, \u2018Why Grow Up? Philosophy for a Generation of Adult Infants\u2019, &lt;i&gt;Flavorwire&lt;/i&gt;, 2015 &lt;http://flavorwire.com/518420/why-grow-up-philosophy-for-a-generation-of-adult-infants&gt;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1E3C4B">
        <w:rPr>
          <w:rFonts w:asciiTheme="majorBidi" w:hAnsiTheme="majorBidi" w:cstheme="majorBidi"/>
          <w:noProof/>
        </w:rPr>
        <w:t xml:space="preserve">Jonathan Sturgeon, ‘Why Grow Up? </w:t>
      </w:r>
      <w:r w:rsidRPr="00505CF0">
        <w:rPr>
          <w:rFonts w:asciiTheme="majorBidi" w:hAnsiTheme="majorBidi" w:cstheme="majorBidi"/>
          <w:noProof/>
        </w:rPr>
        <w:t xml:space="preserve">Philosophy for a Generation of Adult Infants’, </w:t>
      </w:r>
      <w:r w:rsidRPr="00505CF0">
        <w:rPr>
          <w:rFonts w:asciiTheme="majorBidi" w:hAnsiTheme="majorBidi" w:cstheme="majorBidi"/>
          <w:i/>
          <w:noProof/>
        </w:rPr>
        <w:t>Flavorwire</w:t>
      </w:r>
      <w:r w:rsidRPr="00505CF0">
        <w:rPr>
          <w:rFonts w:asciiTheme="majorBidi" w:hAnsiTheme="majorBidi" w:cstheme="majorBidi"/>
          <w:noProof/>
        </w:rPr>
        <w:t>, 2015 &lt;http://flavorwire.com/518420/why-grow-up-philosophy-for-a-generation-of-adult-infants&gt; [accessed 10 October 2017].</w:t>
      </w:r>
      <w:r w:rsidRPr="00505CF0">
        <w:rPr>
          <w:rFonts w:asciiTheme="majorBidi" w:hAnsiTheme="majorBidi" w:cstheme="majorBidi"/>
        </w:rPr>
        <w:fldChar w:fldCharType="end"/>
      </w:r>
    </w:p>
  </w:footnote>
  <w:footnote w:id="207">
    <w:p w14:paraId="2B1F88AE" w14:textId="30212CD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"http://standpointmag.co.uk/node/6136/full", "accessed" : { "date-parts" : [ [ "2017", "10", "10" ] ] }, "author" : [ { "dropping-particle" : "", "family" : "Wilson", "given" : "Kit", "non-dropping-particle" : "", "parse-names" : false, "suffix" : "" } ], "container-title" : "Standpoint.", "id" : "ITEM-1", "issued" : { "date-parts" : [ [ "2015" ] ] }, "note" : "The West is - for all its wealth today - far more childish than [has been] anticipated. This can be traced - I beleive - To the reductionist narratives we adopted as our mantras during the last century.\n\nWe seek to make society blinkered, mindless and immature. Look at the way today\u2019s businesses choose to market themselves. They invent names that imitate the nonsense words of babies: Zoopla, Giffgaff, Google, Trivago. They deliberately botch grammar in their slogans to sound na\u00efve and cutesy: \u201cFind your happy\u201d, \u201cBe differenter\u201d, \u201cThe joy of done\u201d. They make their advertisements and logos twee and ironic \u2014 a twirly moustache here, a talking dog there \u2014 just to show how carefree and fun they are.\n\nThe effects of social media don\u2019t end there. A Pew Research Centre study last year found that regular social media users are far more likely than non-users to censor themselves, even offline. We learn to ignore, rather than engage with, genuine disagreement, and so ultimately dismantle the most important distinction between civil society and the playground \u2014 the ability to live respectfully alongside those with whom we disagree.\n\nWe\u2019ll face again genuine, terrifying confrontations of a kind we can scarcely imagine today. And we\u2019ll need something a little more robust than an e-petition and a cat video.\u00a0 Sadly, our philosophical approach seems to have been to paper over Nietzsche\u2019s terrifying abyss with \u201cKeep calm . . .\u201d posters. If one were to characterise the West\u2019s broad philosophical outlook today, it would be this: sentimental nihilism. We accept, as \u201crisen apes\u201d, that it\u2019s all meaningless. But hey, we\u2019re having a good time, right?\n\nUnable to make sense \u2014 as Alasdair MacIntyre says \u2014 of the mutilated philosophical traditions that once gave our now everyday language its meaning, we curl up into our little corner of history and \u2014 fingers crossed behind our backs \u2014 resort to wishful assertions.\n\nOur universities have, for some time now, been expunging reams of \u201cdead white males\u201d from their reading lists. To a generation with fingers in their ears, such thinkers have nothing to say. Unable to sense the subtle threads that bind us all to a shared past, we latch on instead to whichever tags are dangled in front of us \u2014 feminism, transgenderism, post-colonialism. These labels are much easier to grasp, for they require no real knowledge of the past, only of present suffering.", "title" : "Sentimental Nihilism and Popular Culture", "type" : "webpage" }, "uris" : [ "http://www.mendeley.com/documents/?uuid=1fb3474e-d1a5-486b-98d6-9e98032f8e98" ] } ], "mendeley" : { "formattedCitation" : "Kit Wilson, \u2018Sentimental Nihilism and Popular Culture\u2019, &lt;i&gt;Standpoint.&lt;/i&gt;, 2015 &lt;http://standpointmag.co.uk/node/6136/full&gt; [accessed 10 October 2017].", "plainTextFormattedCitation" : "Kit Wilson, \u2018Sentimental Nihilism and Popular Culture\u2019, Standpoint., 2015  [accessed 10 October 2017].", "previouslyFormattedCitation" : "Kit Wilson, \u2018Sentimental Nihilism and Popular Culture\u2019, &lt;i&gt;Standpoint.&lt;/i&gt;, 2015 &lt;http://standpointmag.co.uk/node/6136/full&gt;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Kit Wilson, ‘Sentimental Nihilism and Popular Culture’, </w:t>
      </w:r>
      <w:r w:rsidRPr="0025171E">
        <w:rPr>
          <w:rFonts w:asciiTheme="majorBidi" w:hAnsiTheme="majorBidi" w:cstheme="majorBidi"/>
          <w:i/>
          <w:noProof/>
        </w:rPr>
        <w:t>Standpoint.</w:t>
      </w:r>
      <w:r w:rsidRPr="0025171E">
        <w:rPr>
          <w:rFonts w:asciiTheme="majorBidi" w:hAnsiTheme="majorBidi" w:cstheme="majorBidi"/>
          <w:noProof/>
        </w:rPr>
        <w:t>, 2015 &lt;http://standpointmag.co.uk/node/6136/full&gt; [accessed 10 October 2017].</w:t>
      </w:r>
      <w:r w:rsidRPr="00505CF0">
        <w:rPr>
          <w:rFonts w:asciiTheme="majorBidi" w:hAnsiTheme="majorBidi" w:cstheme="majorBidi"/>
        </w:rPr>
        <w:fldChar w:fldCharType="end"/>
      </w:r>
    </w:p>
  </w:footnote>
  <w:footnote w:id="208">
    <w:p w14:paraId="73CB417E" w14:textId="7A471E9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"http://standpointmag.co.uk/node/6136/full", "accessed" : { "date-parts" : [ [ "2017", "10", "10" ] ] }, "author" : [ { "dropping-particle" : "", "family" : "Wilson", "given" : "Kit", "non-dropping-particle" : "", "parse-names" : false, "suffix" : "" } ], "container-title" : "Standpoint.", "id" : "ITEM-1", "issued" : { "date-parts" : [ [ "2015" ] ] }, "note" : "The West is - for all its wealth today - far more childish than [has been] anticipated. This can be traced - I beleive - To the reductionist narratives we adopted as our mantras during the last century.\n\nWe seek to make society blinkered, mindless and immature. Look at the way today\u2019s businesses choose to market themselves. They invent names that imitate the nonsense words of babies: Zoopla, Giffgaff, Google, Trivago. They deliberately botch grammar in their slogans to sound na\u00efve and cutesy: \u201cFind your happy\u201d, \u201cBe differenter\u201d, \u201cThe joy of done\u201d. They make their advertisements and logos twee and ironic \u2014 a twirly moustache here, a talking dog there \u2014 just to show how carefree and fun they are.\n\nThe effects of social media don\u2019t end there. A Pew Research Centre study last year found that regular social media users are far more likely than non-users to censor themselves, even offline. We learn to ignore, rather than engage with, genuine disagreement, and so ultimately dismantle the most important distinction between civil society and the playground \u2014 the ability to live respectfully alongside those with whom we disagree.\n\nWe\u2019ll face again genuine, terrifying confrontations of a kind we can scarcely imagine today. And we\u2019ll need something a little more robust than an e-petition and a cat video.\u00a0 Sadly, our philosophical approach seems to have been to paper over Nietzsche\u2019s terrifying abyss with \u201cKeep calm . . .\u201d posters. If one were to characterise the West\u2019s broad philosophical outlook today, it would be this: sentimental nihilism. We accept, as \u201crisen apes\u201d, that it\u2019s all meaningless. But hey, we\u2019re having a good time, right?\n\nUnable to make sense \u2014 as Alasdair MacIntyre says \u2014 of the mutilated philosophical traditions that once gave our now everyday language its meaning, we curl up into our little corner of history and \u2014 fingers crossed behind our backs \u2014 resort to wishful assertions.\n\nOur universities have, for some time now, been expunging reams of \u201cdead white males\u201d from their reading lists. To a generation with fingers in their ears, such thinkers have nothing to say. Unable to sense the subtle threads that bind us all to a shared past, we latch on instead to whichever tags are dangled in front of us \u2014 feminism, transgenderism, post-colonialism. These labels are much easier to grasp, for they require no real knowledge of the past, only of present suffering.", "title" : "Sentimental Nihilism and Popular Culture", "type" : "webpage" }, "uris" : [ "http://www.mendeley.com/documents/?uuid=1fb3474e-d1a5-486b-98d6-9e98032f8e98" ] } ], "mendeley" : { "formattedCitation" : "Wilson.", "plainTextFormattedCitation" : "Wilson.", "previouslyFormattedCitation" : "Wilson."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Wilson.</w:t>
      </w:r>
      <w:r w:rsidRPr="00505CF0">
        <w:rPr>
          <w:rFonts w:asciiTheme="majorBidi" w:hAnsiTheme="majorBidi" w:cstheme="majorBidi"/>
        </w:rPr>
        <w:fldChar w:fldCharType="end"/>
      </w:r>
      <w:r w:rsidRPr="00505CF0">
        <w:rPr>
          <w:rFonts w:asciiTheme="majorBidi" w:hAnsiTheme="majorBidi" w:cstheme="majorBidi"/>
        </w:rPr>
        <w:t xml:space="preserve"> To this list we may also add the ridiculously named recent carboot-style-app ‘Shpock.’ </w:t>
      </w:r>
    </w:p>
  </w:footnote>
  <w:footnote w:id="209">
    <w:p w14:paraId="579C7E27" w14:textId="1A2C6D8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Diana West in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"http://www.orthodoxytoday.org/articles7/GlazovGrownup.php", "accessed" : { "date-parts" : [ [ "2017", "10", "10" ] ] }, "author" : [ { "dropping-particle" : "", "family" : "Glazov", "given" : "Jamie", "non-dropping-particle" : "", "parse-names" : false, "suffix" : "" } ], "container-title" : "OrthodoxyToday", "id" : "ITEM-1", "issued" : { "date-parts" : [ [ "2007" ] ] }, "note" : "Interview with Diana West:\n\nDW: Living, as I think we do, in the Era of the Perpeptual Adolescent.\n\nDW: [I discovered] first hand the extent to which socail and cultural distinctions between children and adults-- who dcress the same, all say &amp;quot;cool,&amp;quot; and even warch cartoons--had dissapeared.\n\nDW:The death of the grown-up was quite suddenly much more than a theory to explain a largely academic culture war; it applied directely and, I thought, most urgently to what had shockingly become a real culture war between the West and Islam-- a civilizational struggle that our society doesn't want to acknowledge precisely, I argue, because of society's extremely immature, in fact, downright childish, nature.\n\nDW: The organizing thesis [of her book of the same name as this article] is that the unprecidented transfer of cultural authority from adults to adolescents over the past half century or so has dire implications for the survival of the western world. \n\nDW: We often associate adolescence with a lack of confidence. I would say our adolescent culture suffers from a severe lack of cultural confidence. We think of adolescence as being a time to search for identity. Our adolescent culture is marked by a bona fide &amp;quot;identity crisis.&amp;quot; I went back to the definition of &amp;quot;identity crisis,&amp;quot; the term coined by Erik Erikson in 1970, and found that it describes an adolescent phase marked by &amp;quot;a loss of the sense of sameness and historical continuity of one's self.&amp;quot; On a cultural level, we see that loss in spades.\n\nDW: It is as if the opennes of the adolescent, which can be a very winning trait, has been taken to a[sic] extreme on a cultural level.\n\nDW: On of the things we all enjoy about childhood is getting lost in the world of pretend. But such flights of fancy are not supposed to govern us as adults formulating geo-political strategy.\n\nDW: Also, according to the definition, there may be &amp;quot;confusion over values.&amp;quot; Well, such confusion is famously universal in our culture. Such confusion includes &amp;quot;an inability to accept the role the individual perceives as being expected of him by society.&amp;quot; This last symptom is also familiar to us on a cultural level, given our split personality as both world policeman and, in many people's eyes, world villain. Lacking what you might call &amp;quot;parental guidance,&amp;quot; this infantile culture of ours could be doomed not only to perpetual adolescence, but to a perpetual identity crisis.", "title" : "The Death of the Grown-Up", "type" : "webpage" }, "uris" : [ "http://www.mendeley.com/documents/?uuid=fff2aaf9-81fa-4764-a563-caf7c57b296a" ] } ], "mendeley" : { "formattedCitation" : "Jamie Glazov, \u2018The Death of the Grown-Up\u2019, &lt;i&gt;OrthodoxyToday&lt;/i&gt;, 2007 &lt;http://www.orthodoxytoday.org/articles7/GlazovGrownup.php&gt; [accessed 10 October 2017].", "plainTextFormattedCitation" : "Jamie Glazov, \u2018The Death of the Grown-Up\u2019, OrthodoxyToday, 2007  [accessed 10 October 2017].", "previouslyFormattedCitation" : "Jamie Glazov, \u2018The Death of the Grown-Up\u2019, &lt;i&gt;OrthodoxyToday&lt;/i&gt;, 2007 &lt;http://www.orthodoxytoday.org/articles7/GlazovGrownup.php&gt;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Jamie Glazov, ‘The Death of the Grown-Up’, </w:t>
      </w:r>
      <w:r w:rsidRPr="0025171E">
        <w:rPr>
          <w:rFonts w:asciiTheme="majorBidi" w:hAnsiTheme="majorBidi" w:cstheme="majorBidi"/>
          <w:i/>
          <w:noProof/>
        </w:rPr>
        <w:t>OrthodoxyToday</w:t>
      </w:r>
      <w:r w:rsidRPr="0025171E">
        <w:rPr>
          <w:rFonts w:asciiTheme="majorBidi" w:hAnsiTheme="majorBidi" w:cstheme="majorBidi"/>
          <w:noProof/>
        </w:rPr>
        <w:t>, 2007 &lt;http://www.orthodoxytoday.org/articles7/GlazovGrownup.php&gt; [accessed 10 October 2017].</w:t>
      </w:r>
      <w:r w:rsidRPr="00505CF0">
        <w:rPr>
          <w:rFonts w:asciiTheme="majorBidi" w:hAnsiTheme="majorBidi" w:cstheme="majorBidi"/>
        </w:rPr>
        <w:fldChar w:fldCharType="end"/>
      </w:r>
    </w:p>
  </w:footnote>
  <w:footnote w:id="210">
    <w:p w14:paraId="29A06FEB" w14:textId="6B9A4FB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"http://www.orthodoxytoday.org/articles7/GlazovGrownup.php", "accessed" : { "date-parts" : [ [ "2017", "10", "10" ] ] }, "author" : [ { "dropping-particle" : "", "family" : "Glazov", "given" : "Jamie", "non-dropping-particle" : "", "parse-names" : false, "suffix" : "" } ], "container-title" : "OrthodoxyToday", "id" : "ITEM-1", "issued" : { "date-parts" : [ [ "2007" ] ] }, "note" : "Interview with Diana West:\n\nDW: Living, as I think we do, in the Era of the Perpeptual Adolescent.\n\nDW: [I discovered] first hand the extent to which socail and cultural distinctions between children and adults-- who dcress the same, all say &amp;quot;cool,&amp;quot; and even warch cartoons--had dissapeared.\n\nDW:The death of the grown-up was quite suddenly much more than a theory to explain a largely academic culture war; it applied directely and, I thought, most urgently to what had shockingly become a real culture war between the West and Islam-- a civilizational struggle that our society doesn't want to acknowledge precisely, I argue, because of society's extremely immature, in fact, downright childish, nature.\n\nDW: The organizing thesis [of her book of the same name as this article] is that the unprecidented transfer of cultural authority from adults to adolescents over the past half century or so has dire implications for the survival of the western world. \n\nDW: We often associate adolescence with a lack of confidence. I would say our adolescent culture suffers from a severe lack of cultural confidence. We think of adolescence as being a time to search for identity. Our adolescent culture is marked by a bona fide &amp;quot;identity crisis.&amp;quot; I went back to the definition of &amp;quot;identity crisis,&amp;quot; the term coined by Erik Erikson in 1970, and found that it describes an adolescent phase marked by &amp;quot;a loss of the sense of sameness and historical continuity of one's self.&amp;quot; On a cultural level, we see that loss in spades.\n\nDW: It is as if the opennes of the adolescent, which can be a very winning trait, has been taken to a[sic] extreme on a cultural level.\n\nDW: On of the things we all enjoy about childhood is getting lost in the world of pretend. But such flights of fancy are not supposed to govern us as adults formulating geo-political strategy.\n\nDW: Also, according to the definition, there may be &amp;quot;confusion over values.&amp;quot; Well, such confusion is famously universal in our culture. Such confusion includes &amp;quot;an inability to accept the role the individual perceives as being expected of him by society.&amp;quot; This last symptom is also familiar to us on a cultural level, given our split personality as both world policeman and, in many people's eyes, world villain. Lacking what you might call &amp;quot;parental guidance,&amp;quot; this infantile culture of ours could be doomed not only to perpetual adolescence, but to a perpetual identity crisis.", "title" : "The Death of the Grown-Up", "type" : "webpage" }, "uris" : [ "http://www.mendeley.com/documents/?uuid=fff2aaf9-81fa-4764-a563-caf7c57b296a" ] } ], "mendeley" : { "formattedCitation" : "Glazov.", "plainTextFormattedCitation" : "Glazov.", "previouslyFormattedCitation" : "Glazov."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Glazov.</w:t>
      </w:r>
      <w:r w:rsidRPr="00505CF0">
        <w:rPr>
          <w:rFonts w:asciiTheme="majorBidi" w:hAnsiTheme="majorBidi" w:cstheme="majorBidi"/>
        </w:rPr>
        <w:fldChar w:fldCharType="end"/>
      </w:r>
    </w:p>
  </w:footnote>
  <w:footnote w:id="211">
    <w:p w14:paraId="0AF2445F" w14:textId="5F167DA6"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"Erick da Silva, \u2018The Infantilization of Society and the Cult of Youth\u2019, &lt;i&gt;The Ivory Tower&lt;/i&gt;, 2015 &lt;http://the-ivory-tower.com/the-infantilization-of-society-and-the-cult-of-youth/&gt; [accessed 10 October 2017].", "plainTextFormattedCitation" : "Erick da Silva, \u2018The Infantilization of Society and the Cult of Youth\u2019, The Ivory Tower, 2015  [accessed 10 October 2017].", "previouslyFormattedCitation" : "Erick da Silva, \u2018The Infantilization of Society and the Cult of Youth\u2019, &lt;i&gt;The Ivory Tower&lt;/i&gt;, 2015 &lt;http://the-ivory-tower.com/the-infantilization-of-society-and-the-cult-of-youth/&gt;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Erick da Silva, ‘The Infantilization of Society and the Cult of Youth’, </w:t>
      </w:r>
      <w:r w:rsidRPr="0025171E">
        <w:rPr>
          <w:rFonts w:asciiTheme="majorBidi" w:hAnsiTheme="majorBidi" w:cstheme="majorBidi"/>
          <w:i/>
          <w:noProof/>
        </w:rPr>
        <w:t>The Ivory Tower</w:t>
      </w:r>
      <w:r w:rsidRPr="0025171E">
        <w:rPr>
          <w:rFonts w:asciiTheme="majorBidi" w:hAnsiTheme="majorBidi" w:cstheme="majorBidi"/>
          <w:noProof/>
        </w:rPr>
        <w:t>, 2015 &lt;http://the-ivory-tower.com/the-infantilization-of-society-and-the-cult-of-youth/&gt; [accessed 10 October 2017].</w:t>
      </w:r>
      <w:r w:rsidRPr="00505CF0">
        <w:rPr>
          <w:rFonts w:asciiTheme="majorBidi" w:hAnsiTheme="majorBidi" w:cstheme="majorBidi"/>
        </w:rPr>
        <w:fldChar w:fldCharType="end"/>
      </w:r>
    </w:p>
  </w:footnote>
  <w:footnote w:id="212">
    <w:p w14:paraId="0B359442" w14:textId="5BAB34E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da Silva.</w:t>
      </w:r>
      <w:r w:rsidRPr="00505CF0">
        <w:rPr>
          <w:rFonts w:asciiTheme="majorBidi" w:hAnsiTheme="majorBidi" w:cstheme="majorBidi"/>
        </w:rPr>
        <w:fldChar w:fldCharType="end"/>
      </w:r>
    </w:p>
  </w:footnote>
  <w:footnote w:id="213">
    <w:p w14:paraId="21854DBE" w14:textId="5F50E395" w:rsidR="00054009" w:rsidRPr="00505CF0" w:rsidRDefault="00054009" w:rsidP="00C111D3">
      <w:pPr>
        <w:pStyle w:val="FootnoteText"/>
        <w:rPr>
          <w:rFonts w:asciiTheme="majorBidi" w:hAnsiTheme="majorBidi" w:cstheme="majorBidi"/>
          <w:lang w:val="pt-PT"/>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w:instrText>
      </w:r>
      <w:r w:rsidRPr="0025171E">
        <w:rPr>
          <w:rFonts w:asciiTheme="majorBidi" w:hAnsiTheme="majorBidi" w:cstheme="majorBidi"/>
          <w:lang w:val="pt-PT"/>
        </w:rPr>
        <w:instrText>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pt-PT"/>
        </w:rPr>
        <w:t>da Silva.</w:t>
      </w:r>
      <w:r w:rsidRPr="00505CF0">
        <w:rPr>
          <w:rFonts w:asciiTheme="majorBidi" w:hAnsiTheme="majorBidi" w:cstheme="majorBidi"/>
        </w:rPr>
        <w:fldChar w:fldCharType="end"/>
      </w:r>
    </w:p>
  </w:footnote>
  <w:footnote w:id="214">
    <w:p w14:paraId="12043A7B" w14:textId="152C290C" w:rsidR="00054009" w:rsidRPr="00FE7EAF"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FE7EAF">
        <w:rPr>
          <w:rFonts w:asciiTheme="majorBidi" w:hAnsiTheme="majorBidi" w:cstheme="majorBidi"/>
        </w:rPr>
        <w:t xml:space="preserve"> </w:t>
      </w:r>
      <w:r w:rsidRPr="00505CF0">
        <w:rPr>
          <w:rFonts w:asciiTheme="majorBidi" w:hAnsiTheme="majorBidi" w:cstheme="majorBidi"/>
        </w:rPr>
        <w:fldChar w:fldCharType="begin" w:fldLock="1"/>
      </w:r>
      <w:r w:rsidRPr="00FE7EAF">
        <w:rPr>
          <w:rFonts w:asciiTheme="majorBidi" w:hAnsiTheme="majorBidi" w:cstheme="majorBidi"/>
        </w:rPr>
        <w:instrText>ADDIN CSL_CITATION { "citationItems" : [ { "id" : "ITEM-1", "itemData" : { "URL" : "https://thesocietypages.org/socimages/2013/08/08/power-mickey-mouse-and-the-infantilization-of-women/", "accessed" : { "date-parts" : [ [ "2017", "10", "24" ] ] }, "author" : [ { "dropping-particle" : "", "family" : "Wade", "given" : "Lisa", "non-dropping-particle" : "", "parse-names" : false, "suffix" : "" } ], "container-title" : "The Society Pages", "id" : "ITEM-1", "issued" : { "date-parts" : [ [ "2013" ] ] }, "title" : "Power, Mickey Mouse, and the Infantilization of Women", "type" : "webpage" }, "uris" : [ "http://www.mendeley.com/documents/?uuid=2bcb5c2b-7490-49e4-b80c-06c71c19e12a" ] } ], "mendeley" : { "formattedCitation" : "Lisa Wade, \u2018Power, Mickey Mouse, and the Infantilization of Women\u2019, &lt;i&gt;The Society Pages&lt;/i&gt;, 2013 &lt;https://thesocietypages.org/socimages/2013/08/08/power-mickey-mouse-and-the-infantilization-of-women/&gt; [accessed 24 October 2017].", "plainTextFormattedCitation" : "Lisa Wade, \u2018Power, Mickey Mouse, and the Infantilization of Women\u2019, The Society Pages, 2013  [accessed 24 October 2017].", "previouslyFormattedCitation" : "Lisa Wade, \u2018Power, Mickey Mouse, and the Infantilization of Women\u2019, &lt;i&gt;The Society Pages&lt;/i&gt;, 2013 &lt;https://thesocietypages.org/socimages/2013/08/08/power-mickey-mouse-and-the-infantilization-of-women/&gt; [accessed 24 October 2017]."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 xml:space="preserve">Lisa Wade, ‘Power, Mickey Mouse, and the Infantilization of Women’, </w:t>
      </w:r>
      <w:r w:rsidRPr="00FE7EAF">
        <w:rPr>
          <w:rFonts w:asciiTheme="majorBidi" w:hAnsiTheme="majorBidi" w:cstheme="majorBidi"/>
          <w:i/>
          <w:noProof/>
        </w:rPr>
        <w:t>The Society Pages</w:t>
      </w:r>
      <w:r w:rsidRPr="00FE7EAF">
        <w:rPr>
          <w:rFonts w:asciiTheme="majorBidi" w:hAnsiTheme="majorBidi" w:cstheme="majorBidi"/>
          <w:noProof/>
        </w:rPr>
        <w:t>, 2013 &lt;https://thesocietypages.org/socimages/2013/08/08/power-mickey-mouse-and-the-infantilization-of-women/&gt; [accessed 24 October 2017].</w:t>
      </w:r>
      <w:r w:rsidRPr="00505CF0">
        <w:rPr>
          <w:rFonts w:asciiTheme="majorBidi" w:hAnsiTheme="majorBidi" w:cstheme="majorBidi"/>
        </w:rPr>
        <w:fldChar w:fldCharType="end"/>
      </w:r>
    </w:p>
  </w:footnote>
  <w:footnote w:id="215">
    <w:p w14:paraId="47444CF6" w14:textId="6FF201D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"https://thesocietypages.org/socimages/2013/08/08/power-mickey-mouse-and-the-infantilization-of-women/", "accessed" : { "date-parts" : [ [ "2017", "10", "24" ] ] }, "author" : [ { "dropping-particle" : "", "family" : "Wade", "given" : "Lisa", "non-dropping-particle" : "", "parse-names" : false, "suffix" : "" } ], "container-title" : "The Society Pages", "id" : "ITEM-1", "issued" : { "date-parts" : [ [ "2013" ] ] }, "title" : "Power, Mickey Mouse, and the Infantilization of Women", "type" : "webpage" }, "uris" : [ "http://www.mendeley.com/documents/?uuid=2bcb5c2b-7490-49e4-b80c-06c71c19e12a" ] } ], "mendeley" : { "formattedCitation" : "Wade.", "plainTextFormattedCitation" : "Wade.", "previouslyFormattedCitation" : "Wade."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Wade.</w:t>
      </w:r>
      <w:r w:rsidRPr="00505CF0">
        <w:rPr>
          <w:rFonts w:asciiTheme="majorBidi" w:hAnsiTheme="majorBidi" w:cstheme="majorBidi"/>
        </w:rPr>
        <w:fldChar w:fldCharType="end"/>
      </w:r>
    </w:p>
  </w:footnote>
  <w:footnote w:id="216">
    <w:p w14:paraId="22494FC3" w14:textId="791BD0A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"http://anirenicon.com/2011/06/14/the-infantilization-of-women-and-a-theology-of-aging-getting-age-wrong-part-2/", "accessed" : { "date-parts" : [ [ "2017", "10", "24" ] ] }, "author" : [ { "dropping-particle" : "", "family" : "O'Brien", "given" : "Allen Marshall", "non-dropping-particle" : "", "parse-names" : false, "suffix" : "" } ], "container-title" : "Irenicon", "id" : "ITEM-1", "issued" : { "date-parts" : [ [ "2011" ] ] }, "title" : "The Infantilization of Women", "type" : "webpage" }, "uris" : [ "http://www.mendeley.com/documents/?uuid=33f90223-be51-4072-ad86-6648105a9cba" ] } ], "mendeley" : { "formattedCitation" : "Allen Marshall O\u2019Brien, \u2018The Infantilization of Women\u2019, &lt;i&gt;Irenicon&lt;/i&gt;, 2011 &lt;http://anirenicon.com/2011/06/14/the-infantilization-of-women-and-a-theology-of-aging-getting-age-wrong-part-2/&gt; [accessed 24 October 2017].", "plainTextFormattedCitation" : "Allen Marshall O\u2019Brien, \u2018The Infantilization of Women\u2019, Irenicon, 2011  [accessed 24 October 2017].", "previouslyFormattedCitation" : "Allen Marshall O\u2019Brien, \u2018The Infantilization of Women\u2019, &lt;i&gt;Irenicon&lt;/i&gt;, 2011 &lt;http://anirenicon.com/2011/06/14/the-infantilization-of-women-and-a-theology-of-aging-getting-age-wrong-part-2/&gt; [accessed 24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Allen Marshall O’Brien, ‘The Infantilization of Women’, </w:t>
      </w:r>
      <w:r w:rsidRPr="0025171E">
        <w:rPr>
          <w:rFonts w:asciiTheme="majorBidi" w:hAnsiTheme="majorBidi" w:cstheme="majorBidi"/>
          <w:i/>
          <w:noProof/>
        </w:rPr>
        <w:t>Irenicon</w:t>
      </w:r>
      <w:r w:rsidRPr="0025171E">
        <w:rPr>
          <w:rFonts w:asciiTheme="majorBidi" w:hAnsiTheme="majorBidi" w:cstheme="majorBidi"/>
          <w:noProof/>
        </w:rPr>
        <w:t>, 2011 &lt;http://anirenicon.com/2011/06/14/the-infantilization-of-women-and-a-theology-of-aging-getting-age-wrong-part-2/&gt; [accessed 24 October 2017].</w:t>
      </w:r>
      <w:r w:rsidRPr="00505CF0">
        <w:rPr>
          <w:rFonts w:asciiTheme="majorBidi" w:hAnsiTheme="majorBidi" w:cstheme="majorBidi"/>
        </w:rPr>
        <w:fldChar w:fldCharType="end"/>
      </w:r>
    </w:p>
  </w:footnote>
  <w:footnote w:id="217">
    <w:p w14:paraId="7185AFDF" w14:textId="70298B2C"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"http://www.thebrofessional.net/resurgence-pokemon-highlights-problem-millennials/", "accessed" : { "date-parts" : [ [ "2017", "10", "10" ] ] }, "author" : [ { "dropping-particle" : "", "family" : "Anonymous", "given" : "", "non-dropping-particle" : "", "parse-names" : false, "suffix" : "" } ], "container-title" : "The Brofessional", "id" : "ITEM-1", "issued" : { "date-parts" : [ [ "2016" ] ] }, "note" : "Millenials are cutting edge in a lot of ways, mainly in terms of technology, but they are one of the most regressive generations EVER when it comes to their culture.\n\nBut this development is not unique, it's another symptom of millennital infantilization. It's my generation's desire to remain as mentally and emotionally close to our mother's womb at all times.", "title" : "How 'Pokemon Go' Highlights The Problem with Millenials", "type" : "webpage" }, "uris" : [ "http://www.mendeley.com/documents/?uuid=2d231a8b-644f-446e-b9d2-3884e67709ba" ] } ], "mendeley" : { "formattedCitation" : "Anonymous, \u2018How \u201cPokemon Go\u201d Highlights The Problem with Millenials\u2019, &lt;i&gt;The Brofessional&lt;/i&gt;, 2016 &lt;http://www.thebrofessional.net/resurgence-pokemon-highlights-problem-millennials/&gt; [accessed 10 October 2017].", "plainTextFormattedCitation" : "Anonymous, \u2018How \u201cPokemon Go\u201d Highlights The Problem with Millenials\u2019, The Brofessional, 2016  [accessed 10 October 2017].", "previouslyFormattedCitation" : "Anonymous, \u2018How \u201cPokemon Go\u201d Highlights The Problem with Millenials\u2019, &lt;i&gt;The Brofessional&lt;/i&gt;, 2016 &lt;http://www.thebrofessional.net/resurgence-pokemon-highlights-problem-millennials/&gt;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Anonymous, ‘How “Pokemon Go” Highlights The Problem with Millenials’, </w:t>
      </w:r>
      <w:r w:rsidRPr="0025171E">
        <w:rPr>
          <w:rFonts w:asciiTheme="majorBidi" w:hAnsiTheme="majorBidi" w:cstheme="majorBidi"/>
          <w:i/>
          <w:noProof/>
        </w:rPr>
        <w:t>The Brofessional</w:t>
      </w:r>
      <w:r w:rsidRPr="0025171E">
        <w:rPr>
          <w:rFonts w:asciiTheme="majorBidi" w:hAnsiTheme="majorBidi" w:cstheme="majorBidi"/>
          <w:noProof/>
        </w:rPr>
        <w:t>, 2016 &lt;http://www.thebrofessional.net/resurgence-pokemon-highlights-problem-millennials/&gt; [accessed 10 October 2017].</w:t>
      </w:r>
      <w:r w:rsidRPr="00505CF0">
        <w:rPr>
          <w:rFonts w:asciiTheme="majorBidi" w:hAnsiTheme="majorBidi" w:cstheme="majorBidi"/>
        </w:rPr>
        <w:fldChar w:fldCharType="end"/>
      </w:r>
    </w:p>
  </w:footnote>
  <w:footnote w:id="218">
    <w:p w14:paraId="30B8FB85" w14:textId="6B28E76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"http://www.martin-van-creveld.com/infantilization/", "accessed" : { "date-parts" : [ [ "2017", "10", "10" ] ] }, "author" : [ { "dropping-particle" : "", "family" : "Creveld", "given" : "Martin", "non-dropping-particle" : "van", "parse-names" : false, "suffix" : "" } ], "container-title" : "Martin-Van-Creveld", "id" : "ITEM-1", "issued" : { "date-parts" : [ [ "2017" ] ] }, "note" : "They are the last\u2014for the time being, at any rate\u2014stages in a process of compulsory infantilization that, in all Western countries, has been going on ever since the industrial revolution\n\nriefly, young people are increasingly being treated as if they cannot look after themselves. Not in respect to work. Not in respect to study. Not in respect to freedom of movement, not in respect to drink\u2014in the US and some other countries, one must be over 21 in order to enjoy it\u2014and not in respect to having sex. All for their own, good, needless to say.", "title" : "Infantilization", "type" : "webpage" }, "uris" : [ "http://www.mendeley.com/documents/?uuid=7e117351-5108-45ae-9631-917aadabd08c" ] } ], "mendeley" : { "formattedCitation" : "Martin van Creveld, \u2018Infantilization\u2019, &lt;i&gt;Martin-Van-Creveld&lt;/i&gt;, 2017 &lt;http://www.martin-van-creveld.com/infantilization/&gt; [accessed 10 October 2017].", "plainTextFormattedCitation" : "Martin van Creveld, \u2018Infantilization\u2019, Martin-Van-Creveld, 2017  [accessed 10 October 2017].", "previouslyFormattedCitation" : "Martin van Creveld, \u2018Infantilization\u2019, &lt;i&gt;Martin-Van-Creveld&lt;/i&gt;, 2017 &lt;http://www.martin-van-creveld.com/infantilization/&gt; [accessed 10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Martin van Creveld, ‘Infantilization’, </w:t>
      </w:r>
      <w:r w:rsidRPr="0025171E">
        <w:rPr>
          <w:rFonts w:asciiTheme="majorBidi" w:hAnsiTheme="majorBidi" w:cstheme="majorBidi"/>
          <w:i/>
          <w:noProof/>
        </w:rPr>
        <w:t>Martin-Van-Creveld</w:t>
      </w:r>
      <w:r w:rsidRPr="0025171E">
        <w:rPr>
          <w:rFonts w:asciiTheme="majorBidi" w:hAnsiTheme="majorBidi" w:cstheme="majorBidi"/>
          <w:noProof/>
        </w:rPr>
        <w:t>, 2017 &lt;http://www.martin-van-creveld.com/infantilization/&gt; [accessed 10 October 2017].</w:t>
      </w:r>
      <w:r w:rsidRPr="00505CF0">
        <w:rPr>
          <w:rFonts w:asciiTheme="majorBidi" w:hAnsiTheme="majorBidi" w:cstheme="majorBidi"/>
        </w:rPr>
        <w:fldChar w:fldCharType="end"/>
      </w:r>
    </w:p>
  </w:footnote>
  <w:footnote w:id="219">
    <w:p w14:paraId="4395DA62" w14:textId="2A45A56E" w:rsidR="00054009" w:rsidRPr="00FE7EAF" w:rsidRDefault="00054009" w:rsidP="00C111D3">
      <w:pPr>
        <w:pStyle w:val="FootnoteText"/>
        <w:rPr>
          <w:rFonts w:asciiTheme="majorBidi" w:hAnsiTheme="majorBidi" w:cstheme="majorBidi"/>
          <w:lang w:val="pt-PT"/>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w:instrText>
      </w:r>
      <w:r w:rsidRPr="00FE7EAF">
        <w:rPr>
          <w:rFonts w:asciiTheme="majorBidi" w:hAnsiTheme="majorBidi" w:cstheme="majorBidi"/>
          <w:lang w:val="pt-PT"/>
        </w:rPr>
        <w:instrText>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pt-PT"/>
        </w:rPr>
        <w:t>da Silva.</w:t>
      </w:r>
      <w:r w:rsidRPr="00505CF0">
        <w:rPr>
          <w:rFonts w:asciiTheme="majorBidi" w:hAnsiTheme="majorBidi" w:cstheme="majorBidi"/>
        </w:rPr>
        <w:fldChar w:fldCharType="end"/>
      </w:r>
    </w:p>
  </w:footnote>
  <w:footnote w:id="220">
    <w:p w14:paraId="66E7BCDD" w14:textId="26522B9F" w:rsidR="00054009" w:rsidRPr="00FE7EAF" w:rsidRDefault="00054009" w:rsidP="0025171E">
      <w:pPr>
        <w:pStyle w:val="FootnoteText"/>
        <w:rPr>
          <w:rFonts w:asciiTheme="majorBidi" w:hAnsiTheme="majorBidi" w:cstheme="majorBidi"/>
          <w:lang w:val="pt-PT"/>
        </w:rPr>
      </w:pPr>
      <w:r w:rsidRPr="00505CF0">
        <w:rPr>
          <w:rStyle w:val="FootnoteReference"/>
          <w:rFonts w:asciiTheme="majorBidi" w:hAnsiTheme="majorBidi" w:cstheme="majorBidi"/>
        </w:rPr>
        <w:footnoteRef/>
      </w:r>
      <w:r w:rsidRPr="00FE7EAF">
        <w:rPr>
          <w:rFonts w:asciiTheme="majorBidi" w:hAnsiTheme="majorBidi" w:cstheme="majorBidi"/>
          <w:lang w:val="pt-PT"/>
        </w:rPr>
        <w:t xml:space="preserve"> </w:t>
      </w:r>
      <w:r w:rsidRPr="00505CF0">
        <w:rPr>
          <w:rFonts w:asciiTheme="majorBidi" w:hAnsiTheme="majorBidi" w:cstheme="majorBidi"/>
        </w:rPr>
        <w:fldChar w:fldCharType="begin" w:fldLock="1"/>
      </w:r>
      <w:r w:rsidRPr="00FE7EAF">
        <w:rPr>
          <w:rFonts w:asciiTheme="majorBidi" w:hAnsiTheme="majorBidi" w:cstheme="majorBidi"/>
          <w:lang w:val="pt-PT"/>
        </w:rPr>
        <w:instrText>ADDIN CSL_CITATION { "citationItems" : [ { "id" : "ITEM-1", "itemData" : { "URL" : "http://www.huffingtonpost.co.uk/entry/university-of-chicago-trigger-warning_us_57bf16d9e4b085c1ff28176d", "accessed" : { "date-parts" : [ [ "2017", "10", "24" ] ] }, "author" : [ { "dropping-particle" : "", "family" : "Holmes", "given" : "Lindsay", "non-dropping-particle" : "", "parse-names" : false, "suffix" : "" } ], "container-title" : "Huffington Post", "id" : "ITEM-1", "issued" : { "date-parts" : [ [ "2016" ] ] }, "title" : "A Quick Lesson on What Trigger Warnings Actually Do", "type" : "webpage" }, "uris" : [ "http://www.mendeley.com/documents/?uuid=33c69d83-a687-410e-9304-b2b6e461b38c" ] } ], "mendeley" : { "formattedCitation" : "Lindsay Holmes, \u2018A Quick Lesson on What Trigger Warnings Actually Do\u2019, &lt;i&gt;Huffington Post&lt;/i&gt;, 2016 &lt;http://www.huffingtonpost.co.uk/entry/university-of-chicago-trigger-warning_us_57bf16d9e4b085c1ff28176d&gt; [accessed 24 October 2017].", "plainTextFormattedCitation" : "Lindsay Holmes, \u2018A Quick Lesson on What Trigger Warnings Actually Do\u2019, Huffington Post, 2016  [accessed 24 October 2017].", "previouslyFormattedCitation" : "Lindsay Holmes, \u2018A Quick Lesson on What Trigger Warnings Actually Do\u2019, &lt;i&gt;Huffington Post&lt;/i&gt;, 2016 &lt;http://www.huffingtonpost.co.uk/entry/university-of-chicago-trigger-warning_us_57bf16d9e4b085c1ff28176d&gt; [accessed 24 October 2017]."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pt-PT"/>
        </w:rPr>
        <w:t xml:space="preserve">Lindsay Holmes, ‘A Quick Lesson on What Trigger Warnings Actually Do’, </w:t>
      </w:r>
      <w:r w:rsidRPr="00FE7EAF">
        <w:rPr>
          <w:rFonts w:asciiTheme="majorBidi" w:hAnsiTheme="majorBidi" w:cstheme="majorBidi"/>
          <w:i/>
          <w:noProof/>
          <w:lang w:val="pt-PT"/>
        </w:rPr>
        <w:t>Huffington Post</w:t>
      </w:r>
      <w:r w:rsidRPr="00FE7EAF">
        <w:rPr>
          <w:rFonts w:asciiTheme="majorBidi" w:hAnsiTheme="majorBidi" w:cstheme="majorBidi"/>
          <w:noProof/>
          <w:lang w:val="pt-PT"/>
        </w:rPr>
        <w:t>, 2016 &lt;http://www.huffingtonpost.co.uk/entry/university-of-chicago-trigger-warning_us_57bf16d9e4b085c1ff28176d&gt; [accessed 24 October 2017].</w:t>
      </w:r>
      <w:r w:rsidRPr="00505CF0">
        <w:rPr>
          <w:rFonts w:asciiTheme="majorBidi" w:hAnsiTheme="majorBidi" w:cstheme="majorBidi"/>
        </w:rPr>
        <w:fldChar w:fldCharType="end"/>
      </w:r>
    </w:p>
  </w:footnote>
  <w:footnote w:id="221">
    <w:p w14:paraId="63454D43" w14:textId="35791DB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p>
  </w:footnote>
  <w:footnote w:id="222">
    <w:p w14:paraId="74B20184" w14:textId="3934875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p>
  </w:footnote>
  <w:footnote w:id="223">
    <w:p w14:paraId="6BF120A8" w14:textId="4E32CF9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"135", "uris" : [ "http://www.mendeley.com/documents/?uuid=e701ae9c-d978-41c3-b76c-fca08064d446" ] } ], "mendeley" : { "formattedCitation" : "Kirby, &lt;i&gt;Digimodernism&lt;/i&gt;, p. 135.", "plainTextFormattedCitation" : "Kirby, Digimodernism, p. 135.", "previouslyFormattedCitation" : "Kirby, &lt;i&gt;Digimodernism&lt;/i&gt;, p. 135."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135.</w:t>
      </w:r>
      <w:r w:rsidRPr="00505CF0">
        <w:rPr>
          <w:rFonts w:asciiTheme="majorBidi" w:hAnsiTheme="majorBidi" w:cstheme="majorBidi"/>
        </w:rPr>
        <w:fldChar w:fldCharType="end"/>
      </w:r>
    </w:p>
  </w:footnote>
  <w:footnote w:id="224">
    <w:p w14:paraId="1C7EC90A" w14:textId="3C6BCAB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"128", "uris" : [ "http://www.mendeley.com/documents/?uuid=e701ae9c-d978-41c3-b76c-fca08064d446" ] } ], "mendeley" : { "formattedCitation" : "Kirby, &lt;i&gt;Digimodernism&lt;/i&gt;, p. 128.", "plainTextFormattedCitation" : "Kirby, Digimodernism, p. 128.", "previouslyFormattedCitation" : "Kirby, &lt;i&gt;Digimodernism&lt;/i&gt;, p. 128."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128.</w:t>
      </w:r>
      <w:r w:rsidRPr="00505CF0">
        <w:rPr>
          <w:rFonts w:asciiTheme="majorBidi" w:hAnsiTheme="majorBidi" w:cstheme="majorBidi"/>
        </w:rPr>
        <w:fldChar w:fldCharType="end"/>
      </w:r>
    </w:p>
  </w:footnote>
  <w:footnote w:id="225">
    <w:p w14:paraId="46F34FC9" w14:textId="4EB3D75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"132", "uris" : [ "http://www.mendeley.com/documents/?uuid=e701ae9c-d978-41c3-b76c-fca08064d446" ] } ], "mendeley" : { "formattedCitation" : "Kirby, &lt;i&gt;Digimodernism&lt;/i&gt;, p. 132.", "plainTextFormattedCitation" : "Kirby, Digimodernism, p. 132.", "previouslyFormattedCitation" : "Kirby, &lt;i&gt;Digimodernism&lt;/i&gt;, p. 132."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132.</w:t>
      </w:r>
      <w:r w:rsidRPr="00505CF0">
        <w:rPr>
          <w:rFonts w:asciiTheme="majorBidi" w:hAnsiTheme="majorBidi" w:cstheme="majorBidi"/>
        </w:rPr>
        <w:fldChar w:fldCharType="end"/>
      </w:r>
    </w:p>
  </w:footnote>
  <w:footnote w:id="226">
    <w:p w14:paraId="7F48B2F9" w14:textId="54747F1C"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"https://www.theguardian.com/commentisfree/2015/may/23/have-our-cultural-tastes-become-too-childish", "accessed" : { "date-parts" : [ [ "2017", "10", "13" ] ] }, "author" : [ { "dropping-particle" : "", "family" : "Hogan", "given" : "Michael", "non-dropping-particle" : "", "parse-names" : false, "suffix" : "" }, { "dropping-particle" : "", "family" : "Cumming", "given" : "Ed", "non-dropping-particle" : "", "parse-names" : false, "suffix" : "" } ], "container-title" : "The Guardian", "id" : "ITEM-1", "issued" : { "date-parts" : [ [ "2015" ] ] }, "title" : "Have Our Cultural Tastes Become Too Childish", "type" : "webpage" }, "uris" : [ "http://www.mendeley.com/documents/?uuid=7af82e07-33e5-452e-880e-edcca19fda0c" ] } ], "mendeley" : { "formattedCitation" : "Michael Hogan and Ed Cumming, \u2018Have Our Cultural Tastes Become Too Childish\u2019, &lt;i&gt;The Guardian&lt;/i&gt;, 2015 &lt;https://www.theguardian.com/commentisfree/2015/may/23/have-our-cultural-tastes-become-too-childish&gt; [accessed 13 October 2017].", "plainTextFormattedCitation" : "Michael Hogan and Ed Cumming, \u2018Have Our Cultural Tastes Become Too Childish\u2019, The Guardian, 2015  [accessed 13 October 2017].", "previouslyFormattedCitation" : "Michael Hogan and Ed Cumming, \u2018Have Our Cultural Tastes Become Too Childish\u2019, &lt;i&gt;The Guardian&lt;/i&gt;, 2015 &lt;https://www.theguardian.com/commentisfree/2015/may/23/have-our-cultural-tastes-become-too-childish&gt; [accessed 13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Michael Hogan and Ed Cumming, ‘Have Our Cultural Tastes Become Too Childish’, </w:t>
      </w:r>
      <w:r w:rsidRPr="0025171E">
        <w:rPr>
          <w:rFonts w:asciiTheme="majorBidi" w:hAnsiTheme="majorBidi" w:cstheme="majorBidi"/>
          <w:i/>
          <w:noProof/>
        </w:rPr>
        <w:t>The Guardian</w:t>
      </w:r>
      <w:r w:rsidRPr="0025171E">
        <w:rPr>
          <w:rFonts w:asciiTheme="majorBidi" w:hAnsiTheme="majorBidi" w:cstheme="majorBidi"/>
          <w:noProof/>
        </w:rPr>
        <w:t>, 2015 &lt;https://www.theguardian.com/commentisfree/2015/may/23/have-our-cultural-tastes-become-too-childish&gt; [accessed 13 October 2017].</w:t>
      </w:r>
      <w:r w:rsidRPr="00505CF0">
        <w:rPr>
          <w:rFonts w:asciiTheme="majorBidi" w:hAnsiTheme="majorBidi" w:cstheme="majorBidi"/>
        </w:rPr>
        <w:fldChar w:fldCharType="end"/>
      </w:r>
    </w:p>
  </w:footnote>
  <w:footnote w:id="227">
    <w:p w14:paraId="2306FC4F" w14:textId="4D12B02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This sexualisation is nowhere more apparent than in the pop-music culture of the moment which, according to Kirby, ‘reflects the pedophilic nature of contemporary consumer culture, which perpetually desires - in fashion, movies, TV, adverts, the Internet, songs - to sexualize children.’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"131", "uris" : [ "http://www.mendeley.com/documents/?uuid=e701ae9c-d978-41c3-b76c-fca08064d446" ] } ], "mendeley" : { "formattedCitation" : "Kirby, &lt;i&gt;Digimodernism&lt;/i&gt;, p. 131.", "plainTextFormattedCitation" : "Kirby, Digimodernism, p. 131.", "previouslyFormattedCitation" : "Kirby, &lt;i&gt;Digimodernism&lt;/i&gt;, p. 131."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Kirby, </w:t>
      </w:r>
      <w:r w:rsidRPr="00505CF0">
        <w:rPr>
          <w:rFonts w:asciiTheme="majorBidi" w:hAnsiTheme="majorBidi" w:cstheme="majorBidi"/>
          <w:i/>
          <w:noProof/>
        </w:rPr>
        <w:t>Digimodernism</w:t>
      </w:r>
      <w:r w:rsidRPr="00505CF0">
        <w:rPr>
          <w:rFonts w:asciiTheme="majorBidi" w:hAnsiTheme="majorBidi" w:cstheme="majorBidi"/>
          <w:noProof/>
        </w:rPr>
        <w:t>, p. 131.</w:t>
      </w:r>
      <w:r w:rsidRPr="00505CF0">
        <w:rPr>
          <w:rFonts w:asciiTheme="majorBidi" w:hAnsiTheme="majorBidi" w:cstheme="majorBidi"/>
        </w:rPr>
        <w:fldChar w:fldCharType="end"/>
      </w:r>
    </w:p>
  </w:footnote>
  <w:footnote w:id="228">
    <w:p w14:paraId="5E0A344B" w14:textId="1DB957D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"Falconer", "given" : "Rachel", "non-dropping-particle" : "", "parse-names" : false, "suffix" : "" } ], "id" : "ITEM-1", "issued" : { "date-parts" : [ [ "2009" ] ] }, "publisher" : "Routledge", "publisher-place" : "New York", "title" : "The Crossover Novel", "type" : "book" }, "uris" : [ "http://www.mendeley.com/documents/?uuid=efdd08c9-ad39-4ffb-a244-8f57e8d69c44" ] } ], "mendeley" : { "formattedCitation" : "Rachel Falconer, &lt;i&gt;The Crossover Novel&lt;/i&gt; (New York: Routledge, 2009).", "plainTextFormattedCitation" : "Rachel Falconer, The Crossover Novel (New York: Routledge, 2009).", "previouslyFormattedCitation" : "Rachel Falconer, &lt;i&gt;The Crossover Novel&lt;/i&gt; (New York: Routledge, 2009)."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Rachel Falconer, </w:t>
      </w:r>
      <w:r w:rsidRPr="00505CF0">
        <w:rPr>
          <w:rFonts w:asciiTheme="majorBidi" w:hAnsiTheme="majorBidi" w:cstheme="majorBidi"/>
          <w:i/>
          <w:noProof/>
        </w:rPr>
        <w:t>The Crossover Novel</w:t>
      </w:r>
      <w:r w:rsidRPr="00505CF0">
        <w:rPr>
          <w:rFonts w:asciiTheme="majorBidi" w:hAnsiTheme="majorBidi" w:cstheme="majorBidi"/>
          <w:noProof/>
        </w:rPr>
        <w:t xml:space="preserve"> (New York: Routledge, 2009).</w:t>
      </w:r>
      <w:r w:rsidRPr="00505CF0">
        <w:rPr>
          <w:rFonts w:asciiTheme="majorBidi" w:hAnsiTheme="majorBidi" w:cstheme="majorBidi"/>
        </w:rPr>
        <w:fldChar w:fldCharType="end"/>
      </w:r>
    </w:p>
  </w:footnote>
  <w:footnote w:id="229">
    <w:p w14:paraId="48851A08" w14:textId="5046ADE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"Falconer", "given" : "Rachel", "non-dropping-particle" : "", "parse-names" : false, "suffix" : "" } ], "id" : "ITEM-1", "issued" : { "date-parts" : [ [ "2009" ] ] }, "publisher" : "Routledge", "publisher-place" : "New York", "title" : "The Crossover Novel", "type" : "book" }, "locator" : "3", "uris" : [ "http://www.mendeley.com/documents/?uuid=efdd08c9-ad39-4ffb-a244-8f57e8d69c44" ] } ], "mendeley" : { "formattedCitation" : "Falconer, p. 3.", "plainTextFormattedCitation" : "Falconer, p. 3.", "previouslyFormattedCitation" : "Falconer,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Falconer, p. 3.</w:t>
      </w:r>
      <w:r w:rsidRPr="00505CF0">
        <w:rPr>
          <w:rFonts w:asciiTheme="majorBidi" w:hAnsiTheme="majorBidi" w:cstheme="majorBidi"/>
        </w:rPr>
        <w:fldChar w:fldCharType="end"/>
      </w:r>
    </w:p>
  </w:footnote>
  <w:footnote w:id="230">
    <w:p w14:paraId="35447741" w14:textId="70A0F50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"Falconer", "given" : "Rachel", "non-dropping-particle" : "", "parse-names" : false, "suffix" : "" } ], "id" : "ITEM-1", "issued" : { "date-parts" : [ [ "2009" ] ] }, "publisher" : "Routledge", "publisher-place" : "New York", "title" : "The Crossover Novel", "type" : "book" }, "locator" : "7", "uris" : [ "http://www.mendeley.com/documents/?uuid=efdd08c9-ad39-4ffb-a244-8f57e8d69c44" ] } ], "mendeley" : { "formattedCitation" : "Falconer, p. 7.", "plainTextFormattedCitation" : "Falconer, p. 7.", "previouslyFormattedCitation" : "Falconer, p. 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Falconer, p. 7.</w:t>
      </w:r>
      <w:r w:rsidRPr="00505CF0">
        <w:rPr>
          <w:rFonts w:asciiTheme="majorBidi" w:hAnsiTheme="majorBidi" w:cstheme="majorBidi"/>
        </w:rPr>
        <w:fldChar w:fldCharType="end"/>
      </w:r>
    </w:p>
  </w:footnote>
  <w:footnote w:id="231">
    <w:p w14:paraId="1E9FC3FE" w14:textId="41CF64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new social movements are simply the result – the concomitants and the products – of capitalism itself in its final and most unfettered phase’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"Jameson", "given" : "Fredric", "non-dropping-particle" : "", "parse-names" : false, "suffix" : "" } ], "id" : "ITEM-1", "issued" : { "date-parts" : [ [ "1992" ] ] }, "publisher" : "Duke University Press", "publisher-place" : "New York", "title" : "Postmodernism : or, The Cultural Logic of Late Capitalism", "type" : "book" }, "locator" : "326", "uris" : [ "http://www.mendeley.com/documents/?uuid=e68a187e-0e6f-48b9-bc50-da2d3ef99fb2" ] } ], "mendeley" : { "formattedCitation" : "Fredric Jameson, &lt;i&gt;Postmodernism\u202f: Or, The Cultural Logic of Late Capitalism&lt;/i&gt; (New York: Duke University Press, 1992), p. 326.", "plainTextFormattedCitation" : "Fredric Jameson, Postmodernism\u202f: Or, The Cultural Logic of Late Capitalism (New York: Duke University Press, 1992), p. 326.", "previouslyFormattedCitation" : "Fredric Jameson, &lt;i&gt;Postmodernism\u202f: Or, The Cultural Logic of Late Capitalism&lt;/i&gt; (New York: Duke University Press, 1992), p. 326."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Fredric Jameson, </w:t>
      </w:r>
      <w:r w:rsidRPr="00505CF0">
        <w:rPr>
          <w:rFonts w:asciiTheme="majorBidi" w:hAnsiTheme="majorBidi" w:cstheme="majorBidi"/>
          <w:i/>
          <w:noProof/>
        </w:rPr>
        <w:t>Postmodernism : Or, The Cultural Logic of Late Capitalism</w:t>
      </w:r>
      <w:r w:rsidRPr="00505CF0">
        <w:rPr>
          <w:rFonts w:asciiTheme="majorBidi" w:hAnsiTheme="majorBidi" w:cstheme="majorBidi"/>
          <w:noProof/>
        </w:rPr>
        <w:t xml:space="preserve"> (New York: Duke University Press, 1992), p. 326.</w:t>
      </w:r>
      <w:r w:rsidRPr="00505CF0">
        <w:rPr>
          <w:rFonts w:asciiTheme="majorBidi" w:hAnsiTheme="majorBidi" w:cstheme="majorBidi"/>
        </w:rPr>
        <w:fldChar w:fldCharType="end"/>
      </w:r>
    </w:p>
  </w:footnote>
  <w:footnote w:id="232">
    <w:p w14:paraId="722EB6C5" w14:textId="76C7532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"http://www.radiotimes.com/news/2015-05-19/simon-pegg-criticises-science-fiction-and-genre-films-for-dumbing-down-cinema/", "accessed" : { "date-parts" : [ [ "2017", "10", "13" ] ] }, "author" : [ { "dropping-particle" : "", "family" : "Fullerton", "given" : "Huw", "non-dropping-particle" : "", "parse-names" : false, "suffix" : "" } ], "container-title" : "RadioTimes", "id" : "ITEM-1", "issued" : { "date-parts" : [ [ "2015" ] ] }, "title" : "Simon Pegg Criticises Science-Fiction and Genre Films for \"Dumbing Down\" Cinema", "type" : "webpage" }, "prefix" : "Simon Pegg in ", "uris" : [ "http://www.mendeley.com/documents/?uuid=3e0f1c9b-64c7-4d83-9c54-3983efdfafef" ] } ], "mendeley" : { "formattedCitation" : "Simon Pegg in Huw Fullerton, \u2018Simon Pegg Criticises Science-Fiction and Genre Films for \u201cDumbing Down\u201d Cinema\u2019, &lt;i&gt;RadioTimes&lt;/i&gt;, 2015 &lt;http://www.radiotimes.com/news/2015-05-19/simon-pegg-criticises-science-fiction-and-genre-films-for-dumbing-down-cinema/&gt; [accessed 13 October 2017].", "plainTextFormattedCitation" : "Simon Pegg in Huw Fullerton, \u2018Simon Pegg Criticises Science-Fiction and Genre Films for \u201cDumbing Down\u201d Cinema\u2019, RadioTimes, 2015  [accessed 13 October 2017].", "previouslyFormattedCitation" : "Simon Pegg in Huw Fullerton, \u2018Simon Pegg Criticises Science-Fiction and Genre Films for \u201cDumbing Down\u201d Cinema\u2019, &lt;i&gt;RadioTimes&lt;/i&gt;, 2015 &lt;http://www.radiotimes.com/news/2015-05-19/simon-pegg-criticises-science-fiction-and-genre-films-for-dumbing-down-cinema/&gt; [accessed 13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Simon Pegg in Huw Fullerton, ‘Simon Pegg Criticises Science-Fiction and Genre Films for “Dumbing Down” Cinema’, </w:t>
      </w:r>
      <w:r w:rsidRPr="0025171E">
        <w:rPr>
          <w:rFonts w:asciiTheme="majorBidi" w:hAnsiTheme="majorBidi" w:cstheme="majorBidi"/>
          <w:i/>
          <w:noProof/>
        </w:rPr>
        <w:t>RadioTimes</w:t>
      </w:r>
      <w:r w:rsidRPr="0025171E">
        <w:rPr>
          <w:rFonts w:asciiTheme="majorBidi" w:hAnsiTheme="majorBidi" w:cstheme="majorBidi"/>
          <w:noProof/>
        </w:rPr>
        <w:t>, 2015 &lt;http://www.radiotimes.com/news/2015-05-19/simon-pegg-criticises-science-fiction-and-genre-films-for-dumbing-down-cinema/&gt; [accessed 13 October 2017].</w:t>
      </w:r>
      <w:r w:rsidRPr="00505CF0">
        <w:rPr>
          <w:rFonts w:asciiTheme="majorBidi" w:hAnsiTheme="majorBidi" w:cstheme="majorBidi"/>
        </w:rPr>
        <w:fldChar w:fldCharType="end"/>
      </w:r>
    </w:p>
  </w:footnote>
  <w:footnote w:id="233">
    <w:p w14:paraId="0526990F" w14:textId="61607AFF"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"http://simonpegg.net/2015/05/19/big-mouth-strikes-again/", "accessed" : { "date-parts" : [ [ "2017", "10", "13" ] ] }, "author" : [ { "dropping-particle" : "", "family" : "Pegg", "given" : "Simon", "non-dropping-particle" : "", "parse-names" : false, "suffix" : "" } ], "container-title" : "Peggster", "id" : "ITEM-1", "issued" : { "date-parts" : [ [ "2015" ] ] }, "title" : "Big Mouth Strikes Again", "type" : "webpage" }, "uris" : [ "http://www.mendeley.com/documents/?uuid=1fff1288-a2f6-4b53-acf0-5245ea47cd00" ] } ], "mendeley" : { "formattedCitation" : "Simon Pegg, \u2018Big Mouth Strikes Again\u2019, &lt;i&gt;Peggster&lt;/i&gt;, 2015 &lt;http://simonpegg.net/2015/05/19/big-mouth-strikes-again/&gt; [accessed 13 October 2017].", "plainTextFormattedCitation" : "Simon Pegg, \u2018Big Mouth Strikes Again\u2019, Peggster, 2015  [accessed 13 October 2017].", "previouslyFormattedCitation" : "Simon Pegg, \u2018Big Mouth Strikes Again\u2019, &lt;i&gt;Peggster&lt;/i&gt;, 2015 &lt;http://simonpegg.net/2015/05/19/big-mouth-strikes-again/&gt; [accessed 13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Simon Pegg, ‘Big Mouth Strikes Again’, </w:t>
      </w:r>
      <w:r w:rsidRPr="0025171E">
        <w:rPr>
          <w:rFonts w:asciiTheme="majorBidi" w:hAnsiTheme="majorBidi" w:cstheme="majorBidi"/>
          <w:i/>
          <w:noProof/>
        </w:rPr>
        <w:t>Peggster</w:t>
      </w:r>
      <w:r w:rsidRPr="0025171E">
        <w:rPr>
          <w:rFonts w:asciiTheme="majorBidi" w:hAnsiTheme="majorBidi" w:cstheme="majorBidi"/>
          <w:noProof/>
        </w:rPr>
        <w:t>, 2015 &lt;http://simonpegg.net/2015/05/19/big-mouth-strikes-again/&gt; [accessed 13 October 2017].</w:t>
      </w:r>
      <w:r w:rsidRPr="00505CF0">
        <w:rPr>
          <w:rFonts w:asciiTheme="majorBidi" w:hAnsiTheme="majorBidi" w:cstheme="majorBidi"/>
        </w:rPr>
        <w:fldChar w:fldCharType="end"/>
      </w:r>
    </w:p>
  </w:footnote>
  <w:footnote w:id="234">
    <w:p w14:paraId="34CA80BC" w14:textId="3F615CF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da Silva.</w:t>
      </w:r>
      <w:r w:rsidRPr="00505CF0">
        <w:rPr>
          <w:rFonts w:asciiTheme="majorBidi" w:hAnsiTheme="majorBidi" w:cstheme="majorBidi"/>
        </w:rPr>
        <w:fldChar w:fldCharType="end"/>
      </w:r>
    </w:p>
  </w:footnote>
  <w:footnote w:id="235">
    <w:p w14:paraId="57B96D2F" w14:textId="0CC4E23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da Silva.</w:t>
      </w:r>
      <w:r w:rsidRPr="00505CF0">
        <w:rPr>
          <w:rFonts w:asciiTheme="majorBidi" w:hAnsiTheme="majorBidi" w:cstheme="majorBidi"/>
        </w:rPr>
        <w:fldChar w:fldCharType="end"/>
      </w:r>
    </w:p>
  </w:footnote>
  <w:footnote w:id="236">
    <w:p w14:paraId="7F9E8973" w14:textId="1CC6B4E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da Silva.</w:t>
      </w:r>
      <w:r w:rsidRPr="00505CF0">
        <w:rPr>
          <w:rFonts w:asciiTheme="majorBidi" w:hAnsiTheme="majorBidi" w:cstheme="majorBidi"/>
        </w:rPr>
        <w:fldChar w:fldCharType="end"/>
      </w:r>
    </w:p>
  </w:footnote>
  <w:footnote w:id="237">
    <w:p w14:paraId="000BF7C5" w14:textId="017D481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"id" : "ITEM-1", "issued" : { "date-parts" : [ [ "2009" ] ] }, "note" : "There are various ways of defining digimodernism. It is the impact on cultural forms of computerization (inventing some, altering others). It is a set of aesthetic characterstics consequent on that process and gaining a unique cast from their new context. It's a cultural shift, a communicative revolution, a social organization. The most immediate way, however, of describing digimodernism is this: It's a new form of textuality. p.50\n\nThe digimodernist text in its pure form is made up to a varying degree by the reader or viewer or textual consumer. p.51\n\nDigimodernism is not limited to such texts or even to such textuality; rather, it is more easily expressed as the rupture driven by technological innovation, which permits such a form. p.51\n\nWe can sketch the following dominant features:\nOnwardness [...] For the reader of the traditional text its time is after its fabrication; the time od the digimodernist text seems to have a start but no end. \nHaphazardness \nEvanescence. The digimodernist text does not endure. It is technically very hard to capture and archive.\nReformulation and intermediation of textual roles. [...] digimodernist text's radical redefinition of textual functional titles [...] these terms are given new, hybridized meanings; and this deveopment is not concluded. \nAnonymous, multiple and social authorship. [...] It becomes multiple, almost innumerable, and is scattered across obsucre social pseudeocommunities. If not actually anonymous it tends to a form of pseudonymity.\nThe Fluid-Bound Text. [...] Embodying onwardness, hhaphazardness, and evanescence, the digimodernist text so lacks this quality that traditionalists may not recognize it as a text at all.\nElectronic-digitality. In its pure form, the digimodernist text relies on its technological status: it's the textuality that derives from digitization; it's produced by fingers and thumbs and computerization. p.52-3\n\n[texts] are systematic bodies of recorded meaning, which represent acts in time and space and produce coherently intelligible patterns of signification. p.53 Good definition of a 'text'\n\nFor I see the pure digimodernist text solely as the easily recognizable tip of a cultural iceberg, and not necessarily its most interesting element. p/53\n\nDigimodernism can be globally expressed in seven words (the effects on cultural forms of digitization) and historically situated in eight (the cultural-dominant succeeding postmodernism prompted by new technologies). p.53-4\n\nDigimodernism, however, silently restores the authorial, and revalorizes it. p.59\n\nThe digimodernist author is mostly unknown or meaningless or encrypted. Who writes Wikipedia? Who votes on Big Brother? Who exactly makes a videogame? [...] Digimodernist authorship seems ubiquitous, dynamic, ferocious, acute, and simultaneously nowhere, secret, undisclosed, ireelevant. p. 60\n\nIt's true that the purer kinds of digimodernist text require a positive physical act or the posibility of one, and the traditional text doesn't. p.65\n\nThe evocations of the death of popular culture, the eclipse of the fictive &amp;quot;real,&amp;quot; and the superannuation of irony paint a portrait of the disintergrating embers of Postmodernism. However, another story, describing th eemergence of a new aestheticcs can also be glimpsed: in the prevalence of the traits og the children's story, the hegemony of the apprently real, the spread of earnestness, and finally (and most speculatively the turn toward an endless narrative form. The mood here is therefore double: between dispaearance and birth, exhaustion and infancy. p.125\n\nTo describe a complex development simply, what was once &amp;quot;popular culture&amp;quot; now consists overwhelmingly of a form of children's entertainment, to the degree that it has become difficult, if not impossible, to make the sort of assumptions regarding its significance that became commonplace in the heyday of Tarantino, Blur, Nirvana and The Simpsons. p.126\n\nWhat is going on here is a refurbishment of children's stories as material for the entertainment of young adults. p.128\n\n[Current pop music] reflects the pedophilic nature of contemporary consumer culture, which perpetually desires - in fashion, movies, TV, adverts, the Internet, songs - to sexualize children. p.131\n\nAs with the spread of traits from children's stories across popular cinema, the impact of high-school TV has been felt throughout the medium. Older female presenters are pensioned off while men desperately try to act a generation younger; news programs and documentaris are drained of information and jacked up with pseudodrama (the &amp;quot;dumbing down&amp;quot; debate is in truth mostly about infantilization); knowledge of the past is assumed to be zero outside of GCSE staples like Hitler and Henry VIII; and interest in &amp;quot;culture&amp;quot; is reduced to new movies and bands. p.132\n\nWhy has [infantilism] happened? [...] Popular film has embraced children's stories reshot for young adults; popular music has become the semisublimated packaging of adult sexuality for young children; popular TV has increasingly chased after the 13-18 age group either through content about that demographic or by dragging material whose focus lies elsehwere. [...] It can be argued that society has been infantilized, particulatly through a consumerism that fetishizes spending and sees work as an irrelevant burdern: the sports team or the shopping mania of some men and women, both consumerist, can be linkedto a failure of maturation, an economic refusal to outgrow childhood pretending, play, and dressing up. More relevantly here, the shift is both symptom and result of the eclipse of postmodernism. p.134-5\n\nWhat's mistaken today for &amp;quot;popular culture&amp;quot; is in fact a narrowly focused children's entertainment plus &amp;quot;noise&amp;quot;: relentless comment-cum-promotion from surrounding media outlets. p.135\n\nAs well as instantiating the retreat of postmodernism, it can be seen as the troubled gestation of a new form of narrative, as symptoms of a restructuration of narrative for a digimodernist textuality. p.136\n\nThe essential point here is that, being tyhe first texts we encounter, children's literature trains us to read, to evaluate and make sense of adult literature: it teaches us what literature is. p.138\n\n[LOTR] too embeds a shift from adventure to mythology, and consequently toward narratives that break out from both realism's bankruptcy and postmodernism's antirealist impasse. p.139\n\nThe apparently real is, then the outcome of a silent negotiation between viewer and screen: we know it's not totally genuine, but if it utterly seems ot be then we will take it as such. p.141 Metamodernism depthiness here. \n\nIn the wake of 9/11, some voices in America called for what would come to be known as the &amp;quot;new sincerity&amp;quot; [...] There was a political subtext to this, understandable after such a trauma, in that sincerity has traditionally been identified as a typically American trait: to have more of it is to reinforce Americanness. p.151\n\nWhile sincerity is a value, a conscious moral choice reassuringly (in troubled times) under the control and will of a speaker, digimodernist earnestness, like postmodernist irony, has deep roots in contemporary culture. [...] Digimodernist earnestness, as far as a cultural mode can be, is necessary, that is, a sociohistorical expression, not a personal preference. It cannot be called for or promoted as it's already here, and right at the heart of our culture. p.151\n\nInstead, politics is portrayed [in star wars] as a matter of vague but profound gravitas, of weighty consideration, of deep solemnity and eternal values, it's essentially a child's conception of politics, reduced to an air of ineffible importance and emptied of content, voided too of adult psychology [...] a child's view of grown-ups' supposed infinite strength, obscure seriousness, and unknowable remoteness. p.152\n\nBut, more interestingly, [earnestness] stems from the shift of cinema toward mythological subjects or toward ancient-historical or apocalyptic scenarios. p.153\n\nEarnestness in contemporary pop derives from a parallel disjuncture between adult material and childish consumer. p.153\n\nSeriousness might be athought a rational response to the problems of our time, the faraway wars and too-near terrorism, the economic upheavals and social estrangement, but earnestness is a depoliticized, indeed desocialized quality; it's a cultural turn toward the mythic, the consumerist, the electronic-textual. p.154\n\nThere is another way of seeing all these traits: not in terms of regression from sophistication (not as &amp;quot;credulity&amp;quot;, or &amp;quot;infantilism&amp;quot;, etc,), but in terms of breakup and reformation. It can be argued that a new, through in many ways old, form of narrative is percolating through our culture. This is canceling out the certainties of a previous generation and making us all children of the text; it is so new that all our responses to it are so far naive and unformed, half-sized, a reaching beyond our grasp. p.155 \n\nRepeatedly in the digimodernist era an image of religion emerges, especially in its public role, its cultural and social and political functions. It comes across as pure toxicity. It would standL for violence, murder, destrruction; for ignorance, superstition, irrationalism; for oppression, hatred, cruelty; against education; against freedom; against democracy. p.236", "publisher" : "The Continuum International Publishing Group Ltd", "publisher-place" : "London", "title" : "Digimodernism: How New Technologies Dismantle The Postmodern And Reconfigure Our Culture", "title-short" : "Digimodernism", "type" : "book" }, "locator" : "134-5", "uris" : [ "http://www.mendeley.com/documents/?uuid=e701ae9c-d978-41c3-b76c-fca08064d446" ] } ], "mendeley" : { "formattedCitation" : "Kirby, &lt;i&gt;Digimodernism&lt;/i&gt;, pp. 134\u20135.", "plainTextFormattedCitation" : "Kirby, Digimodernism, pp. 134\u20135.", "previouslyFormattedCitation" : "Kirby, &lt;i&gt;Digimodernism&lt;/i&gt;, pp. 134\u20135."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Kirby, </w:t>
      </w:r>
      <w:r w:rsidRPr="0025171E">
        <w:rPr>
          <w:rFonts w:asciiTheme="majorBidi" w:hAnsiTheme="majorBidi" w:cstheme="majorBidi"/>
          <w:i/>
          <w:noProof/>
        </w:rPr>
        <w:t>Digimodernism</w:t>
      </w:r>
      <w:r w:rsidRPr="0025171E">
        <w:rPr>
          <w:rFonts w:asciiTheme="majorBidi" w:hAnsiTheme="majorBidi" w:cstheme="majorBidi"/>
          <w:noProof/>
        </w:rPr>
        <w:t>, pp. 134–5.</w:t>
      </w:r>
      <w:r w:rsidRPr="00505CF0">
        <w:rPr>
          <w:rFonts w:asciiTheme="majorBidi" w:hAnsiTheme="majorBidi" w:cstheme="majorBidi"/>
        </w:rPr>
        <w:fldChar w:fldCharType="end"/>
      </w:r>
    </w:p>
  </w:footnote>
  <w:footnote w:id="238">
    <w:p w14:paraId="5122C16C" w14:textId="0F3A7978" w:rsidR="00054009" w:rsidRPr="002F7624" w:rsidRDefault="00054009">
      <w:pPr>
        <w:pStyle w:val="FootnoteText"/>
        <w:rPr>
          <w:i/>
          <w:iCs/>
        </w:rPr>
      </w:pPr>
      <w:r>
        <w:rPr>
          <w:rStyle w:val="FootnoteReference"/>
        </w:rPr>
        <w:footnoteRef/>
      </w:r>
      <w:r>
        <w:t xml:space="preserve"> </w:t>
      </w:r>
      <w:r w:rsidRPr="002F7624">
        <w:rPr>
          <w:i/>
          <w:iCs/>
        </w:rPr>
        <w:t xml:space="preserve">ACO: Our visitor to the ethno-archaeological society in 2002, William Allan, it seems was only in attendance to ask those venerable members to identify a statuette of unidentifiable greenish stone -  a picture of which Southward attached to the notes and which Southward makes frenzied notes about. The Statuette matches that sculpture created by </w:t>
      </w:r>
      <w:r>
        <w:rPr>
          <w:i/>
          <w:iCs/>
        </w:rPr>
        <w:t xml:space="preserve">Robert </w:t>
      </w:r>
      <w:r w:rsidRPr="002F7624">
        <w:rPr>
          <w:i/>
          <w:iCs/>
        </w:rPr>
        <w:t>E</w:t>
      </w:r>
      <w:r>
        <w:rPr>
          <w:i/>
          <w:iCs/>
        </w:rPr>
        <w:t>.</w:t>
      </w:r>
      <w:r w:rsidRPr="002F7624">
        <w:rPr>
          <w:i/>
          <w:iCs/>
        </w:rPr>
        <w:t>S</w:t>
      </w:r>
      <w:r>
        <w:rPr>
          <w:i/>
          <w:iCs/>
        </w:rPr>
        <w:t>.</w:t>
      </w:r>
      <w:r w:rsidRPr="002F7624">
        <w:rPr>
          <w:i/>
          <w:iCs/>
        </w:rPr>
        <w:t xml:space="preserve"> Colwan, that one inspired by his mad dreams, showing a rough-bound novel with a urinal and pipe blending into one another on the cover.</w:t>
      </w:r>
    </w:p>
  </w:footnote>
  <w:footnote w:id="239">
    <w:p w14:paraId="662CDEC3" w14:textId="366B9BD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"http://www.orthodoxytoday.org/articles7/GlazovGrownup.php", "accessed" : { "date-parts" : [ [ "2017", "10", "10" ] ] }, "author" : [ { "dropping-particle" : "", "family" : "Glazov", "given" : "Jamie", "non-dropping-particle" : "", "parse-names" : false, "suffix" : "" } ], "container-title" : "OrthodoxyToday", "id" : "ITEM-1", "issued" : { "date-parts" : [ [ "2007" ] ] }, "note" : "Interview with Diana West:\n\nDW: Living, as I think we do, in the Era of the Perpeptual Adolescent.\n\nDW: [I discovered] first hand the extent to which socail and cultural distinctions between children and adults-- who dcress the same, all say &amp;quot;cool,&amp;quot; and even warch cartoons--had dissapeared.\n\nDW:The death of the grown-up was quite suddenly much more than a theory to explain a largely academic culture war; it applied directely and, I thought, most urgently to what had shockingly become a real culture war between the West and Islam-- a civilizational struggle that our society doesn't want to acknowledge precisely, I argue, because of society's extremely immature, in fact, downright childish, nature.\n\nDW: The organizing thesis [of her book of the same name as this article] is that the unprecidented transfer of cultural authority from adults to adolescents over the past half century or so has dire implications for the survival of the western world. \n\nDW: We often associate adolescence with a lack of confidence. I would say our adolescent culture suffers from a severe lack of cultural confidence. We think of adolescence as being a time to search for identity. Our adolescent culture is marked by a bona fide &amp;quot;identity crisis.&amp;quot; I went back to the definition of &amp;quot;identity crisis,&amp;quot; the term coined by Erik Erikson in 1970, and found that it describes an adolescent phase marked by &amp;quot;a loss of the sense of sameness and historical continuity of one's self.&amp;quot; On a cultural level, we see that loss in spades.\n\nDW: It is as if the opennes of the adolescent, which can be a very winning trait, has been taken to a[sic] extreme on a cultural level.\n\nDW: On of the things we all enjoy about childhood is getting lost in the world of pretend. But such flights of fancy are not supposed to govern us as adults formulating geo-political strategy.\n\nDW: Also, according to the definition, there may be &amp;quot;confusion over values.&amp;quot; Well, such confusion is famously universal in our culture. Such confusion includes &amp;quot;an inability to accept the role the individual perceives as being expected of him by society.&amp;quot; This last symptom is also familiar to us on a cultural level, given our split personality as both world policeman and, in many people's eyes, world villain. Lacking what you might call &amp;quot;parental guidance,&amp;quot; this infantile culture of ours could be doomed not only to perpetual adolescence, but to a perpetual identity crisis.", "title" : "The Death of the Grown-Up", "type" : "webpage" }, "uris" : [ "http://www.mendeley.com/documents/?uuid=fff2aaf9-81fa-4764-a563-caf7c57b296a" ] } ], "mendeley" : { "formattedCitation" : "Glazov.", "plainTextFormattedCitation" : "Glazov.", "previouslyFormattedCitation" : "Glazov."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Glazov.</w:t>
      </w:r>
      <w:r w:rsidRPr="00505CF0">
        <w:rPr>
          <w:rFonts w:asciiTheme="majorBidi" w:hAnsiTheme="majorBidi" w:cstheme="majorBidi"/>
        </w:rPr>
        <w:fldChar w:fldCharType="end"/>
      </w:r>
    </w:p>
  </w:footnote>
  <w:footnote w:id="240">
    <w:p w14:paraId="626AC065" w14:textId="6CE23A8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"http://the-ivory-tower.com/the-infantilization-of-society-and-the-cult-of-youth/", "accessed" : { "date-parts" : [ [ "2017", "10", "10" ] ] }, "author" : [ { "dropping-particle" : "", "family" : "Silva", "given" : "Erick", "non-dropping-particle" : "da", "parse-names" : false, "suffix" : "" } ], "container-title" : "The Ivory Tower", "id" : "ITEM-1", "issued" : { "date-parts" : [ [ "2015" ] ] }, "note" : "[quoting Simon Pegg as saying] &amp;quot;Nerd culture is the product fo a late capitalist conspiracy, designed to infantilise the consumer as a means of non-aggressive control.&amp;quot;\n\nadolescense as a state that is longer transitional but a frame of mind to be sustained long past one's teenage years, which also happens to be very profitable, makes an important connection to the ecenomic factor, that of capitalism in late modernity.\n\nThis trend is evident for example in popular etertainment [...] seen in the increasingly jeuvenile themes which characterize modern cinema, where the most successful productions in the past two decades have been adaptations of comic books, Disney movies, and so on. It can be easily be [sic] said that simultaneously in popular music, for example, children are increasingly exposed to adult-themed material, with various entertainers whose videos and music appeal to vulgar and overly eroticized imagery which in an earlier era would be scandelously innapropriate to younger audiences but which now have become normalized.\n\nThe bombardment of mass advertising, branding, and so in in the service of consumerism, which Barber observes, proposed the adolescent as the ideal consumer model, being as he is, in an immature state of interior formation defined by impulsion, self-absorption, and lack of long-term thought patterns.\n\nThe engines of economic production in our society, therefore, actively encourage the cheapening of our aesthetic sensabilites, churning out the mass-produced soft entertainment best fit for a globalized culture of perpetual adolscents, slavishly going from one fad to anotehr without purpose or end in sight in an an aimless earch for the next thrill, the more bizarre the better.\n\nThis is a state of affaird where responsability and matuirty are seen as impossible ideals, while in contrast, frivolous pursuits and &amp;quot;living in the now&amp;quot; are seen as being of paramount importance. // The contemporary society appears beholden to an idea of youth as being a life project, assosciated with uncontroversially positive attributes of spontaneity, individual freedom, flxibility and a lack of strong alleigance to any reference point which would require struggle or render the person susceptible to dogmatism.\n\nThe prevalence of a blurring of ages, and a contrived timelessness, is also apparent in things we take for granted, such as people\u2019s appearances and manner of dress. As Jacopo Bernardini observes, the \u201cadult uniform\u2019\u2019 no longer exists, men past a certain age no longer dress in a manner distinct from their children, they can be seen brandishing jeans, comical t-shirts, youthful haircuts, dyed hair, sports shoes, etc. Similarly, women are in thrall of an industry catering to the sole purpose of restoring their lost youth, plastic surgery and beauty products have after all vastly expanded in recent years even after the recession- botox injections, rejuvenating creams, sexual enhancement drugs, etc have all become unquestionably mainstream and accessible. All of which represent a determined effort to avoid the natural passage of time and its effects on the human body, desperately clinging to a fetishized ideal of youth.\n\nThe logic being that given the lack of emotional and intellectual maturity and interior formation of the newer generation of students, proffessors and educators have to be wary of exposing them to the realities of the world, such as bigotry, racism, violence, and even disagreement, lest they break down in tears having found out that people can be evil, have different opinions, or that harsh things happen out there.", "title" : "The Infantilization of Society and the Cult of Youth", "type" : "webpage" }, "uris" : [ "http://www.mendeley.com/documents/?uuid=3e67aef6-292e-4869-9597-f3a0ec4ac277" ] } ], "mendeley" : { "formattedCitation" : "da Silva.", "plainTextFormattedCitation" : "da Silva.", "previouslyFormattedCitation" : "da Silva."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da Silva.</w:t>
      </w:r>
      <w:r w:rsidRPr="00505CF0">
        <w:rPr>
          <w:rFonts w:asciiTheme="majorBidi" w:hAnsiTheme="majorBidi" w:cstheme="majorBidi"/>
        </w:rPr>
        <w:fldChar w:fldCharType="end"/>
      </w:r>
    </w:p>
  </w:footnote>
  <w:footnote w:id="241">
    <w:p w14:paraId="3463DD33"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idea of a fear of freedom is not an entirely twenty-first century phenomenon: Erich Fromm also describes just such a fear in </w:t>
      </w:r>
      <w:r w:rsidRPr="00505CF0">
        <w:rPr>
          <w:rFonts w:asciiTheme="majorBidi" w:hAnsiTheme="majorBidi" w:cstheme="majorBidi"/>
          <w:i/>
          <w:iCs/>
        </w:rPr>
        <w:t xml:space="preserve">Escape from Freedom </w:t>
      </w:r>
      <w:r w:rsidRPr="00505CF0">
        <w:rPr>
          <w:rFonts w:asciiTheme="majorBidi" w:hAnsiTheme="majorBidi" w:cstheme="majorBidi"/>
        </w:rPr>
        <w:t>(1941), incidentally linking the feeling of despair over the sudden realization of autonomy to that of a child suddenly realizing its individuality. Fromm’s point here becomes increasingly apt in describing today’s individual, further tying the contemporary freedom of fear with delayed maturation.</w:t>
      </w:r>
    </w:p>
  </w:footnote>
  <w:footnote w:id="242">
    <w:p w14:paraId="7629C6B0"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Fear of Death, of the strange, of technology, of failure, of freedom, and of loneliness. </w:t>
      </w:r>
    </w:p>
  </w:footnote>
  <w:footnote w:id="243">
    <w:p w14:paraId="3BB853FC" w14:textId="343DCA6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"Torralba", "given" : "Francesc", "non-dropping-particle" : "", "parse-names" : false, "suffix" : "" } ], "container-title" : "Transfer: Journal of Contemporary Culture", "id" : "ITEM-1", "issued" : { "date-parts" : [ [ "2011" ] ] }, "note" : "It would seem a priori that fear is a sentiment more in keeping with the pre-scientific age than the technological era and yet fear, in a vague but persistent way, spreads into all areas of collective life. There is fear in the macro-sphere that has to do with the world\u2019s ecological crisis, but there is also fear in the micro-sphere, that of the citizen walking down a dark narrow street, afraid of being attacked. There is fear in lucrative organisations, but also in the more intimate sphere, in the home, the fear of losing bonds, of not being well enough prepared to compete and that of losing importance and prestige in social life. p.58\n\nIn hypermodernity, the gods have been wiped off the horizon and nature is described according to universal laws. We no longer fear the gods of Antiquity or the madness of nature, but other forms of fear proliferate. There is fear of organisations, fear of job insecurity, fear of losing one\u2019s health, fear due to the inconsistency of ties. New scenarios of this threat appear, new tales of future devastations that strike fear into the average citizen. p.58\n\nWe are no longer frightened by the gods, but by what human beings are capable of doing and legitimating in the name of the gods. p.58\n\nfear has occupied a marginal place in treatises on the passions that the most illustrious modern thinkers have left us. p.59\n\nIf it is true, as has been written, that we live in the society of uncertainty and risk, it is no supruse, then, that the feeling of fear should grow, because there is a directly proportional relationship between both. p.60\n\nLet us identify the most important, stressing that some of the current forms have coexisted throughout the history of humankind and are constituent aspects of the finite and contingent structure of the human being: p.60\n- Fear of Death. Death causes fear because it means the end of the biological process and coming into contact with uncertainty. These days, fear is not aroused by stories from beyond the grave or by threatening eschatological symbolism, but by the fact of ceasing to be, of disappearing from this world.\n-Fear of the Strange. Fear is caused by the worrying presence of the strange, ignorance of its intentions and reasons, its customs and its ways of life. [...] The strange is always a violent presence, because it questions our own ways, because it demands we find a common language and guarantee minimum laws for good social coexistence. At the same time, though, it is also an opportunity to reflect on our own identity, on the collective singularity. Never before has it been so utterly difficult to define ourselves. This fear is not, of course, new in the history of Western civilisation, but in contexts of intense migratory flows like the present one, it once again bursts in and generates attitudes of putting up barriers.\n-Fear of Technology. Today\u2019s citizens seem to be always threatened by what they produce, namely, by the result of the labour of their hands and, even more so, by the working of their intelligence. [...] This state of threat against people by their products has several directions and degrees of intensity. It seems, fortunately, that we are ever more aware of the fact that the exploitation of the Earth, of the planet we live on, demands rational and honest planning. \n-Fear of Failure. In the society of success, the fear of failure, of losing social and economic status, emerges forcefully. A growing intolerance of failure and a sacralisation of success in social and economic terms has been detected. [...] Failure, like evil, is such insofar as it represents a threat to our identity; it will depend, then, on what we think realises us, what makes us. What we consider as failure will help us to understand what we are and, the other way round, what we are will make us consider something a failure or not. [...] The melancholy of failure and the obsession with success are two evils of finalising: two ways of not knowing how to finish in order to be able, by sorting oneself out, to beat new paths. Failure is undeniably an evil.\n-Fear of Freedom. Nevertheless, the fear of personal self-determination, of exercising one\u2019s own autonomy, of defending one\u2019s own convictions in such liquid and inconsistent contexts as postmodern scenarios, is growing significantly. We live in an age in which defending solid ideas like freedom, truth, dignity or even equality arouses a certain fear as we are crossing the line of what is politically correct, of that which travels along the highways of official thinking. [...] Therefore, the fear of freedom is, at heart, a clear consequence of the crisis of character.\n-Fear of Loneliness. As Zygmunt Bauman [Liquid Modernity] has made clear in his sociological analyses, interpersonal ties, social and affective relationships are characterised, in the present, by their fragility and inconsistency. [...] Ties are ephemeral and this arouses great anxiety, even in the form of pathological worry, because people do not want to lose the bonds of affection that make their emotional balance possible, but they are not prepared to give of themselves wholeheartedly, to commit themselves solidly to their partner. p.60-4", "page" : "56-67", "title" : "The Essence and Forms of Fear in Hypermodernity", "type" : "article-journal", "volume" : "6" }, "locator" : "64", "uris" : [ "http://www.mendeley.com/documents/?uuid=e76757a6-494a-4749-9241-dee2182ef50c" ] } ], "mendeley" : { "formattedCitation" : "Torralba, p. 64.", "plainTextFormattedCitation" : "Torralba, p. 64.", "previouslyFormattedCitation" : "Torralba, p. 64."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Torralba, p. 64.</w:t>
      </w:r>
      <w:r w:rsidRPr="00505CF0">
        <w:rPr>
          <w:rFonts w:asciiTheme="majorBidi" w:hAnsiTheme="majorBidi" w:cstheme="majorBidi"/>
        </w:rPr>
        <w:fldChar w:fldCharType="end"/>
      </w:r>
    </w:p>
  </w:footnote>
  <w:footnote w:id="244">
    <w:p w14:paraId="297AC2BD" w14:textId="60F189A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"http://standpointmag.co.uk/node/6136/full", "accessed" : { "date-parts" : [ [ "2017", "10", "10" ] ] }, "author" : [ { "dropping-particle" : "", "family" : "Wilson", "given" : "Kit", "non-dropping-particle" : "", "parse-names" : false, "suffix" : "" } ], "container-title" : "Standpoint.", "id" : "ITEM-1", "issued" : { "date-parts" : [ [ "2015" ] ] }, "note" : "The West is - for all its wealth today - far more childish than [has been] anticipated. This can be traced - I beleive - To the reductionist narratives we adopted as our mantras during the last century.\n\nWe seek to make society blinkered, mindless and immature. Look at the way today\u2019s businesses choose to market themselves. They invent names that imitate the nonsense words of babies: Zoopla, Giffgaff, Google, Trivago. They deliberately botch grammar in their slogans to sound na\u00efve and cutesy: \u201cFind your happy\u201d, \u201cBe differenter\u201d, \u201cThe joy of done\u201d. They make their advertisements and logos twee and ironic \u2014 a twirly moustache here, a talking dog there \u2014 just to show how carefree and fun they are.\n\nThe effects of social media don\u2019t end there. A Pew Research Centre study last year found that regular social media users are far more likely than non-users to censor themselves, even offline. We learn to ignore, rather than engage with, genuine disagreement, and so ultimately dismantle the most important distinction between civil society and the playground \u2014 the ability to live respectfully alongside those with whom we disagree.\n\nWe\u2019ll face again genuine, terrifying confrontations of a kind we can scarcely imagine today. And we\u2019ll need something a little more robust than an e-petition and a cat video.\u00a0 Sadly, our philosophical approach seems to have been to paper over Nietzsche\u2019s terrifying abyss with \u201cKeep calm . . .\u201d posters. If one were to characterise the West\u2019s broad philosophical outlook today, it would be this: sentimental nihilism. We accept, as \u201crisen apes\u201d, that it\u2019s all meaningless. But hey, we\u2019re having a good time, right?\n\nUnable to make sense \u2014 as Alasdair MacIntyre says \u2014 of the mutilated philosophical traditions that once gave our now everyday language its meaning, we curl up into our little corner of history and \u2014 fingers crossed behind our backs \u2014 resort to wishful assertions.\n\nOur universities have, for some time now, been expunging reams of \u201cdead white males\u201d from their reading lists. To a generation with fingers in their ears, such thinkers have nothing to say. Unable to sense the subtle threads that bind us all to a shared past, we latch on instead to whichever tags are dangled in front of us \u2014 feminism, transgenderism, post-colonialism. These labels are much easier to grasp, for they require no real knowledge of the past, only of present suffering.", "title" : "Sentimental Nihilism and Popular Culture", "type" : "webpage" }, "uris" : [ "http://www.mendeley.com/documents/?uuid=1fb3474e-d1a5-486b-98d6-9e98032f8e98" ] } ], "mendeley" : { "formattedCitation" : "Wilson.", "plainTextFormattedCitation" : "Wilson.", "previouslyFormattedCitation" : "Wilson."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Wilson.</w:t>
      </w:r>
      <w:r w:rsidRPr="00505CF0">
        <w:rPr>
          <w:rFonts w:asciiTheme="majorBidi" w:hAnsiTheme="majorBidi" w:cstheme="majorBidi"/>
        </w:rPr>
        <w:fldChar w:fldCharType="end"/>
      </w:r>
    </w:p>
  </w:footnote>
  <w:footnote w:id="245">
    <w:p w14:paraId="658D9E7B" w14:textId="31BA7D3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"Kirby", "given" : "Alan", "non-dropping-particle" : "", "parse-names" : false, "suffix" : "" } ], "container-title" : "Philosophy Now", "id" : "ITEM-1", "issue" : "58", "issued" : { "date-parts" : [ [ "2006" ] ] }, "note" : "[Postmodernism is] dead and buried. \n\nThere are people who have essentially asserted that fot a while we believed in postmodern ideas, but not any more, and from now on we're going to believe in cultural realism. \n\nHowever, a far more compelling case can be made that postmodernism is dead by looking outside the academy at current cultural production.\n\n[on post-mod novels]. These are texts which are just coming to grips with the existence of rock music and television; the mostly do not dream even of the possibility of the technology and communications media - mobile phones, email, the internet, computers in every house powerful enough to put a man on the moon - which today's undergraduates take for granted. \n\nThese sense of superannuation, of the impotence and the irrelevance of so much Theory among academics, also bears testimony to the passing of postmodernism. the people who produce the cultural material which academics and non-academics read, watch and listen to, have simply given up on postmodernism. \n\nThe terms by which authority, knowledge, selfhood, reality and time are conceived have been altered, suddenly and forever [...] somewhere in the late 1990s or early 2000s, the emergence of new technologies re-structured, violently and forever, the nature of the author, the reader and the text, and the relationships between them.\n\nPostmodernism, like modernism and romanticism before it, fetishised [ie placed supreme importance on] the author, even when the author chose to indict or pretended to abolish him or herself. But the culture we have now fetishises the recipient of the text to the degree that they become a partial or whole author of it. Optimists may see this as the democratisation of culture; pessimists will point to the excrutiating banality of vacuity of the cultural products thereby generated (at least so far). \n\n[Postmodernism]'s successor, which I will call pseudo-modernism, makes the individual's action the neccesary condition of the cultural product. Pseudo-modernism includes all television or radio programmes or parts of programmes, all 'texts' whose content and dynamics are invented or directed by the participating viewer or listener (althought these latter terms, with their passivity and emphasis on reception, are obsolete: whatever a telephoning Big Brother voter or a telephoning 6-0-6 football fan are doing, they are not simply viewing or listening. \n\nBy definition, pseudo-modern cultural products cannot and do not exist unless the individual intervenes physically in them.\n\nPseudo-modernism also encompases contemporary news programmes, whose content increasingly consists of emails or text messages sent in commenting on the news items. \n\nIf the internet and its use define ad dominate pseudo-modernism, the new era has also seen the revamping of older forms along its lines. Cinema in the pseudo-modern age looks more and more like a computer game. Its images, which once came from the 'real' world - framed, lit, soundtracked and edited together by ingenious directiors to guide the viewer's thoughts or emotions - are now increasingly created through a computer. And they look it. \n\nThe cultural products of pseudo-mppdernism are also exceptionally banal, as I've hinted. The context of psuedo-modern films tends to be solely the acts which beget and which end life. This peurile primitivism of the script stands in stark contrast to the sophistication of contemporary cinema's technical effects. \n\n[...] for now we are confronted by a storm of human activity producing almost nothing of cultural value - anything which human beings might look at again and appreciate in fifty or two hundred years time.\n\nBut a shift has occured, in that, what was a marginal pastime of the fan [the creation of a personal playlist of music {the mixtape}] has become the dominant and definitive way of consuming music, rendering the idea of the album as a coherent work of art, a body of integrated meaning, obsolete.\n\nTo a degree, pseudo-modernism is no more than a technologically motivated shift to the cultural centre of something which has always existed (similarly, metafiction has always existed, but was never so fetishised as it was by postmodernism). \n\nwhereas postmodernism called 'reality' into question, psudeo-modernism defines the real implicitly as myself, now, 'interacting' with its texts. \n\nit is clear that the dominant interlectual framework has changed. While postmodernism's cultural products have been considgned to the same historicised status as modernism and romanticism, its intellectual tendencies (feminism, postcolonialism etc) find themselves isolated in the new philosophical environment.\n\nThe world has narrowed intellectually, not broadened, in the last ten years. Where Lyotard saw the eclipse of Grand Narratives, psuedo-modernism sees the ideology of globalised market economics raised the level of the sole and over-powering regulator of all social activity - monopolistic, all-engulfing, all-explaining, all-structuring, as every academic must disagreeably recognise. Pseudo-modernism is of course consumerist and conformist, a matter of moving around the world as it is given or sold.\n\nWhereas postmodernism favoured the ironic, the knowing and the playful, with their allusions to knowledge, history and ambivalence, psuedo-modernism's typical intellectual states are ignorance, fanatacism and anxiety: Bush, Blair, Bin Laden, Le Pen and their like on one side, and the more numerous but less powerful masses on the other. \n\nPseudo-modernism was not born on 11 september 2001, but postmodernism was interred in its rubble.\n\nBut this fatalistic anxiety extends far beyond geopolitics, into every aspect of contemporary life; from a general fear of social breakdown and identity loss, to a deep unease about diet and health; from anguish abou the destructiveness of climate change, to the effects of a new personal ineptitude and helplessness, which yield TV programmes about how to clean your house, bring up your children or remain solvent. This technologised cluelessness is utterly contemporary: the pseudo-modernist communicates constantly with the other side of the planet, yet needs to be told to eat vegetables to be healthy, a fact self-evident in the Bronze Age. He or she can direct the course of national television programmes, but does not know how to make him or herself something to eat - a characterstic fusion of the childish and the advanced, the powerful and the helpless. \n\nFor varying reasons, these people are incapable of the &amp;quot;disbeleif of Grand Narratives&amp;quot; which lyotard argued typified postmodernists.\n\nThis pseudo-modern world, so frightening and seemingly uncontrollable, inevitably feeds a desire to return to the infantile playing with toys which also characterises the pseudo-modern cultural world. Here, the typical emotional state, radically superseding the hyper-consciouseness of irony, is the trance - the state of being swallowed up by your activity. In place of the neurosis of modernism and the narcissim of postmodernism, psuedo-modernism takes the world away, by creating a new weightless nowehere of silent autism. You click, you punch the keys, you are 'involved', engulfed, deciding. Yoiu are the text, there is no-one else, no 'author'; there is nowhere else, no other time or place. You are free: you are the text: the text is superseded.", "title" : "The Death of Postmodernism and Beyond", "type" : "article-journal" }, "uris" : [ "http://www.mendeley.com/documents/?uuid=2578f141-439a-4d83-a334-6a4382f8833d" ] } ], "mendeley" : { "formattedCitation" : "Kirby, \u2018The Death of Postmodernism and Beyond\u2019.", "plainTextFormattedCitation" : "Kirby, \u2018The Death of Postmodernism and Beyond\u2019.", "previouslyFormattedCitation" : "Kirby, \u2018The Death of Postmodernism and Beyond\u2019."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Kirby, ‘The Death of Postmodernism and Beyond’.</w:t>
      </w:r>
      <w:r w:rsidRPr="00505CF0">
        <w:rPr>
          <w:rFonts w:asciiTheme="majorBidi" w:hAnsiTheme="majorBidi" w:cstheme="majorBidi"/>
        </w:rPr>
        <w:fldChar w:fldCharType="end"/>
      </w:r>
    </w:p>
  </w:footnote>
  <w:footnote w:id="246">
    <w:p w14:paraId="0505BC03" w14:textId="47E25AB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"http://flavorwire.com/518420/why-grow-up-philosophy-for-a-generation-of-adult-infants", "accessed" : { "date-parts" : [ [ "2017", "10", "10" ] ] }, "author" : [ { "dropping-particle" : "", "family" : "Sturgeon", "given" : "Jonathan", "non-dropping-particle" : "", "parse-names" : false, "suffix" : "" } ], "container-title" : "Flavorwire", "id" : "ITEM-1", "issued" : { "date-parts" : [ [ "2015" ] ] }, "note" : "We are infantilized and self-infantilized. The longing for childhood is broad cultural disposition.\n\nBut as different as they may seem, both men seem to express a longing for what Kant (and Neiman) refers to as the Unconditioned: a \u201ctranquil inactivity and constant peace\u201d that comes when all questions about the world have obvious answers. Basically, the Unconditioned results in the sort of childlike, carefree glee that comes about when one\u2019s imagination can resolve any logistical dilemma.\n\nOne feature of the Unconditioned \u2014 a sign of immaturity \u2014 is that humans\u00a0in this state cannot distinguish between \u201cthe way the world is\u201d and \u201cthe way it ought to be.\u201d I would agree with Nieman that this lack of distinction characterizes much of of millennial culture. (And I would add that the abovementioned inability to distinguish art from fashion is another huge problem.) But I would also agree with millennials that the reason for it is simple: there is no longer any benchmark for maturity.\n\nI think learning to distinguish between \u201cought\u201d and \u201cis\u201d\u00a0ought\u00a0to be our project. And I think Nieman is right to tie cultural infantilism to questions of the Enlightenment. Whether we choose to believe it or not, Enlightenment principles became the standard for maturity in Western culture \u2014 the Enlightenment, in fact, was always about maturity.", "title" : "Why Grow Up? Philosophy for a Generation of Adult Infants", "type" : "webpage" }, "uris" : [ "http://www.mendeley.com/documents/?uuid=b9f803b5-9542-407b-9cc2-4da928700963" ] } ], "mendeley" : { "formattedCitation" : "Sturgeon, \u2018Why Grow Up? Philosophy for a Generation of Adult Infants\u2019.", "plainTextFormattedCitation" : "Sturgeon, \u2018Why Grow Up? Philosophy for a Generation of Adult Infants\u2019.", "previouslyFormattedCitation" : "Sturgeon, \u2018Why Grow Up? Philosophy for a Generation of Adult Infants\u2019."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Sturgeon, ‘Why Grow Up? Philosophy for a Generation of Adult Infants’.</w:t>
      </w:r>
      <w:r w:rsidRPr="00505CF0">
        <w:rPr>
          <w:rFonts w:asciiTheme="majorBidi" w:hAnsiTheme="majorBidi" w:cstheme="majorBidi"/>
        </w:rPr>
        <w:fldChar w:fldCharType="end"/>
      </w:r>
      <w:r w:rsidRPr="00505CF0">
        <w:rPr>
          <w:rFonts w:asciiTheme="majorBidi" w:hAnsiTheme="majorBidi" w:cstheme="majorBidi"/>
        </w:rPr>
        <w:t xml:space="preserve"> Sturgeon also agrees with Susan Neiman in characterizing the millennial generation as sharing significant features with the immaturity associated with the Unconditioned, specifically that the current generation cannot distinguish “between the way the world is” and “the way it ought to be,” an interesting assessment that links to the ideas of a contemporary desire to move beyond the present without understanding how as discussed earlier.  </w:t>
      </w:r>
    </w:p>
  </w:footnote>
  <w:footnote w:id="247">
    <w:p w14:paraId="480A8513" w14:textId="2EF1DA2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"http://standpointmag.co.uk/node/6136/full", "accessed" : { "date-parts" : [ [ "2017", "10", "10" ] ] }, "author" : [ { "dropping-particle" : "", "family" : "Wilson", "given" : "Kit", "non-dropping-particle" : "", "parse-names" : false, "suffix" : "" } ], "container-title" : "Standpoint.", "id" : "ITEM-1", "issued" : { "date-parts" : [ [ "2015" ] ] }, "note" : "The West is - for all its wealth today - far more childish than [has been] anticipated. This can be traced - I beleive - To the reductionist narratives we adopted as our mantras during the last century.\n\nWe seek to make society blinkered, mindless and immature. Look at the way today\u2019s businesses choose to market themselves. They invent names that imitate the nonsense words of babies: Zoopla, Giffgaff, Google, Trivago. They deliberately botch grammar in their slogans to sound na\u00efve and cutesy: \u201cFind your happy\u201d, \u201cBe differenter\u201d, \u201cThe joy of done\u201d. They make their advertisements and logos twee and ironic \u2014 a twirly moustache here, a talking dog there \u2014 just to show how carefree and fun they are.\n\nThe effects of social media don\u2019t end there. A Pew Research Centre study last year found that regular social media users are far more likely than non-users to censor themselves, even offline. We learn to ignore, rather than engage with, genuine disagreement, and so ultimately dismantle the most important distinction between civil society and the playground \u2014 the ability to live respectfully alongside those with whom we disagree.\n\nWe\u2019ll face again genuine, terrifying confrontations of a kind we can scarcely imagine today. And we\u2019ll need something a little more robust than an e-petition and a cat video.\u00a0 Sadly, our philosophical approach seems to have been to paper over Nietzsche\u2019s terrifying abyss with \u201cKeep calm . . .\u201d posters. If one were to characterise the West\u2019s broad philosophical outlook today, it would be this: sentimental nihilism. We accept, as \u201crisen apes\u201d, that it\u2019s all meaningless. But hey, we\u2019re having a good time, right?\n\nUnable to make sense \u2014 as Alasdair MacIntyre says \u2014 of the mutilated philosophical traditions that once gave our now everyday language its meaning, we curl up into our little corner of history and \u2014 fingers crossed behind our backs \u2014 resort to wishful assertions.\n\nOur universities have, for some time now, been expunging reams of \u201cdead white males\u201d from their reading lists. To a generation with fingers in their ears, such thinkers have nothing to say. Unable to sense the subtle threads that bind us all to a shared past, we latch on instead to whichever tags are dangled in front of us \u2014 feminism, transgenderism, post-colonialism. These labels are much easier to grasp, for they require no real knowledge of the past, only of present suffering.", "title" : "Sentimental Nihilism and Popular Culture", "type" : "webpage" }, "uris" : [ "http://www.mendeley.com/documents/?uuid=1fb3474e-d1a5-486b-98d6-9e98032f8e98" ] } ], "mendeley" : { "formattedCitation" : "Wilson.", "plainTextFormattedCitation" : "Wilson.", "previouslyFormattedCitation" : "Wilson."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Wilson.</w:t>
      </w:r>
      <w:r w:rsidRPr="00505CF0">
        <w:rPr>
          <w:rFonts w:asciiTheme="majorBidi" w:hAnsiTheme="majorBidi" w:cstheme="majorBidi"/>
        </w:rPr>
        <w:fldChar w:fldCharType="end"/>
      </w:r>
    </w:p>
  </w:footnote>
  <w:footnote w:id="248">
    <w:p w14:paraId="569FF667" w14:textId="09CA696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"Kant", "given" : "Immanuel", "non-dropping-particle" : "", "parse-names" : false, "suffix" : "" } ], "container-title" : "The Foucalt Reader", "id" : "ITEM-1", "issued" : { "date-parts" : [ [ "1984" ] ] }, "note" : "Enlightenment is man's emergence from his self-imposed nonage. Nonage is the inability to use one's own understanding without another's guidance. This nonage is self-imposed if its cause lies not in lack of understanding but in indecision and lack of courage to use one's own mind without another's guidance.\u00a0Dare to know!\u00a0(Sapere aude.) &amp;quot;Have the courage to use your own understanding,&amp;quot; is therefore the motto of the enlightenment.\n\nLaziness and cowardice are the reasons why such a large part of mankind gladly remain minors all their lives, long after nature has freed them from external guidance. They are the reasons why it is so easy for others to set themselves up as guardians. It is so comfortable to be a minor. If I have a book that thinks for me, a pastor who acts as my conscience, a physician who prescribes my diet, and so on--then I have no need to exert myself. I have no need to think, if only I can pay; others will take care of that disagreeable business for me.", "title" : "Answering the Question: What is Enlightenment?", "type" : "article" }, "uris" : [ "http://www.mendeley.com/documents/?uuid=fcb3c2a6-395f-42c1-8b40-1c3a9eb73c55" ] } ], "mendeley" : { "formattedCitation" : "Immanuel Kant, \u2018Answering the Question: What Is Enlightenment?\u2019, &lt;i&gt;The Foucalt Reader&lt;/i&gt;, 1984 &lt;http://www.columbia.edu/acis/ets/CCREAD/etscc/kant.html&gt;.", "manualFormatting" : "Immanuel Kant, \u2018Answering the Question: What Is Enlightenment?\u2019, The Foucalt Reader, 1984.", "plainTextFormattedCitation" : "Immanuel Kant, \u2018Answering the Question: What Is Enlightenment?\u2019, The Foucalt Reader, 1984 .", "previouslyFormattedCitation" : "Immanuel Kant, \u2018Answering the Question: What Is Enlightenment?\u2019, &lt;i&gt;The Foucalt Reader&lt;/i&gt;, 1984 &lt;http://www.columbia.edu/acis/ets/CCREAD/etscc/kant.html&gt;."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Immanuel Kant, ‘Answering the Question: What Is Enlightenment?’, </w:t>
      </w:r>
      <w:r w:rsidRPr="00505CF0">
        <w:rPr>
          <w:rFonts w:asciiTheme="majorBidi" w:hAnsiTheme="majorBidi" w:cstheme="majorBidi"/>
          <w:i/>
          <w:noProof/>
        </w:rPr>
        <w:t>The Foucalt Reader</w:t>
      </w:r>
      <w:r w:rsidRPr="00505CF0">
        <w:rPr>
          <w:rFonts w:asciiTheme="majorBidi" w:hAnsiTheme="majorBidi" w:cstheme="majorBidi"/>
          <w:noProof/>
        </w:rPr>
        <w:t>, 1984.</w:t>
      </w:r>
      <w:r w:rsidRPr="00505CF0">
        <w:rPr>
          <w:rFonts w:asciiTheme="majorBidi" w:hAnsiTheme="majorBidi" w:cstheme="majorBidi"/>
        </w:rPr>
        <w:fldChar w:fldCharType="end"/>
      </w:r>
    </w:p>
  </w:footnote>
  <w:footnote w:id="249">
    <w:p w14:paraId="51BCB8B7" w14:textId="712F4A5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"Kant", "given" : "Immanuel", "non-dropping-particle" : "", "parse-names" : false, "suffix" : "" } ], "container-title" : "The Foucalt Reader", "id" : "ITEM-1", "issued" : { "date-parts" : [ [ "1984" ] ] }, "note" : "Enlightenment is man's emergence from his self-imposed nonage. Nonage is the inability to use one's own understanding without another's guidance. This nonage is self-imposed if its cause lies not in lack of understanding but in indecision and lack of courage to use one's own mind without another's guidance.\u00a0Dare to know!\u00a0(Sapere aude.) &amp;quot;Have the courage to use your own understanding,&amp;quot; is therefore the motto of the enlightenment.\n\nLaziness and cowardice are the reasons why such a large part of mankind gladly remain minors all their lives, long after nature has freed them from external guidance. They are the reasons why it is so easy for others to set themselves up as guardians. It is so comfortable to be a minor. If I have a book that thinks for me, a pastor who acts as my conscience, a physician who prescribes my diet, and so on--then I have no need to exert myself. I have no need to think, if only I can pay; others will take care of that disagreeable business for me.", "title" : "Answering the Question: What is Enlightenment?", "type" : "article" }, "uris" : [ "http://www.mendeley.com/documents/?uuid=fcb3c2a6-395f-42c1-8b40-1c3a9eb73c55" ] } ], "mendeley" : { "formattedCitation" : "Kant.", "plainTextFormattedCitation" : "Kant.", "previouslyFormattedCitation" : "Kant."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Kant.</w:t>
      </w:r>
      <w:r w:rsidRPr="00505CF0">
        <w:rPr>
          <w:rFonts w:asciiTheme="majorBidi" w:hAnsiTheme="majorBidi" w:cstheme="majorBidi"/>
        </w:rPr>
        <w:fldChar w:fldCharType="end"/>
      </w:r>
    </w:p>
  </w:footnote>
  <w:footnote w:id="250">
    <w:p w14:paraId="50072284" w14:textId="2CB9C147"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A move, incidentally, that one could well attribute to the nostalgia drive as discussed in this chapter.</w:t>
      </w:r>
    </w:p>
  </w:footnote>
  <w:footnote w:id="251">
    <w:p w14:paraId="5F140B7D" w14:textId="202692A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iCs/>
        </w:rPr>
        <w:t>ACO</w:t>
      </w:r>
      <w:r w:rsidRPr="00505CF0">
        <w:rPr>
          <w:rFonts w:asciiTheme="majorBidi" w:hAnsiTheme="majorBidi" w:cstheme="majorBidi"/>
          <w:i/>
          <w:iCs/>
        </w:rPr>
        <w:t>: ‘The Post-postmodern Problem.’ See Chapter 1: Southward vs Society in this volume</w:t>
      </w:r>
      <w:r>
        <w:rPr>
          <w:rFonts w:asciiTheme="majorBidi" w:hAnsiTheme="majorBidi" w:cstheme="majorBidi"/>
          <w:i/>
          <w:iCs/>
        </w:rPr>
        <w:t xml:space="preserve"> or, for the adventurous reader, W.J. Arapaima’s series of essays ‘Selfish Southward: Narcissistic References in the works of the Hated One.’ Though, I do believe that my own chapter should provide greater value, as the reader may judge. </w:t>
      </w:r>
    </w:p>
  </w:footnote>
  <w:footnote w:id="252">
    <w:p w14:paraId="1F09AC3B" w14:textId="7CA5E02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"Siepmann", "given" : "Dirk", "non-dropping-particle" : "", "parse-names" : false, "suffix" : "" } ], "container-title" : "Meta", "id" : "ITEM-1", "issue" : "1", "issued" : { "date-parts" : [ [ "2006" ] ] }, "note" : "German Text Structure: \n\u2018point-late\u2019, spiral-like structure: theoretical exposition prepares for the main point to be made at the end of the argument p.142", "page" : "131-150", "title" : "Academic Writing and Culture: An Overview of Difference between English, French and German", "type" : "article-journal", "volume" : "51" }, "locator" : "142", "uris" : [ "http://www.mendeley.com/documents/?uuid=744c6977-7e5d-4dbd-bff5-b888e8103f45" ] } ], "mendeley" : { "formattedCitation" : "Dirk Siepmann, \u2018Academic Writing and Culture: An Overview of Difference between English, French and German\u2019, &lt;i&gt;Meta&lt;/i&gt;, 51 (2006), 131\u2013150 (p. 142) &lt;https://www.erudit.org/fr/revues/meta/2006-v51-n1-meta1129/012998ar.pdf&gt;.", "manualFormatting" : "Dirk Siepmann, \u2018Academic Writing and Culture: An Overview of Difference between English, French and German\u2019, Meta, 51 (2006), 131\u2013150 (p. 142).", "plainTextFormattedCitation" : "Dirk Siepmann, \u2018Academic Writing and Culture: An Overview of Difference between English, French and German\u2019, Meta, 51 (2006), 131\u2013150 (p. 142) .", "previouslyFormattedCitation" : "Dirk Siepmann, \u2018Academic Writing and Culture: An Overview of Difference between English, French and German\u2019, &lt;i&gt;Meta&lt;/i&gt;, 51 (2006), 131\u2013150 (p. 142) &lt;https://www.erudit.org/fr/revues/meta/2006-v51-n1-meta1129/012998ar.pdf&gt;."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Dirk Siepmann, ‘Academic Writing and Culture: An Overview of Difference between English, French and German’, </w:t>
      </w:r>
      <w:r w:rsidRPr="00505CF0">
        <w:rPr>
          <w:rFonts w:asciiTheme="majorBidi" w:hAnsiTheme="majorBidi" w:cstheme="majorBidi"/>
          <w:i/>
          <w:noProof/>
        </w:rPr>
        <w:t>Meta</w:t>
      </w:r>
      <w:r w:rsidRPr="00505CF0">
        <w:rPr>
          <w:rFonts w:asciiTheme="majorBidi" w:hAnsiTheme="majorBidi" w:cstheme="majorBidi"/>
          <w:noProof/>
        </w:rPr>
        <w:t>, 51 (2006), 131–150 (p. 142).</w:t>
      </w:r>
      <w:r w:rsidRPr="00505CF0">
        <w:rPr>
          <w:rFonts w:asciiTheme="majorBidi" w:hAnsiTheme="majorBidi" w:cstheme="majorBidi"/>
        </w:rPr>
        <w:fldChar w:fldCharType="end"/>
      </w:r>
    </w:p>
  </w:footnote>
  <w:footnote w:id="253">
    <w:p w14:paraId="51210389"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i/>
          <w:iCs/>
        </w:rPr>
        <w:t xml:space="preserve">I see you shiver with antici…. </w:t>
      </w:r>
    </w:p>
  </w:footnote>
  <w:footnote w:id="254">
    <w:p w14:paraId="7A919022" w14:textId="715BD45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2.</w:t>
      </w:r>
      <w:r w:rsidRPr="00505CF0">
        <w:rPr>
          <w:rFonts w:asciiTheme="majorBidi" w:hAnsiTheme="majorBidi" w:cstheme="majorBidi"/>
        </w:rPr>
        <w:fldChar w:fldCharType="end"/>
      </w:r>
    </w:p>
  </w:footnote>
  <w:footnote w:id="255">
    <w:p w14:paraId="3D5361BC" w14:textId="57BE479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"56", "uris" : [ "http://www.mendeley.com/documents/?uuid=7800a0be-17ee-443b-8427-7c803ab7a556" ] } ], "mendeley" : { "formattedCitation" : "Timotheus Vermeulen and Robin van den Akker, \u2018Utopia, Sort of: A Case Study in Metamodernism\u2019, &lt;i&gt;Studia Neophilologica&lt;/i&gt;, 87 (2015), 55\u201367 (p. 56).", "plainTextFormattedCitation" : "Timotheus Vermeulen and Robin van den Akker, \u2018Utopia, Sort of: A Case Study in Metamodernism\u2019, Studia Neophilologica, 87 (2015), 55\u201367 (p. 56).", "previouslyFormattedCitation" : "Timotheus Vermeulen and Robin van den Akker, \u2018Utopia, Sort of: A Case Study in Metamodernism\u2019, &lt;i&gt;Studia Neophilologica&lt;/i&gt;, 87 (2015), 55\u201367 (p. 56) &lt;http://www.tandfonline.com/doi/full/10.1080/00393274.2014.981964&gt;."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and Robin van den Akker, ‘Utopia, Sort of: A Case Study in Metamodernism’, </w:t>
      </w:r>
      <w:r w:rsidRPr="0025171E">
        <w:rPr>
          <w:rFonts w:asciiTheme="majorBidi" w:hAnsiTheme="majorBidi" w:cstheme="majorBidi"/>
          <w:i/>
          <w:noProof/>
        </w:rPr>
        <w:t>Studia Neophilologica</w:t>
      </w:r>
      <w:r w:rsidRPr="0025171E">
        <w:rPr>
          <w:rFonts w:asciiTheme="majorBidi" w:hAnsiTheme="majorBidi" w:cstheme="majorBidi"/>
          <w:noProof/>
        </w:rPr>
        <w:t>, 87 (2015), 55–67 (p. 56).</w:t>
      </w:r>
      <w:r w:rsidRPr="00505CF0">
        <w:rPr>
          <w:rFonts w:asciiTheme="majorBidi" w:hAnsiTheme="majorBidi" w:cstheme="majorBidi"/>
        </w:rPr>
        <w:fldChar w:fldCharType="end"/>
      </w:r>
    </w:p>
  </w:footnote>
  <w:footnote w:id="256">
    <w:p w14:paraId="42D94D07" w14:textId="743C0AA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"55", "uris" : [ "http://www.mendeley.com/documents/?uuid=7800a0be-17ee-443b-8427-7c803ab7a556" ] } ], "mendeley" : { "formattedCitation" : "Vermeulen and van den Akker, \u2018Utopia, Sort of\u2019, p. 55.", "plainTextFormattedCitation" : "Vermeulen and van den Akker, \u2018Utopia, Sort of\u2019, p. 55.", "previouslyFormattedCitation" : "Vermeulen and van den Akker, \u2018Utopia, Sort of\u2019, p. 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‘Utopia, Sort of’, p. 55.</w:t>
      </w:r>
      <w:r w:rsidRPr="00505CF0">
        <w:rPr>
          <w:rFonts w:asciiTheme="majorBidi" w:hAnsiTheme="majorBidi" w:cstheme="majorBidi"/>
        </w:rPr>
        <w:fldChar w:fldCharType="end"/>
      </w:r>
    </w:p>
  </w:footnote>
  <w:footnote w:id="257">
    <w:p w14:paraId="256CD651" w14:textId="2F380FC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"56", "uris" : [ "http://www.mendeley.com/documents/?uuid=7800a0be-17ee-443b-8427-7c803ab7a556" ] } ], "mendeley" : { "formattedCitation" : "Vermeulen and van den Akker, \u2018Utopia, Sort of\u2019, p. 56.", "plainTextFormattedCitation" : "Vermeulen and van den Akker, \u2018Utopia, Sort of\u2019, p. 56.", "previouslyFormattedCitation" : "Vermeulen and van den Akker, \u2018Utopia, Sort of\u2019, p. 56."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‘Utopia, Sort of’, p. 56.</w:t>
      </w:r>
      <w:r w:rsidRPr="00505CF0">
        <w:rPr>
          <w:rFonts w:asciiTheme="majorBidi" w:hAnsiTheme="majorBidi" w:cstheme="majorBidi"/>
        </w:rPr>
        <w:fldChar w:fldCharType="end"/>
      </w:r>
    </w:p>
  </w:footnote>
  <w:footnote w:id="258">
    <w:p w14:paraId="5B66B3EC" w14:textId="65CD71A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"https://www.youtube.com/watch?v=5b_6D3xxdzQ", "accessed" : { "date-parts" : [ [ "2017", "10", "19" ] ] }, "author" : [ { "dropping-particle" : "", "family" : "Braidotti", "given" : "Rosi", "non-dropping-particle" : "", "parse-names" : false, "suffix" : "" } ], "container-title" : "Centre for the Humanities Utrecht University", "id" : "ITEM-1", "issued" : { "date-parts" : [ [ "2015" ] ] }, "note" : "TV: &amp;quot;We tried to find a term - or at least a label -that we could use to understand the post-postmodern condition, to understand those developments, those strategies, those new ... phenomena that were occuring, that we found we found we could no longer explain, we no longer contextualisze, or map, with the vernacular that we had learned as students about postmodernism.&amp;quot; \n\nTV: &amp;quot;metamodernism is the very imperfect placeholder, I guess, the label for the new language that we are trying to develop.&amp;quot;\n\nTV: &amp;quot;[metamodernism is] a mapping of contemporary culture&amp;quot;", "title" : "The Humanities in Europe Interview Series - Timotheus Vermeulen", "type" : "webpage" }, "prefix" : "Vermeulen, Timotheus, in ", "uris" : [ "http://www.mendeley.com/documents/?uuid=dcda2b3d-2f4c-4ccc-b228-7d31c6ef68b7" ] } ], "mendeley" : { "formattedCitation" : "Vermeulen, Timotheus, in Rosi Braidotti, \u2018The Humanities in Europe Interview Series - Timotheus Vermeulen\u2019, &lt;i&gt;Centre for the Humanities Utrecht University&lt;/i&gt;, 2015 &lt;https://www.youtube.com/watch?v=5b_6D3xxdzQ&gt; [accessed 19 October 2017].", "manualFormatting" : "Vermeulen, Timotheus, in Rosi Braidotti, \u2018The Humanities in Europe Interview Series - Timotheus Vermeulen\u2019, Centre for the Humanities Utrecht University, 2015 [Youtube Video]  [accessed 19 October 2017].", "plainTextFormattedCitation" : "Vermeulen, Timotheus, in Rosi Braidotti, \u2018The Humanities in Europe Interview Series - Timotheus Vermeulen\u2019, Centre for the Humanities Utrecht University, 2015  [accessed 19 October 2017].", "previouslyFormattedCitation" : "Vermeulen, Timotheus, in Rosi Braidotti, \u2018The Humanities in Europe Interview Series - Timotheus Vermeulen\u2019, &lt;i&gt;Centre for the Humanities Utrecht University&lt;/i&gt;, 2015 &lt;https://www.youtube.com/watch?v=5b_6D3xxdzQ&gt; [accessed 19 October 2017]."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Vermeulen, Timotheus, in Rosi Braidotti, ‘The Humanities in Europe Interview Series - Timotheus Vermeulen’, </w:t>
      </w:r>
      <w:r w:rsidRPr="00505CF0">
        <w:rPr>
          <w:rFonts w:asciiTheme="majorBidi" w:hAnsiTheme="majorBidi" w:cstheme="majorBidi"/>
          <w:i/>
          <w:noProof/>
        </w:rPr>
        <w:t>Centre for the Humanities Utrecht University</w:t>
      </w:r>
      <w:r w:rsidRPr="00505CF0">
        <w:rPr>
          <w:rFonts w:asciiTheme="majorBidi" w:hAnsiTheme="majorBidi" w:cstheme="majorBidi"/>
          <w:noProof/>
        </w:rPr>
        <w:t>, 2015 [Youtube Video] &lt;https://www.youtube.com/watch?v=5b_6D3xxdzQ&gt; [accessed 19 October 2017].</w:t>
      </w:r>
      <w:r w:rsidRPr="00505CF0">
        <w:rPr>
          <w:rFonts w:asciiTheme="majorBidi" w:hAnsiTheme="majorBidi" w:cstheme="majorBidi"/>
        </w:rPr>
        <w:fldChar w:fldCharType="end"/>
      </w:r>
    </w:p>
  </w:footnote>
  <w:footnote w:id="259">
    <w:p w14:paraId="0E113E0D" w14:textId="0E495BD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2.</w:t>
      </w:r>
      <w:r w:rsidRPr="00505CF0">
        <w:rPr>
          <w:rFonts w:asciiTheme="majorBidi" w:hAnsiTheme="majorBidi" w:cstheme="majorBidi"/>
        </w:rPr>
        <w:fldChar w:fldCharType="end"/>
      </w:r>
    </w:p>
  </w:footnote>
  <w:footnote w:id="260">
    <w:p w14:paraId="46863FFB" w14:textId="1C355C2B"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"Timotheus Vermeulen and Robin van den Akker, \u2018Misunderstandings and Clarifications\u2019, &lt;i&gt;Notes on Metamodernism&lt;/i&gt;, 2015 &lt;http://www.metamodernism.com/2015/06/03/misunderstandings-and-clarifications/&gt; [accessed 26 June 2015].", "plainTextFormattedCitation" : "Timotheus Vermeulen and Robin van den Akker, \u2018Misunderstandings and Clarifications\u2019, Notes on Metamodernism, 2015  [accessed 26 June 2015].", "previouslyFormattedCitation" : "Timotheus Vermeulen and Robin van den Akker, \u2018Misunderstandings and Clarifications\u2019, &lt;i&gt;Notes on Metamodernism&lt;/i&gt;, 2015 &lt;http://www.metamodernism.com/2015/06/03/misunderstandings-and-clarifications/&gt; [accessed 26 June 2015]."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and Robin van den Akker, ‘Misunderstandings and Clarifications’, </w:t>
      </w:r>
      <w:r w:rsidRPr="0025171E">
        <w:rPr>
          <w:rFonts w:asciiTheme="majorBidi" w:hAnsiTheme="majorBidi" w:cstheme="majorBidi"/>
          <w:i/>
          <w:noProof/>
        </w:rPr>
        <w:t>Notes on Metamodernism</w:t>
      </w:r>
      <w:r w:rsidRPr="0025171E">
        <w:rPr>
          <w:rFonts w:asciiTheme="majorBidi" w:hAnsiTheme="majorBidi" w:cstheme="majorBidi"/>
          <w:noProof/>
        </w:rPr>
        <w:t>, 2015 &lt;http://www.metamodernism.com/2015/06/03/misunderstandings-and-clarifications/&gt; [accessed 26 June 2015].</w:t>
      </w:r>
      <w:r w:rsidRPr="00505CF0">
        <w:rPr>
          <w:rFonts w:asciiTheme="majorBidi" w:hAnsiTheme="majorBidi" w:cstheme="majorBidi"/>
        </w:rPr>
        <w:fldChar w:fldCharType="end"/>
      </w:r>
    </w:p>
  </w:footnote>
  <w:footnote w:id="261">
    <w:p w14:paraId="2751500F" w14:textId="57A56BB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62">
    <w:p w14:paraId="75791B0D" w14:textId="7D43C3A2"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"5", "uris" : [ "http://www.mendeley.com/documents/?uuid=9cfe2cdc-de7e-4a7d-bc9d-282fba435583" ] } ], "mendeley" : { "formattedCitation" : "Vermeulen and van den Akker, \u2018Notes on Metamodernism\u2019, p. 5.", "plainTextFormattedCitation" : "Vermeulen and van den Akker, \u2018Notes on Metamodernism\u2019, p. 5.", "previouslyFormattedCitation" : "Vermeulen and van den Akker, \u2018Notes on Metamodernism\u2019,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 p. 5.</w:t>
      </w:r>
      <w:r w:rsidRPr="00505CF0">
        <w:rPr>
          <w:rFonts w:asciiTheme="majorBidi" w:hAnsiTheme="majorBidi" w:cstheme="majorBidi"/>
        </w:rPr>
        <w:fldChar w:fldCharType="end"/>
      </w:r>
    </w:p>
  </w:footnote>
  <w:footnote w:id="263">
    <w:p w14:paraId="420FA620" w14:textId="371E9AF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"The ART of Critique/Re-Imagining Professional ART Criticism and The Art School Critique", "editor" : [ { "dropping-particle" : "", "family" : "Knudsen", "given" : "Stephen", "non-dropping-particle" : "", "parse-names" : false, "suffix" : "" } ], "id" : "ITEM-1", "issued" : { "date-parts" : [ [ "2014" ] ] }, "note" : "in stark contrast with the art of the 1990s, which tended to be characterized by irony, cynicism and deconstruction, contemporary practices are often discussed in terms of affection, sincerity and hopefulness. Another label that is featured with some frequency is \u2018authenticity.\u2019\n\nAfter the fall of the Berlin wall in 1989, signifying the collapse of the Soviet Union and its accompanying ideological framework, there was widespread consensus that history had come to an end. The ideological struggle was over, philosophers cried out triumphantly; politicians agreed that the battle between nations had finally been decided. As the conservative critic Francis Fukuyama famously put it, with the \u201cunabashed victory of liberal democracy,\u201d mankind had achieved a form of society that satisfied its deepest and most fundamental longings. This did not mean that the natural cycle of birth, life, and death would end, that important events would no longer happen, or that newspapers reporting them would cease to be published. It meant, rather, that there would be no further progress in the development of underlying principles and institutions, because all of the really big questions had been settled. Some 25 years later, all this talk seems close to inconceivable. Whether it was 9/11 or the collapse of Lehmann Brothers, the fall of the PIIGS or the rise of the BRICS, the Arab Spring or the stagnation of the European project, Wikileaks or the PRISM affair, it has become abundantly clear that liberal democracy, capitalist progress and 20th-century theory do not mark the end of our evolution. Indeed, as Fukuyama himself grudgingly admitted in 2012, maybe all those proclamations of the end of history had been a bit opportunistic. Perhaps history hadn\u2019t ended, after all. It had merely paused.\n\nSince the early 2000s, galleries increasingly show art that reappropriates older aesthetic and cultural forms to revisit their substance and redirect their \u2018meaning\u2019 elsewhere. [...] his is not yet another form of historicism, though it is that, too; much rather, it is to take the lessons from the past and incorporate them into a present, or future, that is as of yet unattainable. Here, the process has more in common with upcycling.\n\nIf the modern artists have come to be historicized as an earnest bunch (whether correctly or unfairly is another question), and the postmoderns go into the books as jokers, the current generation of artists attracts descriptions that speak of earnestness and irony in equal measure.\n\nA couple of years ago we reopened the debate on post-postmodernism, which was all over the place, yet seemed to be going nowhere, by publishing an overtly naive and obviously flawed article that goes by the same name. Nowadays it serves as some kind of \u2018stub,\u2019 to put it in Wikipedia\u2019s terminology, of a collaborative research platform that is maintained by several editors, carried by dozens of contributors and attracts hundreds of interested readers a week. This could have only been possible precisely because the initial article-cum-stub was intended not as an authoritarian voice but rather as an open invitation to discuss the matter anew, and, ironically, because it was quite obviously still very much flawed, leaving many issues in contemporary aesthetics and culture underdeveloped or unexplored.\n\nWhatever its benefits, limitations and pitfalls, the emergence of collaborative research projects signal that the age of the individual genius, authoritarian voice and ivory tower intellectual is waning.\n\nt seems to us that Daou draws attention to the double-bind that emerges when you are forced to choose a side, even, or perhaps rather especially, if you know that no one side is preferable over another, per se. This double-bind is representative of the situation we are in today. The geopolitical, economic and ecological crises have forced a generation that was always said to have all the options in the world to choose a side, to take a stand. Yet we have all learned that taking a stand is problematic. [...] However, as soon as you choose a side there arise two problems that immediately undermine your position. First, you realize your own complicity in the wrongs you try to right. Fair trade? Some, if not most, of your T-shirts are still being produced in sweatshops. Yet you try. Climate change? You consume as much so-called \u2018renewable\u2019 energy as possible, but your car still drives on gasoline. And so on and so forth.\n\nWe are all sinners. And we need to confess our worldly sins so that we can start over and over and over again.\n\nOur own contribution to this debate has been the reviving of Immanuel Kant\u2019s notion of history (2010; 2011). We feel, in other words, that today\u2019s spatiotemporal logic is not so much Hegelian as it is Kantian. The metamoderns are not looking back at history to discern a \u2018rational\u2019 pattern (that famous \u2018owl of Minerva\u2019) and noticing that there are a few loose ends that still need to be tied together, as the modern and postmodern readings of Hegel (or should we say: a certain type of vulgar Hegelians) would have it. On the contrary. Rather, they acknowledge that there is no such a thing as a necessary teleological pattern in history, yet still they project, informed by the past, a regulative idea onto the future. Kant argues, much like Hegel, that natural laws are the single condition and structuring principle of human life. However, he suggests, too, that we cannot know these laws and must therefore assume knowledge of them by historicizing-narrating, that is, indeed, imagining hierarchies and relations between and beyond the human actions they supposedly structure. Kant thus at once says: There is a purpose to history,\u00a0and\u00a0we imagine there to be a purpose to history, but it might not necessarily be so. Kant does not contradict himself, but he does not confirm the previous either: The first, schematic statement (there is a purpose) is instantly subverted by a second (but, well, it might only be a purpose to our mind). // Kant uses speculative words such as \u201chope,\u201d \u201c(as\u2019) if,\u201d and \u201cmay\u201d to structure his line of reasoning, implicitly turning every argument into an analogy. The cultural philosopher Eva Schaper has henceforth called Kant\u2019s rhetorics aesthetic.10 Each of Kant\u2019s arguments thus, merely by way of analogy, becomes an argument about a fiction. According to this persuasive interpretation, Kant never speaks about history as such; he speaks about what history\u00a0might\u00a0be. The metamoderns are kick-starting history by asserting, against their better judgment, that there is an end-or rather, a plurality of endings-to history. If anything, then, contemporary artists, activists and, importantly, the plethora of people who once belonged to the middle classes are acting \u201cas if\u201d there is logic to history, and \u201cas if\u201d its endings are to be found beyond an ever-receding horizon. For them, history is in a state of permanent Beta.", "publisher" : "(forthcoming) The University of Chicago Press", "publisher-place" : "Chicago", "title" : "Art Criticism and Metamodernism", "type" : "chapter" }, "prefix" : "(Forthcoming)", "uris" : [ "http://www.mendeley.com/documents/?uuid=436c1f57-d1a1-41fe-b9db-95a813a3e6e8" ] } ], "mendeley" : { "formattedCitation" : "(Forthcoming) Timotheus Vermeulen and Robin van den Akker, \u2018Art Criticism and Metamodernism\u2019, in &lt;i&gt;The ART of Critique/Re-Imagining Professional ART Criticism and The Art School Critique&lt;/i&gt;, ed. by Stephen Knudsen (Chicago: (forthcoming) The University of Chicago Press, 2014).", "plainTextFormattedCitation" : "(Forthcoming) Timotheus Vermeulen and Robin van den Akker, \u2018Art Criticism and Metamodernism\u2019, in The ART of Critique/Re-Imagining Professional ART Criticism and The Art School Critique, ed. by Stephen Knudsen (Chicago: (forthcoming) The University of Chicago Press, 2014).", "previouslyFormattedCitation" : "(Forthcoming) Timotheus Vermeulen and Robin van den Akker, \u2018Art Criticism and Metamodernism\u2019, in &lt;i&gt;The ART of Critique/Re-Imagining Professional ART Criticism and The Art School Critique&lt;/i&gt;, ed. by Stephen Knudsen (Chicago: (forthcoming) The University of Chicago Press, 2014) &lt;http://artpulsemagazine.com/art-criticism-and-metamodernism&gt;."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(Forthcoming) Timotheus Vermeulen and Robin van den Akker, ‘Art Criticism and Metamodernism’, in </w:t>
      </w:r>
      <w:r w:rsidRPr="0025171E">
        <w:rPr>
          <w:rFonts w:asciiTheme="majorBidi" w:hAnsiTheme="majorBidi" w:cstheme="majorBidi"/>
          <w:i/>
          <w:noProof/>
        </w:rPr>
        <w:t>The ART of Critique/Re-Imagining Professional ART Criticism and The Art School Critique</w:t>
      </w:r>
      <w:r w:rsidRPr="0025171E">
        <w:rPr>
          <w:rFonts w:asciiTheme="majorBidi" w:hAnsiTheme="majorBidi" w:cstheme="majorBidi"/>
          <w:noProof/>
        </w:rPr>
        <w:t>, ed. by Stephen Knudsen (Chicago: (forthcoming) The University of Chicago Press, 2014).</w:t>
      </w:r>
      <w:r w:rsidRPr="00505CF0">
        <w:rPr>
          <w:rFonts w:asciiTheme="majorBidi" w:hAnsiTheme="majorBidi" w:cstheme="majorBidi"/>
        </w:rPr>
        <w:fldChar w:fldCharType="end"/>
      </w:r>
    </w:p>
  </w:footnote>
  <w:footnote w:id="264">
    <w:p w14:paraId="6D6502BF" w14:textId="5B14A3D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65">
    <w:p w14:paraId="57275385" w14:textId="455A855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66">
    <w:p w14:paraId="1ABBF228" w14:textId="45B3BCD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"https://medium.com/just-words/metamodernism-101-8cdb8563e0", "accessed" : { "date-parts" : [ [ "2017", "10", "30" ] ] }, "author" : [ { "dropping-particle" : "", "family" : "Abramson", "given" : "Seth", "non-dropping-particle" : "", "parse-names" : false, "suffix" : "" } ], "container-title" : "Medium", "id" : "ITEM-1", "issued" : { "date-parts" : [ [ "2015" ] ] }, "note" : "Metamodernism, the cultural philosophy with which David Foster Wallace is most often assosciated, is usually summarizes as a romantic response to crisis.\n\nIf, as many of us believe, metamodernism is quickly becoming the dominant philosophy in the United States, it's because we're increasingly acknowledging both the crises we collectively face - and the obstacles that lie before us in facing them [...] as well as the importance of moving forward with optimism.\n\nall of [the current geopolitical crises] may in some sense be insurmountable - but the metamodernist view is that we can still choose to live, work, make art, and creatively problem-solve as though they're not.\n\nIt's difficult to summarize the fundamental crisis we face in the Internet Age, as in fact there are many crises simultaneously unfolding in different parts of American bulture. But what all of these crises have in common is this: they feature the erosion of disctionctions we've long relied upon.\n\nThe result is that it's gotten more difficult than ever to draw bright lines between, say, the real and the unreal, or sincerity and irony, or optimism and cynicism. We open a brower tab and try to figure out whether Donald Trump is ernestly seeking the presidency of promoting his &amp;quot;brand&amp;quot;\n\nMetamodernism is a philosophy that helps us navigate these and similar online data by propsing an optimistic response to the collapse of order the Internet often seems to represent: a 'both/and' approach that insists that Donald Trump is both earnest and cynical. \n\nThe optimism favored by metamodernists is of a brand that celebrates the erasing of boundaries and treats the indistinguishability of reality and unreality - or other supposed opposites, like irony and sincerity - as a creative, rather than destructive force.\n\nAfter decades of postmodern irony, cynicism, and the sort of dispair that comes from thinking that everything is coming apart and that our collective problems are insolvable, metamodernism advocates hope, dialoguye, collaboration, sincerity and optimism by showiung that these latter practices and attitudes need not ignore history to survive.\n\nToday, we find metamodernism everywhere along the spectrum of American culture, from &amp;quot;remixing&amp;quot; in music and literature to the half-serious whimslical nature of Wes Anderson films, from the performance art of Marina Abramovic - which challenges us to consider where life ends and art begins - to the dizzying but still coherent &amp;quot;meta-&amp;quot; narratives of TB shows like Community and Rick and Morty\n\n[it] took many years for the first literary artwork universally acknowledged as &amp;quot;metamodern&amp;quot; to be written. That work is David Foster Wallace's Infinite Jest.\n\nWallace broke the rules of the postmodern novel by being at once comic and serious, ironic and sincere, obtuse and straight-forward, conscious of narrative and dismissive of the need for narrative.\n\nScholars and artists continue to debate whether metamodernism is a movement, a philosophy, a system of logic, an artistic practice, a political strategy, a &amp;quot;structure of feeling,&amp;quot; or some combination of all of these. What's generally agreed upon by metamodernists, however, is thgat metamodernism is a &amp;quot;post-postmodernism&amp;quot; iunasmuch as it, not postmodernism, is now the best descriptor for contemporary culture.\n\nSopmetimes metamodernissts speak of the metamodern &amp;quot;sublime,&amp;quot; or the metamodertn&amp;quot;awesome,&amp;quot; as a way of discussing events, artworks, and other phenomena that capture our imagination and our sense of hopefulness even as we find outselves unable to easily &amp;quot;deconstruct&amp;quot; them. For instance, much like the very different output of Donald Trump, Donald Glover, and Marina Abramovic, Wallace's Infinite Jest provoked anger or confusion among many simply by refusing to be readily categorized.", "title" : "Metamodernism 101", "type" : "webpage" }, "suffix" : "(My emphasis in italics)", "uris" : [ "http://www.mendeley.com/documents/?uuid=aad20b39-6bd4-4e98-a3e1-6c2190ea2d94" ] } ], "mendeley" : { "formattedCitation" : "Seth Abramson, \u2018Metamodernism 101\u2019, &lt;i&gt;Medium&lt;/i&gt;, 2015 &lt;https://medium.com/just-words/metamodernism-101-8cdb8563e0&gt; [accessed 30 October 2017] (My emphasis in italics).", "plainTextFormattedCitation" : "Seth Abramson, \u2018Metamodernism 101\u2019, Medium, 2015  [accessed 30 October 2017] (My emphasis in italics).", "previouslyFormattedCitation" : "Seth Abramson, \u2018Metamodernism 101\u2019, &lt;i&gt;Medium&lt;/i&gt;, 2015 &lt;https://medium.com/just-words/metamodernism-101-8cdb8563e0&gt; [accessed 30 October 2017] (My emphasis in italics)."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Seth Abramson, ‘Metamodernism 101’, </w:t>
      </w:r>
      <w:r w:rsidRPr="0025171E">
        <w:rPr>
          <w:rFonts w:asciiTheme="majorBidi" w:hAnsiTheme="majorBidi" w:cstheme="majorBidi"/>
          <w:i/>
          <w:noProof/>
        </w:rPr>
        <w:t>Medium</w:t>
      </w:r>
      <w:r w:rsidRPr="0025171E">
        <w:rPr>
          <w:rFonts w:asciiTheme="majorBidi" w:hAnsiTheme="majorBidi" w:cstheme="majorBidi"/>
          <w:noProof/>
        </w:rPr>
        <w:t>, 2015 &lt;https://medium.com/just-words/metamodernism-101-8cdb8563e0&gt; [accessed 30 October 2017] (My emphasis in italics).</w:t>
      </w:r>
      <w:r w:rsidRPr="00505CF0">
        <w:rPr>
          <w:rFonts w:asciiTheme="majorBidi" w:hAnsiTheme="majorBidi" w:cstheme="majorBidi"/>
        </w:rPr>
        <w:fldChar w:fldCharType="end"/>
      </w:r>
    </w:p>
  </w:footnote>
  <w:footnote w:id="267">
    <w:p w14:paraId="37459E08" w14:textId="719EDC0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68">
    <w:p w14:paraId="04CC66E9" w14:textId="6112410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69">
    <w:p w14:paraId="3094AF7E" w14:textId="1D918FB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"https://medium.com/just-words/metamodernism-101-8cdb8563e0", "accessed" : { "date-parts" : [ [ "2017", "10", "30" ] ] }, "author" : [ { "dropping-particle" : "", "family" : "Abramson", "given" : "Seth", "non-dropping-particle" : "", "parse-names" : false, "suffix" : "" } ], "container-title" : "Medium", "id" : "ITEM-1", "issued" : { "date-parts" : [ [ "2015" ] ] }, "note" : "Metamodernism, the cultural philosophy with which David Foster Wallace is most often assosciated, is usually summarizes as a romantic response to crisis.\n\nIf, as many of us believe, metamodernism is quickly becoming the dominant philosophy in the United States, it's because we're increasingly acknowledging both the crises we collectively face - and the obstacles that lie before us in facing them [...] as well as the importance of moving forward with optimism.\n\nall of [the current geopolitical crises] may in some sense be insurmountable - but the metamodernist view is that we can still choose to live, work, make art, and creatively problem-solve as though they're not.\n\nIt's difficult to summarize the fundamental crisis we face in the Internet Age, as in fact there are many crises simultaneously unfolding in different parts of American bulture. But what all of these crises have in common is this: they feature the erosion of disctionctions we've long relied upon.\n\nThe result is that it's gotten more difficult than ever to draw bright lines between, say, the real and the unreal, or sincerity and irony, or optimism and cynicism. We open a brower tab and try to figure out whether Donald Trump is ernestly seeking the presidency of promoting his &amp;quot;brand&amp;quot;\n\nMetamodernism is a philosophy that helps us navigate these and similar online data by propsing an optimistic response to the collapse of order the Internet often seems to represent: a 'both/and' approach that insists that Donald Trump is both earnest and cynical. \n\nThe optimism favored by metamodernists is of a brand that celebrates the erasing of boundaries and treats the indistinguishability of reality and unreality - or other supposed opposites, like irony and sincerity - as a creative, rather than destructive force.\n\nAfter decades of postmodern irony, cynicism, and the sort of dispair that comes from thinking that everything is coming apart and that our collective problems are insolvable, metamodernism advocates hope, dialoguye, collaboration, sincerity and optimism by showiung that these latter practices and attitudes need not ignore history to survive.\n\nToday, we find metamodernism everywhere along the spectrum of American culture, from &amp;quot;remixing&amp;quot; in music and literature to the half-serious whimslical nature of Wes Anderson films, from the performance art of Marina Abramovic - which challenges us to consider where life ends and art begins - to the dizzying but still coherent &amp;quot;meta-&amp;quot; narratives of TB shows like Community and Rick and Morty\n\n[it] took many years for the first literary artwork universally acknowledged as &amp;quot;metamodern&amp;quot; to be written. That work is David Foster Wallace's Infinite Jest.\n\nWallace broke the rules of the postmodern novel by being at once comic and serious, ironic and sincere, obtuse and straight-forward, conscious of narrative and dismissive of the need for narrative.\n\nScholars and artists continue to debate whether metamodernism is a movement, a philosophy, a system of logic, an artistic practice, a political strategy, a &amp;quot;structure of feeling,&amp;quot; or some combination of all of these. What's generally agreed upon by metamodernists, however, is thgat metamodernism is a &amp;quot;post-postmodernism&amp;quot; iunasmuch as it, not postmodernism, is now the best descriptor for contemporary culture.\n\nSopmetimes metamodernissts speak of the metamodern &amp;quot;sublime,&amp;quot; or the metamodertn&amp;quot;awesome,&amp;quot; as a way of discussing events, artworks, and other phenomena that capture our imagination and our sense of hopefulness even as we find outselves unable to easily &amp;quot;deconstruct&amp;quot; them. For instance, much like the very different output of Donald Trump, Donald Glover, and Marina Abramovic, Wallace's Infinite Jest provoked anger or confusion among many simply by refusing to be readily categorized.", "title" : "Metamodernism 101", "type" : "webpage" }, "uris" : [ "http://www.mendeley.com/documents/?uuid=aad20b39-6bd4-4e98-a3e1-6c2190ea2d94" ] } ], "mendeley" : { "formattedCitation" : "Abramson, \u2018Metamodernism 101\u2019.", "plainTextFormattedCitation" : "Abramson, \u2018Metamodernism 101\u2019.", "previouslyFormattedCitation" : "Abramson, \u2018Metamodernism 101\u2019."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Abramson, ‘Metamodernism 101’.</w:t>
      </w:r>
      <w:r w:rsidRPr="00505CF0">
        <w:rPr>
          <w:rFonts w:asciiTheme="majorBidi" w:hAnsiTheme="majorBidi" w:cstheme="majorBidi"/>
        </w:rPr>
        <w:fldChar w:fldCharType="end"/>
      </w:r>
    </w:p>
  </w:footnote>
  <w:footnote w:id="270">
    <w:p w14:paraId="531D4D1D" w14:textId="36DB4DC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"https://medium.com/just-words/metamodernism-101-8cdb8563e0", "accessed" : { "date-parts" : [ [ "2017", "10", "30" ] ] }, "author" : [ { "dropping-particle" : "", "family" : "Abramson", "given" : "Seth", "non-dropping-particle" : "", "parse-names" : false, "suffix" : "" } ], "container-title" : "Medium", "id" : "ITEM-1", "issued" : { "date-parts" : [ [ "2015" ] ] }, "note" : "Metamodernism, the cultural philosophy with which David Foster Wallace is most often assosciated, is usually summarizes as a romantic response to crisis.\n\nIf, as many of us believe, metamodernism is quickly becoming the dominant philosophy in the United States, it's because we're increasingly acknowledging both the crises we collectively face - and the obstacles that lie before us in facing them [...] as well as the importance of moving forward with optimism.\n\nall of [the current geopolitical crises] may in some sense be insurmountable - but the metamodernist view is that we can still choose to live, work, make art, and creatively problem-solve as though they're not.\n\nIt's difficult to summarize the fundamental crisis we face in the Internet Age, as in fact there are many crises simultaneously unfolding in different parts of American bulture. But what all of these crises have in common is this: they feature the erosion of disctionctions we've long relied upon.\n\nThe result is that it's gotten more difficult than ever to draw bright lines between, say, the real and the unreal, or sincerity and irony, or optimism and cynicism. We open a brower tab and try to figure out whether Donald Trump is ernestly seeking the presidency of promoting his &amp;quot;brand&amp;quot;\n\nMetamodernism is a philosophy that helps us navigate these and similar online data by propsing an optimistic response to the collapse of order the Internet often seems to represent: a 'both/and' approach that insists that Donald Trump is both earnest and cynical. \n\nThe optimism favored by metamodernists is of a brand that celebrates the erasing of boundaries and treats the indistinguishability of reality and unreality - or other supposed opposites, like irony and sincerity - as a creative, rather than destructive force.\n\nAfter decades of postmodern irony, cynicism, and the sort of dispair that comes from thinking that everything is coming apart and that our collective problems are insolvable, metamodernism advocates hope, dialoguye, collaboration, sincerity and optimism by showiung that these latter practices and attitudes need not ignore history to survive.\n\nToday, we find metamodernism everywhere along the spectrum of American culture, from &amp;quot;remixing&amp;quot; in music and literature to the half-serious whimslical nature of Wes Anderson films, from the performance art of Marina Abramovic - which challenges us to consider where life ends and art begins - to the dizzying but still coherent &amp;quot;meta-&amp;quot; narratives of TB shows like Community and Rick and Morty\n\n[it] took many years for the first literary artwork universally acknowledged as &amp;quot;metamodern&amp;quot; to be written. That work is David Foster Wallace's Infinite Jest.\n\nWallace broke the rules of the postmodern novel by being at once comic and serious, ironic and sincere, obtuse and straight-forward, conscious of narrative and dismissive of the need for narrative.\n\nScholars and artists continue to debate whether metamodernism is a movement, a philosophy, a system of logic, an artistic practice, a political strategy, a &amp;quot;structure of feeling,&amp;quot; or some combination of all of these. What's generally agreed upon by metamodernists, however, is thgat metamodernism is a &amp;quot;post-postmodernism&amp;quot; iunasmuch as it, not postmodernism, is now the best descriptor for contemporary culture.\n\nSopmetimes metamodernissts speak of the metamodern &amp;quot;sublime,&amp;quot; or the metamodertn&amp;quot;awesome,&amp;quot; as a way of discussing events, artworks, and other phenomena that capture our imagination and our sense of hopefulness even as we find outselves unable to easily &amp;quot;deconstruct&amp;quot; them. For instance, much like the very different output of Donald Trump, Donald Glover, and Marina Abramovic, Wallace's Infinite Jest provoked anger or confusion among many simply by refusing to be readily categorized.", "title" : "Metamodernism 101", "type" : "webpage" }, "uris" : [ "http://www.mendeley.com/documents/?uuid=aad20b39-6bd4-4e98-a3e1-6c2190ea2d94" ] } ], "mendeley" : { "formattedCitation" : "Abramson, \u2018Metamodernism 101\u2019.", "plainTextFormattedCitation" : "Abramson, \u2018Metamodernism 101\u2019.", "previouslyFormattedCitation" : "Abramson, \u2018Metamodernism 101\u2019."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Abramson, ‘Metamodernism 101’.</w:t>
      </w:r>
      <w:r w:rsidRPr="00505CF0">
        <w:rPr>
          <w:rFonts w:asciiTheme="majorBidi" w:hAnsiTheme="majorBidi" w:cstheme="majorBidi"/>
        </w:rPr>
        <w:fldChar w:fldCharType="end"/>
      </w:r>
    </w:p>
  </w:footnote>
  <w:footnote w:id="271">
    <w:p w14:paraId="2624314C" w14:textId="3BD65A0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72">
    <w:p w14:paraId="30B36AB9" w14:textId="0B67E323" w:rsidR="00054009" w:rsidRDefault="00054009">
      <w:pPr>
        <w:pStyle w:val="FootnoteText"/>
      </w:pPr>
      <w:r>
        <w:rPr>
          <w:rStyle w:val="FootnoteReference"/>
        </w:rPr>
        <w:footnoteRef/>
      </w:r>
      <w:r>
        <w:t xml:space="preserve"> </w:t>
      </w:r>
      <w:r w:rsidRPr="002F7624">
        <w:rPr>
          <w:i/>
          <w:iCs/>
        </w:rPr>
        <w:t>ACO: William Allan asked the attendees of the 2002 ethno-archaeological society meeting to identify the stone, though none seemingly provided enough detail to satisfy him. Southward here appends a rather fanciful tale, straight from Allan’s own autobiography, which may prove interesting to scholars (your editor regrets that he is unable to fathom some of the details of these scraps of Southwardian memorabilia at present and humbly begs for aid).</w:t>
      </w:r>
    </w:p>
  </w:footnote>
  <w:footnote w:id="273">
    <w:p w14:paraId="5583E954" w14:textId="5A014230"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 xml:space="preserve">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w:instrText>
      </w:r>
      <w:r w:rsidRPr="00FE7EAF">
        <w:rPr>
          <w:rFonts w:asciiTheme="majorBidi" w:hAnsiTheme="majorBidi" w:cstheme="majorBidi"/>
          <w:lang w:val="nl-NL"/>
        </w:rPr>
        <w:instrText>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 p. 2.</w:t>
      </w:r>
      <w:r w:rsidRPr="00505CF0">
        <w:rPr>
          <w:rFonts w:asciiTheme="majorBidi" w:hAnsiTheme="majorBidi" w:cstheme="majorBidi"/>
        </w:rPr>
        <w:fldChar w:fldCharType="end"/>
      </w:r>
    </w:p>
  </w:footnote>
  <w:footnote w:id="274">
    <w:p w14:paraId="409B289D" w14:textId="7CF7E99E" w:rsidR="00054009" w:rsidRPr="00FE7EAF" w:rsidRDefault="00054009" w:rsidP="0025171E">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FE7EAF">
        <w:rPr>
          <w:rFonts w:asciiTheme="majorBidi" w:hAnsiTheme="majorBidi" w:cstheme="majorBidi"/>
          <w:lang w:val="nl-NL"/>
        </w:rPr>
        <w:t xml:space="preserve"> </w:t>
      </w:r>
      <w:r w:rsidRPr="00505CF0">
        <w:rPr>
          <w:rFonts w:asciiTheme="majorBidi" w:hAnsiTheme="majorBidi" w:cstheme="majorBidi"/>
        </w:rPr>
        <w:fldChar w:fldCharType="begin" w:fldLock="1"/>
      </w:r>
      <w:r w:rsidRPr="00FE7EAF">
        <w:rPr>
          <w:rFonts w:asciiTheme="majorBidi" w:hAnsiTheme="majorBidi" w:cstheme="majorBidi"/>
          <w:lang w:val="nl-NL"/>
        </w:rPr>
        <w:instrText>ADDIN CSL_CITATION { "citationItems" : [ { "id" : "ITEM-1", "itemData" : { "URL" : "https://www.metamodernism.com/2011/03/16/hard-and-soft/", "accessed" : { "date-parts" : [ [ "2017", "5", "6" ] ] }, "author" : [ { "dropping-particle" : "", "family" : "Vermeulen", "given" : "Timotheus", "non-dropping-particle" : "", "parse-names" : false, "suffix" : "" } ], "container-title" : "Notes on Metamodernism", "id" : "ITEM-1", "issued" : { "date-parts" : [ [ "2011" ] ] }, "note" : "Metamodernism is above all about oscillation [...] it is about the oscillation between the modern and the postmodern, history and ahistoricity, optimism and pessimism, sincerity and irony, the cncept and the material, the figurative and the formless, narrative and the plotless, discursive originality and individual intertextuality, meaning and meaninglessness. \n\nA (post)modern world of failed utopias, missed chances and cynical deconstruction is represented as a horrendous, terrible place; but a place, still, a lived space of relationships and history, where one can begin to try and live again. Dystopian Acceptance", "title" : "Hard and Soft", "type" : "webpage" }, "uris" : [ "http://www.mendeley.com/documents/?uuid=aee38990-4c22-45b1-8d82-d20797840100" ] } ], "mendeley" : { "formattedCitation" : "Timotheus Vermeulen, \u2018Hard and Soft\u2019, &lt;i&gt;Notes on Metamodernism&lt;/i&gt;, 2011 &lt;https://www.metamodernism.com/2011/03/16/hard-and-soft/&gt; [accessed 6 May 2017].", "plainTextFormattedCitation" : "Timotheus Vermeulen, \u2018Hard and Soft\u2019, Notes on Metamodernism, 2011  [accessed 6 May 2017].", "previouslyFormattedCitation" : "Timotheus Vermeulen, \u2018Hard and Soft\u2019, &lt;i&gt;Notes on Metamodernism&lt;/i&gt;, 2011 &lt;https://www.metamodernism.com/2011/03/16/hard-and-soft/&gt; [accessed 6 May 2017]."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nl-NL"/>
        </w:rPr>
        <w:t xml:space="preserve">Timotheus Vermeulen, ‘Hard and Soft’, </w:t>
      </w:r>
      <w:r w:rsidRPr="00FE7EAF">
        <w:rPr>
          <w:rFonts w:asciiTheme="majorBidi" w:hAnsiTheme="majorBidi" w:cstheme="majorBidi"/>
          <w:i/>
          <w:noProof/>
          <w:lang w:val="nl-NL"/>
        </w:rPr>
        <w:t>Notes on Metamodernism</w:t>
      </w:r>
      <w:r w:rsidRPr="00FE7EAF">
        <w:rPr>
          <w:rFonts w:asciiTheme="majorBidi" w:hAnsiTheme="majorBidi" w:cstheme="majorBidi"/>
          <w:noProof/>
          <w:lang w:val="nl-NL"/>
        </w:rPr>
        <w:t>, 2011 &lt;https://www.metamodernism.com/2011/03/16/hard-and-soft/&gt; [accessed 6 May 2017].</w:t>
      </w:r>
      <w:r w:rsidRPr="00505CF0">
        <w:rPr>
          <w:rFonts w:asciiTheme="majorBidi" w:hAnsiTheme="majorBidi" w:cstheme="majorBidi"/>
        </w:rPr>
        <w:fldChar w:fldCharType="end"/>
      </w:r>
    </w:p>
  </w:footnote>
  <w:footnote w:id="275">
    <w:p w14:paraId="1B71D47F" w14:textId="3B7BD394"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"5-6", "uris" : [ "http://www.mendeley.com/documents/?uuid=9cfe2cdc-de7e-4a7d-bc9d-282fba435583" ] } ], "mendeley" : { "formattedCitation" : "Vermeulen and van den Akker, \u2018Notes on Metamodernism\u2019, pp. 5\u20136.", "plainTextFormattedCitation" : "Vermeulen and van den Akker, \u2018Notes on Metamodernism\u2019, pp. 5\u20136.", "previouslyFormattedCitation" : "Vermeulen and van den Akker, \u2018Notes on Metamodernism\u2019, pp. 5\u20136."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 pp. 5–6.</w:t>
      </w:r>
      <w:r w:rsidRPr="00505CF0">
        <w:rPr>
          <w:rFonts w:asciiTheme="majorBidi" w:hAnsiTheme="majorBidi" w:cstheme="majorBidi"/>
        </w:rPr>
        <w:fldChar w:fldCharType="end"/>
      </w:r>
    </w:p>
  </w:footnote>
  <w:footnote w:id="276">
    <w:p w14:paraId="78F1CE38" w14:textId="0B127ED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w:instrText>
      </w:r>
      <w:r w:rsidRPr="00FE7EAF">
        <w:rPr>
          <w:rFonts w:asciiTheme="majorBidi" w:hAnsiTheme="majorBidi" w:cstheme="majorBidi"/>
        </w:rPr>
        <w:instrText>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77">
    <w:p w14:paraId="6F81427C" w14:textId="5CF61F7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lang w:val="nl-NL"/>
        </w:rPr>
        <w:fldChar w:fldCharType="begin" w:fldLock="1"/>
      </w:r>
      <w:r>
        <w:rPr>
          <w:rFonts w:asciiTheme="majorBidi" w:hAnsiTheme="majorBidi" w:cstheme="majorBidi"/>
        </w:rPr>
        <w:instrText>ADDIN CSL_CITATION { "citationItems" : [ { "id" : "ITEM-1", "itemData" : { "URL" : "https://www.youtube.com/watch?v=dH6zJULTVgQ", "accessed" : { "date-parts" : [ [ "2017", "10", "19" ] ] }, "author" : [ { "dropping-particle" : "", "family" : "Heiser", "given" : "Jorg", "non-dropping-particle" : "", "parse-names" : false, "suffix" : "" }, { "dropping-particle" : "", "family" : "Vermeulen", "given" : "Timotheus", "non-dropping-particle" : "", "parse-names" : false, "suffix" : "" }, { "dropping-particle" : "", "family" : "Akker", "given" : "Robin", "non-dropping-particle" : "van den", "parse-names" : false, "suffix" : "" } ], "container-title" : "Frieze", "id" : "ITEM-1", "issued" : { "date-parts" : [ [ "2014" ] ] }, "note" : "TV: &amp;quot;Lyotard proposes another kind of system, this is a system in which you are a captain on a ship sailing between different islands. And so Lyotard says, in the postmodern vernacular, we need to sail between the islands without ever really setting foot on land and so you are constantly sailing between these islands. [... in the metamodern] the ship is sinking at this moment and so you are forced to make a decision, although you know that all of these islands probably have some value, that no one island is intrinsically better or more true than another. And so you are choosing, while knowing that you can't choose.&amp;quot;", "title" : "What is Metamodernism?", "type" : "webpage" }, "suffix" : "(My transcription)", "uris" : [ "http://www.mendeley.com/documents/?uuid=665903a4-ad10-4d0f-9b36-e1932c7783bf" ] } ], "mendeley" : { "formattedCitation" : "Jorg Heiser, Timotheus Vermeulen and Robin van den Akker, \u2018What Is Metamodernism?\u2019, &lt;i&gt;Frieze&lt;/i&gt;, 2014 &lt;https://www.youtube.com/watch?v=dH6zJULTVgQ&gt; [accessed 19 October 2017] (My transcription).", "plainTextFormattedCitation" : "Jorg Heiser, Timotheus Vermeulen and Robin van den Akker, \u2018What Is Metamodernism?\u2019, Frieze, 2014  [accessed 19 October 2017] (My transcription).", "previouslyFormattedCitation" : "Jorg Heiser, Timotheus Vermeulen and Robin van den Akker, \u2018What Is Metamodernism?\u2019, &lt;i&gt;Frieze&lt;/i&gt;, 2014 &lt;https://www.youtube.com/watch?v=dH6zJULTVgQ&gt; [accessed 19 October 2017] (My transcription)." }, "properties" : { "noteIndex" : 0 }, "schema" : "https://github.com/citation-style-language/schema/raw/master/csl-citation.json" }</w:instrText>
      </w:r>
      <w:r w:rsidRPr="00505CF0">
        <w:rPr>
          <w:rFonts w:asciiTheme="majorBidi" w:hAnsiTheme="majorBidi" w:cstheme="majorBidi"/>
          <w:lang w:val="nl-NL"/>
        </w:rPr>
        <w:fldChar w:fldCharType="separate"/>
      </w:r>
      <w:r w:rsidRPr="0025171E">
        <w:rPr>
          <w:rFonts w:asciiTheme="majorBidi" w:hAnsiTheme="majorBidi" w:cstheme="majorBidi"/>
          <w:noProof/>
        </w:rPr>
        <w:t xml:space="preserve">Jorg Heiser, Timotheus Vermeulen and Robin van den Akker, ‘What Is Metamodernism?’, </w:t>
      </w:r>
      <w:r w:rsidRPr="0025171E">
        <w:rPr>
          <w:rFonts w:asciiTheme="majorBidi" w:hAnsiTheme="majorBidi" w:cstheme="majorBidi"/>
          <w:i/>
          <w:noProof/>
        </w:rPr>
        <w:t>Frieze</w:t>
      </w:r>
      <w:r w:rsidRPr="0025171E">
        <w:rPr>
          <w:rFonts w:asciiTheme="majorBidi" w:hAnsiTheme="majorBidi" w:cstheme="majorBidi"/>
          <w:noProof/>
        </w:rPr>
        <w:t>, 2014 &lt;https://www.youtube.com/watch?v=dH6zJULTVgQ&gt; [accessed 19 October 2017] (My transcription).</w:t>
      </w:r>
      <w:r w:rsidRPr="00505CF0">
        <w:rPr>
          <w:rFonts w:asciiTheme="majorBidi" w:hAnsiTheme="majorBidi" w:cstheme="majorBidi"/>
          <w:lang w:val="nl-NL"/>
        </w:rPr>
        <w:fldChar w:fldCharType="end"/>
      </w:r>
    </w:p>
  </w:footnote>
  <w:footnote w:id="278">
    <w:p w14:paraId="4CE090E6" w14:textId="0791574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79">
    <w:p w14:paraId="5E239926" w14:textId="568B803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80">
    <w:p w14:paraId="16B73F98" w14:textId="2873DA7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81">
    <w:p w14:paraId="0F0F5634" w14:textId="312E85B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82">
    <w:p w14:paraId="5A6AD444" w14:textId="019BF38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83">
    <w:p w14:paraId="4F5E2A91" w14:textId="37A3441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"The ART of Critique/Re-Imagining Professional ART Criticism and The Art School Critique", "editor" : [ { "dropping-particle" : "", "family" : "Knudsen", "given" : "Stephen", "non-dropping-particle" : "", "parse-names" : false, "suffix" : "" } ], "id" : "ITEM-1", "issued" : { "date-parts" : [ [ "2014" ] ] }, "note" : "in stark contrast with the art of the 1990s, which tended to be characterized by irony, cynicism and deconstruction, contemporary practices are often discussed in terms of affection, sincerity and hopefulness. Another label that is featured with some frequency is \u2018authenticity.\u2019\n\nAfter the fall of the Berlin wall in 1989, signifying the collapse of the Soviet Union and its accompanying ideological framework, there was widespread consensus that history had come to an end. The ideological struggle was over, philosophers cried out triumphantly; politicians agreed that the battle between nations had finally been decided. As the conservative critic Francis Fukuyama famously put it, with the \u201cunabashed victory of liberal democracy,\u201d mankind had achieved a form of society that satisfied its deepest and most fundamental longings. This did not mean that the natural cycle of birth, life, and death would end, that important events would no longer happen, or that newspapers reporting them would cease to be published. It meant, rather, that there would be no further progress in the development of underlying principles and institutions, because all of the really big questions had been settled. Some 25 years later, all this talk seems close to inconceivable. Whether it was 9/11 or the collapse of Lehmann Brothers, the fall of the PIIGS or the rise of the BRICS, the Arab Spring or the stagnation of the European project, Wikileaks or the PRISM affair, it has become abundantly clear that liberal democracy, capitalist progress and 20th-century theory do not mark the end of our evolution. Indeed, as Fukuyama himself grudgingly admitted in 2012, maybe all those proclamations of the end of history had been a bit opportunistic. Perhaps history hadn\u2019t ended, after all. It had merely paused.\n\nSince the early 2000s, galleries increasingly show art that reappropriates older aesthetic and cultural forms to revisit their substance and redirect their \u2018meaning\u2019 elsewhere. [...] his is not yet another form of historicism, though it is that, too; much rather, it is to take the lessons from the past and incorporate them into a present, or future, that is as of yet unattainable. Here, the process has more in common with upcycling.\n\nIf the modern artists have come to be historicized as an earnest bunch (whether correctly or unfairly is another question), and the postmoderns go into the books as jokers, the current generation of artists attracts descriptions that speak of earnestness and irony in equal measure.\n\nA couple of years ago we reopened the debate on post-postmodernism, which was all over the place, yet seemed to be going nowhere, by publishing an overtly naive and obviously flawed article that goes by the same name. Nowadays it serves as some kind of \u2018stub,\u2019 to put it in Wikipedia\u2019s terminology, of a collaborative research platform that is maintained by several editors, carried by dozens of contributors and attracts hundreds of interested readers a week. This could have only been possible precisely because the initial article-cum-stub was intended not as an authoritarian voice but rather as an open invitation to discuss the matter anew, and, ironically, because it was quite obviously still very much flawed, leaving many issues in contemporary aesthetics and culture underdeveloped or unexplored.\n\nWhatever its benefits, limitations and pitfalls, the emergence of collaborative research projects signal that the age of the individual genius, authoritarian voice and ivory tower intellectual is waning.\n\nt seems to us that Daou draws attention to the double-bind that emerges when you are forced to choose a side, even, or perhaps rather especially, if you know that no one side is preferable over another, per se. This double-bind is representative of the situation we are in today. The geopolitical, economic and ecological crises have forced a generation that was always said to have all the options in the world to choose a side, to take a stand. Yet we have all learned that taking a stand is problematic. [...] However, as soon as you choose a side there arise two problems that immediately undermine your position. First, you realize your own complicity in the wrongs you try to right. Fair trade? Some, if not most, of your T-shirts are still being produced in sweatshops. Yet you try. Climate change? You consume as much so-called \u2018renewable\u2019 energy as possible, but your car still drives on gasoline. And so on and so forth.\n\nWe are all sinners. And we need to confess our worldly sins so that we can start over and over and over again.\n\nOur own contribution to this debate has been the reviving of Immanuel Kant\u2019s notion of history (2010; 2011). We feel, in other words, that today\u2019s spatiotemporal logic is not so much Hegelian as it is Kantian. The metamoderns are not looking back at history to discern a \u2018rational\u2019 pattern (that famous \u2018owl of Minerva\u2019) and noticing that there are a few loose ends that still need to be tied together, as the modern and postmodern readings of Hegel (or should we say: a certain type of vulgar Hegelians) would have it. On the contrary. Rather, they acknowledge that there is no such a thing as a necessary teleological pattern in history, yet still they project, informed by the past, a regulative idea onto the future. Kant argues, much like Hegel, that natural laws are the single condition and structuring principle of human life. However, he suggests, too, that we cannot know these laws and must therefore assume knowledge of them by historicizing-narrating, that is, indeed, imagining hierarchies and relations between and beyond the human actions they supposedly structure. Kant thus at once says: There is a purpose to history,\u00a0and\u00a0we imagine there to be a purpose to history, but it might not necessarily be so. Kant does not contradict himself, but he does not confirm the previous either: The first, schematic statement (there is a purpose) is instantly subverted by a second (but, well, it might only be a purpose to our mind). // Kant uses speculative words such as \u201chope,\u201d \u201c(as\u2019) if,\u201d and \u201cmay\u201d to structure his line of reasoning, implicitly turning every argument into an analogy. The cultural philosopher Eva Schaper has henceforth called Kant\u2019s rhetorics aesthetic.10 Each of Kant\u2019s arguments thus, merely by way of analogy, becomes an argument about a fiction. According to this persuasive interpretation, Kant never speaks about history as such; he speaks about what history\u00a0might\u00a0be. The metamoderns are kick-starting history by asserting, against their better judgment, that there is an end-or rather, a plurality of endings-to history. If anything, then, contemporary artists, activists and, importantly, the plethora of people who once belonged to the middle classes are acting \u201cas if\u201d there is logic to history, and \u201cas if\u201d its endings are to be found beyond an ever-receding horizon. For them, history is in a state of permanent Beta.", "publisher" : "(forthcoming) The University of Chicago Press", "publisher-place" : "Chicago", "title" : "Art Criticism and Metamodernism", "type" : "chapter" }, "uris" : [ "http://www.mendeley.com/documents/?uuid=436c1f57-d1a1-41fe-b9db-95a813a3e6e8" ] } ], "mendeley" : { "formattedCitation" : "Vermeulen and van den Akker, \u2018Art Criticism and Metamodernism\u2019.", "plainTextFormattedCitation" : "Vermeulen and van den Akker, \u2018Art Criticism and Metamodernism\u2019.", "previouslyFormattedCitation" : "Vermeulen and van den Akker, \u2018Art Criticism and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‘Art Criticism and Metamodernism’.</w:t>
      </w:r>
      <w:r w:rsidRPr="00505CF0">
        <w:rPr>
          <w:rFonts w:asciiTheme="majorBidi" w:hAnsiTheme="majorBidi" w:cstheme="majorBidi"/>
        </w:rPr>
        <w:fldChar w:fldCharType="end"/>
      </w:r>
    </w:p>
  </w:footnote>
  <w:footnote w:id="284">
    <w:p w14:paraId="6A93CBCC" w14:textId="11E784C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85">
    <w:p w14:paraId="42FE4A1E" w14:textId="3B03B14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86">
    <w:p w14:paraId="306E4827" w14:textId="1664602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87">
    <w:p w14:paraId="11D2BF30" w14:textId="3459C03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88">
    <w:p w14:paraId="5CFD3EB2" w14:textId="4F43EF2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It is prudent at this point to point out that Vermeulen and van den Akker do not consider all neoromantic works as metamodern nor vice-versa: ‘Our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"http://www.metamodernism.com/2015/06/03/misunderstandings-and-clarifications/", "accessed" : { "date-parts" : [ [ "2015", "6", "26" ] ] }, "author" : [ { "dropping-particle" : "", "family" : "Vermeulen", "given" : "Timotheus", "non-dropping-particle" : "", "parse-names" : false, "suffix" : "" }, { "dropping-particle" : "", "family" : "Akker", "given" : "Robin", "non-dropping-particle" : "van den", "parse-names" : false, "suffix" : "" } ], "container-title" : "Notes on Metamodernism", "id" : "ITEM-1", "issued" : { "date-parts" : [ [ "2015" ] ] }, "note" : "Metamodernism, as we see, it is not a philosophy. In the same vein, it is not a movement, a programme, an esthetic register, a visual strategy, or a literary technique or trope.\n\nTo propose any one &amp;quot;-ism&amp;quot; as an aestehtic - register, strategy or trope - is to suggest that it is a digure that can be pinned down and picked up from a text or painting or inserted elsewhere. The notion of metamodernism we have proposedd is neither of these. it is not a system of thought, nor is it a movement or a trope. For us, it is a structure of feeling. When we say that metamodernism is a structure of feeling, we intend to say [...] that it is a sensibility that is widespread enough to be called structural [...] yet [it] cannot be reduced to one particular strategy.\n\nMetamodernism is neither a movement, nor a manifesto. [...] If you feel inspired by metamodernism as a programme, if you understand metamodernism as a way of life you wish to embrace or an aesthetic you want to adopt, we therefore need to dissapoint you and should direct you to the many other accounts out there that provide just that.\n\nFor us metamodernism does not propose any kind of vision or utopian goal. It may describe the prevalence of such in contemporary culture, but it certainly does not prescribe it.\n\nUltimately, therefore, metamodernism is a term used, by us, to periodize the contemporary and think the present historically. \n\nHarmony is not the dominant sensibility of present culture. Indeed, we would very much press the point that in its stead, the prevalent sentiment is one of irreconcilability; of the awareness that one position is irreconcilable with another in spite of one\u2019s need to occupy them both at once [\u2026]\n\nFor us, metamodernism is this moment of radical doubt, of constantly, at times desperately, repositioning between the islands, ginally choosing one.\n\nThe terms we chose early on were, with a nod to our former mentor Jos de Mul's description of Romanticism, oscillation and metaxy. Perhaps elasticism could be another way to describe it, in the sense that the captain is tied by an elastic to different islands and the further he stretches the band to one island, the more violent the pull, the swing, back to another will be - until it snaps, of course. The word on the street for this, we guess, is choice-paradox.\n\nMost recently, British literary scholars James and Seshagiri (2014) have interestingly proposed metamodernism to describe distinctly modern literary tropes in contemporary novels. \n\nOur argument in the 2010 essay [...] was not that metamodernism can be reduced to New Romanticism, nor that what is generally referred to as New Romanticism is exclusive to the metamodernist structure of feeling. [...] In other words: a number of works recognized as New Romanticism exemplified the metamodern structure of feeling. \n\nIn line with our contention that metamodernism is the description of a structure of feeling - and not, to state it again, a programme - we, too, would argue that it resonates with a particular moment in capitalism, namely global capitalism or what Anatole Kaletsky (2012) has called capitalism 4.0. Where we differ from Ashton is that we not neccesarily believe it always, inevitably, conforms to the interests of that capitalism; in postmodernism, too, after all, certain practices opposed the very model of capitalism to which they were related. \n\nSimilarly, our current problem with capitalism is not that it shows its real face; our problem is that we, in the West, now see this face much clearer than during the postmodern years - like conflict, it was there all along, we just looked away. \n\nUltimately, metamodernism for us, is a cultural logic, a certain dominant ideological patterning that leaves its traces across culture. Our attempt is to map, outline and analyse the outer ideological limits of what we can think and do in the 21st century. Whatever we may think of the developments we are describing \u2013 good or bad, positive or negative, or whatever \u2013 is not to the point as those are moral judgments that do not have a place in a cultural analysis, depending finally very much on your place on the political spectrum. Yet in the final instance all the developments that we are describing (from new sincerity to nationalist populism to whatever) are problematic \u2013 which is something else than good or bad, positive or negative \u2013 in the light of the massive problems we are facing in terms of inequality and climate change.", "title" : "Misunderstandings and Clarifications", "type" : "webpage" }, "uris" : [ "http://www.mendeley.com/documents/?uuid=88c6c806-3926-460b-b579-64980510c02a" ] } ], "mendeley" : { "formattedCitation" : "Vermeulen and van den Akker, \u2018Misunderstandings and Clarifications\u2019.", "plainTextFormattedCitation" : "Vermeulen and van den Akker, \u2018Misunderstandings and Clarifications\u2019.", "previouslyFormattedCitation" : "Vermeulen and van den Akker, \u2018Misunderstandings and Clarifications\u2019."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‘Misunderstandings and Clarifications’.</w:t>
      </w:r>
      <w:r w:rsidRPr="00505CF0">
        <w:rPr>
          <w:rFonts w:asciiTheme="majorBidi" w:hAnsiTheme="majorBidi" w:cstheme="majorBidi"/>
        </w:rPr>
        <w:fldChar w:fldCharType="end"/>
      </w:r>
    </w:p>
  </w:footnote>
  <w:footnote w:id="289">
    <w:p w14:paraId="7A5B1D95" w14:textId="5CD35AC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90">
    <w:p w14:paraId="148AE50D" w14:textId="45C625F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91">
    <w:p w14:paraId="2F81EA62" w14:textId="5AE5C44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292">
    <w:p w14:paraId="26097018" w14:textId="3ACBC98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"https://medium.com/just-words/metamodernism-101-8cdb8563e0", "accessed" : { "date-parts" : [ [ "2017", "10", "30" ] ] }, "author" : [ { "dropping-particle" : "", "family" : "Abramson", "given" : "Seth", "non-dropping-particle" : "", "parse-names" : false, "suffix" : "" } ], "container-title" : "Medium", "id" : "ITEM-1", "issued" : { "date-parts" : [ [ "2015" ] ] }, "note" : "Metamodernism, the cultural philosophy with which David Foster Wallace is most often assosciated, is usually summarizes as a romantic response to crisis.\n\nIf, as many of us believe, metamodernism is quickly becoming the dominant philosophy in the United States, it's because we're increasingly acknowledging both the crises we collectively face - and the obstacles that lie before us in facing them [...] as well as the importance of moving forward with optimism.\n\nall of [the current geopolitical crises] may in some sense be insurmountable - but the metamodernist view is that we can still choose to live, work, make art, and creatively problem-solve as though they're not.\n\nIt's difficult to summarize the fundamental crisis we face in the Internet Age, as in fact there are many crises simultaneously unfolding in different parts of American bulture. But what all of these crises have in common is this: they feature the erosion of disctionctions we've long relied upon.\n\nThe result is that it's gotten more difficult than ever to draw bright lines between, say, the real and the unreal, or sincerity and irony, or optimism and cynicism. We open a brower tab and try to figure out whether Donald Trump is ernestly seeking the presidency of promoting his &amp;quot;brand&amp;quot;\n\nMetamodernism is a philosophy that helps us navigate these and similar online data by propsing an optimistic response to the collapse of order the Internet often seems to represent: a 'both/and' approach that insists that Donald Trump is both earnest and cynical. \n\nThe optimism favored by metamodernists is of a brand that celebrates the erasing of boundaries and treats the indistinguishability of reality and unreality - or other supposed opposites, like irony and sincerity - as a creative, rather than destructive force.\n\nAfter decades of postmodern irony, cynicism, and the sort of dispair that comes from thinking that everything is coming apart and that our collective problems are insolvable, metamodernism advocates hope, dialoguye, collaboration, sincerity and optimism by showiung that these latter practices and attitudes need not ignore history to survive.\n\nToday, we find metamodernism everywhere along the spectrum of American culture, from &amp;quot;remixing&amp;quot; in music and literature to the half-serious whimslical nature of Wes Anderson films, from the performance art of Marina Abramovic - which challenges us to consider where life ends and art begins - to the dizzying but still coherent &amp;quot;meta-&amp;quot; narratives of TB shows like Community and Rick and Morty\n\n[it] took many years for the first literary artwork universally acknowledged as &amp;quot;metamodern&amp;quot; to be written. That work is David Foster Wallace's Infinite Jest.\n\nWallace broke the rules of the postmodern novel by being at once comic and serious, ironic and sincere, obtuse and straight-forward, conscious of narrative and dismissive of the need for narrative.\n\nScholars and artists continue to debate whether metamodernism is a movement, a philosophy, a system of logic, an artistic practice, a political strategy, a &amp;quot;structure of feeling,&amp;quot; or some combination of all of these. What's generally agreed upon by metamodernists, however, is thgat metamodernism is a &amp;quot;post-postmodernism&amp;quot; iunasmuch as it, not postmodernism, is now the best descriptor for contemporary culture.\n\nSopmetimes metamodernissts speak of the metamodern &amp;quot;sublime,&amp;quot; or the metamodertn&amp;quot;awesome,&amp;quot; as a way of discussing events, artworks, and other phenomena that capture our imagination and our sense of hopefulness even as we find outselves unable to easily &amp;quot;deconstruct&amp;quot; them. For instance, much like the very different output of Donald Trump, Donald Glover, and Marina Abramovic, Wallace's Infinite Jest provoked anger or confusion among many simply by refusing to be readily categorized.", "title" : "Metamodernism 101", "type" : "webpage" }, "uris" : [ "http://www.mendeley.com/documents/?uuid=aad20b39-6bd4-4e98-a3e1-6c2190ea2d94" ] } ], "mendeley" : { "formattedCitation" : "Abramson, \u2018Metamodernism 101\u2019.", "plainTextFormattedCitation" : "Abramson, \u2018Metamodernism 101\u2019.", "previouslyFormattedCitation" : "Abramson, \u2018Metamodernism 101\u2019."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Abramson, ‘Metamodernism 101’.</w:t>
      </w:r>
      <w:r w:rsidRPr="00505CF0">
        <w:rPr>
          <w:rFonts w:asciiTheme="majorBidi" w:hAnsiTheme="majorBidi" w:cstheme="majorBidi"/>
        </w:rPr>
        <w:fldChar w:fldCharType="end"/>
      </w:r>
    </w:p>
  </w:footnote>
  <w:footnote w:id="293">
    <w:p w14:paraId="531E0EED" w14:textId="772ADD23"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"https://www.huffingtonpost.com/entry/what-is-metamodernism_us_586e7075e4b0a5e600a788cd", "accessed" : { "date-parts" : [ [ "2017", "10", "30" ] ] }, "author" : [ { "dropping-particle" : "", "family" : "Abramson", "given" : "Seth", "non-dropping-particle" : "", "parse-names" : false, "suffix" : "" } ], "container-title" : "Huffington Post", "id" : "ITEM-1", "issued" : { "date-parts" : [ [ "2017" ] ] }, "note" : "Well, first and foremost, you should understand that [metamodernism is] a &amp;quot;cultural philosophy.&amp;quot; This means that it's a system for understanding the world.\n\nMetamidernism believes in reconstructing things that have been deconstructed with a view towards reestablishing hope and optimism in the midst of a period (the postmodern period) marked by irony, cynicism, and despair.\n\nGenerally speaking, metamodernism reconstructs things by joining their opposing elements in an entirely new configuration rather than seeing those elements as being in competition with one another.\n\nMetamodernism focuses instead on dialogue, collaboration, simultaneity. [...] metamodernists will often say that they &amp;quot;oscillate&amp;quot; between extremes, which really just means that they move soquickly between two extremes that the way they act incorporates both these two extremes and everything between them. The result is something totally new.\n\nIf you want an analogy to help you picture all this, imagine a pendulum that swings so quickly between two poles that the naked eye can't even see the back-and-forth movement anymore.\n\nIn film, we might call the \u201creboot\u201d metamodern. Whereas the \u201cremake\u201d is a generally \u201cModernist\u201d approach to filmmaking\u2014it assumes that tackling the same complex film project repeatedly can lead to a \u201cperfected\u201d version of it\u2014 and \u201csequels\u201d are \u201cpostmodern\u201d to the extent that they often involve ironically commenting on the shortcomings or other oddities of their predecessors, the reboot is an earnest and dramatic re-imagining of a project that is nevertheless cynical because it fails to move on from that project entirely.\nIn a reboot, a filmmaker is always caught between trying to be faithful to the original and knowing that she or he has complete freedom (because it\u2019s a reboot!) to change elements of the original that were once considered fundamental. Going to the movies to see a reboot is an odd experience for a movie-goer: we\u2019re simultaneously seeing and processing all the \u201cold\u201d bits and the \u201cnew\u201d bits\u2014perhaps variously excited by and frustrated with both\u2014which makes the movie seem both \u201cold\u201d and \u201cnew,\u201d both a \u201cwhole\u201d and \u201ca series of parts.\u201d The sense of pleasurable disorientation that can result from this \u201ddual vision\u201d is quintessentially metamodern.\nThis last metamodern quality\u2014the feeling of understanding something, or at least thinking of it as \u201ccoherent,\u201d\u00a0without\u00a0being able to deconstruct it into its parts\u2014is sometimes called \u201cthe metamodern awesome.\u201d (Think of \u201cawesome\u201d as the twenty-first century equivalent of \u201cthe\u00a0sublime.\u201d) If we go back to the pendulum metaphor I used above, the oddity of seeing a pendulum hanging straight downward and quivering slightly\u2014which suggests to us that there\u2019s a motion occurring that can\u2019t properly be seen, and that we can no longer say where on the spectrum the pendulum is at any moment\u2014corresponds to a feeling that you\u2019re witnessing something \u201cawesome.\u201d An \u201cawesome\u201d thing is one that\u2019s marvelous and gives a kind of instinctive pleasure but is almost impossible to describe or explain.\nSo: key terms in metamodernism are dialogue, reconstruction, collaboration, interdisciplinary and transmedia work (collaborations across academic disciplines or creative genres/modes), inter- and hyper-textuality (the creation of new texts through the interaction of existing texts), generative paradox, generative ambiguity, simultaneity, engagement rather than exhibitionism, and, more broadly, the collapsing of artificial distances between concepts and people.\nIn addition to the above, it\u2019s worth noting that we often speak of metamodernism as trying to negotiate between Modernism and postmodernism through a \u201cromantic response to crisis\u201d\u2014essentially, asking that we remain optimistic in the face of our postmodernism-enabled hopelessness and act \u201cas if\u201d things will get better (even if we don\u2019t necessarily think they will).\n\nFor metamodernism, one of the most prominent sub-movements of the moment is\u2014though we first heard this term used in the late 1990s\u2014\u201cThe New Sincerity.\u201d New Sincerisist art \u201coscillates,\u201d but much differently than some other metamodern sub-movements. Whereas, in other sub-movements like \u201ctranscendent metamodernism\u201d or \u201cmetamodern dada,\u201d the metamodern oscillation is entirely contained in the work itself, in the New Sincerity the oscillation occurs between the work and its audience. That is, New Sincerisist art is\u00a0sounfailingly sincere that it can\u2019t actually be\u00a0credited\u00a0as sincere by its skeptical, heavily postmodernism-influenced consumer. This is a \u201cnew\u201d sort of sincerity not so much because it\u2019s sincere in a different way from, say, what that word and concept meant to the Victorians, but rather in that\u00a0we\u2014the consumers of contemporary art\u2014have changed so much since the late nineteenth century that we can\u2019t accept sincerity as sincere anymore, and therefore\u00a0receive\u00a0it as ironic.\n\nMetamodernism is, in fact, a \u201cpost-post-truth\u201d phenomenon for exactly this reason: it takes the wreckage of meaning and goodwill and hope and refashions it into a new \u201cmeta-narrative\u201d\u2014a narrative about how we make narratives\u2014that is fundamentally optimistic. For this reason, metamodernists often celebrate so-called \u201cinformed naivete,\u201d this being a willful decision to act as though the facts on the ground\u00a0aren\u2019t\u00a0the facts on the ground.", "title" : "What is Metamodernism?", "type" : "webpage" }, "uris" : [ "http://www.mendeley.com/documents/?uuid=6fd9feba-8805-4482-a04b-f38a330cf7f0" ] } ], "mendeley" : { "formattedCitation" : "Seth Abramson, \u2018What Is Metamodernism?\u2019, &lt;i&gt;Huffington Post&lt;/i&gt;, 2017 &lt;https://www.huffingtonpost.com/entry/what-is-metamodernism_us_586e7075e4b0a5e600a788cd&gt; [accessed 30 October 2017].", "plainTextFormattedCitation" : "Seth Abramson, \u2018What Is Metamodernism?\u2019, Huffington Post, 2017  [accessed 30 October 2017].", "previouslyFormattedCitation" : "Seth Abramson, \u2018What Is Metamodernism?\u2019, &lt;i&gt;Huffington Post&lt;/i&gt;, 2017 &lt;https://www.huffingtonpost.com/entry/what-is-metamodernism_us_586e7075e4b0a5e600a788cd&gt; [accessed 30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Seth Abramson, ‘What Is Metamodernism?’, </w:t>
      </w:r>
      <w:r w:rsidRPr="0025171E">
        <w:rPr>
          <w:rFonts w:asciiTheme="majorBidi" w:hAnsiTheme="majorBidi" w:cstheme="majorBidi"/>
          <w:i/>
          <w:noProof/>
        </w:rPr>
        <w:t>Huffington Post</w:t>
      </w:r>
      <w:r w:rsidRPr="0025171E">
        <w:rPr>
          <w:rFonts w:asciiTheme="majorBidi" w:hAnsiTheme="majorBidi" w:cstheme="majorBidi"/>
          <w:noProof/>
        </w:rPr>
        <w:t>, 2017 &lt;https://www.huffingtonpost.com/entry/what-is-metamodernism_us_586e7075e4b0a5e600a788cd&gt; [accessed 30 October 2017].</w:t>
      </w:r>
      <w:r w:rsidRPr="00505CF0">
        <w:rPr>
          <w:rFonts w:asciiTheme="majorBidi" w:hAnsiTheme="majorBidi" w:cstheme="majorBidi"/>
        </w:rPr>
        <w:fldChar w:fldCharType="end"/>
      </w:r>
    </w:p>
  </w:footnote>
  <w:footnote w:id="294">
    <w:p w14:paraId="432F7B81" w14:textId="6AC20F8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"https://www.huffingtonpost.com/entry/what-is-metamodernism_us_586e7075e4b0a5e600a788cd", "accessed" : { "date-parts" : [ [ "2017", "10", "30" ] ] }, "author" : [ { "dropping-particle" : "", "family" : "Abramson", "given" : "Seth", "non-dropping-particle" : "", "parse-names" : false, "suffix" : "" } ], "container-title" : "Huffington Post", "id" : "ITEM-1", "issued" : { "date-parts" : [ [ "2017" ] ] }, "note" : "Well, first and foremost, you should understand that [metamodernism is] a &amp;quot;cultural philosophy.&amp;quot; This means that it's a system for understanding the world.\n\nMetamidernism believes in reconstructing things that have been deconstructed with a view towards reestablishing hope and optimism in the midst of a period (the postmodern period) marked by irony, cynicism, and despair.\n\nGenerally speaking, metamodernism reconstructs things by joining their opposing elements in an entirely new configuration rather than seeing those elements as being in competition with one another.\n\nMetamodernism focuses instead on dialogue, collaboration, simultaneity. [...] metamodernists will often say that they &amp;quot;oscillate&amp;quot; between extremes, which really just means that they move soquickly between two extremes that the way they act incorporates both these two extremes and everything between them. The result is something totally new.\n\nIf you want an analogy to help you picture all this, imagine a pendulum that swings so quickly between two poles that the naked eye can't even see the back-and-forth movement anymore.\n\nIn film, we might call the \u201creboot\u201d metamodern. Whereas the \u201cremake\u201d is a generally \u201cModernist\u201d approach to filmmaking\u2014it assumes that tackling the same complex film project repeatedly can lead to a \u201cperfected\u201d version of it\u2014 and \u201csequels\u201d are \u201cpostmodern\u201d to the extent that they often involve ironically commenting on the shortcomings or other oddities of their predecessors, the reboot is an earnest and dramatic re-imagining of a project that is nevertheless cynical because it fails to move on from that project entirely.\nIn a reboot, a filmmaker is always caught between trying to be faithful to the original and knowing that she or he has complete freedom (because it\u2019s a reboot!) to change elements of the original that were once considered fundamental. Going to the movies to see a reboot is an odd experience for a movie-goer: we\u2019re simultaneously seeing and processing all the \u201cold\u201d bits and the \u201cnew\u201d bits\u2014perhaps variously excited by and frustrated with both\u2014which makes the movie seem both \u201cold\u201d and \u201cnew,\u201d both a \u201cwhole\u201d and \u201ca series of parts.\u201d The sense of pleasurable disorientation that can result from this \u201ddual vision\u201d is quintessentially metamodern.\nThis last metamodern quality\u2014the feeling of understanding something, or at least thinking of it as \u201ccoherent,\u201d\u00a0without\u00a0being able to deconstruct it into its parts\u2014is sometimes called \u201cthe metamodern awesome.\u201d (Think of \u201cawesome\u201d as the twenty-first century equivalent of \u201cthe\u00a0sublime.\u201d) If we go back to the pendulum metaphor I used above, the oddity of seeing a pendulum hanging straight downward and quivering slightly\u2014which suggests to us that there\u2019s a motion occurring that can\u2019t properly be seen, and that we can no longer say where on the spectrum the pendulum is at any moment\u2014corresponds to a feeling that you\u2019re witnessing something \u201cawesome.\u201d An \u201cawesome\u201d thing is one that\u2019s marvelous and gives a kind of instinctive pleasure but is almost impossible to describe or explain.\nSo: key terms in metamodernism are dialogue, reconstruction, collaboration, interdisciplinary and transmedia work (collaborations across academic disciplines or creative genres/modes), inter- and hyper-textuality (the creation of new texts through the interaction of existing texts), generative paradox, generative ambiguity, simultaneity, engagement rather than exhibitionism, and, more broadly, the collapsing of artificial distances between concepts and people.\nIn addition to the above, it\u2019s worth noting that we often speak of metamodernism as trying to negotiate between Modernism and postmodernism through a \u201cromantic response to crisis\u201d\u2014essentially, asking that we remain optimistic in the face of our postmodernism-enabled hopelessness and act \u201cas if\u201d things will get better (even if we don\u2019t necessarily think they will).\n\nFor metamodernism, one of the most prominent sub-movements of the moment is\u2014though we first heard this term used in the late 1990s\u2014\u201cThe New Sincerity.\u201d New Sincerisist art \u201coscillates,\u201d but much differently than some other metamodern sub-movements. Whereas, in other sub-movements like \u201ctranscendent metamodernism\u201d or \u201cmetamodern dada,\u201d the metamodern oscillation is entirely contained in the work itself, in the New Sincerity the oscillation occurs between the work and its audience. That is, New Sincerisist art is\u00a0sounfailingly sincere that it can\u2019t actually be\u00a0credited\u00a0as sincere by its skeptical, heavily postmodernism-influenced consumer. This is a \u201cnew\u201d sort of sincerity not so much because it\u2019s sincere in a different way from, say, what that word and concept meant to the Victorians, but rather in that\u00a0we\u2014the consumers of contemporary art\u2014have changed so much since the late nineteenth century that we can\u2019t accept sincerity as sincere anymore, and therefore\u00a0receive\u00a0it as ironic.\n\nMetamodernism is, in fact, a \u201cpost-post-truth\u201d phenomenon for exactly this reason: it takes the wreckage of meaning and goodwill and hope and refashions it into a new \u201cmeta-narrative\u201d\u2014a narrative about how we make narratives\u2014that is fundamentally optimistic. For this reason, metamodernists often celebrate so-called \u201cinformed naivete,\u201d this being a willful decision to act as though the facts on the ground\u00a0aren\u2019t\u00a0the facts on the ground.", "title" : "What is Metamodernism?", "type" : "webpage" }, "uris" : [ "http://www.mendeley.com/documents/?uuid=6fd9feba-8805-4482-a04b-f38a330cf7f0" ] } ], "mendeley" : { "formattedCitation" : "Abramson, \u2018What Is Metamodernism?\u2019", "plainTextFormattedCitation" : "Abramson, \u2018What Is Metamodernism?\u2019", "previouslyFormattedCitation" : "Abramson, \u2018What Is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Abramson, ‘What Is Metamodernism?’</w:t>
      </w:r>
      <w:r w:rsidRPr="00505CF0">
        <w:rPr>
          <w:rFonts w:asciiTheme="majorBidi" w:hAnsiTheme="majorBidi" w:cstheme="majorBidi"/>
        </w:rPr>
        <w:fldChar w:fldCharType="end"/>
      </w:r>
    </w:p>
  </w:footnote>
  <w:footnote w:id="295">
    <w:p w14:paraId="0FA1E2CD" w14:textId="7103C9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296">
    <w:p w14:paraId="50868B45" w14:textId="28C632D3"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"http://www.metamodernism.org/", "accessed" : { "date-parts" : [ [ "2017", "10", "30" ] ] }, "author" : [ { "dropping-particle" : "", "family" : "Turner", "given" : "Luke", "non-dropping-particle" : "", "parse-names" : false, "suffix" : "" } ], "container-title" : "Metamodernism.org", "id" : "ITEM-1", "issued" : { "date-parts" : [ [ "2011" ] ] }, "note" : "We recognise oscillation to be the natural order of the world.\n\nMovement shall henceforth be enabled by way of an oscillation between positions, with diametrically opposed ideas operating like pulsating polarities of a colossal electric machine, propelling the world into action.\n\nAll things are caught within the irrevocable slide towards a state of maximum entropic dissemblance. Artistic creation is contingent opon the origination or revelation of difference therein\n\nToday, we are nostalgists as much as we are futurists\n\nWe propose a pragmatic romanticism unhindered by ideological anchorage. Thus, metamodernism, shall be defined as the mercurial condition between and beyond irony and sincerity, naivety and knowingness, relativism, and truth, optimism and doubt, in pursuit of plurality of disparate and elusive horizons. We must go forth and oscillate!", "title" : "The Metamodernist Manifesto", "type" : "webpage" }, "uris" : [ "http://www.mendeley.com/documents/?uuid=33039b6f-61b2-4b40-b3b2-f8eee9e4f48b" ] } ], "mendeley" : { "formattedCitation" : "Luke Turner, \u2018The Metamodernist Manifesto\u2019, &lt;i&gt;Metamodernism.org&lt;/i&gt;, 2011 &lt;http://www.metamodernism.org/&gt; [accessed 30 October 2017].", "plainTextFormattedCitation" : "Luke Turner, \u2018The Metamodernist Manifesto\u2019, Metamodernism.org, 2011  [accessed 30 October 2017].", "previouslyFormattedCitation" : "Luke Turner, \u2018The Metamodernist Manifesto\u2019, &lt;i&gt;Metamodernism.org&lt;/i&gt;, 2011 &lt;http://www.metamodernism.org/&gt; [accessed 30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Luke Turner, ‘The Metamodernist Manifesto’, </w:t>
      </w:r>
      <w:r w:rsidRPr="0025171E">
        <w:rPr>
          <w:rFonts w:asciiTheme="majorBidi" w:hAnsiTheme="majorBidi" w:cstheme="majorBidi"/>
          <w:i/>
          <w:noProof/>
        </w:rPr>
        <w:t>Metamodernism.org</w:t>
      </w:r>
      <w:r w:rsidRPr="0025171E">
        <w:rPr>
          <w:rFonts w:asciiTheme="majorBidi" w:hAnsiTheme="majorBidi" w:cstheme="majorBidi"/>
          <w:noProof/>
        </w:rPr>
        <w:t>, 2011 &lt;http://www.metamodernism.org/&gt; [accessed 30 October 2017].</w:t>
      </w:r>
      <w:r w:rsidRPr="00505CF0">
        <w:rPr>
          <w:rFonts w:asciiTheme="majorBidi" w:hAnsiTheme="majorBidi" w:cstheme="majorBidi"/>
        </w:rPr>
        <w:fldChar w:fldCharType="end"/>
      </w:r>
    </w:p>
  </w:footnote>
  <w:footnote w:id="297">
    <w:p w14:paraId="5499A3C4" w14:textId="5746B8A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"https://themetamodernist.com/2017/02/18/an-introduction-to-metamodernism/", "accessed" : { "date-parts" : [ [ "2017", "10", "30" ] ] }, "author" : [ { "dropping-particle" : "", "family" : "Damico", "given" : "Philip", "non-dropping-particle" : "", "parse-names" : false, "suffix" : "" } ], "container-title" : "The Metamodernist", "id" : "ITEM-1", "issued" : { "date-parts" : [ [ "2017" ] ] }, "note" : "Metamodernism is an emerging movement that hopes to synthesize both postmodernist, modernist and premodern (romantic, enlightenment) ideas while moving our civilization and culture forward in a positive way.\n\nLiterature that engages in sincere expression while being aware of its appearance from a postmodern perspective is considered metamodern.\n\nHonesty from the author concerning their intentions and meaning, something that's severely lacking in postmodern works.\n\nThe defininf characteristic and most important aspect of the metamodern movement is the &amp;quot;as if&amp;quot; mindset. Metamodernism is not a rejection of postmodern moral relativism and cynicism but a progression from it. We have, as a result of postmodernism, been convinced that humanity is in decline (statistics tend to say otherwise, but that doesnt matter when truth is a construct, as postmodern thought tends to teach). The metamodernist wants to live as if positive change and progress can be acheived.", "title" : "An Introduction to Metamodernism", "type" : "webpage" }, "uris" : [ "http://www.mendeley.com/documents/?uuid=40cd66cd-5884-4bc2-a267-359a5d296728" ] } ], "mendeley" : { "formattedCitation" : "Philip Damico, \u2018An Introduction to Metamodernism\u2019, &lt;i&gt;The Metamodernist&lt;/i&gt;, 2017 &lt;https://themetamodernist.com/2017/02/18/an-introduction-to-metamodernism/&gt; [accessed 30 October 2017].", "plainTextFormattedCitation" : "Philip Damico, \u2018An Introduction to Metamodernism\u2019, The Metamodernist, 2017  [accessed 30 October 2017].", "previouslyFormattedCitation" : "Philip Damico, \u2018An Introduction to Metamodernism\u2019, &lt;i&gt;The Metamodernist&lt;/i&gt;, 2017 &lt;https://themetamodernist.com/2017/02/18/an-introduction-to-metamodernism/&gt; [accessed 30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Philip Damico, ‘An Introduction to Metamodernism’, </w:t>
      </w:r>
      <w:r w:rsidRPr="0025171E">
        <w:rPr>
          <w:rFonts w:asciiTheme="majorBidi" w:hAnsiTheme="majorBidi" w:cstheme="majorBidi"/>
          <w:i/>
          <w:noProof/>
        </w:rPr>
        <w:t>The Metamodernist</w:t>
      </w:r>
      <w:r w:rsidRPr="0025171E">
        <w:rPr>
          <w:rFonts w:asciiTheme="majorBidi" w:hAnsiTheme="majorBidi" w:cstheme="majorBidi"/>
          <w:noProof/>
        </w:rPr>
        <w:t>, 2017 &lt;https://themetamodernist.com/2017/02/18/an-introduction-to-metamodernism/&gt; [accessed 30 October 2017].</w:t>
      </w:r>
      <w:r w:rsidRPr="00505CF0">
        <w:rPr>
          <w:rFonts w:asciiTheme="majorBidi" w:hAnsiTheme="majorBidi" w:cstheme="majorBidi"/>
        </w:rPr>
        <w:fldChar w:fldCharType="end"/>
      </w:r>
    </w:p>
  </w:footnote>
  <w:footnote w:id="298">
    <w:p w14:paraId="252C7DE8" w14:textId="7044B443"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"http://www.metamodernism.com/2010/08/09/new-romanticism/", "accessed" : { "date-parts" : [ [ "2017", "11", "2" ] ] }, "author" : [ { "dropping-particle" : "", "family" : "Editorial", "given" : "", "non-dropping-particle" : "", "parse-names" : false, "suffix" : "" } ], "container-title" : "Notes on Metamodernism", "id" : "ITEM-1", "issued" : { "date-parts" : [ [ "2010" ] ] }, "note" : "Indeed, concentrating on the tragic and the sublime, the uncanny and the mystical, often figurative representation and what appears to be beyond the figurative categories, these artists present the commonplace with significance, the quotidian with mystery, the familiar with the aura of the unfamiliar and the finite with the appearance of the infinite. But theirs is a presentation which inevitably \u2013 and necessarily \u2013 fails.\n\nThe key is to understand Romanticism as a\u00a0sens\u00a0rather than as a system of thought, a sensibility rather than a paradigm, an attitude more than an aesthetic regime\n\nBut why now? Why have artists taken to these Romantic sentiments all of a sudden? Our answer is that Romanticism provides them with the vocabulary and iconography to express a dissatisfaction about a present that is increasingly uninhabitable, and a desire for a future whose blueprint has yet to be drawn. New Romanticism expresses the transition from a place not yet left behind, to another space it has not yet entered, and probably never will. Ominous ruins as symbols for the cliffs of the past. Mysterious sects in situ the shores of the future.\n\nThe Romantic art work deconstructs the modern piece by emphasizing what it cannot present, what it cannot signify: that which is beyond reason; the postmodern work deconstructs it by emphasizing exactly what it presents, by exposing precisely what it signifies.", "title" : "New Romanticism", "type" : "webpage" }, "uris" : [ "http://www.mendeley.com/documents/?uuid=8c269efc-381c-440d-b62a-997dc0ad3584" ] } ], "mendeley" : { "formattedCitation" : "Editorial, \u2018New Romanticism\u2019, &lt;i&gt;Notes on Metamodernism&lt;/i&gt;, 2010 &lt;http://www.metamodernism.com/2010/08/09/new-romanticism/&gt; [accessed 2 November 2017].", "plainTextFormattedCitation" : "Editorial, \u2018New Romanticism\u2019, Notes on Metamodernism, 2010  [accessed 2 November 2017].", "previouslyFormattedCitation" : "Editorial, \u2018New Romanticism\u2019, &lt;i&gt;Notes on Metamodernism&lt;/i&gt;, 2010 &lt;http://www.metamodernism.com/2010/08/09/new-romanticism/&gt; [accessed 2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Editorial, ‘New Romanticism’, </w:t>
      </w:r>
      <w:r w:rsidRPr="0025171E">
        <w:rPr>
          <w:rFonts w:asciiTheme="majorBidi" w:hAnsiTheme="majorBidi" w:cstheme="majorBidi"/>
          <w:i/>
          <w:noProof/>
        </w:rPr>
        <w:t>Notes on Metamodernism</w:t>
      </w:r>
      <w:r w:rsidRPr="0025171E">
        <w:rPr>
          <w:rFonts w:asciiTheme="majorBidi" w:hAnsiTheme="majorBidi" w:cstheme="majorBidi"/>
          <w:noProof/>
        </w:rPr>
        <w:t>, 2010 &lt;http://www.metamodernism.com/2010/08/09/new-romanticism/&gt; [accessed 2 November 2017].</w:t>
      </w:r>
      <w:r w:rsidRPr="00505CF0">
        <w:rPr>
          <w:rFonts w:asciiTheme="majorBidi" w:hAnsiTheme="majorBidi" w:cstheme="majorBidi"/>
        </w:rPr>
        <w:fldChar w:fldCharType="end"/>
      </w:r>
    </w:p>
  </w:footnote>
  <w:footnote w:id="299">
    <w:p w14:paraId="36E6EFBE" w14:textId="4128BDB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Square Enix’s constant teases of a </w:t>
      </w:r>
      <w:r w:rsidRPr="00505CF0">
        <w:rPr>
          <w:rFonts w:asciiTheme="majorBidi" w:hAnsiTheme="majorBidi" w:cstheme="majorBidi"/>
          <w:i/>
          <w:iCs/>
        </w:rPr>
        <w:t xml:space="preserve">Final Fantasy 7 </w:t>
      </w:r>
      <w:r w:rsidRPr="00505CF0">
        <w:rPr>
          <w:rFonts w:asciiTheme="majorBidi" w:hAnsiTheme="majorBidi" w:cstheme="majorBidi"/>
        </w:rPr>
        <w:t>remaster certainly can be said at this point to be a prime example of vapo</w:t>
      </w:r>
      <w:r>
        <w:rPr>
          <w:rFonts w:asciiTheme="majorBidi" w:hAnsiTheme="majorBidi" w:cstheme="majorBidi"/>
        </w:rPr>
        <w:t>u</w:t>
      </w:r>
      <w:r w:rsidRPr="00505CF0">
        <w:rPr>
          <w:rFonts w:asciiTheme="majorBidi" w:hAnsiTheme="majorBidi" w:cstheme="majorBidi"/>
        </w:rPr>
        <w:t xml:space="preserve">rware. </w:t>
      </w:r>
    </w:p>
  </w:footnote>
  <w:footnote w:id="300">
    <w:p w14:paraId="54882A48" w14:textId="1EA3E10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"Schembri", "given" : "Sharon", "non-dropping-particle" : "", "parse-names" : false, "suffix" : "" }, { "dropping-particle" : "", "family" : "Tichbon", "given" : "Jac", "non-dropping-particle" : "", "parse-names" : false, "suffix" : "" } ], "container-title" : "Arts and the Market", "id" : "ITEM-1", "issue" : "2", "issued" : { "date-parts" : [ [ "2016" ] ] }, "note" : "Ironically, therefore, Vaporwave juxtaposes distorted artefacts of consumerism with the symbolic freedom of digital and virtual technology. More than that, Vaporwave is shown here to transfer the existentialism of hyper-reality through a nostalgic lens.\nVaporwave music according to\u00a0wos X (2015)\u00a0is a redistribution of \u201c1980s elevator music inspired by funk, new age, and smooth jazz\u201d. Further,\u00a0Weingarten (2015)describes Vaporwave as \u201chighly nostalgic, highly reverbed, highly sampled [\u2026] a late night cruise through the cyber-future dream highway\u201d. Just as the Muzak samples are distorted by time stretching and pitch shifting and musically reflect the layered critical and nostalgic narrative of consumer culture, so too the visual component of the music clips repurpose, decontextualise and distort symbolic artefacts of 1980s consumer culture. Vaporwave visual clips that accompany the music creations incorporate glitch art, early digital graphic design, isolated and floating roman busks, computerised tropical landscapes, with Japanese Kanji (language writing system) and other Japanese cultural elements also evident throughout, teamed with a consistent soft pastel colouring popular in the 1980s. Symbolically, therefore, the critical and nostalgic plot line is evident in both the music and visual Vaporwave text. This intertextuality reinforces the fundamental the critical and nostalgic plot line in multiple forms.\n\nVaporwave participants as self-confessed digital rebels heretically presenting a critical narrative on consumerism are shown in this research to be producing, consuming and (inter)mediating culture in new and innovative ways.\n\nThe essence of Vaporwave is retro cultural and nostalgic, where the participants actively and proactively critique and question the fundamental assumptions of modern culture in a musical, artistic and storied manner. This critique is achieved through editing of Muzak samples by way of time stretching and pitch shifting sounds. The point of using distorted Muzak samples is fundamental to the underlying critique of consumerism [...] The creative work of Vaporwave artists such as Saint Pepsi reinvents, repurposes, and digitally distorts artefacts of a bygone era as a critical aesthetic.\n\nAs well as Muzak samples, Vaporwave samples include extracts of mainstream commercials and 1980s pop music, as well as earlier Vaporwave samples. For example, Lopatin\u2019s use of generic electronic message sounds on the\u00a0Eccojamsrelease is interpreted as a critical commentary on consumerism. [...] The existential value of retro technology and lo-fi production is evident in this niche, techno savvy community. Releasing Vaporwave creations with retro technology such as cassettes, vinyl and VHS conveys a message of nostalgia and a sentimental attachment to technology of a bygone era, as per the documented plot line. As well, the existential value of lo-fi technology is synonymous with underground subcultural music productions because of the low cost and consequent accessibility. Lo-fi production on superseded retro technology is cheap and low quality but considered to hold a certain character, quality and appeal. Similarly, accessible editing platforms such as Audacity facilitate the remix process of creation but are simply not capable of producing a professionally polished sound. However, while the charm and character of lo-fi productions are well appreciated, ironically more professional productions are considered somewhat fake and are viewed with a degree of disdain as \u201cproducts\u201d. In other words, commercial success is viewed as \u201cselling out\u201d and hence the underground status is perpetuated.", "page" : "191-212", "title" : "Digital Consumers as Cultural Curators: the Irony of Vaporwave", "title-short" : "Digital Consumers as Cultural Curators", "type" : "article-journal", "volume" : "7" }, "uris" : [ "http://www.mendeley.com/documents/?uuid=16501743-b21e-4ef5-900f-d9b6ea3821a3" ] } ], "mendeley" : { "formattedCitation" : "Sharon Schembri and Jac Tichbon, \u2018Digital Consumers as Cultural Curators: The Irony of Vaporwave\u2019, &lt;i&gt;Arts and the Market&lt;/i&gt;, 7 (2016), 191\u2013212.", "plainTextFormattedCitation" : "Sharon Schembri and Jac Tichbon, \u2018Digital Consumers as Cultural Curators: The Irony of Vaporwave\u2019, Arts and the Market, 7 (2016), 191\u2013212.", "previouslyFormattedCitation" : "Sharon Schembri and Jac Tichbon, \u2018Digital Consumers as Cultural Curators: The Irony of Vaporwave\u2019, &lt;i&gt;Arts and the Market&lt;/i&gt;, 7 (2016), 191\u2013212 &lt;http://www.emeraldinsight.com/doi/full/10.1108/AAM-12-2016-0023&gt;."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Sharon Schembri and Jac Tichbon, ‘Digital Consumers as Cultural Curators: The Irony of Vaporwave’, </w:t>
      </w:r>
      <w:r w:rsidRPr="0025171E">
        <w:rPr>
          <w:rFonts w:asciiTheme="majorBidi" w:hAnsiTheme="majorBidi" w:cstheme="majorBidi"/>
          <w:i/>
          <w:noProof/>
        </w:rPr>
        <w:t>Arts and the Market</w:t>
      </w:r>
      <w:r w:rsidRPr="0025171E">
        <w:rPr>
          <w:rFonts w:asciiTheme="majorBidi" w:hAnsiTheme="majorBidi" w:cstheme="majorBidi"/>
          <w:noProof/>
        </w:rPr>
        <w:t>, 7 (2016), 191–212.</w:t>
      </w:r>
      <w:r w:rsidRPr="00505CF0">
        <w:rPr>
          <w:rFonts w:asciiTheme="majorBidi" w:hAnsiTheme="majorBidi" w:cstheme="majorBidi"/>
        </w:rPr>
        <w:fldChar w:fldCharType="end"/>
      </w:r>
    </w:p>
  </w:footnote>
  <w:footnote w:id="301">
    <w:p w14:paraId="06CAF955" w14:textId="3041795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"Schembri", "given" : "Sharon", "non-dropping-particle" : "", "parse-names" : false, "suffix" : "" }, { "dropping-particle" : "", "family" : "Tichbon", "given" : "Jac", "non-dropping-particle" : "", "parse-names" : false, "suffix" : "" } ], "container-title" : "Arts and the Market", "id" : "ITEM-1", "issue" : "2", "issued" : { "date-parts" : [ [ "2016" ] ] }, "note" : "Ironically, therefore, Vaporwave juxtaposes distorted artefacts of consumerism with the symbolic freedom of digital and virtual technology. More than that, Vaporwave is shown here to transfer the existentialism of hyper-reality through a nostalgic lens.\nVaporwave music according to\u00a0wos X (2015)\u00a0is a redistribution of \u201c1980s elevator music inspired by funk, new age, and smooth jazz\u201d. Further,\u00a0Weingarten (2015)describes Vaporwave as \u201chighly nostalgic, highly reverbed, highly sampled [\u2026] a late night cruise through the cyber-future dream highway\u201d. Just as the Muzak samples are distorted by time stretching and pitch shifting and musically reflect the layered critical and nostalgic narrative of consumer culture, so too the visual component of the music clips repurpose, decontextualise and distort symbolic artefacts of 1980s consumer culture. Vaporwave visual clips that accompany the music creations incorporate glitch art, early digital graphic design, isolated and floating roman busks, computerised tropical landscapes, with Japanese Kanji (language writing system) and other Japanese cultural elements also evident throughout, teamed with a consistent soft pastel colouring popular in the 1980s. Symbolically, therefore, the critical and nostalgic plot line is evident in both the music and visual Vaporwave text. This intertextuality reinforces the fundamental the critical and nostalgic plot line in multiple forms.\n\nVaporwave participants as self-confessed digital rebels heretically presenting a critical narrative on consumerism are shown in this research to be producing, consuming and (inter)mediating culture in new and innovative ways.\n\nThe essence of Vaporwave is retro cultural and nostalgic, where the participants actively and proactively critique and question the fundamental assumptions of modern culture in a musical, artistic and storied manner. This critique is achieved through editing of Muzak samples by way of time stretching and pitch shifting sounds. The point of using distorted Muzak samples is fundamental to the underlying critique of consumerism [...] The creative work of Vaporwave artists such as Saint Pepsi reinvents, repurposes, and digitally distorts artefacts of a bygone era as a critical aesthetic.\n\nAs well as Muzak samples, Vaporwave samples include extracts of mainstream commercials and 1980s pop music, as well as earlier Vaporwave samples. For example, Lopatin\u2019s use of generic electronic message sounds on the\u00a0Eccojamsrelease is interpreted as a critical commentary on consumerism. [...] The existential value of retro technology and lo-fi production is evident in this niche, techno savvy community. Releasing Vaporwave creations with retro technology such as cassettes, vinyl and VHS conveys a message of nostalgia and a sentimental attachment to technology of a bygone era, as per the documented plot line. As well, the existential value of lo-fi technology is synonymous with underground subcultural music productions because of the low cost and consequent accessibility. Lo-fi production on superseded retro technology is cheap and low quality but considered to hold a certain character, quality and appeal. Similarly, accessible editing platforms such as Audacity facilitate the remix process of creation but are simply not capable of producing a professionally polished sound. However, while the charm and character of lo-fi productions are well appreciated, ironically more professional productions are considered somewhat fake and are viewed with a degree of disdain as \u201cproducts\u201d. In other words, commercial success is viewed as \u201cselling out\u201d and hence the underground status is perpetuated.", "page" : "191-212", "title" : "Digital Consumers as Cultural Curators: the Irony of Vaporwave", "title-short" : "Digital Consumers as Cultural Curators", "type" : "article-journal", "volume" : "7" }, "uris" : [ "http://www.mendeley.com/documents/?uuid=16501743-b21e-4ef5-900f-d9b6ea3821a3" ] } ], "mendeley" : { "formattedCitation" : "Schembri and Tichbon.", "plainTextFormattedCitation" : "Schembri and Tichbon.", "previouslyFormattedCitation" : "Schembri and Tichbon."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Schembri and Tichbon.</w:t>
      </w:r>
      <w:r w:rsidRPr="00505CF0">
        <w:rPr>
          <w:rFonts w:asciiTheme="majorBidi" w:hAnsiTheme="majorBidi" w:cstheme="majorBidi"/>
        </w:rPr>
        <w:fldChar w:fldCharType="end"/>
      </w:r>
    </w:p>
  </w:footnote>
  <w:footnote w:id="302">
    <w:p w14:paraId="33CBD7F2" w14:textId="7F1F3E9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"Schembri", "given" : "Sharon", "non-dropping-particle" : "", "parse-names" : false, "suffix" : "" }, { "dropping-particle" : "", "family" : "Tichbon", "given" : "Jac", "non-dropping-particle" : "", "parse-names" : false, "suffix" : "" } ], "container-title" : "Arts and the Market", "id" : "ITEM-1", "issue" : "2", "issued" : { "date-parts" : [ [ "2016" ] ] }, "note" : "Ironically, therefore, Vaporwave juxtaposes distorted artefacts of consumerism with the symbolic freedom of digital and virtual technology. More than that, Vaporwave is shown here to transfer the existentialism of hyper-reality through a nostalgic lens.\nVaporwave music according to\u00a0wos X (2015)\u00a0is a redistribution of \u201c1980s elevator music inspired by funk, new age, and smooth jazz\u201d. Further,\u00a0Weingarten (2015)describes Vaporwave as \u201chighly nostalgic, highly reverbed, highly sampled [\u2026] a late night cruise through the cyber-future dream highway\u201d. Just as the Muzak samples are distorted by time stretching and pitch shifting and musically reflect the layered critical and nostalgic narrative of consumer culture, so too the visual component of the music clips repurpose, decontextualise and distort symbolic artefacts of 1980s consumer culture. Vaporwave visual clips that accompany the music creations incorporate glitch art, early digital graphic design, isolated and floating roman busks, computerised tropical landscapes, with Japanese Kanji (language writing system) and other Japanese cultural elements also evident throughout, teamed with a consistent soft pastel colouring popular in the 1980s. Symbolically, therefore, the critical and nostalgic plot line is evident in both the music and visual Vaporwave text. This intertextuality reinforces the fundamental the critical and nostalgic plot line in multiple forms.\n\nVaporwave participants as self-confessed digital rebels heretically presenting a critical narrative on consumerism are shown in this research to be producing, consuming and (inter)mediating culture in new and innovative ways.\n\nThe essence of Vaporwave is retro cultural and nostalgic, where the participants actively and proactively critique and question the fundamental assumptions of modern culture in a musical, artistic and storied manner. This critique is achieved through editing of Muzak samples by way of time stretching and pitch shifting sounds. The point of using distorted Muzak samples is fundamental to the underlying critique of consumerism [...] The creative work of Vaporwave artists such as Saint Pepsi reinvents, repurposes, and digitally distorts artefacts of a bygone era as a critical aesthetic.\n\nAs well as Muzak samples, Vaporwave samples include extracts of mainstream commercials and 1980s pop music, as well as earlier Vaporwave samples. For example, Lopatin\u2019s use of generic electronic message sounds on the\u00a0Eccojamsrelease is interpreted as a critical commentary on consumerism. [...] The existential value of retro technology and lo-fi production is evident in this niche, techno savvy community. Releasing Vaporwave creations with retro technology such as cassettes, vinyl and VHS conveys a message of nostalgia and a sentimental attachment to technology of a bygone era, as per the documented plot line. As well, the existential value of lo-fi technology is synonymous with underground subcultural music productions because of the low cost and consequent accessibility. Lo-fi production on superseded retro technology is cheap and low quality but considered to hold a certain character, quality and appeal. Similarly, accessible editing platforms such as Audacity facilitate the remix process of creation but are simply not capable of producing a professionally polished sound. However, while the charm and character of lo-fi productions are well appreciated, ironically more professional productions are considered somewhat fake and are viewed with a degree of disdain as \u201cproducts\u201d. In other words, commercial success is viewed as \u201cselling out\u201d and hence the underground status is perpetuated.", "page" : "191-212", "title" : "Digital Consumers as Cultural Curators: the Irony of Vaporwave", "title-short" : "Digital Consumers as Cultural Curators", "type" : "article-journal", "volume" : "7" }, "uris" : [ "http://www.mendeley.com/documents/?uuid=16501743-b21e-4ef5-900f-d9b6ea3821a3" ] } ], "mendeley" : { "formattedCitation" : "Schembri and Tichbon.", "plainTextFormattedCitation" : "Schembri and Tichbon.", "previouslyFormattedCitation" : "Schembri and Tichbon."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Schembri and Tichbon.</w:t>
      </w:r>
      <w:r w:rsidRPr="00505CF0">
        <w:rPr>
          <w:rFonts w:asciiTheme="majorBidi" w:hAnsiTheme="majorBidi" w:cstheme="majorBidi"/>
        </w:rPr>
        <w:fldChar w:fldCharType="end"/>
      </w:r>
    </w:p>
  </w:footnote>
  <w:footnote w:id="303">
    <w:p w14:paraId="2E281CE2" w14:textId="6E9D89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"Schembri", "given" : "Sharon", "non-dropping-particle" : "", "parse-names" : false, "suffix" : "" }, { "dropping-particle" : "", "family" : "Tichbon", "given" : "Jac", "non-dropping-particle" : "", "parse-names" : false, "suffix" : "" } ], "container-title" : "Arts and the Market", "id" : "ITEM-1", "issue" : "2", "issued" : { "date-parts" : [ [ "2016" ] ] }, "note" : "Ironically, therefore, Vaporwave juxtaposes distorted artefacts of consumerism with the symbolic freedom of digital and virtual technology. More than that, Vaporwave is shown here to transfer the existentialism of hyper-reality through a nostalgic lens.\nVaporwave music according to\u00a0wos X (2015)\u00a0is a redistribution of \u201c1980s elevator music inspired by funk, new age, and smooth jazz\u201d. Further,\u00a0Weingarten (2015)describes Vaporwave as \u201chighly nostalgic, highly reverbed, highly sampled [\u2026] a late night cruise through the cyber-future dream highway\u201d. Just as the Muzak samples are distorted by time stretching and pitch shifting and musically reflect the layered critical and nostalgic narrative of consumer culture, so too the visual component of the music clips repurpose, decontextualise and distort symbolic artefacts of 1980s consumer culture. Vaporwave visual clips that accompany the music creations incorporate glitch art, early digital graphic design, isolated and floating roman busks, computerised tropical landscapes, with Japanese Kanji (language writing system) and other Japanese cultural elements also evident throughout, teamed with a consistent soft pastel colouring popular in the 1980s. Symbolically, therefore, the critical and nostalgic plot line is evident in both the music and visual Vaporwave text. This intertextuality reinforces the fundamental the critical and nostalgic plot line in multiple forms.\n\nVaporwave participants as self-confessed digital rebels heretically presenting a critical narrative on consumerism are shown in this research to be producing, consuming and (inter)mediating culture in new and innovative ways.\n\nThe essence of Vaporwave is retro cultural and nostalgic, where the participants actively and proactively critique and question the fundamental assumptions of modern culture in a musical, artistic and storied manner. This critique is achieved through editing of Muzak samples by way of time stretching and pitch shifting sounds. The point of using distorted Muzak samples is fundamental to the underlying critique of consumerism [...] The creative work of Vaporwave artists such as Saint Pepsi reinvents, repurposes, and digitally distorts artefacts of a bygone era as a critical aesthetic.\n\nAs well as Muzak samples, Vaporwave samples include extracts of mainstream commercials and 1980s pop music, as well as earlier Vaporwave samples. For example, Lopatin\u2019s use of generic electronic message sounds on the\u00a0Eccojamsrelease is interpreted as a critical commentary on consumerism. [...] The existential value of retro technology and lo-fi production is evident in this niche, techno savvy community. Releasing Vaporwave creations with retro technology such as cassettes, vinyl and VHS conveys a message of nostalgia and a sentimental attachment to technology of a bygone era, as per the documented plot line. As well, the existential value of lo-fi technology is synonymous with underground subcultural music productions because of the low cost and consequent accessibility. Lo-fi production on superseded retro technology is cheap and low quality but considered to hold a certain character, quality and appeal. Similarly, accessible editing platforms such as Audacity facilitate the remix process of creation but are simply not capable of producing a professionally polished sound. However, while the charm and character of lo-fi productions are well appreciated, ironically more professional productions are considered somewhat fake and are viewed with a degree of disdain as \u201cproducts\u201d. In other words, commercial success is viewed as \u201cselling out\u201d and hence the underground status is perpetuated.", "page" : "191-212", "title" : "Digital Consumers as Cultural Curators: the Irony of Vaporwave", "title-short" : "Digital Consumers as Cultural Curators", "type" : "article-journal", "volume" : "7" }, "uris" : [ "http://www.mendeley.com/documents/?uuid=16501743-b21e-4ef5-900f-d9b6ea3821a3" ] } ], "mendeley" : { "formattedCitation" : "Schembri and Tichbon.", "plainTextFormattedCitation" : "Schembri and Tichbon.", "previouslyFormattedCitation" : "Schembri and Tichbon."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Schembri and Tichbon.</w:t>
      </w:r>
      <w:r w:rsidRPr="00505CF0">
        <w:rPr>
          <w:rFonts w:asciiTheme="majorBidi" w:hAnsiTheme="majorBidi" w:cstheme="majorBidi"/>
        </w:rPr>
        <w:fldChar w:fldCharType="end"/>
      </w:r>
    </w:p>
  </w:footnote>
  <w:footnote w:id="304">
    <w:p w14:paraId="53E8C5E5" w14:textId="4A0C24FF"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"https://www.youtube.com/watch?v=-WNrjWSJwf8", "accessed" : { "date-parts" : [ [ "2017", "11", "2" ] ] }, "author" : [ { "dropping-particle" : "", "family" : "Sutherland", "given" : "Sam", "non-dropping-particle" : "", "parse-names" : false, "suffix" : "" } ], "container-title" : "This Exists", "id" : "ITEM-1", "issued" : { "date-parts" : [ [ "2014" ] ] }, "note" : "In attempting to give meaning to soulless Muzak", "title" : "Could Vaporwave be the Future of Music", "type" : "webpage" }, "uris" : [ "http://www.mendeley.com/documents/?uuid=dadbba51-fcd9-429c-ba50-05ac89d5482e" ] } ], "mendeley" : { "formattedCitation" : "Sam Sutherland, \u2018Could Vaporwave Be the Future of Music\u2019, &lt;i&gt;This Exists&lt;/i&gt;, 2014 &lt;https://www.youtube.com/watch?v=-WNrjWSJwf8&gt; [accessed 2 November 2017].", "plainTextFormattedCitation" : "Sam Sutherland, \u2018Could Vaporwave Be the Future of Music\u2019, This Exists, 2014  [accessed 2 November 2017].", "previouslyFormattedCitation" : "Sam Sutherland, \u2018Could Vaporwave Be the Future of Music\u2019, &lt;i&gt;This Exists&lt;/i&gt;, 2014 &lt;https://www.youtube.com/watch?v=-WNrjWSJwf8&gt; [accessed 2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Sam Sutherland, ‘Could Vaporwave Be the Future of Music’, </w:t>
      </w:r>
      <w:r w:rsidRPr="0025171E">
        <w:rPr>
          <w:rFonts w:asciiTheme="majorBidi" w:hAnsiTheme="majorBidi" w:cstheme="majorBidi"/>
          <w:i/>
          <w:noProof/>
        </w:rPr>
        <w:t>This Exists</w:t>
      </w:r>
      <w:r w:rsidRPr="0025171E">
        <w:rPr>
          <w:rFonts w:asciiTheme="majorBidi" w:hAnsiTheme="majorBidi" w:cstheme="majorBidi"/>
          <w:noProof/>
        </w:rPr>
        <w:t>, 2014 &lt;https://www.youtube.com/watch?v=-WNrjWSJwf8&gt; [accessed 2 November 2017].</w:t>
      </w:r>
      <w:r w:rsidRPr="00505CF0">
        <w:rPr>
          <w:rFonts w:asciiTheme="majorBidi" w:hAnsiTheme="majorBidi" w:cstheme="majorBidi"/>
        </w:rPr>
        <w:fldChar w:fldCharType="end"/>
      </w:r>
    </w:p>
  </w:footnote>
  <w:footnote w:id="305">
    <w:p w14:paraId="5CE2C834" w14:textId="1506660A" w:rsidR="00054009" w:rsidRPr="007E47C7" w:rsidRDefault="00054009">
      <w:pPr>
        <w:pStyle w:val="FootnoteText"/>
        <w:rPr>
          <w:i/>
          <w:iCs/>
        </w:rPr>
      </w:pPr>
      <w:r>
        <w:rPr>
          <w:rStyle w:val="FootnoteReference"/>
        </w:rPr>
        <w:footnoteRef/>
      </w:r>
      <w:r>
        <w:t xml:space="preserve"> </w:t>
      </w:r>
      <w:r>
        <w:rPr>
          <w:i/>
          <w:iCs/>
        </w:rPr>
        <w:t>ACO: Many were left feeling ‘unfullfillable’ in the wake of the Southwardian collapse, a topic taken up with much vehemence and scholarly accuracy by Professor Traum Dystus, whose tireless efforts interviewing the radioactive poor were recently recognised by the Global Academy with a substantial reward and the publication of his book ‘Boo-Who? Post-Southwardian cries and crimes.’</w:t>
      </w:r>
    </w:p>
  </w:footnote>
  <w:footnote w:id="306">
    <w:p w14:paraId="23FCBA16" w14:textId="284D025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"The ART of Critique/Re-Imagining Professional ART Criticism and The Art School Critique", "editor" : [ { "dropping-particle" : "", "family" : "Knudsen", "given" : "Stephen", "non-dropping-particle" : "", "parse-names" : false, "suffix" : "" } ], "id" : "ITEM-1", "issued" : { "date-parts" : [ [ "2014" ] ] }, "note" : "in stark contrast with the art of the 1990s, which tended to be characterized by irony, cynicism and deconstruction, contemporary practices are often discussed in terms of affection, sincerity and hopefulness. Another label that is featured with some frequency is \u2018authenticity.\u2019\n\nAfter the fall of the Berlin wall in 1989, signifying the collapse of the Soviet Union and its accompanying ideological framework, there was widespread consensus that history had come to an end. The ideological struggle was over, philosophers cried out triumphantly; politicians agreed that the battle between nations had finally been decided. As the conservative critic Francis Fukuyama famously put it, with the \u201cunabashed victory of liberal democracy,\u201d mankind had achieved a form of society that satisfied its deepest and most fundamental longings. This did not mean that the natural cycle of birth, life, and death would end, that important events would no longer happen, or that newspapers reporting them would cease to be published. It meant, rather, that there would be no further progress in the development of underlying principles and institutions, because all of the really big questions had been settled. Some 25 years later, all this talk seems close to inconceivable. Whether it was 9/11 or the collapse of Lehmann Brothers, the fall of the PIIGS or the rise of the BRICS, the Arab Spring or the stagnation of the European project, Wikileaks or the PRISM affair, it has become abundantly clear that liberal democracy, capitalist progress and 20th-century theory do not mark the end of our evolution. Indeed, as Fukuyama himself grudgingly admitted in 2012, maybe all those proclamations of the end of history had been a bit opportunistic. Perhaps history hadn\u2019t ended, after all. It had merely paused.\n\nSince the early 2000s, galleries increasingly show art that reappropriates older aesthetic and cultural forms to revisit their substance and redirect their \u2018meaning\u2019 elsewhere. [...] his is not yet another form of historicism, though it is that, too; much rather, it is to take the lessons from the past and incorporate them into a present, or future, that is as of yet unattainable. Here, the process has more in common with upcycling.\n\nIf the modern artists have come to be historicized as an earnest bunch (whether correctly or unfairly is another question), and the postmoderns go into the books as jokers, the current generation of artists attracts descriptions that speak of earnestness and irony in equal measure.\n\nA couple of years ago we reopened the debate on post-postmodernism, which was all over the place, yet seemed to be going nowhere, by publishing an overtly naive and obviously flawed article that goes by the same name. Nowadays it serves as some kind of \u2018stub,\u2019 to put it in Wikipedia\u2019s terminology, of a collaborative research platform that is maintained by several editors, carried by dozens of contributors and attracts hundreds of interested readers a week. This could have only been possible precisely because the initial article-cum-stub was intended not as an authoritarian voice but rather as an open invitation to discuss the matter anew, and, ironically, because it was quite obviously still very much flawed, leaving many issues in contemporary aesthetics and culture underdeveloped or unexplored.\n\nWhatever its benefits, limitations and pitfalls, the emergence of collaborative research projects signal that the age of the individual genius, authoritarian voice and ivory tower intellectual is waning.\n\nt seems to us that Daou draws attention to the double-bind that emerges when you are forced to choose a side, even, or perhaps rather especially, if you know that no one side is preferable over another, per se. This double-bind is representative of the situation we are in today. The geopolitical, economic and ecological crises have forced a generation that was always said to have all the options in the world to choose a side, to take a stand. Yet we have all learned that taking a stand is problematic. [...] However, as soon as you choose a side there arise two problems that immediately undermine your position. First, you realize your own complicity in the wrongs you try to right. Fair trade? Some, if not most, of your T-shirts are still being produced in sweatshops. Yet you try. Climate change? You consume as much so-called \u2018renewable\u2019 energy as possible, but your car still drives on gasoline. And so on and so forth.\n\nWe are all sinners. And we need to confess our worldly sins so that we can start over and over and over again.\n\nOur own contribution to this debate has been the reviving of Immanuel Kant\u2019s notion of history (2010; 2011). We feel, in other words, that today\u2019s spatiotemporal logic is not so much Hegelian as it is Kantian. The metamoderns are not looking back at history to discern a \u2018rational\u2019 pattern (that famous \u2018owl of Minerva\u2019) and noticing that there are a few loose ends that still need to be tied together, as the modern and postmodern readings of Hegel (or should we say: a certain type of vulgar Hegelians) would have it. On the contrary. Rather, they acknowledge that there is no such a thing as a necessary teleological pattern in history, yet still they project, informed by the past, a regulative idea onto the future. Kant argues, much like Hegel, that natural laws are the single condition and structuring principle of human life. However, he suggests, too, that we cannot know these laws and must therefore assume knowledge of them by historicizing-narrating, that is, indeed, imagining hierarchies and relations between and beyond the human actions they supposedly structure. Kant thus at once says: There is a purpose to history,\u00a0and\u00a0we imagine there to be a purpose to history, but it might not necessarily be so. Kant does not contradict himself, but he does not confirm the previous either: The first, schematic statement (there is a purpose) is instantly subverted by a second (but, well, it might only be a purpose to our mind). // Kant uses speculative words such as \u201chope,\u201d \u201c(as\u2019) if,\u201d and \u201cmay\u201d to structure his line of reasoning, implicitly turning every argument into an analogy. The cultural philosopher Eva Schaper has henceforth called Kant\u2019s rhetorics aesthetic.10 Each of Kant\u2019s arguments thus, merely by way of analogy, becomes an argument about a fiction. According to this persuasive interpretation, Kant never speaks about history as such; he speaks about what history\u00a0might\u00a0be. The metamoderns are kick-starting history by asserting, against their better judgment, that there is an end-or rather, a plurality of endings-to history. If anything, then, contemporary artists, activists and, importantly, the plethora of people who once belonged to the middle classes are acting \u201cas if\u201d there is logic to history, and \u201cas if\u201d its endings are to be found beyond an ever-receding horizon. For them, history is in a state of permanent Beta.", "publisher" : "(forthcoming) The University of Chicago Press", "publisher-place" : "Chicago", "title" : "Art Criticism and Metamodernism", "type" : "chapter" }, "uris" : [ "http://www.mendeley.com/documents/?uuid=436c1f57-d1a1-41fe-b9db-95a813a3e6e8" ] } ], "mendeley" : { "formattedCitation" : "Vermeulen and van den Akker, \u2018Art Criticism and Metamodernism\u2019.", "plainTextFormattedCitation" : "Vermeulen and van den Akker, \u2018Art Criticism and Metamodernism\u2019.", "previouslyFormattedCitation" : "Vermeulen and van den Akker, \u2018Art Criticism and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‘Art Criticism and Metamodernism’.</w:t>
      </w:r>
      <w:r w:rsidRPr="00505CF0">
        <w:rPr>
          <w:rFonts w:asciiTheme="majorBidi" w:hAnsiTheme="majorBidi" w:cstheme="majorBidi"/>
        </w:rPr>
        <w:fldChar w:fldCharType="end"/>
      </w:r>
    </w:p>
  </w:footnote>
  <w:footnote w:id="307">
    <w:p w14:paraId="317B93F1" w14:textId="18B3EA7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308">
    <w:p w14:paraId="6CE755FF" w14:textId="5FB58ED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309">
    <w:p w14:paraId="01DB027D" w14:textId="3062473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"65-6", "uris" : [ "http://www.mendeley.com/documents/?uuid=7800a0be-17ee-443b-8427-7c803ab7a556" ] } ], "mendeley" : { "formattedCitation" : "Vermeulen and van den Akker, \u2018Utopia, Sort of\u2019, pp. 65\u20136.", "plainTextFormattedCitation" : "Vermeulen and van den Akker, \u2018Utopia, Sort of\u2019, pp. 65\u20136.", "previouslyFormattedCitation" : "Vermeulen and van den Akker, \u2018Utopia, Sort of\u2019, pp. 65\u20136."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Vermeulen and van den Akker, ‘Utopia, Sort of’, pp. 65–6.</w:t>
      </w:r>
      <w:r w:rsidRPr="00505CF0">
        <w:rPr>
          <w:rFonts w:asciiTheme="majorBidi" w:hAnsiTheme="majorBidi" w:cstheme="majorBidi"/>
        </w:rPr>
        <w:fldChar w:fldCharType="end"/>
      </w:r>
    </w:p>
  </w:footnote>
  <w:footnote w:id="310">
    <w:p w14:paraId="49FB29C9" w14:textId="31765246"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w:t>
      </w:r>
      <w:r w:rsidRPr="00505CF0">
        <w:rPr>
          <w:rFonts w:asciiTheme="majorBidi" w:hAnsiTheme="majorBidi" w:cstheme="majorBidi"/>
        </w:rPr>
        <w:fldChar w:fldCharType="end"/>
      </w:r>
    </w:p>
  </w:footnote>
  <w:footnote w:id="311">
    <w:p w14:paraId="437EDC96" w14:textId="05A22B9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"57", "uris" : [ "http://www.mendeley.com/documents/?uuid=7800a0be-17ee-443b-8427-7c803ab7a556" ] } ], "mendeley" : { "formattedCitation" : "Vermeulen and van den Akker, \u2018Utopia, Sort of\u2019, p. 57.", "plainTextFormattedCitation" : "Vermeulen and van den Akker, \u2018Utopia, Sort of\u2019, p. 57.", "previouslyFormattedCitation" : "Vermeulen and van den Akker, \u2018Utopia, Sort of\u2019, p. 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‘Utopia, Sort of’, p. 57.</w:t>
      </w:r>
      <w:r w:rsidRPr="00505CF0">
        <w:rPr>
          <w:rFonts w:asciiTheme="majorBidi" w:hAnsiTheme="majorBidi" w:cstheme="majorBidi"/>
        </w:rPr>
        <w:fldChar w:fldCharType="end"/>
      </w:r>
    </w:p>
  </w:footnote>
  <w:footnote w:id="312">
    <w:p w14:paraId="74E14BCB" w14:textId="46EB2F3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"64-5", "uris" : [ "http://www.mendeley.com/documents/?uuid=7800a0be-17ee-443b-8427-7c803ab7a556" ] } ], "mendeley" : { "formattedCitation" : "Vermeulen and van den Akker, \u2018Utopia, Sort of\u2019, pp. 64\u20135.", "plainTextFormattedCitation" : "Vermeulen and van den Akker, \u2018Utopia, Sort of\u2019, pp. 64\u20135.", "previouslyFormattedCitation" : "Vermeulen and van den Akker, \u2018Utopia, Sort of\u2019, pp. 64\u20135."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Vermeulen and van den Akker, ‘Utopia, Sort of’, pp. 64–5.</w:t>
      </w:r>
      <w:r w:rsidRPr="00505CF0">
        <w:rPr>
          <w:rFonts w:asciiTheme="majorBidi" w:hAnsiTheme="majorBidi" w:cstheme="majorBidi"/>
        </w:rPr>
        <w:fldChar w:fldCharType="end"/>
      </w:r>
    </w:p>
  </w:footnote>
  <w:footnote w:id="313">
    <w:p w14:paraId="02259AC5" w14:textId="77C2E96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"http://www.metamodernism.com/2015/01/12/metamodernism-a-brief-introduction/", "accessed" : { "date-parts" : [ [ "2015", "6", "2" ] ] }, "author" : [ { "dropping-particle" : "", "family" : "Turner", "given" : "Luke", "non-dropping-particle" : "", "parse-names" : false, "suffix" : "" } ], "container-title" : "Notes on Metamodernism", "id" : "ITEM-1", "issued" : { "date-parts" : [ [ "2015" ] ] }, "note" : "In the wake of the myriad crises of the past two decades\u2014of climate change, financial meltdown, and the escalation of global conflicts\u2014we have witnessed the emergence of a palpable collective desire for change, for something beyond the prematurely proclaimed \u201cEnd of History.\u201d\n\nOurs is a generation raised in the \u201880s and \u201890s, on a diet of The Simpsons and South Park, for whom postmodern irony and cynicism is a default setting, something ingrained in us. However, despite, or rather because of this, a yearning for meaning\u2014for sincere and constructive progression and expression\u2014has come to shape today\u2019s dominant cultural mode.\n\nWheras postmodernism was characterized by deconstruction, irony, pastiche, relativism, nihilism, and the rejection of grand narratives (to caricature it somewhat), the discourse surrounding metamodernism engages with the resurgence of hope, romanticism, affect, and the potential for grand narratives and universal truths, whilst not forfeiting all that we've learned from postmodernism.\n\nThus, rather than simply signalling a return to na\u00efve modernist ideological positions, metamodernism considers that our era is characterised by an oscillation between aspects of both modernism and postmodernism. We see this manifest as a kind of informed naivety, a pragmatic idealism, a moderate fanaticism, oscillating between sincerity and irony, deconstruction and construction, apathy and affect, attempting to attain some sort of transcendent position, as if such a thing were within our grasp. The metamodern generation understands that we can be both ironic and sincere in the same moment; that one does not necessarily diminish the other.\n\nThe use of the prefix meta here derives from Plato's metaxis, describing an oscillation and simultaneity between and beyond diametrically opposed poles.\n\nAs Vermeulen and van den Akker put it, metamodernism\u2019s oscillation should not be thought of as a balance; \u201crather, it is a pendulum swinging between 2, 3, 5, 10, innumerable poles. Each time the metamodern enthusiasm swings toward fanaticism, gravity pulls it back toward irony; the moment its irony sways toward apathy, gravity pulls it back toward enthusiasm.\u201d\nThis metamodern sensibility can be discerned in, for example, the films of Wes Anderson, Miranda July, and Spike Jonze; in the music of Arcade Fire, Bill Callahan, and Future Islands; in TV shows from Parks and Recreation to Breaking Bad; in the novels of David Foster Wallace, Zadie Smith, and Roberto Bola\u00f1o; the poetry of Jasmine Dreame Wagner, Sophie Collins, and Melissa Broder\u2019s quasi-mystical multimedia NewHive offerings. In the visual arts, we have seen a shift away from the insubstantial conceptual one-liners of the YBAs, or Jeff Koons\u2019s vacuously overinflated ironic baubles, towards a reengagement with materiality, affect and the sublime, found in the work of artists like Olafur Eliasson, Peter Doig, and Guido van der Werve.\n\nHowever, metamodewrn istself is not intended as a philosophy or an art movement, since it does not define or delineate a closed system of thought, or dictate any particular set of aesthetic values or methodologies. It is not a manifesto.\n\nMetamodernism does not, then, propose any kind of utopian vision, although it does describe the climate in which a yearning for utopias, despire their futile nature, has come to the fore. \n\nThe metamodernin discourse is thus descriptive rather than presceiptive.", "title" : "Metamodernism: A Brief Introduction", "type" : "webpage" }, "uris" : [ "http://www.mendeley.com/documents/?uuid=3e944053-ae87-4188-9aa7-e709f782ca0d" ] } ], "mendeley" : { "formattedCitation" : "Turner, \u2018Metamodernism: A Brief Introduction\u2019.", "plainTextFormattedCitation" : "Turner, \u2018Metamodernism: A Brief Introduction\u2019.", "previouslyFormattedCitation" : "Turner, \u2018Metamodernism: A Brief Introduction\u2019."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Turner, ‘Metamodernism: A Brief Introduction’.</w:t>
      </w:r>
      <w:r w:rsidRPr="00505CF0">
        <w:rPr>
          <w:rFonts w:asciiTheme="majorBidi" w:hAnsiTheme="majorBidi" w:cstheme="majorBidi"/>
        </w:rPr>
        <w:fldChar w:fldCharType="end"/>
      </w:r>
    </w:p>
  </w:footnote>
  <w:footnote w:id="314">
    <w:p w14:paraId="77AF19F5" w14:textId="512BEA84" w:rsidR="00054009" w:rsidRPr="00811F2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instrText>
      </w:r>
      <w:r w:rsidRPr="00FE7EAF">
        <w:rPr>
          <w:rFonts w:asciiTheme="majorBidi" w:hAnsiTheme="majorBidi" w:cstheme="majorBidi"/>
          <w:lang w:val="nl-NL"/>
        </w:rPr>
        <w:instrText>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"65", "uris" : [ "http://www.mendeley.com/documents/?uuid=7800a0be-17ee-443b-8427-7c803ab7a556" ] } ], "mendeley" : { "formattedCitation" : "Vermeulen and van den Akker, \u2018Utopia, Sort of\u2019, p. 65.", "plainTextFormattedCitation" : "Vermeulen and van den Akker, \u2018Utopia, Sort of\u2019, p. 65.", "previouslyFormattedCitation" : "Vermeulen and van den Akker, \u2018Utopia, Sort of\u2019, p. 65." }, "properties" : { "noteIndex" : 0 }, "schema" : "https://github.com/citation-style-language/schema/raw/master/csl-citation.json" }</w:instrText>
      </w:r>
      <w:r w:rsidRPr="00505CF0">
        <w:rPr>
          <w:rFonts w:asciiTheme="majorBidi" w:hAnsiTheme="majorBidi" w:cstheme="majorBidi"/>
        </w:rPr>
        <w:fldChar w:fldCharType="separate"/>
      </w:r>
      <w:r w:rsidRPr="00811F20">
        <w:rPr>
          <w:rFonts w:asciiTheme="majorBidi" w:hAnsiTheme="majorBidi" w:cstheme="majorBidi"/>
          <w:noProof/>
          <w:lang w:val="nl-NL"/>
        </w:rPr>
        <w:t>Vermeulen and van den Akker, ‘Utopia, Sort of’, p. 65.</w:t>
      </w:r>
      <w:r w:rsidRPr="00505CF0">
        <w:rPr>
          <w:rFonts w:asciiTheme="majorBidi" w:hAnsiTheme="majorBidi" w:cstheme="majorBidi"/>
        </w:rPr>
        <w:fldChar w:fldCharType="end"/>
      </w:r>
    </w:p>
  </w:footnote>
  <w:footnote w:id="315">
    <w:p w14:paraId="4D3219AB" w14:textId="49FA3C58" w:rsidR="00054009" w:rsidRPr="00811F20" w:rsidRDefault="00054009">
      <w:pPr>
        <w:pStyle w:val="FootnoteText"/>
        <w:rPr>
          <w:i/>
          <w:iCs/>
        </w:rPr>
      </w:pPr>
      <w:r>
        <w:rPr>
          <w:rStyle w:val="FootnoteReference"/>
        </w:rPr>
        <w:footnoteRef/>
      </w:r>
      <w:r w:rsidRPr="00FE7EAF">
        <w:rPr>
          <w:lang w:val="nl-NL"/>
        </w:rPr>
        <w:t xml:space="preserve"> </w:t>
      </w:r>
      <w:r w:rsidRPr="00FE7EAF">
        <w:rPr>
          <w:i/>
          <w:iCs/>
          <w:lang w:val="nl-NL"/>
        </w:rPr>
        <w:t xml:space="preserve">ACO: See Chapter 1 in this volume. </w:t>
      </w:r>
      <w:r w:rsidRPr="00811F20">
        <w:rPr>
          <w:i/>
          <w:iCs/>
        </w:rPr>
        <w:t xml:space="preserve">Incidentally </w:t>
      </w:r>
      <w:r w:rsidRPr="00811F20">
        <w:rPr>
          <w:rFonts w:asciiTheme="majorBidi" w:hAnsiTheme="majorBidi" w:cstheme="majorBidi"/>
          <w:i/>
          <w:iCs/>
        </w:rPr>
        <w:t xml:space="preserve">William Allen, then, it seems, was part of a large party of venture capitalists who set sale for some of the darkest reaches of the North Pole, chasing rumours of vast oil frozen miraculously in the ice there. Instead, Allan found himself alone at some point in the harsh northern clime, and witness to a cult of all-male Esquimaux ritually abusing and killing all manner of captured women and children of the non-Esquimaux blood. The sight of their odd chartreuse eyes as they murdered these </w:t>
      </w:r>
      <w:proofErr w:type="gramStart"/>
      <w:r w:rsidRPr="00811F20">
        <w:rPr>
          <w:rFonts w:asciiTheme="majorBidi" w:hAnsiTheme="majorBidi" w:cstheme="majorBidi"/>
          <w:i/>
          <w:iCs/>
        </w:rPr>
        <w:t>innocents,</w:t>
      </w:r>
      <w:proofErr w:type="gramEnd"/>
      <w:r w:rsidRPr="00811F20">
        <w:rPr>
          <w:rFonts w:asciiTheme="majorBidi" w:hAnsiTheme="majorBidi" w:cstheme="majorBidi"/>
          <w:i/>
          <w:iCs/>
        </w:rPr>
        <w:t xml:space="preserve"> is of particular note, given Southward’s own famously yellow irises. I seem to see them everywhere around me at the moment, reflections of yellow eyes.</w:t>
      </w:r>
    </w:p>
  </w:footnote>
  <w:footnote w:id="316">
    <w:p w14:paraId="1383B429" w14:textId="42F7C5A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811F2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"65", "uris" : [ "http://www.mendeley.com/documents/?uuid=7800a0be-17ee-443b-8427-7c803ab7a556" ] } ], "mendeley" : { "formattedCitation" : "Vermeulen and van den Akker, \u2018Utopia, Sort of\u2019, p. 65.", "plainTextFormattedCitation" : "Vermeulen and van den Akker, \u2018Utopia, Sort of\u2019, p. 65.", "previouslyFormattedCitation" : "Vermeulen and van den Akker, \u2018Utopia, Sort of\u2019, p. 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‘Utopia, Sort of’, p. 65.</w:t>
      </w:r>
      <w:r w:rsidRPr="00505CF0">
        <w:rPr>
          <w:rFonts w:asciiTheme="majorBidi" w:hAnsiTheme="majorBidi" w:cstheme="majorBidi"/>
        </w:rPr>
        <w:fldChar w:fldCharType="end"/>
      </w:r>
      <w:r w:rsidRPr="00505CF0">
        <w:rPr>
          <w:rFonts w:asciiTheme="majorBidi" w:hAnsiTheme="majorBidi" w:cstheme="majorBidi"/>
        </w:rPr>
        <w:t xml:space="preserve"> </w:t>
      </w:r>
    </w:p>
  </w:footnote>
  <w:footnote w:id="317">
    <w:p w14:paraId="3EA33F85" w14:textId="77777777" w:rsidR="00054009" w:rsidRPr="00505CF0" w:rsidRDefault="00054009" w:rsidP="00C111D3">
      <w:pPr>
        <w:pStyle w:val="FootnoteText"/>
        <w:rPr>
          <w:rFonts w:asciiTheme="majorBidi" w:hAnsiTheme="majorBidi" w:cstheme="majorBidi"/>
          <w:i/>
          <w:iCs/>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i/>
          <w:iCs/>
        </w:rPr>
        <w:t>…pation</w:t>
      </w:r>
    </w:p>
  </w:footnote>
  <w:footnote w:id="318">
    <w:p w14:paraId="17C894C1" w14:textId="6637B9CB"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To paraphrase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"http://www.metamodernism.com/2014/03/25/the-selvage-of-incoherence/", "accessed" : { "date-parts" : [ [ "2017", "11", "13" ] ] }, "author" : [ { "dropping-particle" : "", "family" : "Rowell", "given" : "Jenny", "non-dropping-particle" : "", "parse-names" : false, "suffix" : "" } ], "container-title" : "Notes on Metamodernism", "id" : "ITEM-1", "issued" : { "date-parts" : [ [ "2014" ] ] }, "note" : "At this point in time there is very little research concerning Metamodernist literature\u00a0and none at all suggesting that\u00a0The Interrogative Mood\u00a0is a Metamodern text.\u00a0\n\nIn\u00a0Strategies of the Metamodern, Metamodernist subjectivity is described as \u201cthe enactment of a truth that cannot be true, the establishment of a holistic, coherent identity that cannot exist\u201d\u00a0\n\nIn her article on Metamodernist subjectivity,\u00a0Notes on the State of the Subject, Simone Stirner echos Eshelman\u2019s argument when she suggests that we, the (Metamodern) audience, are presented with \u201ccharacters who masquerade as coherent subjects\u201d (2-3). Stirner further argues that these subjects \u201care innovative figures who step into the scene with a quirkiness that, perhaps precisely because of their idiosyncratic authenticity, renders possible a new relation between literary hero and recipient\u201d\n\nThe Metamodernist subject, in general, is different from both that of Modernist and Postmodernist subjects, in its demand of faith in a coherent identity, in truth and the simultaneous deconstruction of that same identity, of that same truth. In\u00a0The Interrogative Mood, specifically, Metamodernist subjectivity opens the barriers between author, text and reader, which, in turn, creates a boundless relationship between the three elements.\n\nThe intertextual paradigm that is created by Metamodernism, by\u00a0The Interrogative Mood,\u00a0requires an acceptance of both the death of the author as well as the validity of authorial intention. It requires both the acceptance of a linear intertextuality, where texts rely on other texts for interpretation, and a multidimensional one, where meanings are derived from a multitude of spaces, including both the author and the readers\u2019 historical, biographical and psychological backgrounds. This paradigmatic shift requires the inclusion of both Modernist and Postmodernist ideologies.\n\nThe motifs, themes, symbolism and imagery that are expressed in\u00a0The Interrogative Mood\u00a0are reflective of Metamodernism\u2019s oscillating energy, its movement between differing states, modes and concepts. This oscillation can be found in the structure of\u00a0The Interrogative Mood, most notably in the juxtaposition of questions, as well as in the text\u2019s contents, in its symbolism, ideas and imagery.\u00a0\n\nThe creation of both-neither tension is achieved through the blending, Deconstruction, and subsequent reconstruction/rerouting of opposing or differing modes. For example, questions containing thought provoking and/or bizarre ideas are juxtaposed with questions containing elements that are comparatively frivolous and commonplace: \u201cWhat circumstances would you be required before you would attempt to garrote someone with a piano wire? Have you ever eaten a candy flower of the sort used to decorate commercial cakes?\u201d (Powell 84) and \u201cIf you contracted a disease that ate away your eyelids, would you shoot yourself? Could you live on a boat?\u201d (Powell 33). By positioning differing or opposing concepts side-by-side Powell Deconstructs the structure of the serious/frivolous dichotomy, which, in turn reconstructs/reroutes the movement of the concepts. In other words, concepts of the familiar, the commonplace oscillate together with those of the unfamiliar, the bizarre, if not in unity then, at least, in some form of equality.", "title" : "The Selvage of Incoherence", "type" : "webpage" }, "uris" : [ "http://www.mendeley.com/documents/?uuid=35c4e6a7-a507-4fca-97a0-dbd8fddf7bae" ] } ], "mendeley" : { "formattedCitation" : "Jenny Rowell, \u2018The Selvage of Incoherence\u2019, &lt;i&gt;Notes on Metamodernism&lt;/i&gt;, 2014 &lt;http://www.metamodernism.com/2014/03/25/the-selvage-of-incoherence/&gt; [accessed 13 November 2017].", "plainTextFormattedCitation" : "Jenny Rowell, \u2018The Selvage of Incoherence\u2019, Notes on Metamodernism, 2014  [accessed 13 November 2017].", "previouslyFormattedCitation" : "Jenny Rowell, \u2018The Selvage of Incoherence\u2019, &lt;i&gt;Notes on Metamodernism&lt;/i&gt;, 2014 &lt;http://www.metamodernism.com/2014/03/25/the-selvage-of-incoherence/&gt; [accessed 13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Jenny Rowell, ‘The Selvage of Incoherence’, </w:t>
      </w:r>
      <w:r w:rsidRPr="0025171E">
        <w:rPr>
          <w:rFonts w:asciiTheme="majorBidi" w:hAnsiTheme="majorBidi" w:cstheme="majorBidi"/>
          <w:i/>
          <w:noProof/>
        </w:rPr>
        <w:t>Notes on Metamodernism</w:t>
      </w:r>
      <w:r w:rsidRPr="0025171E">
        <w:rPr>
          <w:rFonts w:asciiTheme="majorBidi" w:hAnsiTheme="majorBidi" w:cstheme="majorBidi"/>
          <w:noProof/>
        </w:rPr>
        <w:t>, 2014 &lt;http://www.metamodernism.com/2014/03/25/the-selvage-of-incoherence/&gt; [accessed 13 November 2017].</w:t>
      </w:r>
      <w:r w:rsidRPr="00505CF0">
        <w:rPr>
          <w:rFonts w:asciiTheme="majorBidi" w:hAnsiTheme="majorBidi" w:cstheme="majorBidi"/>
        </w:rPr>
        <w:fldChar w:fldCharType="end"/>
      </w:r>
    </w:p>
  </w:footnote>
  <w:footnote w:id="319">
    <w:p w14:paraId="04FF75E0" w14:textId="210A869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"Gibbons", "given" : "Alison", "non-dropping-particle" : "", "parse-names" : false, "suffix" : "" } ], "container-title" : "Studia Neophilologica", "id" : "ITEM-1", "issue" : "sup1", "issued" : { "date-parts" : [ [ "2015" ] ] }, "note" : "that is, rather than aiming for a universal world which carries with it connotations of cultural standardization, the favored approach moves towards a pluriversal world which embraces critical dialogues of and between diversity p.37\n\nThese strands are not entirely disparate; the boundaries between them are\nfuzzy. While the present and future moment is read through differing inter- pretive lenses, taken together, these framings help to build a critical vision of the recent shift in commitments and the contemporary Jetztzeit that succeeds postmodernism. p.30\n\nDespite the growing prevalence of metamodernism as a term to denote the cultural Jetzteit of the late twentieth and early twenty- first centuries, a comprehensive study of the ways in which contemporary literature relates to the metamodern paradigm has yet to be written. \u00a0P.30 \n\nIn metamodernist writing, this means acknowledging our complicity in the state of global affairs (from intersubjective memories to awareness of our participation in various political, economic, and environmental networks: for instance, of capital in the purchase of commercial goods or of the ecological in our decisions to recycle or not). Stylistically, this humanist commitment can be seen in metamodernist fiction in the way writers employ perceptual deixis, free indirect discourse, and modes of address, particularly in their play with the possibilities of pronominal positioning. p.31-2\n\nWhile modernism was fuelled by an enthusiasm for utopian thinking and an enlightened idealization of reason, and while postmodernism rejects such opti- mism in favor of nihilistic irony and distrust, metamodernism is flavored by the simultaneous and paradoxical sense of hope and future failure. Irony in meta- modernist writing is, therefore, not a derisive apolitical performance but unre- servedly committed to both promises that the locutionary act sets forth, both the surface meaning and its intended opposite. p.32\n\nAnother means in which metamodernism achieves its oscillation is through the assimilation of high and low cultural references. As a technique this might appear rather postmodern, yet it is employed in metamodernist writing not merely to create eclectic textuality but to present juxtapositions that evoke a reflection on contemporary culture. Similarly, metamodernist writing often contains everyday references, such as the explicit use of brand names, in a cloaked acknowledgement and criticism of commercialized culture. p.32\n\nLike many metamodernist writers, Thirlwell sees form and style as central in enabling literature to engage with world affairs. p.35\n\nThe intermixing of different registers often found in metamodernist writing is\nalso at work in this passage. p.37\n\nAll of this, really, returns to Thirlwell\u2019s metamodernist critique of the real and\nunreal, the way in which the prolific reshaping of events by media discourses, such as television news reporting, prevent us from really knowing what is going on in the world. p.38\n\nKapow! is metamodernist in its use of stylistic devices \u2013 namely heterochronic spatio-temporal deixis, second- person address, intermixing of high and low register and code-switching \u2013 to express its aesth-ethical commitment: a refusal to accept the current state of the world, asking readers instead to think critically and defiantly about the ways in which world events are connected and how their own involvement figures in such a world. Metamodernist writing does not neglect issues of global ethics. p.40-1\n\nMetamodernist writing hints at a future of literature and literary innovation that uses stylistic forms not for innovation\u2019s sake. Instead, metamodernism offers a literature that is accountable, just as we ourselves are accountable. p.41", "page" : "29-43", "title" : "\u201cTake that you intellectuals!\u201d and \u201ckaPOW!\u201d: Adam Thirlwell and the Metamodernist Future of Style", "type" : "article-journal", "volume" : "87" }, "locator" : "30", "uris" : [ "http://www.mendeley.com/documents/?uuid=267e3d87-4d96-4457-a46c-6b97dbdd44cd" ] } ], "mendeley" : { "formattedCitation" : "Alison Gibbons, \u2018\u201cTake That You Intellectuals!\u201d and \u201ckaPOW!\u201d: Adam Thirlwell and the Metamodernist Future of Style\u2019, &lt;i&gt;Studia Neophilologica&lt;/i&gt;, 87 (2015), 29\u201343 (p. 30) &lt;http://www.tandfonline.com/doi/full/10.1080/00393274.2014.981959&gt;.", "manualFormatting" : "Alison Gibbons, \u2018\u201cTake That You Intellectuals!\u201d and \u201ckaPOW!\u201d: Adam Thirlwell and the Metamodernist Future of Style\u2019, Studia Neophilologica, 87 (2015), 29\u201343 (p. 30).", "plainTextFormattedCitation" : "Alison Gibbons, \u2018\u201cTake That You Intellectuals!\u201d and \u201ckaPOW!\u201d: Adam Thirlwell and the Metamodernist Future of Style\u2019, Studia Neophilologica, 87 (2015), 29\u201343 (p. 30) .", "previouslyFormattedCitation" : "Alison Gibbons, \u2018\u201cTake That You Intellectuals!\u201d and \u201ckaPOW!\u201d: Adam Thirlwell and the Metamodernist Future of Style\u2019, &lt;i&gt;Studia Neophilologica&lt;/i&gt;, 87 (2015), 29\u201343 (p. 30) &lt;http://www.tandfonline.com/doi/full/10.1080/00393274.2014.981959&gt;."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Alison Gibbons, ‘“Take That You Intellectuals!” and “kaPOW!”: Adam Thirlwell and the Metamodernist Future of Style’, </w:t>
      </w:r>
      <w:r w:rsidRPr="00505CF0">
        <w:rPr>
          <w:rFonts w:asciiTheme="majorBidi" w:hAnsiTheme="majorBidi" w:cstheme="majorBidi"/>
          <w:i/>
          <w:noProof/>
        </w:rPr>
        <w:t>Studia Neophilologica</w:t>
      </w:r>
      <w:r w:rsidRPr="00505CF0">
        <w:rPr>
          <w:rFonts w:asciiTheme="majorBidi" w:hAnsiTheme="majorBidi" w:cstheme="majorBidi"/>
          <w:noProof/>
        </w:rPr>
        <w:t>, 87 (2015), 29–43 (p. 30).</w:t>
      </w:r>
      <w:r w:rsidRPr="00505CF0">
        <w:rPr>
          <w:rFonts w:asciiTheme="majorBidi" w:hAnsiTheme="majorBidi" w:cstheme="majorBidi"/>
        </w:rPr>
        <w:fldChar w:fldCharType="end"/>
      </w:r>
    </w:p>
  </w:footnote>
  <w:footnote w:id="320">
    <w:p w14:paraId="5759C9F8"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 potentially metamodern double-bind in and of itself here: the awareness of my own status as an early-career researcher and the belief in the argument to be presented. I find myself swinging between Modern idealism and Postmodern cynicism, with a desire for this work to be taken seriously and perhaps built </w:t>
      </w:r>
      <w:proofErr w:type="gramStart"/>
      <w:r w:rsidRPr="00505CF0">
        <w:rPr>
          <w:rFonts w:asciiTheme="majorBidi" w:hAnsiTheme="majorBidi" w:cstheme="majorBidi"/>
        </w:rPr>
        <w:t>upon  in</w:t>
      </w:r>
      <w:proofErr w:type="gramEnd"/>
      <w:r w:rsidRPr="00505CF0">
        <w:rPr>
          <w:rFonts w:asciiTheme="majorBidi" w:hAnsiTheme="majorBidi" w:cstheme="majorBidi"/>
        </w:rPr>
        <w:t xml:space="preserve"> direct competition with the cynical criticism from more senior academics that is sure to follow. Still, all academic critics must feel this when suggesting a new argument, no? Finding themselves stuck between their own belief in the value of the work that they have researched contrasting with the knowledge that it is an ultimately flawed human endeavour perhaps useful only as a career stepping-stone, or far too academically minded to make a true difference to society. An attempt, nonetheless, despite itself.</w:t>
      </w:r>
    </w:p>
  </w:footnote>
  <w:footnote w:id="321">
    <w:p w14:paraId="2AA626C1" w14:textId="58DC4B4D"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"http://www.metamodernism.com/2015/04/02/oscillating-towards-the-sublime-2/", "accessed" : { "date-parts" : [ [ "2017", "10", "30" ] ] }, "author" : [ { "dropping-particle" : "", "family" : "Binney", "given" : "Sara Helen", "non-dropping-particle" : "", "parse-names" : false, "suffix" : "" } ], "container-title" : "Notes on Metamodernism", "id" : "ITEM-1", "issued" : { "date-parts" : [ [ "2015" ] ] }, "note" : "Postmodernism is dead, but its successor has not yet been crowned. Attributes of that successor have, however, begin to be elucidated. Among them is the idea that, after the skepticism of postmodernism, interest is re-emerging in the inexplicable, in the things that cannot be encompassed rationally. \n\nThe questioning of the Enlightenment idea that it is possible to have &amp;quot;confidence in the absolute and indisputable command of enlightened human understanding to analyse and account for each and every phenomenon it encounters.&amp;quot;\n\nAt the same time, other strategies for retelling folk tales are appearing. In novels as disparate as\u00a0The Snow Child\u00a0by Eowyn Ivey (2012) and\u00a0Orkney\u00a0by Amy Sackville (2013), folklore is used to a completely different effect. These novels problematise the supernatural elements of the folklore they engage with to the extent that the characters and often the reader are unsure whether the magic described in the novel is real, or if it is all in the mind of the first-person narrator or focalising character.\n\nhe sublime was defined by Kant in the 18th\u00a0century as a short-lived feeling of terror and delight, of pleasurable pain. A sublime feeling is provoked by something vast or infinite, like the sight of a mountain or the view of a distant thunderstorm. He described it as a \u201cmomentary checking of the vital powers\u201d, a temporary pause which gives way to a revelation of the power of reason. [...] this movement is an oscillation from the self to something greater and back to a renewed understanding of self. It moves in a similar manner to the metamodern pendulum described by Vermeulen and Akker.\n\nThe way George encounters beauty is similar to what Raoul Eshelman describes as \u2018Kant with a club\u2019, or persuasion through aesthetics: if something is beautiful enough the recipient will be drawn to it in defiance of its impossibility\n\nthe sublime exists as a momentary irruption of awe and wonder in an otherwise unremarkable setting. \n\nThe contemporary fiction which creates [enchantment literature] is built on folkloric narratives and furnisdhed in the fantastic mode. The effect of inhabiting them is a sense of sublimity.", "title" : "Oscillating Towards the Sublime", "type" : "webpage" }, "uris" : [ "http://www.mendeley.com/documents/?uuid=3c142b86-3914-4447-a231-1e6534c5778f" ] } ], "mendeley" : { "formattedCitation" : "Sara Helen Binney, \u2018Oscillating Towards the Sublime\u2019, &lt;i&gt;Notes on Metamodernism&lt;/i&gt;, 2015 &lt;http://www.metamodernism.com/2015/04/02/oscillating-towards-the-sublime-2/&gt; [accessed 30 October 2017].", "plainTextFormattedCitation" : "Sara Helen Binney, \u2018Oscillating Towards the Sublime\u2019, Notes on Metamodernism, 2015  [accessed 30 October 2017].", "previouslyFormattedCitation" : "Sara Helen Binney, \u2018Oscillating Towards the Sublime\u2019, &lt;i&gt;Notes on Metamodernism&lt;/i&gt;, 2015 &lt;http://www.metamodernism.com/2015/04/02/oscillating-towards-the-sublime-2/&gt; [accessed 30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Sara Helen Binney, ‘Oscillating Towards the Sublime’, </w:t>
      </w:r>
      <w:r w:rsidRPr="0025171E">
        <w:rPr>
          <w:rFonts w:asciiTheme="majorBidi" w:hAnsiTheme="majorBidi" w:cstheme="majorBidi"/>
          <w:i/>
          <w:noProof/>
        </w:rPr>
        <w:t>Notes on Metamodernism</w:t>
      </w:r>
      <w:r w:rsidRPr="0025171E">
        <w:rPr>
          <w:rFonts w:asciiTheme="majorBidi" w:hAnsiTheme="majorBidi" w:cstheme="majorBidi"/>
          <w:noProof/>
        </w:rPr>
        <w:t>, 2015 &lt;http://www.metamodernism.com/2015/04/02/oscillating-towards-the-sublime-2/&gt; [accessed 30 October 2017].</w:t>
      </w:r>
      <w:r w:rsidRPr="00505CF0">
        <w:rPr>
          <w:rFonts w:asciiTheme="majorBidi" w:hAnsiTheme="majorBidi" w:cstheme="majorBidi"/>
        </w:rPr>
        <w:fldChar w:fldCharType="end"/>
      </w:r>
    </w:p>
  </w:footnote>
  <w:footnote w:id="322">
    <w:p w14:paraId="43299706" w14:textId="2F1C8A8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majority of current criticism on metamodern literature is found online, specifically on the website established by Vermeulen and van den Akker themselves as a platform for explorations of the metamodern (metamodernism.com). Though, it should be noted, a critical collection of essays surrounding the metamodern, and its potential effect and representation within literature, is forthcoming in the form of </w:t>
      </w:r>
      <w:r w:rsidRPr="00505CF0">
        <w:rPr>
          <w:rFonts w:asciiTheme="majorBidi" w:hAnsiTheme="majorBidi" w:cstheme="majorBidi"/>
          <w:i/>
          <w:iCs/>
        </w:rPr>
        <w:t>Metamodernism: Historicity, Affect, and Depth after postmodernism</w:t>
      </w:r>
      <w:r w:rsidRPr="00505CF0">
        <w:rPr>
          <w:rFonts w:asciiTheme="majorBidi" w:hAnsiTheme="majorBidi" w:cstheme="majorBidi"/>
        </w:rPr>
        <w:t>, edited by Van den Akker, Alison Gibbons, and Vermeulen.</w:t>
      </w:r>
    </w:p>
  </w:footnote>
  <w:footnote w:id="323">
    <w:p w14:paraId="2D93A403" w14:textId="49142F5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"http://www.metamodernism.com/2015/04/02/oscillating-towards-the-sublime-2/", "accessed" : { "date-parts" : [ [ "2017", "10", "30" ] ] }, "author" : [ { "dropping-particle" : "", "family" : "Binney", "given" : "Sara Helen", "non-dropping-particle" : "", "parse-names" : false, "suffix" : "" } ], "container-title" : "Notes on Metamodernism", "id" : "ITEM-1", "issued" : { "date-parts" : [ [ "2015" ] ] }, "note" : "Postmodernism is dead, but its successor has not yet been crowned. Attributes of that successor have, however, begin to be elucidated. Among them is the idea that, after the skepticism of postmodernism, interest is re-emerging in the inexplicable, in the things that cannot be encompassed rationally. \n\nThe questioning of the Enlightenment idea that it is possible to have &amp;quot;confidence in the absolute and indisputable command of enlightened human understanding to analyse and account for each and every phenomenon it encounters.&amp;quot;\n\nAt the same time, other strategies for retelling folk tales are appearing. In novels as disparate as\u00a0The Snow Child\u00a0by Eowyn Ivey (2012) and\u00a0Orkney\u00a0by Amy Sackville (2013), folklore is used to a completely different effect. These novels problematise the supernatural elements of the folklore they engage with to the extent that the characters and often the reader are unsure whether the magic described in the novel is real, or if it is all in the mind of the first-person narrator or focalising character.\n\nhe sublime was defined by Kant in the 18th\u00a0century as a short-lived feeling of terror and delight, of pleasurable pain. A sublime feeling is provoked by something vast or infinite, like the sight of a mountain or the view of a distant thunderstorm. He described it as a \u201cmomentary checking of the vital powers\u201d, a temporary pause which gives way to a revelation of the power of reason. [...] this movement is an oscillation from the self to something greater and back to a renewed understanding of self. It moves in a similar manner to the metamodern pendulum described by Vermeulen and Akker.\n\nThe way George encounters beauty is similar to what Raoul Eshelman describes as \u2018Kant with a club\u2019, or persuasion through aesthetics: if something is beautiful enough the recipient will be drawn to it in defiance of its impossibility\n\nthe sublime exists as a momentary irruption of awe and wonder in an otherwise unremarkable setting. \n\nThe contemporary fiction which creates [enchantment literature] is built on folkloric narratives and furnisdhed in the fantastic mode. The effect of inhabiting them is a sense of sublimity.", "title" : "Oscillating Towards the Sublime", "type" : "webpage" }, "uris" : [ "http://www.mendeley.com/documents/?uuid=3c142b86-3914-4447-a231-1e6534c5778f" ] } ], "mendeley" : { "formattedCitation" : "Binney.", "plainTextFormattedCitation" : "Binney.", "previouslyFormattedCitation" : "Binney."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Binney.</w:t>
      </w:r>
      <w:r w:rsidRPr="00505CF0">
        <w:rPr>
          <w:rFonts w:asciiTheme="majorBidi" w:hAnsiTheme="majorBidi" w:cstheme="majorBidi"/>
        </w:rPr>
        <w:fldChar w:fldCharType="end"/>
      </w:r>
    </w:p>
  </w:footnote>
  <w:footnote w:id="324">
    <w:p w14:paraId="1407D0F9" w14:textId="0875FE8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"http://www.metamodernism.com/2015/10/21/reconstruction-metamodern-transcendence-and-the-return-of-myth/", "accessed" : { "date-parts" : [ [ "2017", "10", "30" ] ] }, "author" : [ { "dropping-particle" : "", "family" : "Dempsey", "given" : "Brendan", "non-dropping-particle" : "", "parse-names" : false, "suffix" : "" } ], "container-title" : "Notes on Metamodernism", "id" : "ITEM-1", "issued" : { "date-parts" : [ [ "2015" ] ] }, "note" : "Today, however, as postmodernism gives way to the 'new structure of feeling' called metamodernism, the transcendent and archetypal impulse [of reliance on grand narratives] is seeing a resurgence. Myth and grand narratyives are receiving a second look and, from a honce-homed focus on contingency and context, interests in the 'timeless' and 'universal' are again finding energetic expression. Has transcendence become viable once more - or has it been reconceived?\n\nThis post-postmodern ethos, eschewing both the naive metaphyscial systems of the past as well as the superficial materialism of postmodernity, has occasioned a project of reconstruction - one in which new myths and paradigmatic models are now being artfully crafted for the twenty-first century.\n\nIn this dichotomy [between immanent/transcendant] the immanent denotes essentially the physical world as such, the doman of empirical phenomenon and of our sense perceptions. The Transcendent, by contrast, posits a meta-physcial reality, which exists beyond or outside of the material world, more fundamental in vantage and essence.\n\nWith the recent ebb of typically postmodenr sensibilities and the rise odf a new generation - one reacting not only against a discredited notion of transcendence by also against the unfulfilling shallowness and existential disorientation caused by postmodern surface - we enter a new period: a metamodern period, whose structure of feeling is charazterized by a sort of 'oscillation' between these two poles.\n\nThe construction of entirelt new paradigmatic models, which, because knowingly created, seem to operate as much as works of art, as myth.", "title" : "[Re]construction: Metamodern 'Transcendence' and the Return of Myth", "type" : "webpage" }, "uris" : [ "http://www.mendeley.com/documents/?uuid=eec9641b-5fe1-4923-9ae6-f2d357b1081e" ] } ], "mendeley" : { "formattedCitation" : "Brendan Dempsey, \u2018[Re]construction: Metamodern \u201cTranscendence\u201d and the Return of Myth\u2019, &lt;i&gt;Notes on Metamodernism&lt;/i&gt;, 2015 &lt;http://www.metamodernism.com/2015/10/21/reconstruction-metamodern-transcendence-and-the-return-of-myth/&gt; [accessed 30 October 2017].", "plainTextFormattedCitation" : "Brendan Dempsey, \u2018[Re]construction: Metamodern \u201cTranscendence\u201d and the Return of Myth\u2019, Notes on Metamodernism, 2015  [accessed 30 October 2017].", "previouslyFormattedCitation" : "Brendan Dempsey, \u2018[Re]construction: Metamodern \u201cTranscendence\u201d and the Return of Myth\u2019, &lt;i&gt;Notes on Metamodernism&lt;/i&gt;, 2015 &lt;http://www.metamodernism.com/2015/10/21/reconstruction-metamodern-transcendence-and-the-return-of-myth/&gt; [accessed 30 October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Brendan Dempsey, ‘[Re]construction: Metamodern “Transcendence” and the Return of Myth’, </w:t>
      </w:r>
      <w:r w:rsidRPr="0025171E">
        <w:rPr>
          <w:rFonts w:asciiTheme="majorBidi" w:hAnsiTheme="majorBidi" w:cstheme="majorBidi"/>
          <w:i/>
          <w:noProof/>
        </w:rPr>
        <w:t>Notes on Metamodernism</w:t>
      </w:r>
      <w:r w:rsidRPr="0025171E">
        <w:rPr>
          <w:rFonts w:asciiTheme="majorBidi" w:hAnsiTheme="majorBidi" w:cstheme="majorBidi"/>
          <w:noProof/>
        </w:rPr>
        <w:t>, 2015 &lt;http://www.metamodernism.com/2015/10/21/reconstruction-metamodern-transcendence-and-the-return-of-myth/&gt; [accessed 30 October 2017].</w:t>
      </w:r>
      <w:r w:rsidRPr="00505CF0">
        <w:rPr>
          <w:rFonts w:asciiTheme="majorBidi" w:hAnsiTheme="majorBidi" w:cstheme="majorBidi"/>
        </w:rPr>
        <w:fldChar w:fldCharType="end"/>
      </w:r>
    </w:p>
  </w:footnote>
  <w:footnote w:id="325">
    <w:p w14:paraId="0AE897AF" w14:textId="05AD7F6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"5", "uris" : [ "http://www.mendeley.com/documents/?uuid=37cee22d-fca1-4238-abe8-c691b1335012" ] } ], "mendeley" : { "formattedCitation" : "Patrick Ness, &lt;i&gt;The Crane Wife&lt;/i&gt; (Edinburgh: Canongate Books, 2013), p. 5.", "plainTextFormattedCitation" : "Patrick Ness, The Crane Wife (Edinburgh: Canongate Books, 2013), p. 5.", "previouslyFormattedCitation" : "Patrick Ness, &lt;i&gt;The Crane Wife&lt;/i&gt; (Edinburgh: Canongate Books, 2013),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Patrick Ness, </w:t>
      </w:r>
      <w:r w:rsidRPr="00505CF0">
        <w:rPr>
          <w:rFonts w:asciiTheme="majorBidi" w:hAnsiTheme="majorBidi" w:cstheme="majorBidi"/>
          <w:i/>
          <w:noProof/>
        </w:rPr>
        <w:t>The Crane Wife</w:t>
      </w:r>
      <w:r w:rsidRPr="00505CF0">
        <w:rPr>
          <w:rFonts w:asciiTheme="majorBidi" w:hAnsiTheme="majorBidi" w:cstheme="majorBidi"/>
          <w:noProof/>
        </w:rPr>
        <w:t xml:space="preserve"> (Edinburgh: Canongate Books, 2013), p. 5.</w:t>
      </w:r>
      <w:r w:rsidRPr="00505CF0">
        <w:rPr>
          <w:rFonts w:asciiTheme="majorBidi" w:hAnsiTheme="majorBidi" w:cstheme="majorBidi"/>
        </w:rPr>
        <w:fldChar w:fldCharType="end"/>
      </w:r>
    </w:p>
  </w:footnote>
  <w:footnote w:id="326">
    <w:p w14:paraId="180FC308" w14:textId="67C7004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"18", "uris" : [ "http://www.mendeley.com/documents/?uuid=37cee22d-fca1-4238-abe8-c691b1335012" ] } ], "mendeley" : { "formattedCitation" : "Ness, &lt;i&gt;The Crane Wife&lt;/i&gt;, p. 18.", "plainTextFormattedCitation" : "Ness, The Crane Wife, p. 18.", "previouslyFormattedCitation" : "Ness, &lt;i&gt;The Crane Wife&lt;/i&gt;, p. 18."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18.</w:t>
      </w:r>
      <w:r w:rsidRPr="00505CF0">
        <w:rPr>
          <w:rFonts w:asciiTheme="majorBidi" w:hAnsiTheme="majorBidi" w:cstheme="majorBidi"/>
        </w:rPr>
        <w:fldChar w:fldCharType="end"/>
      </w:r>
    </w:p>
  </w:footnote>
  <w:footnote w:id="327">
    <w:p w14:paraId="2FB9D510" w14:textId="236AB3AB"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"http://www.metamodernism.com/2012/05/29/to-engage-in-literature/", "accessed" : { "date-parts" : [ [ "2017", "11", "13" ] ] }, "author" : [ { "dropping-particle" : "", "family" : "Fe\u00dfler", "given" : "Nadine", "non-dropping-particle" : "", "parse-names" : false, "suffix" : "" } ], "container-title" : "Notes on Metamodernism", "id" : "ITEM-1", "issued" : { "date-parts" : [ [ "2012" ] ] }, "note" : "the returns of\u00a0 ostensibly outdated concepts such as authenticity, ethics, engagement and aesthetics and what kind of themes are pushed to the foreground because of this.\n\n\u00a0contemporary literature does not dismiss postmodern ideas, but rather incorporates those ideas, though utilizing them for completely different outcomes, for example for installing authenticity or sincerity. One dominant strategy that is being pursued is to seek for ways to engage the reader again.\n\nIn a straightforward way Wallace points out the writer\u2019s responsibility to make the readers engage by allowing them simply no way out, by writing in such ways that makes it impossible not to care. It is precisely this that most contemporary literature tries to do. It tries to find ways that allow (or even force) the reader to be involved in what is presented to them, without falling back into a distanced mode.\u00a0\n\nAs McEwan does in\u00a0Atonement, A.S. Byatt in\u00a0Possession\u00a0or Margaret Atwood in\u00a0The Blind Assassin, she installs fiction as a powerful instrument that is used strategically by the protagonists rather than the protagonists being subjected to the overpowering nature of language and contextualization. The undecidability between fiction and reality that has been the clue of so many postmodern novels is not an issue anymore. Instead the value of aesthetics is highlighted by creating an emotional need in the reader for those kinds of aesthetic experiences (think for example of Yann Martel\u2019s\u00a0Life of Pi).\n\nThis revived interest in stories triggered a comeback of conventional literary forms like the historical novel, the realist novel or the family saga.\u00a0\n\nStrategies of fragmentation and destabilization are either left behind completely or given a smaller role in order to reintroduce a form of transcendence, a phenomenon that was significantly lacking in postmodern literature.\n\nFinishing with this last return, the return of transcendence, one could formulate a hypothesis: contemporary literature is trying to reintegrate precisely those themes and styles that postmodernism either was never interested in or was trying to get rid of. As a consequence, today\u2019s novelists are finding inventive ways to create refreshing narratives that allow those themes a comeback under very specific circumstances, and by doing so are enabling a going \u2018beyond\u2019 postmodernism.", "title" : "To engage in literature", "type" : "webpage" }, "uris" : [ "http://www.mendeley.com/documents/?uuid=ad6e6678-cc9f-4d1f-8dd0-c16b4cecb6da" ] } ], "mendeley" : { "formattedCitation" : "Nadine Fe\u00dfler, \u2018To Engage in Literature\u2019, &lt;i&gt;Notes on Metamodernism&lt;/i&gt;, 2012 &lt;http://www.metamodernism.com/2012/05/29/to-engage-in-literature/&gt; [accessed 13 November 2017].", "plainTextFormattedCitation" : "Nadine Fe\u00dfler, \u2018To Engage in Literature\u2019, Notes on Metamodernism, 2012  [accessed 13 November 2017].", "previouslyFormattedCitation" : "Nadine Fe\u00dfler, \u2018To Engage in Literature\u2019, &lt;i&gt;Notes on Metamodernism&lt;/i&gt;, 2012 &lt;http://www.metamodernism.com/2012/05/29/to-engage-in-literature/&gt; [accessed 13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Nadine Feßler, ‘To Engage in Literature’, </w:t>
      </w:r>
      <w:r w:rsidRPr="0025171E">
        <w:rPr>
          <w:rFonts w:asciiTheme="majorBidi" w:hAnsiTheme="majorBidi" w:cstheme="majorBidi"/>
          <w:i/>
          <w:noProof/>
        </w:rPr>
        <w:t>Notes on Metamodernism</w:t>
      </w:r>
      <w:r w:rsidRPr="0025171E">
        <w:rPr>
          <w:rFonts w:asciiTheme="majorBidi" w:hAnsiTheme="majorBidi" w:cstheme="majorBidi"/>
          <w:noProof/>
        </w:rPr>
        <w:t>, 2012 &lt;http://www.metamodernism.com/2012/05/29/to-engage-in-literature/&gt; [accessed 13 November 2017].</w:t>
      </w:r>
      <w:r w:rsidRPr="00505CF0">
        <w:rPr>
          <w:rFonts w:asciiTheme="majorBidi" w:hAnsiTheme="majorBidi" w:cstheme="majorBidi"/>
        </w:rPr>
        <w:fldChar w:fldCharType="end"/>
      </w:r>
    </w:p>
  </w:footnote>
  <w:footnote w:id="328">
    <w:p w14:paraId="072F8169" w14:textId="2C68F24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"304-5", "uris" : [ "http://www.mendeley.com/documents/?uuid=37cee22d-fca1-4238-abe8-c691b1335012" ] } ], "mendeley" : { "formattedCitation" : "Ness, &lt;i&gt;The Crane Wife&lt;/i&gt;, pp. 304\u20135.", "plainTextFormattedCitation" : "Ness, The Crane Wife, pp. 304\u20135.", "previouslyFormattedCitation" : "Ness, &lt;i&gt;The Crane Wife&lt;/i&gt;, pp. 304\u20135."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pp. 304–5.</w:t>
      </w:r>
      <w:r w:rsidRPr="00505CF0">
        <w:rPr>
          <w:rFonts w:asciiTheme="majorBidi" w:hAnsiTheme="majorBidi" w:cstheme="majorBidi"/>
        </w:rPr>
        <w:fldChar w:fldCharType="end"/>
      </w:r>
    </w:p>
  </w:footnote>
  <w:footnote w:id="329">
    <w:p w14:paraId="44844E45" w14:textId="27B9AF5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"124", "uris" : [ "http://www.mendeley.com/documents/?uuid=37cee22d-fca1-4238-abe8-c691b1335012" ] } ], "mendeley" : { "formattedCitation" : "Ness, &lt;i&gt;The Crane Wife&lt;/i&gt;, p. 124.", "plainTextFormattedCitation" : "Ness, The Crane Wife, p. 124.", "previouslyFormattedCitation" : "Ness, &lt;i&gt;The Crane Wife&lt;/i&gt;, p. 124."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124.</w:t>
      </w:r>
      <w:r w:rsidRPr="00505CF0">
        <w:rPr>
          <w:rFonts w:asciiTheme="majorBidi" w:hAnsiTheme="majorBidi" w:cstheme="majorBidi"/>
        </w:rPr>
        <w:fldChar w:fldCharType="end"/>
      </w:r>
    </w:p>
  </w:footnote>
  <w:footnote w:id="330">
    <w:p w14:paraId="22BB7E97" w14:textId="41A2D15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"51", "uris" : [ "http://www.mendeley.com/documents/?uuid=37cee22d-fca1-4238-abe8-c691b1335012" ] } ], "mendeley" : { "formattedCitation" : "Ness, &lt;i&gt;The Crane Wife&lt;/i&gt;, p. 51.", "plainTextFormattedCitation" : "Ness, The Crane Wife, p. 51.", "previouslyFormattedCitation" : "Ness, &lt;i&gt;The Crane Wife&lt;/i&gt;, p. 51."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51.</w:t>
      </w:r>
      <w:r w:rsidRPr="00505CF0">
        <w:rPr>
          <w:rFonts w:asciiTheme="majorBidi" w:hAnsiTheme="majorBidi" w:cstheme="majorBidi"/>
        </w:rPr>
        <w:fldChar w:fldCharType="end"/>
      </w:r>
    </w:p>
  </w:footnote>
  <w:footnote w:id="331">
    <w:p w14:paraId="0DF43250" w14:textId="37840DC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"152", "uris" : [ "http://www.mendeley.com/documents/?uuid=37cee22d-fca1-4238-abe8-c691b1335012" ] } ], "mendeley" : { "formattedCitation" : "Ness, &lt;i&gt;The Crane Wife&lt;/i&gt;, p. 152.", "plainTextFormattedCitation" : "Ness, The Crane Wife, p. 152.", "previouslyFormattedCitation" : "Ness, &lt;i&gt;The Crane Wife&lt;/i&gt;, p. 152."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152.</w:t>
      </w:r>
      <w:r w:rsidRPr="00505CF0">
        <w:rPr>
          <w:rFonts w:asciiTheme="majorBidi" w:hAnsiTheme="majorBidi" w:cstheme="majorBidi"/>
        </w:rPr>
        <w:fldChar w:fldCharType="end"/>
      </w:r>
    </w:p>
  </w:footnote>
  <w:footnote w:id="332">
    <w:p w14:paraId="6C3AD72A" w14:textId="7D202F9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"148", "uris" : [ "http://www.mendeley.com/documents/?uuid=37cee22d-fca1-4238-abe8-c691b1335012" ] } ], "mendeley" : { "formattedCitation" : "Ness, &lt;i&gt;The Crane Wife&lt;/i&gt;, p. 148.", "plainTextFormattedCitation" : "Ness, The Crane Wife, p. 148.", "previouslyFormattedCitation" : "Ness, &lt;i&gt;The Crane Wife&lt;/i&gt;, p. 148."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148.</w:t>
      </w:r>
      <w:r w:rsidRPr="00505CF0">
        <w:rPr>
          <w:rFonts w:asciiTheme="majorBidi" w:hAnsiTheme="majorBidi" w:cstheme="majorBidi"/>
        </w:rPr>
        <w:fldChar w:fldCharType="end"/>
      </w:r>
    </w:p>
  </w:footnote>
  <w:footnote w:id="333">
    <w:p w14:paraId="285D57A0" w14:textId="5C68472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"193", "uris" : [ "http://www.mendeley.com/documents/?uuid=37cee22d-fca1-4238-abe8-c691b1335012" ] } ], "mendeley" : { "formattedCitation" : "Ness, &lt;i&gt;The Crane Wife&lt;/i&gt;, p. 193.", "plainTextFormattedCitation" : "Ness, The Crane Wife, p. 193.", "previouslyFormattedCitation" : "Ness, &lt;i&gt;The Crane Wife&lt;/i&gt;, p. 193."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193.</w:t>
      </w:r>
      <w:r w:rsidRPr="00505CF0">
        <w:rPr>
          <w:rFonts w:asciiTheme="majorBidi" w:hAnsiTheme="majorBidi" w:cstheme="majorBidi"/>
        </w:rPr>
        <w:fldChar w:fldCharType="end"/>
      </w:r>
    </w:p>
  </w:footnote>
  <w:footnote w:id="334">
    <w:p w14:paraId="1FF76839" w14:textId="4C5F7EC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"97", "uris" : [ "http://www.mendeley.com/documents/?uuid=37cee22d-fca1-4238-abe8-c691b1335012" ] } ], "mendeley" : { "formattedCitation" : "Ness, &lt;i&gt;The Crane Wife&lt;/i&gt;, p. 97.", "plainTextFormattedCitation" : "Ness, The Crane Wife, p. 97.", "previouslyFormattedCitation" : "Ness, &lt;i&gt;The Crane Wife&lt;/i&gt;, p. 97."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97.</w:t>
      </w:r>
      <w:r w:rsidRPr="00505CF0">
        <w:rPr>
          <w:rFonts w:asciiTheme="majorBidi" w:hAnsiTheme="majorBidi" w:cstheme="majorBidi"/>
        </w:rPr>
        <w:fldChar w:fldCharType="end"/>
      </w:r>
    </w:p>
  </w:footnote>
  <w:footnote w:id="335">
    <w:p w14:paraId="7166170A" w14:textId="2290238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"96", "uris" : [ "http://www.mendeley.com/documents/?uuid=37cee22d-fca1-4238-abe8-c691b1335012" ] } ], "mendeley" : { "formattedCitation" : "Ness, &lt;i&gt;The Crane Wife&lt;/i&gt;, p. 96.", "plainTextFormattedCitation" : "Ness, The Crane Wife, p. 96.", "previouslyFormattedCitation" : "Ness, &lt;i&gt;The Crane Wife&lt;/i&gt;, p. 96."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96.</w:t>
      </w:r>
      <w:r w:rsidRPr="00505CF0">
        <w:rPr>
          <w:rFonts w:asciiTheme="majorBidi" w:hAnsiTheme="majorBidi" w:cstheme="majorBidi"/>
        </w:rPr>
        <w:fldChar w:fldCharType="end"/>
      </w:r>
    </w:p>
  </w:footnote>
  <w:footnote w:id="336">
    <w:p w14:paraId="748ECDA5" w14:textId="651B94E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"137", "uris" : [ "http://www.mendeley.com/documents/?uuid=37cee22d-fca1-4238-abe8-c691b1335012" ] } ], "mendeley" : { "formattedCitation" : "Ness, &lt;i&gt;The Crane Wife&lt;/i&gt;, p. 137.", "plainTextFormattedCitation" : "Ness, The Crane Wife, p. 137.", "previouslyFormattedCitation" : "Ness, &lt;i&gt;The Crane Wife&lt;/i&gt;, p. 137."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137.</w:t>
      </w:r>
      <w:r w:rsidRPr="00505CF0">
        <w:rPr>
          <w:rFonts w:asciiTheme="majorBidi" w:hAnsiTheme="majorBidi" w:cstheme="majorBidi"/>
        </w:rPr>
        <w:fldChar w:fldCharType="end"/>
      </w:r>
    </w:p>
  </w:footnote>
  <w:footnote w:id="337">
    <w:p w14:paraId="25742C41" w14:textId="7347C47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"151-2", "uris" : [ "http://www.mendeley.com/documents/?uuid=37cee22d-fca1-4238-abe8-c691b1335012" ] } ], "mendeley" : { "formattedCitation" : "Ness, &lt;i&gt;The Crane Wife&lt;/i&gt;, pp. 151\u20132.", "plainTextFormattedCitation" : "Ness, The Crane Wife, pp. 151\u20132.", "previouslyFormattedCitation" : "Ness, &lt;i&gt;The Crane Wife&lt;/i&gt;, pp. 151\u20132."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Ness, </w:t>
      </w:r>
      <w:r w:rsidRPr="0025171E">
        <w:rPr>
          <w:rFonts w:asciiTheme="majorBidi" w:hAnsiTheme="majorBidi" w:cstheme="majorBidi"/>
          <w:i/>
          <w:noProof/>
        </w:rPr>
        <w:t>The Crane Wife</w:t>
      </w:r>
      <w:r w:rsidRPr="0025171E">
        <w:rPr>
          <w:rFonts w:asciiTheme="majorBidi" w:hAnsiTheme="majorBidi" w:cstheme="majorBidi"/>
          <w:noProof/>
        </w:rPr>
        <w:t>, pp. 151–2.</w:t>
      </w:r>
      <w:r w:rsidRPr="00505CF0">
        <w:rPr>
          <w:rFonts w:asciiTheme="majorBidi" w:hAnsiTheme="majorBidi" w:cstheme="majorBidi"/>
        </w:rPr>
        <w:fldChar w:fldCharType="end"/>
      </w:r>
    </w:p>
  </w:footnote>
  <w:footnote w:id="338">
    <w:p w14:paraId="74D27015" w14:textId="1EE62740" w:rsidR="00054009" w:rsidRPr="0094764F" w:rsidRDefault="00054009" w:rsidP="00C111D3">
      <w:pPr>
        <w:pStyle w:val="FootnoteText"/>
        <w:rPr>
          <w:rFonts w:asciiTheme="majorBidi" w:hAnsiTheme="majorBidi" w:cstheme="majorBidi"/>
          <w:i/>
          <w:iCs/>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"163", "uris" : [ "http://www.mendeley.com/documents/?uuid=37cee22d-fca1-4238-abe8-c691b1335012" ] } ], "mendeley" : { "formattedCitation" : "Ness, &lt;i&gt;The Crane Wife&lt;/i&gt;, p. 163.", "plainTextFormattedCitation" : "Ness, The Crane Wife, p. 163.", "previouslyFormattedCitation" : "Ness, &lt;i&gt;The Crane Wife&lt;/i&gt;, p. 163."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163.</w:t>
      </w:r>
      <w:r w:rsidRPr="00505CF0">
        <w:rPr>
          <w:rFonts w:asciiTheme="majorBidi" w:hAnsiTheme="majorBidi" w:cstheme="majorBidi"/>
        </w:rPr>
        <w:fldChar w:fldCharType="end"/>
      </w:r>
    </w:p>
  </w:footnote>
  <w:footnote w:id="339">
    <w:p w14:paraId="4822D7DB" w14:textId="2D17EE59" w:rsidR="00054009" w:rsidRPr="00505CF0" w:rsidRDefault="00054009" w:rsidP="00C111D3">
      <w:pPr>
        <w:pStyle w:val="FootnoteText"/>
        <w:rPr>
          <w:rFonts w:asciiTheme="majorBidi" w:hAnsiTheme="majorBidi" w:cstheme="majorBidi"/>
        </w:rPr>
      </w:pPr>
      <w:r w:rsidRPr="0094764F">
        <w:rPr>
          <w:rStyle w:val="FootnoteReference"/>
          <w:rFonts w:asciiTheme="majorBidi" w:hAnsiTheme="majorBidi" w:cstheme="majorBidi"/>
          <w:i/>
          <w:iCs/>
        </w:rPr>
        <w:footnoteRef/>
      </w:r>
      <w:r w:rsidRPr="0094764F">
        <w:rPr>
          <w:rFonts w:asciiTheme="majorBidi" w:hAnsiTheme="majorBidi" w:cstheme="majorBidi"/>
          <w:i/>
          <w:iCs/>
        </w:rPr>
        <w:t xml:space="preserve"> ACO: For more, see Southward’s thoughts on the return of the sublime, as posited in his essay on 21</w:t>
      </w:r>
      <w:r w:rsidRPr="0094764F">
        <w:rPr>
          <w:rFonts w:asciiTheme="majorBidi" w:hAnsiTheme="majorBidi" w:cstheme="majorBidi"/>
          <w:i/>
          <w:iCs/>
          <w:vertAlign w:val="superscript"/>
        </w:rPr>
        <w:t>st</w:t>
      </w:r>
      <w:r w:rsidRPr="0094764F">
        <w:rPr>
          <w:rFonts w:asciiTheme="majorBidi" w:hAnsiTheme="majorBidi" w:cstheme="majorBidi"/>
          <w:i/>
          <w:iCs/>
        </w:rPr>
        <w:t xml:space="preserve"> century Gothic in Chapter 3: Southward vs Sublimity.</w:t>
      </w:r>
      <w:r w:rsidRPr="00505CF0">
        <w:rPr>
          <w:rFonts w:asciiTheme="majorBidi" w:hAnsiTheme="majorBidi" w:cstheme="majorBidi"/>
        </w:rPr>
        <w:t xml:space="preserve"> </w:t>
      </w:r>
    </w:p>
  </w:footnote>
  <w:footnote w:id="340">
    <w:p w14:paraId="7BBFBAB5" w14:textId="3E070E7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"141-2", "uris" : [ "http://www.mendeley.com/documents/?uuid=37cee22d-fca1-4238-abe8-c691b1335012" ] } ], "mendeley" : { "formattedCitation" : "Ness, &lt;i&gt;The Crane Wife&lt;/i&gt;, pp. 141\u20132.", "plainTextFormattedCitation" : "Ness, The Crane Wife, pp. 141\u20132.", "previouslyFormattedCitation" : "Ness, &lt;i&gt;The Crane Wife&lt;/i&gt;, pp. 141\u20132."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Ness, </w:t>
      </w:r>
      <w:r w:rsidRPr="0025171E">
        <w:rPr>
          <w:rFonts w:asciiTheme="majorBidi" w:hAnsiTheme="majorBidi" w:cstheme="majorBidi"/>
          <w:i/>
          <w:noProof/>
        </w:rPr>
        <w:t>The Crane Wife</w:t>
      </w:r>
      <w:r w:rsidRPr="0025171E">
        <w:rPr>
          <w:rFonts w:asciiTheme="majorBidi" w:hAnsiTheme="majorBidi" w:cstheme="majorBidi"/>
          <w:noProof/>
        </w:rPr>
        <w:t>, pp. 141–2.</w:t>
      </w:r>
      <w:r w:rsidRPr="00505CF0">
        <w:rPr>
          <w:rFonts w:asciiTheme="majorBidi" w:hAnsiTheme="majorBidi" w:cstheme="majorBidi"/>
        </w:rPr>
        <w:fldChar w:fldCharType="end"/>
      </w:r>
    </w:p>
  </w:footnote>
  <w:footnote w:id="341">
    <w:p w14:paraId="056A9CE8" w14:textId="6AA6A99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"43", "uris" : [ "http://www.mendeley.com/documents/?uuid=37cee22d-fca1-4238-abe8-c691b1335012" ] } ], "mendeley" : { "formattedCitation" : "Ness, &lt;i&gt;The Crane Wife&lt;/i&gt;, p. 43.", "plainTextFormattedCitation" : "Ness, The Crane Wife, p. 43.", "previouslyFormattedCitation" : "Ness, &lt;i&gt;The Crane Wife&lt;/i&gt;, p. 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 43.</w:t>
      </w:r>
      <w:r w:rsidRPr="00505CF0">
        <w:rPr>
          <w:rFonts w:asciiTheme="majorBidi" w:hAnsiTheme="majorBidi" w:cstheme="majorBidi"/>
        </w:rPr>
        <w:fldChar w:fldCharType="end"/>
      </w:r>
    </w:p>
  </w:footnote>
  <w:footnote w:id="342">
    <w:p w14:paraId="66121A2A" w14:textId="38F62C6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"uris" : [ "http://www.mendeley.com/documents/?uuid=9cfe2cdc-de7e-4a7d-bc9d-282fba435583" ] } ], "mendeley" : { "formattedCitation" : "Vermeulen and van den Akker, \u2018Notes on Metamodernism\u2019.", "plainTextFormattedCitation" : "Vermeulen and van den Akker, \u2018Notes on Metamodernism\u2019.", "previouslyFormattedCitation" : "Vermeulen and van den Akker, \u2018Notes on Metamodernism\u2019."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w:t>
      </w:r>
      <w:r w:rsidRPr="00505CF0">
        <w:rPr>
          <w:rFonts w:asciiTheme="majorBidi" w:hAnsiTheme="majorBidi" w:cstheme="majorBidi"/>
        </w:rPr>
        <w:fldChar w:fldCharType="end"/>
      </w:r>
    </w:p>
  </w:footnote>
  <w:footnote w:id="343">
    <w:p w14:paraId="5F82ABB3" w14:textId="76AA498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"58", "uris" : [ "http://www.mendeley.com/documents/?uuid=ae350723-72e2-4764-95d4-1723d1569ca9" ] } ], "mendeley" : { "formattedCitation" : "E.B. Hudspeth, &lt;i&gt;The Resurrectionist: The Lost Work of Dr. Spencer Black&lt;/i&gt; (Philadelphia: Quirk Books, 2013), p. 58.", "plainTextFormattedCitation" : "E.B. Hudspeth, The Resurrectionist: The Lost Work of Dr. Spencer Black (Philadelphia: Quirk Books, 2013), p. 58.", "previouslyFormattedCitation" : "E.B. Hudspeth, &lt;i&gt;The Resurrectionist: The Lost Work of Dr. Spencer Black&lt;/i&gt; (Philadelphia: Quirk Books, 2013), p. 58."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E.B. Hudspeth, </w:t>
      </w:r>
      <w:r w:rsidRPr="00505CF0">
        <w:rPr>
          <w:rFonts w:asciiTheme="majorBidi" w:hAnsiTheme="majorBidi" w:cstheme="majorBidi"/>
          <w:i/>
          <w:noProof/>
        </w:rPr>
        <w:t>The Resurrectionist: The Lost Work of Dr. Spencer Black</w:t>
      </w:r>
      <w:r w:rsidRPr="00505CF0">
        <w:rPr>
          <w:rFonts w:asciiTheme="majorBidi" w:hAnsiTheme="majorBidi" w:cstheme="majorBidi"/>
          <w:noProof/>
        </w:rPr>
        <w:t xml:space="preserve"> (Philadelphia: Quirk Books, 2013), p. 58.</w:t>
      </w:r>
      <w:r w:rsidRPr="00505CF0">
        <w:rPr>
          <w:rFonts w:asciiTheme="majorBidi" w:hAnsiTheme="majorBidi" w:cstheme="majorBidi"/>
        </w:rPr>
        <w:fldChar w:fldCharType="end"/>
      </w:r>
    </w:p>
  </w:footnote>
  <w:footnote w:id="344">
    <w:p w14:paraId="3301E831" w14:textId="6F1B011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"69, 79, 175", "uris" : [ "http://www.mendeley.com/documents/?uuid=ae350723-72e2-4764-95d4-1723d1569ca9" ] } ], "mendeley" : { "formattedCitation" : "Hudspeth, pp. 69, 79, 175.", "plainTextFormattedCitation" : "Hudspeth, pp. 69, 79, 175.", "previouslyFormattedCitation" : "Hudspeth, pp. 69, 79, 175."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pp. 69, 79, 175.</w:t>
      </w:r>
      <w:r w:rsidRPr="00505CF0">
        <w:rPr>
          <w:rFonts w:asciiTheme="majorBidi" w:hAnsiTheme="majorBidi" w:cstheme="majorBidi"/>
        </w:rPr>
        <w:fldChar w:fldCharType="end"/>
      </w:r>
    </w:p>
  </w:footnote>
  <w:footnote w:id="345">
    <w:p w14:paraId="6B35646F" w14:textId="695A702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"14", "uris" : [ "http://www.mendeley.com/documents/?uuid=ae350723-72e2-4764-95d4-1723d1569ca9" ] } ], "mendeley" : { "formattedCitation" : "Hudspeth, p. 14.", "plainTextFormattedCitation" : "Hudspeth, p. 14.", "previouslyFormattedCitation" : "Hudspeth, p. 14."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14.</w:t>
      </w:r>
      <w:r w:rsidRPr="00505CF0">
        <w:rPr>
          <w:rFonts w:asciiTheme="majorBidi" w:hAnsiTheme="majorBidi" w:cstheme="majorBidi"/>
        </w:rPr>
        <w:fldChar w:fldCharType="end"/>
      </w:r>
    </w:p>
  </w:footnote>
  <w:footnote w:id="346">
    <w:p w14:paraId="7A5ADED9" w14:textId="7C44810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"34", "uris" : [ "http://www.mendeley.com/documents/?uuid=ae350723-72e2-4764-95d4-1723d1569ca9" ] } ], "mendeley" : { "formattedCitation" : "Hudspeth, p. 34.", "plainTextFormattedCitation" : "Hudspeth, p. 34.", "previouslyFormattedCitation" : "Hudspeth, p. 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34.</w:t>
      </w:r>
      <w:r w:rsidRPr="00505CF0">
        <w:rPr>
          <w:rFonts w:asciiTheme="majorBidi" w:hAnsiTheme="majorBidi" w:cstheme="majorBidi"/>
        </w:rPr>
        <w:fldChar w:fldCharType="end"/>
      </w:r>
    </w:p>
  </w:footnote>
  <w:footnote w:id="347">
    <w:p w14:paraId="0B2413A9" w14:textId="030DD8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"52", "uris" : [ "http://www.mendeley.com/documents/?uuid=ae350723-72e2-4764-95d4-1723d1569ca9" ] } ], "mendeley" : { "formattedCitation" : "Hudspeth, p. 52.", "plainTextFormattedCitation" : "Hudspeth, p. 52.", "previouslyFormattedCitation" : "Hudspeth, p. 52."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52.</w:t>
      </w:r>
      <w:r w:rsidRPr="00505CF0">
        <w:rPr>
          <w:rFonts w:asciiTheme="majorBidi" w:hAnsiTheme="majorBidi" w:cstheme="majorBidi"/>
        </w:rPr>
        <w:fldChar w:fldCharType="end"/>
      </w:r>
    </w:p>
  </w:footnote>
  <w:footnote w:id="348">
    <w:p w14:paraId="0212F25F" w14:textId="253AA037" w:rsidR="00054009" w:rsidRPr="00505CF0" w:rsidRDefault="00054009" w:rsidP="00C111D3">
      <w:pPr>
        <w:pStyle w:val="FootnoteText"/>
        <w:rPr>
          <w:rFonts w:asciiTheme="majorBidi" w:hAnsiTheme="majorBidi" w:cstheme="majorBidi"/>
          <w:i/>
          <w:iCs/>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iCs/>
        </w:rPr>
        <w:t>ACO</w:t>
      </w:r>
      <w:r w:rsidRPr="00505CF0">
        <w:rPr>
          <w:rFonts w:asciiTheme="majorBidi" w:hAnsiTheme="majorBidi" w:cstheme="majorBidi"/>
          <w:i/>
          <w:iCs/>
        </w:rPr>
        <w:t>: It can also be noted that Black’s early medical career emphasises this all the more; he seeks to find an underlying meaning behind the seemingly random and unpredictable genetic mutations present in his patients – often those born with either less or more limbs than usual. His desire to explain this is clearly symbolic of a desire to add some form of explanation to random and seemingly cruel acts of nature. Meaning against the meaninglessness, depthiness against depthlessness.</w:t>
      </w:r>
    </w:p>
  </w:footnote>
  <w:footnote w:id="349">
    <w:p w14:paraId="2BE8CDED" w14:textId="2124C2A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i/>
          <w:iCs/>
        </w:rPr>
        <w:footnoteRef/>
      </w:r>
      <w:r w:rsidRPr="00505CF0">
        <w:rPr>
          <w:rFonts w:asciiTheme="majorBidi" w:hAnsiTheme="majorBidi" w:cstheme="majorBidi"/>
          <w:i/>
          <w:iCs/>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"http://www.e-flux.com/journal/the-new-depthiness/", "accessed" : { "date-parts" : [ [ "2015", "7", "14" ] ] }, "author" : [ { "dropping-particle" : "", "family" : "Vermeulen", "given" : "Timotheus", "non-dropping-particle" : "", "parse-names" : false, "suffix" : "" } ], "container-title" : "e-flux", "id" : "ITEM-1", "issued" : { "date-parts" : [ [ "2015" ] ] }, "note" : "Writing a decade into the twnty-first century, this History appears to have returned. In philosophy and art alike, notions of the behind and the beyond, the beneath and the inside, have reemerged.\n\n[current artists] study the simulation not as a model of/for reality, but as a diagram of posibilited [Literature as equipment for living], creating self-enclosed scenarios informed by reality but enacted in isolation from it, whose conclusions offer radical alternatives.\nImportantly, these philosophers, artists, and writers, each in their own distinct way, do not resuscitate depth as much as they resurrect its spirit. They understand that the depth Jameson referred to\u2014dialectics, psychoanalysis, existentialism\u2014has been flattened, or hollowed out. What they create instead are personal, alternative visions of depth, visions they invite us to share [...] Many contemporary thinkers and artists leave the dead corpus of depth untouched, whilst trying to reanimate its ghost.\n\nby 1991 the interest was in the surface itself rather than the substance behind or below it - fascination and practice hyperfocused on the glass more than the display, the giftwrapping more than the present. \n\n\u00a0In other words, when Jameson spoke about depthlessness, what he was talking about was not simply wrapping paper but a missing present; not a container without contents but a can of yogurt past its expiration date: whatever was once inside, it was no longer ingestible.4\u00a0The new depthlessness denoted not a coincidence but a consequence, the effect of years of\u2014depending on the discipline\u2014obstructing, flattening, cutting off, or hollowing out.\n\nIn contrast, Andy Warhol\u2019s\u00a0Diamond Dust Shoes(1980) communicated neither an authorial voice, nor a personal attitude or affect, nor a sense of the world it supposedly represented. The black-and-white photograph, with its shiny, isolated aesthetic, Jameson suggested, could allude to glamour magazines just as well as to a memory of the artist\u2019s mother, to shoes left over from Auschwitz or the remains of a dance hall fire. If Van Gogh\u2019s painting of peasant shoes pulled the viewer into another world of poverty and misery, Warhol\u2019s photo of pumps pushed the spectator out back into his own.\n\n\u00a0It is certainly true, however, that depthlessness was the \u201csupreme formal feature,\u201d as Jameson put it, in that it was a signifier of a sensibility that was more manifest than others. Just think back to the hit music of the time, to the hedonism of the Venga Boys or the desperation of Nirvana; to the bestselling books, like Brett Easton Ellis\u2019s\u00a0American Psycho\u00a0(1991), with its simulacral protagonist Patrick Bateman, \u201can idea, \u2026 some kind of abstraction but \u2026 no real [person],\u201d in whose eyes the reader could gaze, whose hands could be shaken, and whose flesh could be felt, but who was \u201csimply \u2026 not there\u201d\n\nThe first is that these metaphors concretize Jameson\u2019s abstract notions of depth, especially depthlessness, giving hands and feet to these amorphous bodies of thought. To say that something is depthless, after all, is not the same as suggesting that something is superficial. The first term acknowledges the possibility of depth whilst negating its actuality, whereas the second disavows it.\n\nWhat Baricco suggests, thus, is that the experiential registers of depth and depthlessness prescribe different modes of engagement: in the former you focus on one point in particular whilst in the latter you let your eyes scan over the surface; in the first you look for the special, in the second for the spectacular: the next wave, the next thrill.\n\nWhereas the diver\u00a0moves towards\u00a0a shipwreck or a coral reef in the depths of the ocean, and the surfer\u00a0moves with\u00a0the flow of the waves, the snorkeler swims toward a school of fish whilst drifting with the surface currents. Importantly, the snorkeler imagines depth without experiencing it. \u201cWhere might that fish be swimming to?\u201d he wonders. Or perhaps he thinks, \u201cWhat might be below that rock?\u201d He may follow the fish\u2019s direction, left, then right, then left again. But he will not, and often cannot, dive downwards; or if he does, then it is only for as long as his lungs allow. This is to say: for the snorkeler, depth both exists, positively, in theory, and does not exist, in practice, since he does not, and cannot, reach it. //When I refer to the \u201cnew depthiness,\u201d I am thinking of a snorkeler intuiting depth, imagining it\u2014perceiving it without encountering it.\n\n\u00a0In this sense, depthiness combines the epistemological reality of depthlessness with the performative possibility of depth.\n\nThe similarity between Colbert\u2019s concept of truthiness and the notion of depthiness proposed here is that both describe a\u00a0contradictio in terminis, or rather, perhaps, a recontextualization of terms. \u201cTruthiness\u201d expresses the production of a \u201ctruth\u201d according to emotion instead of empiricism; \u201cdepthiness\u201d articulates the creation of \u201cdepth\u201d as a performative act as opposed to an epistemological quality. The difference between the two terms, however, is that whereas the former takes the affirmative category of truth as its reference, which suggests that there is a truth even if the suffix \u201c\u2013ness\u201d implies that it may not apply to what is denoted; the latter adapts the negative label \u201cdepthlessness,\u201d which by contrast suggests that there is no depth, though here the suffix intimates that it may be perceived. Indeed, in this sense, it would have been more accurate to contrast truthiness with the equivalent of \u201ctruthlessiness\u201d: \u201cdepthlessiness.\u201d Truthiness puts the truth into question; depthiness raises doubts about depthlessness. Truthiness abandons the reality of truth as a legitimate register of signification; depthiness restores the possibility of depth as a viable modality for making meaning.\n\nthis is not the empirical or logical depth of the behind, but a performative depth of what one may call, in the absence of a more appropriate terminology, the \u201cwithout.\u201d The without is an approximation of depth which acknowledges that the surface may well be depthless,while simultaneously suggesting an\u00a0outside\u00a0of it nonetheless.\u00a0\n\nMany contemporary artists, however, re-territorialize these languages of simulation to suggest not the final stage in a history of depthlessness but the first one in another chronicle of depthiness. They jump from their surfboards into the water, a snorkeling mask in hand. They cannot swim deep, but they can perceive depth.\n\nA year or so ago, while watching the television show\u00a0Girls\u00a0(episode 3 from the third season), I was struck by a sentence that was at once reminiscent and completely different from that line from the early 2000s. \u201cJust because it\u2019s fake, doesn\u2019t mean I don\u2019t feel it.\u201d The line from the Radiohead song that described our world as a hall of mirrors calls to mind Jameson\u2019s understanding of depthlessness as the last stage in a particular history of a particular flattening. But what the line from\u00a0Girls\u00a0hints at is that, just maybe, we are seeing the first stage in another history of another kind of deepening, one whose empirical reality lies above the surface even if its performative register floats just below it: depthiness.", "title" : "The New \u201cDepthiness\u201d", "type" : "webpage" }, "uris" : [ "http://www.mendeley.com/documents/?uuid=f7cca42b-b1b8-4130-a3be-cd197e236a1e" ] } ], "mendeley" : { "formattedCitation" : "Timotheus Vermeulen, \u2018The New \u201cDepthiness\u201d\u2019, &lt;i&gt;e-flux&lt;/i&gt;, 2015 &lt;http://www.e-flux.com/journal/the-new-depthiness/&gt; [accessed 14 July 2015].", "plainTextFormattedCitation" : "Timotheus Vermeulen, \u2018The New \u201cDepthiness\u201d\u2019, e-flux, 2015  [accessed 14 July 2015].", "previouslyFormattedCitation" : "Timotheus Vermeulen, \u2018The New \u201cDepthiness\u201d\u2019, &lt;i&gt;e-flux&lt;/i&gt;, 2015 &lt;http://www.e-flux.com/journal/the-new-depthiness/&gt; [accessed 14 July 2015]."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Timotheus Vermeulen, ‘The New “Depthiness”’, </w:t>
      </w:r>
      <w:r w:rsidRPr="0025171E">
        <w:rPr>
          <w:rFonts w:asciiTheme="majorBidi" w:hAnsiTheme="majorBidi" w:cstheme="majorBidi"/>
          <w:i/>
          <w:noProof/>
        </w:rPr>
        <w:t>e-flux</w:t>
      </w:r>
      <w:r w:rsidRPr="0025171E">
        <w:rPr>
          <w:rFonts w:asciiTheme="majorBidi" w:hAnsiTheme="majorBidi" w:cstheme="majorBidi"/>
          <w:noProof/>
        </w:rPr>
        <w:t>, 2015 &lt;http://www.e-flux.com/journal/the-new-depthiness/&gt; [accessed 14 July 2015].</w:t>
      </w:r>
      <w:r w:rsidRPr="00505CF0">
        <w:rPr>
          <w:rFonts w:asciiTheme="majorBidi" w:hAnsiTheme="majorBidi" w:cstheme="majorBidi"/>
        </w:rPr>
        <w:fldChar w:fldCharType="end"/>
      </w:r>
    </w:p>
  </w:footnote>
  <w:footnote w:id="350">
    <w:p w14:paraId="1D30C569" w14:textId="6F64A60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"65", "uris" : [ "http://www.mendeley.com/documents/?uuid=ae350723-72e2-4764-95d4-1723d1569ca9" ] } ], "mendeley" : { "formattedCitation" : "Hudspeth, p. 65.", "plainTextFormattedCitation" : "Hudspeth, p. 65.", "previouslyFormattedCitation" : "Hudspeth, p. 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65.</w:t>
      </w:r>
      <w:r w:rsidRPr="00505CF0">
        <w:rPr>
          <w:rFonts w:asciiTheme="majorBidi" w:hAnsiTheme="majorBidi" w:cstheme="majorBidi"/>
        </w:rPr>
        <w:fldChar w:fldCharType="end"/>
      </w:r>
    </w:p>
  </w:footnote>
  <w:footnote w:id="351">
    <w:p w14:paraId="7311FC1F" w14:textId="0ED6A51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"326", "uris" : [ "http://www.mendeley.com/documents/?uuid=20cb1e03-b9e5-4e12-a6a2-3cb1706c178c" ] } ], "mendeley" : { "formattedCitation" : "Eliza Granville, &lt;i&gt;Gretel and the Dark&lt;/i&gt; (London: Hamish Hamilton, 2014), p. 326.", "plainTextFormattedCitation" : "Eliza Granville, Gretel and the Dark (London: Hamish Hamilton, 2014), p. 326.", "previouslyFormattedCitation" : "Eliza Granville, &lt;i&gt;Gretel and the Dark&lt;/i&gt; (London: Hamish Hamilton, 2014), p. 326."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Eliza Granville, </w:t>
      </w:r>
      <w:r w:rsidRPr="00505CF0">
        <w:rPr>
          <w:rFonts w:asciiTheme="majorBidi" w:hAnsiTheme="majorBidi" w:cstheme="majorBidi"/>
          <w:i/>
          <w:noProof/>
        </w:rPr>
        <w:t>Gretel and the Dark</w:t>
      </w:r>
      <w:r w:rsidRPr="00505CF0">
        <w:rPr>
          <w:rFonts w:asciiTheme="majorBidi" w:hAnsiTheme="majorBidi" w:cstheme="majorBidi"/>
          <w:noProof/>
        </w:rPr>
        <w:t xml:space="preserve"> (London: Hamish Hamilton, 2014), p. 326.</w:t>
      </w:r>
      <w:r w:rsidRPr="00505CF0">
        <w:rPr>
          <w:rFonts w:asciiTheme="majorBidi" w:hAnsiTheme="majorBidi" w:cstheme="majorBidi"/>
        </w:rPr>
        <w:fldChar w:fldCharType="end"/>
      </w:r>
    </w:p>
  </w:footnote>
  <w:footnote w:id="352">
    <w:p w14:paraId="14022D32" w14:textId="5F7121DC" w:rsidR="00054009" w:rsidRPr="00505CF0" w:rsidRDefault="00054009" w:rsidP="00C111D3">
      <w:pPr>
        <w:pStyle w:val="FootnoteText"/>
        <w:rPr>
          <w:rFonts w:asciiTheme="majorBidi" w:hAnsiTheme="majorBidi" w:cstheme="majorBidi"/>
          <w:lang w:val="fr-FR"/>
        </w:rPr>
      </w:pPr>
      <w:r w:rsidRPr="00505CF0">
        <w:rPr>
          <w:rStyle w:val="FootnoteReference"/>
          <w:rFonts w:asciiTheme="majorBidi" w:hAnsiTheme="majorBidi" w:cstheme="majorBidi"/>
        </w:rPr>
        <w:footnoteRef/>
      </w:r>
      <w:r w:rsidRPr="00505CF0">
        <w:rPr>
          <w:rFonts w:asciiTheme="majorBidi" w:hAnsiTheme="majorBidi" w:cstheme="majorBidi"/>
          <w:lang w:val="fr-FR"/>
        </w:rPr>
        <w:t xml:space="preserve"> </w:t>
      </w:r>
      <w:r w:rsidRPr="00505CF0">
        <w:rPr>
          <w:rFonts w:asciiTheme="majorBidi" w:hAnsiTheme="majorBidi" w:cstheme="majorBidi"/>
        </w:rPr>
        <w:fldChar w:fldCharType="begin" w:fldLock="1"/>
      </w:r>
      <w:r>
        <w:rPr>
          <w:rFonts w:asciiTheme="majorBidi" w:hAnsiTheme="majorBidi" w:cstheme="majorBidi"/>
          <w:lang w:val="fr-FR"/>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"221", "uris" : [ "http://www.mendeley.com/documents/?uuid=20cb1e03-b9e5-4e12-a6a2-3cb1706c178c" ] } ], "mendeley" : { "formattedCitation" : "Granville, p. 221.", "plainTextFormattedCitation" : "Granville, p. 221.", "previouslyFormattedCitation" : "Granville, p. 221."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fr-FR"/>
        </w:rPr>
        <w:t>Granville, p. 221.</w:t>
      </w:r>
      <w:r w:rsidRPr="00505CF0">
        <w:rPr>
          <w:rFonts w:asciiTheme="majorBidi" w:hAnsiTheme="majorBidi" w:cstheme="majorBidi"/>
        </w:rPr>
        <w:fldChar w:fldCharType="end"/>
      </w:r>
    </w:p>
  </w:footnote>
  <w:footnote w:id="353">
    <w:p w14:paraId="328C9B6D" w14:textId="28A033EB" w:rsidR="00054009" w:rsidRPr="00505CF0" w:rsidRDefault="00054009" w:rsidP="00C111D3">
      <w:pPr>
        <w:pStyle w:val="FootnoteText"/>
        <w:rPr>
          <w:rFonts w:asciiTheme="majorBidi" w:hAnsiTheme="majorBidi" w:cstheme="majorBidi"/>
          <w:lang w:val="fr-FR"/>
        </w:rPr>
      </w:pPr>
      <w:r w:rsidRPr="00505CF0">
        <w:rPr>
          <w:rStyle w:val="FootnoteReference"/>
          <w:rFonts w:asciiTheme="majorBidi" w:hAnsiTheme="majorBidi" w:cstheme="majorBidi"/>
        </w:rPr>
        <w:footnoteRef/>
      </w:r>
      <w:r w:rsidRPr="00505CF0">
        <w:rPr>
          <w:rFonts w:asciiTheme="majorBidi" w:hAnsiTheme="majorBidi" w:cstheme="majorBidi"/>
          <w:lang w:val="fr-FR"/>
        </w:rPr>
        <w:t xml:space="preserve"> </w:t>
      </w:r>
      <w:r w:rsidRPr="00505CF0">
        <w:rPr>
          <w:rFonts w:asciiTheme="majorBidi" w:hAnsiTheme="majorBidi" w:cstheme="majorBidi"/>
        </w:rPr>
        <w:fldChar w:fldCharType="begin" w:fldLock="1"/>
      </w:r>
      <w:r>
        <w:rPr>
          <w:rFonts w:asciiTheme="majorBidi" w:hAnsiTheme="majorBidi" w:cstheme="majorBidi"/>
          <w:lang w:val="fr-FR"/>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"282-92", "uris" : [ "http://www.mendeley.com/documents/?uuid=20cb1e03-b9e5-4e12-a6a2-3cb1706c178c" ] } ], "mendeley" : { "formattedCitation" : "Granville, pp. 282\u201392.", "plainTextFormattedCitation" : "Granville, pp. 282\u201392.", "previouslyFormattedCitation" : "Granville, pp. 282\u201392."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fr-FR"/>
        </w:rPr>
        <w:t>Granville, pp. 282–92.</w:t>
      </w:r>
      <w:r w:rsidRPr="00505CF0">
        <w:rPr>
          <w:rFonts w:asciiTheme="majorBidi" w:hAnsiTheme="majorBidi" w:cstheme="majorBidi"/>
        </w:rPr>
        <w:fldChar w:fldCharType="end"/>
      </w:r>
    </w:p>
  </w:footnote>
  <w:footnote w:id="354">
    <w:p w14:paraId="57336A48" w14:textId="1F2383E5" w:rsidR="00054009" w:rsidRPr="00505CF0" w:rsidRDefault="00054009" w:rsidP="00C111D3">
      <w:pPr>
        <w:pStyle w:val="FootnoteText"/>
        <w:rPr>
          <w:rFonts w:asciiTheme="majorBidi" w:hAnsiTheme="majorBidi" w:cstheme="majorBidi"/>
          <w:lang w:val="fr-FR"/>
        </w:rPr>
      </w:pPr>
      <w:r w:rsidRPr="00505CF0">
        <w:rPr>
          <w:rStyle w:val="FootnoteReference"/>
          <w:rFonts w:asciiTheme="majorBidi" w:hAnsiTheme="majorBidi" w:cstheme="majorBidi"/>
        </w:rPr>
        <w:footnoteRef/>
      </w:r>
      <w:r w:rsidRPr="00505CF0">
        <w:rPr>
          <w:rFonts w:asciiTheme="majorBidi" w:hAnsiTheme="majorBidi" w:cstheme="majorBidi"/>
          <w:lang w:val="fr-FR"/>
        </w:rPr>
        <w:t xml:space="preserve"> </w:t>
      </w:r>
      <w:r w:rsidRPr="00505CF0">
        <w:rPr>
          <w:rFonts w:asciiTheme="majorBidi" w:hAnsiTheme="majorBidi" w:cstheme="majorBidi"/>
        </w:rPr>
        <w:fldChar w:fldCharType="begin" w:fldLock="1"/>
      </w:r>
      <w:r>
        <w:rPr>
          <w:rFonts w:asciiTheme="majorBidi" w:hAnsiTheme="majorBidi" w:cstheme="majorBidi"/>
          <w:lang w:val="fr-FR"/>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"221", "uris" : [ "http://www.mendeley.com/documents/?uuid=20cb1e03-b9e5-4e12-a6a2-3cb1706c178c" ] } ], "mendeley" : { "formattedCitation" : "Granville, p. 221.", "plainTextFormattedCitation" : "Granville, p. 221.", "previouslyFormattedCitation" : "Granville, p. 221."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fr-FR"/>
        </w:rPr>
        <w:t>Granville, p. 221.</w:t>
      </w:r>
      <w:r w:rsidRPr="00505CF0">
        <w:rPr>
          <w:rFonts w:asciiTheme="majorBidi" w:hAnsiTheme="majorBidi" w:cstheme="majorBidi"/>
        </w:rPr>
        <w:fldChar w:fldCharType="end"/>
      </w:r>
    </w:p>
  </w:footnote>
  <w:footnote w:id="355">
    <w:p w14:paraId="466833DC" w14:textId="13D2659F" w:rsidR="00054009" w:rsidRPr="00ED4026" w:rsidRDefault="00054009" w:rsidP="00ED4026">
      <w:pPr>
        <w:pStyle w:val="FootnoteText"/>
        <w:rPr>
          <w:i/>
          <w:iCs/>
        </w:rPr>
      </w:pPr>
      <w:r>
        <w:rPr>
          <w:rStyle w:val="FootnoteReference"/>
        </w:rPr>
        <w:footnoteRef/>
      </w:r>
      <w:r>
        <w:t xml:space="preserve"> </w:t>
      </w:r>
      <w:r>
        <w:rPr>
          <w:i/>
          <w:iCs/>
        </w:rPr>
        <w:t xml:space="preserve">ACO: Some Children have begun knocking on my door recently as I collect my thoughts and these notes together. If it were not for having recently read Storngjaw’s ‘Keep the Children safe: re-romanticism in the wake of post-southwardianism,’ I would be rather tempted to chase such </w:t>
      </w:r>
      <w:r>
        <w:rPr>
          <w:rFonts w:cs="Times New Roman"/>
          <w:i/>
          <w:iCs/>
        </w:rPr>
        <w:t>é</w:t>
      </w:r>
      <w:r>
        <w:rPr>
          <w:i/>
          <w:iCs/>
        </w:rPr>
        <w:t>nfant t</w:t>
      </w:r>
      <w:r>
        <w:rPr>
          <w:rFonts w:cs="Times New Roman"/>
          <w:i/>
          <w:iCs/>
        </w:rPr>
        <w:t>é</w:t>
      </w:r>
      <w:r>
        <w:rPr>
          <w:i/>
          <w:iCs/>
        </w:rPr>
        <w:t>rribles down.</w:t>
      </w:r>
    </w:p>
  </w:footnote>
  <w:footnote w:id="356">
    <w:p w14:paraId="6A812325" w14:textId="71164AB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"357", "uris" : [ "http://www.mendeley.com/documents/?uuid=20cb1e03-b9e5-4e12-a6a2-3cb1706c178c" ] } ], "mendeley" : { "formattedCitation" : "Granville, p. 357.", "plainTextFormattedCitation" : "Granville, p. 357.", "previouslyFormattedCitation" : "Granville, p. 357."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Granville, p. 357.</w:t>
      </w:r>
      <w:r w:rsidRPr="00505CF0">
        <w:rPr>
          <w:rFonts w:asciiTheme="majorBidi" w:hAnsiTheme="majorBidi" w:cstheme="majorBidi"/>
        </w:rPr>
        <w:fldChar w:fldCharType="end"/>
      </w:r>
      <w:r w:rsidRPr="00505CF0">
        <w:rPr>
          <w:rFonts w:asciiTheme="majorBidi" w:hAnsiTheme="majorBidi" w:cstheme="majorBidi"/>
        </w:rPr>
        <w:t xml:space="preserve"> Admittedly here  the discussion of the role of narrative, and in particular books, forces a metafictional meaning onto such discussions, as in </w:t>
      </w:r>
      <w:r w:rsidRPr="00505CF0">
        <w:rPr>
          <w:rFonts w:asciiTheme="majorBidi" w:hAnsiTheme="majorBidi" w:cstheme="majorBidi"/>
          <w:i/>
          <w:iCs/>
        </w:rPr>
        <w:t>The Crane Wife</w:t>
      </w:r>
      <w:r w:rsidRPr="00505CF0">
        <w:rPr>
          <w:rFonts w:asciiTheme="majorBidi" w:hAnsiTheme="majorBidi" w:cstheme="majorBidi"/>
        </w:rPr>
        <w:t>, yet the points remain as valid for discussion of the metamodern as of the metafictional.</w:t>
      </w:r>
    </w:p>
  </w:footnote>
  <w:footnote w:id="357">
    <w:p w14:paraId="772E3E38" w14:textId="0369D86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"Connolly", "given" : "John", "non-dropping-particle" : "", "parse-names" : false, "suffix" : "" } ], "id" : "ITEM-1", "issued" : { "date-parts" : [ [ "2006" ] ] }, "publisher" : "Hodder and Stoughton", "publisher-place" : "London", "title" : "The Book of Lost Things", "type" : "book" }, "locator" : "306", "uris" : [ "http://www.mendeley.com/documents/?uuid=c93dbac8-c570-4c36-b9f4-a45fb35d2f71" ] } ], "mendeley" : { "formattedCitation" : "John Connolly, &lt;i&gt;The Book of Lost Things&lt;/i&gt; (London: Hodder and Stoughton, 2006), p. 306.", "plainTextFormattedCitation" : "John Connolly, The Book of Lost Things (London: Hodder and Stoughton, 2006), p. 306.", "previouslyFormattedCitation" : "John Connolly, &lt;i&gt;The Book of Lost Things&lt;/i&gt; (London: Hodder and Stoughton, 2006), p. 306."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John Connolly, </w:t>
      </w:r>
      <w:r w:rsidRPr="00505CF0">
        <w:rPr>
          <w:rFonts w:asciiTheme="majorBidi" w:hAnsiTheme="majorBidi" w:cstheme="majorBidi"/>
          <w:i/>
          <w:noProof/>
        </w:rPr>
        <w:t>The Book of Lost Things</w:t>
      </w:r>
      <w:r w:rsidRPr="00505CF0">
        <w:rPr>
          <w:rFonts w:asciiTheme="majorBidi" w:hAnsiTheme="majorBidi" w:cstheme="majorBidi"/>
          <w:noProof/>
        </w:rPr>
        <w:t xml:space="preserve"> (London: Hodder and Stoughton, 2006), p. 306.</w:t>
      </w:r>
      <w:r w:rsidRPr="00505CF0">
        <w:rPr>
          <w:rFonts w:asciiTheme="majorBidi" w:hAnsiTheme="majorBidi" w:cstheme="majorBidi"/>
        </w:rPr>
        <w:fldChar w:fldCharType="end"/>
      </w:r>
    </w:p>
  </w:footnote>
  <w:footnote w:id="358">
    <w:p w14:paraId="4415ED3E" w14:textId="543F261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"Kingsnorth", "given" : "Paul", "non-dropping-particle" : "", "parse-names" : false, "suffix" : "" } ], "id" : "ITEM-1", "issued" : { "date-parts" : [ [ "2016" ] ] }, "publisher" : "Faber and Faber", "publisher-place" : "London", "title" : "Beast", "type" : "book" }, "locator" : "162", "uris" : [ "http://www.mendeley.com/documents/?uuid=4a4603df-c4f6-4ff0-8d86-ddbed176a235" ] } ], "mendeley" : { "formattedCitation" : "Paul Kingsnorth, &lt;i&gt;Beast&lt;/i&gt; (London: Faber and Faber, 2016), p. 162.", "plainTextFormattedCitation" : "Paul Kingsnorth, Beast (London: Faber and Faber, 2016), p. 162.", "previouslyFormattedCitation" : "Paul Kingsnorth, &lt;i&gt;Beast&lt;/i&gt; (London: Faber and Faber, 2016), p. 162."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Paul Kingsnorth, </w:t>
      </w:r>
      <w:r w:rsidRPr="00505CF0">
        <w:rPr>
          <w:rFonts w:asciiTheme="majorBidi" w:hAnsiTheme="majorBidi" w:cstheme="majorBidi"/>
          <w:i/>
          <w:noProof/>
        </w:rPr>
        <w:t>Beast</w:t>
      </w:r>
      <w:r w:rsidRPr="00505CF0">
        <w:rPr>
          <w:rFonts w:asciiTheme="majorBidi" w:hAnsiTheme="majorBidi" w:cstheme="majorBidi"/>
          <w:noProof/>
        </w:rPr>
        <w:t xml:space="preserve"> (London: Faber and Faber, 2016), p. 162.</w:t>
      </w:r>
      <w:r w:rsidRPr="00505CF0">
        <w:rPr>
          <w:rFonts w:asciiTheme="majorBidi" w:hAnsiTheme="majorBidi" w:cstheme="majorBidi"/>
        </w:rPr>
        <w:fldChar w:fldCharType="end"/>
      </w:r>
    </w:p>
  </w:footnote>
  <w:footnote w:id="359">
    <w:p w14:paraId="183B49F4" w14:textId="37A28B9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"http://www.metamodernism.com/2015/10/21/reconstruction-metamodern-transcendence-and-the-return-of-myth/", "accessed" : { "date-parts" : [ [ "2017", "10", "30" ] ] }, "author" : [ { "dropping-particle" : "", "family" : "Dempsey", "given" : "Brendan", "non-dropping-particle" : "", "parse-names" : false, "suffix" : "" } ], "container-title" : "Notes on Metamodernism", "id" : "ITEM-1", "issued" : { "date-parts" : [ [ "2015" ] ] }, "note" : "Today, however, as postmodernism gives way to the 'new structure of feeling' called metamodernism, the transcendent and archetypal impulse [of reliance on grand narratives] is seeing a resurgence. Myth and grand narratyives are receiving a second look and, from a honce-homed focus on contingency and context, interests in the 'timeless' and 'universal' are again finding energetic expression. Has transcendence become viable once more - or has it been reconceived?\n\nThis post-postmodern ethos, eschewing both the naive metaphyscial systems of the past as well as the superficial materialism of postmodernity, has occasioned a project of reconstruction - one in which new myths and paradigmatic models are now being artfully crafted for the twenty-first century.\n\nIn this dichotomy [between immanent/transcendant] the immanent denotes essentially the physical world as such, the doman of empirical phenomenon and of our sense perceptions. The Transcendent, by contrast, posits a meta-physcial reality, which exists beyond or outside of the material world, more fundamental in vantage and essence.\n\nWith the recent ebb of typically postmodenr sensibilities and the rise odf a new generation - one reacting not only against a discredited notion of transcendence by also against the unfulfilling shallowness and existential disorientation caused by postmodern surface - we enter a new period: a metamodern period, whose structure of feeling is charazterized by a sort of 'oscillation' between these two poles.\n\nThe construction of entirelt new paradigmatic models, which, because knowingly created, seem to operate as much as works of art, as myth.", "title" : "[Re]construction: Metamodern 'Transcendence' and the Return of Myth", "type" : "webpage" }, "uris" : [ "http://www.mendeley.com/documents/?uuid=eec9641b-5fe1-4923-9ae6-f2d357b1081e" ] } ], "mendeley" : { "formattedCitation" : "Dempsey.", "plainTextFormattedCitation" : "Dempsey.", "previouslyFormattedCitation" : "Dempsey."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Dempsey.</w:t>
      </w:r>
      <w:r w:rsidRPr="00505CF0">
        <w:rPr>
          <w:rFonts w:asciiTheme="majorBidi" w:hAnsiTheme="majorBidi" w:cstheme="majorBidi"/>
        </w:rPr>
        <w:fldChar w:fldCharType="end"/>
      </w:r>
    </w:p>
  </w:footnote>
  <w:footnote w:id="360">
    <w:p w14:paraId="3590D4BB" w14:textId="37A655D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"ISBN" : "0801491460", "PMID" : "1302102", "author" : [ { "dropping-particle" : "", "family" : "Todorov", "given" : "Tzvetan", "non-dropping-particle" : "", "parse-names" : false, "suffix" : "" } ], "id" : "ITEM-1", "issued" : { "date-parts" : [ [ "1973" ] ] }, "publisher" : "Case Western University Press", "publisher-place" : "Cleveland", "title" : "The Fantastic: A Structural Approach to a Literary Genre", "title-short" : "The Fantastic", "translator" : [ { "dropping-particle" : "", "family" : "Howard", "given" : "Richard", "non-dropping-particle" : "", "parse-names" : false, "suffix" : "" } ], "type" : "book" }, "locator" : "33", "uris" : [ "http://www.mendeley.com/documents/?uuid=5e5bd837-12f9-4a84-b8b4-93b23693e0f5" ] } ], "mendeley" : { "formattedCitation" : "Tzvetan Todorov, &lt;i&gt;The Fantastic: A Structural Approach to a Literary Genre&lt;/i&gt;, trans. by Richard Howard (Cleveland: Case Western University Press, 1973), p. 33.", "plainTextFormattedCitation" : "Tzvetan Todorov, The Fantastic: A Structural Approach to a Literary Genre, trans. by Richard Howard (Cleveland: Case Western University Press, 1973), p. 33.", "previouslyFormattedCitation" : "Tzvetan Todorov, &lt;i&gt;The Fantastic: A Structural Approach to a Literary Genre&lt;/i&gt;, trans. by Richard Howard (Cleveland: Case Western University Press, 1973), p. 33."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Tzvetan Todorov, </w:t>
      </w:r>
      <w:r w:rsidRPr="00505CF0">
        <w:rPr>
          <w:rFonts w:asciiTheme="majorBidi" w:hAnsiTheme="majorBidi" w:cstheme="majorBidi"/>
          <w:i/>
          <w:noProof/>
        </w:rPr>
        <w:t>The Fantastic: A Structural Approach to a Literary Genre</w:t>
      </w:r>
      <w:r w:rsidRPr="00505CF0">
        <w:rPr>
          <w:rFonts w:asciiTheme="majorBidi" w:hAnsiTheme="majorBidi" w:cstheme="majorBidi"/>
          <w:noProof/>
        </w:rPr>
        <w:t>, trans. by Richard Howard (Cleveland: Case Western University Press, 1973), p. 33.</w:t>
      </w:r>
      <w:r w:rsidRPr="00505CF0">
        <w:rPr>
          <w:rFonts w:asciiTheme="majorBidi" w:hAnsiTheme="majorBidi" w:cstheme="majorBidi"/>
        </w:rPr>
        <w:fldChar w:fldCharType="end"/>
      </w:r>
    </w:p>
  </w:footnote>
  <w:footnote w:id="361">
    <w:p w14:paraId="103DE187" w14:textId="2B1716C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"http://www.metamodernism.com/2015/04/02/oscillating-towards-the-sublime-2/", "accessed" : { "date-parts" : [ [ "2017", "10", "30" ] ] }, "author" : [ { "dropping-particle" : "", "family" : "Binney", "given" : "Sara Helen", "non-dropping-particle" : "", "parse-names" : false, "suffix" : "" } ], "container-title" : "Notes on Metamodernism", "id" : "ITEM-1", "issued" : { "date-parts" : [ [ "2015" ] ] }, "note" : "Postmodernism is dead, but its successor has not yet been crowned. Attributes of that successor have, however, begin to be elucidated. Among them is the idea that, after the skepticism of postmodernism, interest is re-emerging in the inexplicable, in the things that cannot be encompassed rationally. \n\nThe questioning of the Enlightenment idea that it is possible to have &amp;quot;confidence in the absolute and indisputable command of enlightened human understanding to analyse and account for each and every phenomenon it encounters.&amp;quot;\n\nAt the same time, other strategies for retelling folk tales are appearing. In novels as disparate as\u00a0The Snow Child\u00a0by Eowyn Ivey (2012) and\u00a0Orkney\u00a0by Amy Sackville (2013), folklore is used to a completely different effect. These novels problematise the supernatural elements of the folklore they engage with to the extent that the characters and often the reader are unsure whether the magic described in the novel is real, or if it is all in the mind of the first-person narrator or focalising character.\n\nhe sublime was defined by Kant in the 18th\u00a0century as a short-lived feeling of terror and delight, of pleasurable pain. A sublime feeling is provoked by something vast or infinite, like the sight of a mountain or the view of a distant thunderstorm. He described it as a \u201cmomentary checking of the vital powers\u201d, a temporary pause which gives way to a revelation of the power of reason. [...] this movement is an oscillation from the self to something greater and back to a renewed understanding of self. It moves in a similar manner to the metamodern pendulum described by Vermeulen and Akker.\n\nThe way George encounters beauty is similar to what Raoul Eshelman describes as \u2018Kant with a club\u2019, or persuasion through aesthetics: if something is beautiful enough the recipient will be drawn to it in defiance of its impossibility\n\nthe sublime exists as a momentary irruption of awe and wonder in an otherwise unremarkable setting. \n\nThe contemporary fiction which creates [enchantment literature] is built on folkloric narratives and furnisdhed in the fantastic mode. The effect of inhabiting them is a sense of sublimity.", "title" : "Oscillating Towards the Sublime", "type" : "webpage" }, "uris" : [ "http://www.mendeley.com/documents/?uuid=3c142b86-3914-4447-a231-1e6534c5778f" ] } ], "mendeley" : { "formattedCitation" : "Binney.", "plainTextFormattedCitation" : "Binney.", "previouslyFormattedCitation" : "Binney."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Binney.</w:t>
      </w:r>
      <w:r w:rsidRPr="00505CF0">
        <w:rPr>
          <w:rFonts w:asciiTheme="majorBidi" w:hAnsiTheme="majorBidi" w:cstheme="majorBidi"/>
        </w:rPr>
        <w:fldChar w:fldCharType="end"/>
      </w:r>
    </w:p>
  </w:footnote>
  <w:footnote w:id="362">
    <w:p w14:paraId="3101B87C" w14:textId="021D137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"http://www.metamodernism.com/2015/10/21/reconstruction-metamodern-transcendence-and-the-return-of-myth/", "accessed" : { "date-parts" : [ [ "2017", "10", "30" ] ] }, "author" : [ { "dropping-particle" : "", "family" : "Dempsey", "given" : "Brendan", "non-dropping-particle" : "", "parse-names" : false, "suffix" : "" } ], "container-title" : "Notes on Metamodernism", "id" : "ITEM-1", "issued" : { "date-parts" : [ [ "2015" ] ] }, "note" : "Today, however, as postmodernism gives way to the 'new structure of feeling' called metamodernism, the transcendent and archetypal impulse [of reliance on grand narratives] is seeing a resurgence. Myth and grand narratyives are receiving a second look and, from a honce-homed focus on contingency and context, interests in the 'timeless' and 'universal' are again finding energetic expression. Has transcendence become viable once more - or has it been reconceived?\n\nThis post-postmodern ethos, eschewing both the naive metaphyscial systems of the past as well as the superficial materialism of postmodernity, has occasioned a project of reconstruction - one in which new myths and paradigmatic models are now being artfully crafted for the twenty-first century.\n\nIn this dichotomy [between immanent/transcendant] the immanent denotes essentially the physical world as such, the doman of empirical phenomenon and of our sense perceptions. The Transcendent, by contrast, posits a meta-physcial reality, which exists beyond or outside of the material world, more fundamental in vantage and essence.\n\nWith the recent ebb of typically postmodenr sensibilities and the rise odf a new generation - one reacting not only against a discredited notion of transcendence by also against the unfulfilling shallowness and existential disorientation caused by postmodern surface - we enter a new period: a metamodern period, whose structure of feeling is charazterized by a sort of 'oscillation' between these two poles.\n\nThe construction of entirelt new paradigmatic models, which, because knowingly created, seem to operate as much as works of art, as myth.", "title" : "[Re]construction: Metamodern 'Transcendence' and the Return of Myth", "type" : "webpage" }, "uris" : [ "http://www.mendeley.com/documents/?uuid=eec9641b-5fe1-4923-9ae6-f2d357b1081e" ] } ], "mendeley" : { "formattedCitation" : "Dempsey.", "plainTextFormattedCitation" : "Dempsey.", "previouslyFormattedCitation" : "Dempsey."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Dempsey.</w:t>
      </w:r>
      <w:r w:rsidRPr="00505CF0">
        <w:rPr>
          <w:rFonts w:asciiTheme="majorBidi" w:hAnsiTheme="majorBidi" w:cstheme="majorBidi"/>
        </w:rPr>
        <w:fldChar w:fldCharType="end"/>
      </w:r>
    </w:p>
  </w:footnote>
  <w:footnote w:id="363">
    <w:p w14:paraId="2A0F289E" w14:textId="05E1BDE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"http://www.metamodernism.com/2015/04/02/oscillating-towards-the-sublime-2/", "accessed" : { "date-parts" : [ [ "2017", "10", "30" ] ] }, "author" : [ { "dropping-particle" : "", "family" : "Binney", "given" : "Sara Helen", "non-dropping-particle" : "", "parse-names" : false, "suffix" : "" } ], "container-title" : "Notes on Metamodernism", "id" : "ITEM-1", "issued" : { "date-parts" : [ [ "2015" ] ] }, "note" : "Postmodernism is dead, but its successor has not yet been crowned. Attributes of that successor have, however, begin to be elucidated. Among them is the idea that, after the skepticism of postmodernism, interest is re-emerging in the inexplicable, in the things that cannot be encompassed rationally. \n\nThe questioning of the Enlightenment idea that it is possible to have &amp;quot;confidence in the absolute and indisputable command of enlightened human understanding to analyse and account for each and every phenomenon it encounters.&amp;quot;\n\nAt the same time, other strategies for retelling folk tales are appearing. In novels as disparate as\u00a0The Snow Child\u00a0by Eowyn Ivey (2012) and\u00a0Orkney\u00a0by Amy Sackville (2013), folklore is used to a completely different effect. These novels problematise the supernatural elements of the folklore they engage with to the extent that the characters and often the reader are unsure whether the magic described in the novel is real, or if it is all in the mind of the first-person narrator or focalising character.\n\nhe sublime was defined by Kant in the 18th\u00a0century as a short-lived feeling of terror and delight, of pleasurable pain. A sublime feeling is provoked by something vast or infinite, like the sight of a mountain or the view of a distant thunderstorm. He described it as a \u201cmomentary checking of the vital powers\u201d, a temporary pause which gives way to a revelation of the power of reason. [...] this movement is an oscillation from the self to something greater and back to a renewed understanding of self. It moves in a similar manner to the metamodern pendulum described by Vermeulen and Akker.\n\nThe way George encounters beauty is similar to what Raoul Eshelman describes as \u2018Kant with a club\u2019, or persuasion through aesthetics: if something is beautiful enough the recipient will be drawn to it in defiance of its impossibility\n\nthe sublime exists as a momentary irruption of awe and wonder in an otherwise unremarkable setting. \n\nThe contemporary fiction which creates [enchantment literature] is built on folkloric narratives and furnisdhed in the fantastic mode. The effect of inhabiting them is a sense of sublimity.", "title" : "Oscillating Towards the Sublime", "type" : "webpage" }, "uris" : [ "http://www.mendeley.com/documents/?uuid=3c142b86-3914-4447-a231-1e6534c5778f" ] } ], "mendeley" : { "formattedCitation" : "Binney.", "plainTextFormattedCitation" : "Binney.", "previouslyFormattedCitation" : "Binney."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Binney.</w:t>
      </w:r>
      <w:r w:rsidRPr="00505CF0">
        <w:rPr>
          <w:rFonts w:asciiTheme="majorBidi" w:hAnsiTheme="majorBidi" w:cstheme="majorBidi"/>
        </w:rPr>
        <w:fldChar w:fldCharType="end"/>
      </w:r>
    </w:p>
  </w:footnote>
  <w:footnote w:id="364">
    <w:p w14:paraId="2295F863" w14:textId="35DC3F0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"34", "uris" : [ "http://www.mendeley.com/documents/?uuid=ae350723-72e2-4764-95d4-1723d1569ca9" ] } ], "mendeley" : { "formattedCitation" : "Hudspeth, p. 34.", "plainTextFormattedCitation" : "Hudspeth, p. 34.", "previouslyFormattedCitation" : "Hudspeth, p. 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34.</w:t>
      </w:r>
      <w:r w:rsidRPr="00505CF0">
        <w:rPr>
          <w:rFonts w:asciiTheme="majorBidi" w:hAnsiTheme="majorBidi" w:cstheme="majorBidi"/>
        </w:rPr>
        <w:fldChar w:fldCharType="end"/>
      </w:r>
    </w:p>
  </w:footnote>
  <w:footnote w:id="365">
    <w:p w14:paraId="6E66B046" w14:textId="08CF311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"Hudspeth", "given" : "E.B.", "non-dropping-particle" : "", "parse-names" : false, "suffix" : "" } ], "id" : "ITEM-1", "issued" : { "date-parts" : [ [ "2013" ] ] }, "publisher" : "Quirk Books", "publisher-place" : "Philadelphia", "title" : "The Resurrectionist: The Lost Work of Dr. Spencer Black", "title-short" : "The Resurrectionist", "type" : "book" }, "locator" : "34", "uris" : [ "http://www.mendeley.com/documents/?uuid=ae350723-72e2-4764-95d4-1723d1569ca9" ] } ], "mendeley" : { "formattedCitation" : "Hudspeth, p. 34.", "plainTextFormattedCitation" : "Hudspeth, p. 34.", "previouslyFormattedCitation" : "Hudspeth, p. 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Hudspeth, p. 34.</w:t>
      </w:r>
      <w:r w:rsidRPr="00505CF0">
        <w:rPr>
          <w:rFonts w:asciiTheme="majorBidi" w:hAnsiTheme="majorBidi" w:cstheme="majorBidi"/>
        </w:rPr>
        <w:fldChar w:fldCharType="end"/>
      </w:r>
    </w:p>
  </w:footnote>
  <w:footnote w:id="366">
    <w:p w14:paraId="367D2FF5" w14:textId="2AF73DD3" w:rsidR="00054009" w:rsidRPr="00811F20" w:rsidRDefault="00054009" w:rsidP="00811F20">
      <w:pPr>
        <w:pStyle w:val="FootnoteText"/>
        <w:rPr>
          <w:i/>
          <w:iCs/>
        </w:rPr>
      </w:pPr>
      <w:r>
        <w:rPr>
          <w:rStyle w:val="FootnoteReference"/>
        </w:rPr>
        <w:footnoteRef/>
      </w:r>
      <w:r>
        <w:t xml:space="preserve"> </w:t>
      </w:r>
      <w:r w:rsidRPr="00811F20">
        <w:rPr>
          <w:i/>
          <w:iCs/>
        </w:rPr>
        <w:t xml:space="preserve">ACO: Implausibly, </w:t>
      </w:r>
      <w:r>
        <w:rPr>
          <w:i/>
          <w:iCs/>
        </w:rPr>
        <w:t>however</w:t>
      </w:r>
      <w:r w:rsidRPr="00811F20">
        <w:rPr>
          <w:i/>
          <w:iCs/>
        </w:rPr>
        <w:t xml:space="preserve">, William </w:t>
      </w:r>
      <w:r w:rsidRPr="00811F20">
        <w:rPr>
          <w:rFonts w:asciiTheme="majorBidi" w:hAnsiTheme="majorBidi" w:cstheme="majorBidi"/>
          <w:i/>
          <w:iCs/>
        </w:rPr>
        <w:t>Allan records how he slaughtered exactly fifty-two of the strange Esquimaux cult, though the last of which he cornered and, surprisingly, found spoke perfect English. Wounded, this last cultist told terrible secrets to Allan. Secrets that Southward, for some reason, was incredibly excited about – his handwriting becomes maddened, underlining and slashing in dark red ink across the records. Particularly highlighted sections detail how the cultist revealed that they were sacrificing to appease await the return of a monstrous being called Xcln’Kcfrolphtulh, a small statue of which Allan would later remove from this man’s clothes and present before the society. Xcln’Kcfrolphtulh, the ancient god of extreme nihilism and devastation, is prophesied to rise only when specific celestial spheres align and a</w:t>
      </w:r>
      <w:r>
        <w:rPr>
          <w:rFonts w:asciiTheme="majorBidi" w:hAnsiTheme="majorBidi" w:cstheme="majorBidi"/>
          <w:i/>
          <w:iCs/>
        </w:rPr>
        <w:t xml:space="preserve"> prophesied period of </w:t>
      </w:r>
      <w:r w:rsidRPr="00811F20">
        <w:rPr>
          <w:rFonts w:asciiTheme="majorBidi" w:hAnsiTheme="majorBidi" w:cstheme="majorBidi"/>
          <w:i/>
          <w:iCs/>
        </w:rPr>
        <w:t>(comparably, presumably) nihilism and terror comes to a complete end.</w:t>
      </w:r>
    </w:p>
  </w:footnote>
  <w:footnote w:id="367">
    <w:p w14:paraId="7485641D" w14:textId="46E7226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"publisher" : "Canongate Books", "publisher-place" : "Edinburgh", "title" : "The Crane Wife", "type" : "book" }, "locator" : "247-54", "uris" : [ "http://www.mendeley.com/documents/?uuid=37cee22d-fca1-4238-abe8-c691b1335012" ] } ], "mendeley" : { "formattedCitation" : "Ness, &lt;i&gt;The Crane Wife&lt;/i&gt;, pp. 247\u201354.", "plainTextFormattedCitation" : "Ness, The Crane Wife, pp. 247\u201354.", "previouslyFormattedCitation" : "Ness, &lt;i&gt;The Crane Wife&lt;/i&gt;, pp. 247\u201354."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The Crane Wife</w:t>
      </w:r>
      <w:r w:rsidRPr="00505CF0">
        <w:rPr>
          <w:rFonts w:asciiTheme="majorBidi" w:hAnsiTheme="majorBidi" w:cstheme="majorBidi"/>
          <w:noProof/>
        </w:rPr>
        <w:t>, pp. 247–54.</w:t>
      </w:r>
      <w:r w:rsidRPr="00505CF0">
        <w:rPr>
          <w:rFonts w:asciiTheme="majorBidi" w:hAnsiTheme="majorBidi" w:cstheme="majorBidi"/>
        </w:rPr>
        <w:fldChar w:fldCharType="end"/>
      </w:r>
    </w:p>
  </w:footnote>
  <w:footnote w:id="368">
    <w:p w14:paraId="3C5EA1F3" w14:textId="7C17408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"http://www.metamodernism.com/2012/05/29/to-engage-in-literature/", "accessed" : { "date-parts" : [ [ "2017", "11", "13" ] ] }, "author" : [ { "dropping-particle" : "", "family" : "Fe\u00dfler", "given" : "Nadine", "non-dropping-particle" : "", "parse-names" : false, "suffix" : "" } ], "container-title" : "Notes on Metamodernism", "id" : "ITEM-1", "issued" : { "date-parts" : [ [ "2012" ] ] }, "note" : "the returns of\u00a0 ostensibly outdated concepts such as authenticity, ethics, engagement and aesthetics and what kind of themes are pushed to the foreground because of this.\n\n\u00a0contemporary literature does not dismiss postmodern ideas, but rather incorporates those ideas, though utilizing them for completely different outcomes, for example for installing authenticity or sincerity. One dominant strategy that is being pursued is to seek for ways to engage the reader again.\n\nIn a straightforward way Wallace points out the writer\u2019s responsibility to make the readers engage by allowing them simply no way out, by writing in such ways that makes it impossible not to care. It is precisely this that most contemporary literature tries to do. It tries to find ways that allow (or even force) the reader to be involved in what is presented to them, without falling back into a distanced mode.\u00a0\n\nAs McEwan does in\u00a0Atonement, A.S. Byatt in\u00a0Possession\u00a0or Margaret Atwood in\u00a0The Blind Assassin, she installs fiction as a powerful instrument that is used strategically by the protagonists rather than the protagonists being subjected to the overpowering nature of language and contextualization. The undecidability between fiction and reality that has been the clue of so many postmodern novels is not an issue anymore. Instead the value of aesthetics is highlighted by creating an emotional need in the reader for those kinds of aesthetic experiences (think for example of Yann Martel\u2019s\u00a0Life of Pi).\n\nThis revived interest in stories triggered a comeback of conventional literary forms like the historical novel, the realist novel or the family saga.\u00a0\n\nStrategies of fragmentation and destabilization are either left behind completely or given a smaller role in order to reintroduce a form of transcendence, a phenomenon that was significantly lacking in postmodern literature.\n\nFinishing with this last return, the return of transcendence, one could formulate a hypothesis: contemporary literature is trying to reintegrate precisely those themes and styles that postmodernism either was never interested in or was trying to get rid of. As a consequence, today\u2019s novelists are finding inventive ways to create refreshing narratives that allow those themes a comeback under very specific circumstances, and by doing so are enabling a going \u2018beyond\u2019 postmodernism.", "title" : "To engage in literature", "type" : "webpage" }, "uris" : [ "http://www.mendeley.com/documents/?uuid=ad6e6678-cc9f-4d1f-8dd0-c16b4cecb6da" ] } ], "mendeley" : { "formattedCitation" : "Fe\u00dfler.", "plainTextFormattedCitation" : "Fe\u00dfler.", "previouslyFormattedCitation" : "Fe\u00dfler."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Feßler.</w:t>
      </w:r>
      <w:r w:rsidRPr="00505CF0">
        <w:rPr>
          <w:rFonts w:asciiTheme="majorBidi" w:hAnsiTheme="majorBidi" w:cstheme="majorBidi"/>
        </w:rPr>
        <w:fldChar w:fldCharType="end"/>
      </w:r>
    </w:p>
  </w:footnote>
  <w:footnote w:id="369">
    <w:p w14:paraId="1577B308" w14:textId="7D4F64B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"http://www.e-flux.com/journal/the-new-depthiness/", "accessed" : { "date-parts" : [ [ "2015", "7", "14" ] ] }, "author" : [ { "dropping-particle" : "", "family" : "Vermeulen", "given" : "Timotheus", "non-dropping-particle" : "", "parse-names" : false, "suffix" : "" } ], "container-title" : "e-flux", "id" : "ITEM-1", "issued" : { "date-parts" : [ [ "2015" ] ] }, "note" : "Writing a decade into the twnty-first century, this History appears to have returned. In philosophy and art alike, notions of the behind and the beyond, the beneath and the inside, have reemerged.\n\n[current artists] study the simulation not as a model of/for reality, but as a diagram of posibilited [Literature as equipment for living], creating self-enclosed scenarios informed by reality but enacted in isolation from it, whose conclusions offer radical alternatives.\nImportantly, these philosophers, artists, and writers, each in their own distinct way, do not resuscitate depth as much as they resurrect its spirit. They understand that the depth Jameson referred to\u2014dialectics, psychoanalysis, existentialism\u2014has been flattened, or hollowed out. What they create instead are personal, alternative visions of depth, visions they invite us to share [...] Many contemporary thinkers and artists leave the dead corpus of depth untouched, whilst trying to reanimate its ghost.\n\nby 1991 the interest was in the surface itself rather than the substance behind or below it - fascination and practice hyperfocused on the glass more than the display, the giftwrapping more than the present. \n\n\u00a0In other words, when Jameson spoke about depthlessness, what he was talking about was not simply wrapping paper but a missing present; not a container without contents but a can of yogurt past its expiration date: whatever was once inside, it was no longer ingestible.4\u00a0The new depthlessness denoted not a coincidence but a consequence, the effect of years of\u2014depending on the discipline\u2014obstructing, flattening, cutting off, or hollowing out.\n\nIn contrast, Andy Warhol\u2019s\u00a0Diamond Dust Shoes(1980) communicated neither an authorial voice, nor a personal attitude or affect, nor a sense of the world it supposedly represented. The black-and-white photograph, with its shiny, isolated aesthetic, Jameson suggested, could allude to glamour magazines just as well as to a memory of the artist\u2019s mother, to shoes left over from Auschwitz or the remains of a dance hall fire. If Van Gogh\u2019s painting of peasant shoes pulled the viewer into another world of poverty and misery, Warhol\u2019s photo of pumps pushed the spectator out back into his own.\n\n\u00a0It is certainly true, however, that depthlessness was the \u201csupreme formal feature,\u201d as Jameson put it, in that it was a signifier of a sensibility that was more manifest than others. Just think back to the hit music of the time, to the hedonism of the Venga Boys or the desperation of Nirvana; to the bestselling books, like Brett Easton Ellis\u2019s\u00a0American Psycho\u00a0(1991), with its simulacral protagonist Patrick Bateman, \u201can idea, \u2026 some kind of abstraction but \u2026 no real [person],\u201d in whose eyes the reader could gaze, whose hands could be shaken, and whose flesh could be felt, but who was \u201csimply \u2026 not there\u201d\n\nThe first is that these metaphors concretize Jameson\u2019s abstract notions of depth, especially depthlessness, giving hands and feet to these amorphous bodies of thought. To say that something is depthless, after all, is not the same as suggesting that something is superficial. The first term acknowledges the possibility of depth whilst negating its actuality, whereas the second disavows it.\n\nWhat Baricco suggests, thus, is that the experiential registers of depth and depthlessness prescribe different modes of engagement: in the former you focus on one point in particular whilst in the latter you let your eyes scan over the surface; in the first you look for the special, in the second for the spectacular: the next wave, the next thrill.\n\nWhereas the diver\u00a0moves towards\u00a0a shipwreck or a coral reef in the depths of the ocean, and the surfer\u00a0moves with\u00a0the flow of the waves, the snorkeler swims toward a school of fish whilst drifting with the surface currents. Importantly, the snorkeler imagines depth without experiencing it. \u201cWhere might that fish be swimming to?\u201d he wonders. Or perhaps he thinks, \u201cWhat might be below that rock?\u201d He may follow the fish\u2019s direction, left, then right, then left again. But he will not, and often cannot, dive downwards; or if he does, then it is only for as long as his lungs allow. This is to say: for the snorkeler, depth both exists, positively, in theory, and does not exist, in practice, since he does not, and cannot, reach it. //When I refer to the \u201cnew depthiness,\u201d I am thinking of a snorkeler intuiting depth, imagining it\u2014perceiving it without encountering it.\n\n\u00a0In this sense, depthiness combines the epistemological reality of depthlessness with the performative possibility of depth.\n\nThe similarity between Colbert\u2019s concept of truthiness and the notion of depthiness proposed here is that both describe a\u00a0contradictio in terminis, or rather, perhaps, a recontextualization of terms. \u201cTruthiness\u201d expresses the production of a \u201ctruth\u201d according to emotion instead of empiricism; \u201cdepthiness\u201d articulates the creation of \u201cdepth\u201d as a performative act as opposed to an epistemological quality. The difference between the two terms, however, is that whereas the former takes the affirmative category of truth as its reference, which suggests that there is a truth even if the suffix \u201c\u2013ness\u201d implies that it may not apply to what is denoted; the latter adapts the negative label \u201cdepthlessness,\u201d which by contrast suggests that there is no depth, though here the suffix intimates that it may be perceived. Indeed, in this sense, it would have been more accurate to contrast truthiness with the equivalent of \u201ctruthlessiness\u201d: \u201cdepthlessiness.\u201d Truthiness puts the truth into question; depthiness raises doubts about depthlessness. Truthiness abandons the reality of truth as a legitimate register of signification; depthiness restores the possibility of depth as a viable modality for making meaning.\n\nthis is not the empirical or logical depth of the behind, but a performative depth of what one may call, in the absence of a more appropriate terminology, the \u201cwithout.\u201d The without is an approximation of depth which acknowledges that the surface may well be depthless,while simultaneously suggesting an\u00a0outside\u00a0of it nonetheless.\u00a0\n\nMany contemporary artists, however, re-territorialize these languages of simulation to suggest not the final stage in a history of depthlessness but the first one in another chronicle of depthiness. They jump from their surfboards into the water, a snorkeling mask in hand. They cannot swim deep, but they can perceive depth.\n\nA year or so ago, while watching the television show\u00a0Girls\u00a0(episode 3 from the third season), I was struck by a sentence that was at once reminiscent and completely different from that line from the early 2000s. \u201cJust because it\u2019s fake, doesn\u2019t mean I don\u2019t feel it.\u201d The line from the Radiohead song that described our world as a hall of mirrors calls to mind Jameson\u2019s understanding of depthlessness as the last stage in a particular history of a particular flattening. But what the line from\u00a0Girls\u00a0hints at is that, just maybe, we are seeing the first stage in another history of another kind of deepening, one whose empirical reality lies above the surface even if its performative register floats just below it: depthiness.", "title" : "The New \u201cDepthiness\u201d", "type" : "webpage" }, "uris" : [ "http://www.mendeley.com/documents/?uuid=f7cca42b-b1b8-4130-a3be-cd197e236a1e" ] } ], "mendeley" : { "formattedCitation" : "Vermeulen, \u2018The New \u201cDepthiness\u201d\u2019.", "plainTextFormattedCitation" : "Vermeulen, \u2018The New \u201cDepthiness\u201d\u2019.", "previouslyFormattedCitation" : "Vermeulen, \u2018The New \u201cDepthiness\u201d\u2019."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‘The New “Depthiness”’.</w:t>
      </w:r>
      <w:r w:rsidRPr="00505CF0">
        <w:rPr>
          <w:rFonts w:asciiTheme="majorBidi" w:hAnsiTheme="majorBidi" w:cstheme="majorBidi"/>
        </w:rPr>
        <w:fldChar w:fldCharType="end"/>
      </w:r>
    </w:p>
  </w:footnote>
  <w:footnote w:id="370">
    <w:p w14:paraId="2C1C05E3"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Camus used masculine pronouns throughout his work which I will de-gender here for the sake of the argument, after all Camus’ work is about the human condition, not the manly condition. </w:t>
      </w:r>
    </w:p>
  </w:footnote>
  <w:footnote w:id="371">
    <w:p w14:paraId="4A1A8FFC" w14:textId="6332AAD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"6", "uris" : [ "http://www.mendeley.com/documents/?uuid=52b43990-323a-4fb6-a986-d6f639722a39" ] } ], "mendeley" : { "formattedCitation" : "Albert Camus, &lt;i&gt;The Myth of Sisyphus&lt;/i&gt;, trans. by Justin O\u2019Brien (London: Penguin Books Ltd, 2013), p. 6.", "plainTextFormattedCitation" : "Albert Camus, The Myth of Sisyphus, trans. by Justin O\u2019Brien (London: Penguin Books Ltd, 2013), p. 6.", "previouslyFormattedCitation" : "Albert Camus, &lt;i&gt;The Myth of Sisyphus&lt;/i&gt;, trans. by Justin O\u2019Brien (London: Penguin Books Ltd, 2013), p. 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Albert Camus, </w:t>
      </w:r>
      <w:r w:rsidRPr="00505CF0">
        <w:rPr>
          <w:rFonts w:asciiTheme="majorBidi" w:hAnsiTheme="majorBidi" w:cstheme="majorBidi"/>
          <w:i/>
          <w:noProof/>
        </w:rPr>
        <w:t>The Myth of Sisyphus</w:t>
      </w:r>
      <w:r w:rsidRPr="00505CF0">
        <w:rPr>
          <w:rFonts w:asciiTheme="majorBidi" w:hAnsiTheme="majorBidi" w:cstheme="majorBidi"/>
          <w:noProof/>
        </w:rPr>
        <w:t>, trans. by Justin O’Brien (London: Penguin Books Ltd, 2013), p. 6.</w:t>
      </w:r>
      <w:r w:rsidRPr="00505CF0">
        <w:rPr>
          <w:rFonts w:asciiTheme="majorBidi" w:hAnsiTheme="majorBidi" w:cstheme="majorBidi"/>
        </w:rPr>
        <w:fldChar w:fldCharType="end"/>
      </w:r>
    </w:p>
  </w:footnote>
  <w:footnote w:id="372">
    <w:p w14:paraId="78128B10" w14:textId="118715C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"13", "uris" : [ "http://www.mendeley.com/documents/?uuid=52b43990-323a-4fb6-a986-d6f639722a39" ] } ], "mendeley" : { "formattedCitation" : "Camus, p. 13.", "plainTextFormattedCitation" : "Camus, p. 13.", "previouslyFormattedCitation" : "Camus, p. 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13.</w:t>
      </w:r>
      <w:r w:rsidRPr="00505CF0">
        <w:rPr>
          <w:rFonts w:asciiTheme="majorBidi" w:hAnsiTheme="majorBidi" w:cstheme="majorBidi"/>
        </w:rPr>
        <w:fldChar w:fldCharType="end"/>
      </w:r>
    </w:p>
  </w:footnote>
  <w:footnote w:id="373">
    <w:p w14:paraId="7A6DE0D1" w14:textId="245A502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"17", "uris" : [ "http://www.mendeley.com/documents/?uuid=52b43990-323a-4fb6-a986-d6f639722a39" ] } ], "mendeley" : { "formattedCitation" : "Camus, p. 17.", "plainTextFormattedCitation" : "Camus, p. 17.", "previouslyFormattedCitation" : "Camus, p. 17."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17.</w:t>
      </w:r>
      <w:r w:rsidRPr="00505CF0">
        <w:rPr>
          <w:rFonts w:asciiTheme="majorBidi" w:hAnsiTheme="majorBidi" w:cstheme="majorBidi"/>
        </w:rPr>
        <w:fldChar w:fldCharType="end"/>
      </w:r>
    </w:p>
  </w:footnote>
  <w:footnote w:id="374">
    <w:p w14:paraId="6456A371"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 potentially important distinction: the capitalised Absurd is this contradiction or divorce, the recognition of the meaninglessness of life in contrast with the desire for movement, while the absurd, without capitalisation, is merely the former of the contradiction – the recognition of the absence of any profound reason for life, the insane character our daily agitation, the uselessness of suffering, and the primitive hostility of the world. In recognising the absurd and one’s own desire for meaning, one enters the Absurd condition.</w:t>
      </w:r>
    </w:p>
  </w:footnote>
  <w:footnote w:id="375">
    <w:p w14:paraId="6AC90715" w14:textId="55CDD91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"24", "uris" : [ "http://www.mendeley.com/documents/?uuid=52b43990-323a-4fb6-a986-d6f639722a39" ] } ], "mendeley" : { "formattedCitation" : "Camus, p. 24.", "plainTextFormattedCitation" : "Camus, p. 24.", "previouslyFormattedCitation" : "Camus, p. 24."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24.</w:t>
      </w:r>
      <w:r w:rsidRPr="00505CF0">
        <w:rPr>
          <w:rFonts w:asciiTheme="majorBidi" w:hAnsiTheme="majorBidi" w:cstheme="majorBidi"/>
        </w:rPr>
        <w:fldChar w:fldCharType="end"/>
      </w:r>
    </w:p>
  </w:footnote>
  <w:footnote w:id="376">
    <w:p w14:paraId="3D219316" w14:textId="654156B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"12", "uris" : [ "http://www.mendeley.com/documents/?uuid=52b43990-323a-4fb6-a986-d6f639722a39" ] } ], "mendeley" : { "formattedCitation" : "Camus, p. 12.", "plainTextFormattedCitation" : "Camus, p. 12.", "previouslyFormattedCitation" : "Camus, p. 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12.</w:t>
      </w:r>
      <w:r w:rsidRPr="00505CF0">
        <w:rPr>
          <w:rFonts w:asciiTheme="majorBidi" w:hAnsiTheme="majorBidi" w:cstheme="majorBidi"/>
        </w:rPr>
        <w:fldChar w:fldCharType="end"/>
      </w:r>
    </w:p>
  </w:footnote>
  <w:footnote w:id="377">
    <w:p w14:paraId="4C14808B" w14:textId="02A6416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"40", "uris" : [ "http://www.mendeley.com/documents/?uuid=52b43990-323a-4fb6-a986-d6f639722a39" ] } ], "mendeley" : { "formattedCitation" : "Camus, p. 40.", "plainTextFormattedCitation" : "Camus, p. 40.", "previouslyFormattedCitation" : "Camus, p. 40."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40.</w:t>
      </w:r>
      <w:r w:rsidRPr="00505CF0">
        <w:rPr>
          <w:rFonts w:asciiTheme="majorBidi" w:hAnsiTheme="majorBidi" w:cstheme="majorBidi"/>
        </w:rPr>
        <w:fldChar w:fldCharType="end"/>
      </w:r>
    </w:p>
  </w:footnote>
  <w:footnote w:id="378">
    <w:p w14:paraId="49942E43" w14:textId="4F89874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"17", "uris" : [ "http://www.mendeley.com/documents/?uuid=52b43990-323a-4fb6-a986-d6f639722a39" ] } ], "mendeley" : { "formattedCitation" : "Camus, p. 17.", "plainTextFormattedCitation" : "Camus, p. 17.", "previouslyFormattedCitation" : "Camus, p. 17."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17.</w:t>
      </w:r>
      <w:r w:rsidRPr="00505CF0">
        <w:rPr>
          <w:rFonts w:asciiTheme="majorBidi" w:hAnsiTheme="majorBidi" w:cstheme="majorBidi"/>
        </w:rPr>
        <w:fldChar w:fldCharType="end"/>
      </w:r>
    </w:p>
  </w:footnote>
  <w:footnote w:id="379">
    <w:p w14:paraId="54BF8B0B" w14:textId="3CEA828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"44-5", "uris" : [ "http://www.mendeley.com/documents/?uuid=52b43990-323a-4fb6-a986-d6f639722a39" ] } ], "mendeley" : { "formattedCitation" : "Camus, pp. 44\u20135.", "plainTextFormattedCitation" : "Camus, pp. 44\u20135.", "previouslyFormattedCitation" : "Camus, pp. 44\u20135."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Camus, pp. 44–5.</w:t>
      </w:r>
      <w:r w:rsidRPr="00505CF0">
        <w:rPr>
          <w:rFonts w:asciiTheme="majorBidi" w:hAnsiTheme="majorBidi" w:cstheme="majorBidi"/>
        </w:rPr>
        <w:fldChar w:fldCharType="end"/>
      </w:r>
    </w:p>
  </w:footnote>
  <w:footnote w:id="380">
    <w:p w14:paraId="53460281" w14:textId="05F1C87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"12", "uris" : [ "http://www.mendeley.com/documents/?uuid=52b43990-323a-4fb6-a986-d6f639722a39" ] } ], "mendeley" : { "formattedCitation" : "Camus, p. 12.", "plainTextFormattedCitation" : "Camus, p. 12.", "previouslyFormattedCitation" : "Camus, p. 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12.</w:t>
      </w:r>
      <w:r w:rsidRPr="00505CF0">
        <w:rPr>
          <w:rFonts w:asciiTheme="majorBidi" w:hAnsiTheme="majorBidi" w:cstheme="majorBidi"/>
        </w:rPr>
        <w:fldChar w:fldCharType="end"/>
      </w:r>
    </w:p>
  </w:footnote>
  <w:footnote w:id="381">
    <w:p w14:paraId="3FDB0314" w14:textId="4A86E1E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"48, 69", "uris" : [ "http://www.mendeley.com/documents/?uuid=52b43990-323a-4fb6-a986-d6f639722a39" ] } ], "mendeley" : { "formattedCitation" : "Camus, pp. 48, 69.", "plainTextFormattedCitation" : "Camus, pp. 48, 69.", "previouslyFormattedCitation" : "Camus, pp. 48, 69."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pp. 48, 69.</w:t>
      </w:r>
      <w:r w:rsidRPr="00505CF0">
        <w:rPr>
          <w:rFonts w:asciiTheme="majorBidi" w:hAnsiTheme="majorBidi" w:cstheme="majorBidi"/>
        </w:rPr>
        <w:fldChar w:fldCharType="end"/>
      </w:r>
    </w:p>
  </w:footnote>
  <w:footnote w:id="382">
    <w:p w14:paraId="5011E58A" w14:textId="67BBC4D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"49", "uris" : [ "http://www.mendeley.com/documents/?uuid=52b43990-323a-4fb6-a986-d6f639722a39" ] } ], "mendeley" : { "formattedCitation" : "Camus, p. 49.", "plainTextFormattedCitation" : "Camus, p. 49.", "previouslyFormattedCitation" : "Camus, p. 49."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49.</w:t>
      </w:r>
      <w:r w:rsidRPr="00505CF0">
        <w:rPr>
          <w:rFonts w:asciiTheme="majorBidi" w:hAnsiTheme="majorBidi" w:cstheme="majorBidi"/>
        </w:rPr>
        <w:fldChar w:fldCharType="end"/>
      </w:r>
    </w:p>
  </w:footnote>
  <w:footnote w:id="383">
    <w:p w14:paraId="599FBFB7" w14:textId="12E62C1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"84", "uris" : [ "http://www.mendeley.com/documents/?uuid=52b43990-323a-4fb6-a986-d6f639722a39" ] } ], "mendeley" : { "formattedCitation" : "Camus, p. 84.", "plainTextFormattedCitation" : "Camus, p. 84.", "previouslyFormattedCitation" : "Camus, p. 84."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84.</w:t>
      </w:r>
      <w:r w:rsidRPr="00505CF0">
        <w:rPr>
          <w:rFonts w:asciiTheme="majorBidi" w:hAnsiTheme="majorBidi" w:cstheme="majorBidi"/>
        </w:rPr>
        <w:fldChar w:fldCharType="end"/>
      </w:r>
    </w:p>
  </w:footnote>
  <w:footnote w:id="384">
    <w:p w14:paraId="608AAE7D" w14:textId="39FC6B3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"89", "uris" : [ "http://www.mendeley.com/documents/?uuid=52b43990-323a-4fb6-a986-d6f639722a39" ] } ], "mendeley" : { "formattedCitation" : "Camus, p. 89.", "plainTextFormattedCitation" : "Camus, p. 89.", "previouslyFormattedCitation" : "Camus, p. 89."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89.</w:t>
      </w:r>
      <w:r w:rsidRPr="00505CF0">
        <w:rPr>
          <w:rFonts w:asciiTheme="majorBidi" w:hAnsiTheme="majorBidi" w:cstheme="majorBidi"/>
        </w:rPr>
        <w:fldChar w:fldCharType="end"/>
      </w:r>
    </w:p>
  </w:footnote>
  <w:footnote w:id="385">
    <w:p w14:paraId="4354D78A" w14:textId="6B7B4DB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"87", "uris" : [ "http://www.mendeley.com/documents/?uuid=52b43990-323a-4fb6-a986-d6f639722a39" ] } ], "mendeley" : { "formattedCitation" : "Camus, p. 87.", "plainTextFormattedCitation" : "Camus, p. 87.", "previouslyFormattedCitation" : "Camus, p. 87."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87.</w:t>
      </w:r>
      <w:r w:rsidRPr="00505CF0">
        <w:rPr>
          <w:rFonts w:asciiTheme="majorBidi" w:hAnsiTheme="majorBidi" w:cstheme="majorBidi"/>
        </w:rPr>
        <w:fldChar w:fldCharType="end"/>
      </w:r>
    </w:p>
  </w:footnote>
  <w:footnote w:id="386">
    <w:p w14:paraId="28DD92B7" w14:textId="50D2950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"89", "uris" : [ "http://www.mendeley.com/documents/?uuid=52b43990-323a-4fb6-a986-d6f639722a39" ] } ], "mendeley" : { "formattedCitation" : "Camus, p. 89.", "plainTextFormattedCitation" : "Camus, p. 89.", "previouslyFormattedCitation" : "Camus, p. 89."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89.</w:t>
      </w:r>
      <w:r w:rsidRPr="00505CF0">
        <w:rPr>
          <w:rFonts w:asciiTheme="majorBidi" w:hAnsiTheme="majorBidi" w:cstheme="majorBidi"/>
        </w:rPr>
        <w:fldChar w:fldCharType="end"/>
      </w:r>
    </w:p>
  </w:footnote>
  <w:footnote w:id="387">
    <w:p w14:paraId="57523831" w14:textId="5E010E1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"89", "uris" : [ "http://www.mendeley.com/documents/?uuid=52b43990-323a-4fb6-a986-d6f639722a39" ] } ], "mendeley" : { "formattedCitation" : "Camus, p. 89.", "plainTextFormattedCitation" : "Camus, p. 89.", "previouslyFormattedCitation" : "Camus, p. 89."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89.</w:t>
      </w:r>
      <w:r w:rsidRPr="00505CF0">
        <w:rPr>
          <w:rFonts w:asciiTheme="majorBidi" w:hAnsiTheme="majorBidi" w:cstheme="majorBidi"/>
        </w:rPr>
        <w:fldChar w:fldCharType="end"/>
      </w:r>
    </w:p>
  </w:footnote>
  <w:footnote w:id="388">
    <w:p w14:paraId="0842951C"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Despite the potentially male-centric nature of the original essay.</w:t>
      </w:r>
    </w:p>
  </w:footnote>
  <w:footnote w:id="389">
    <w:p w14:paraId="7D5EF676" w14:textId="372B990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"6", "uris" : [ "http://www.mendeley.com/documents/?uuid=9cfe2cdc-de7e-4a7d-bc9d-282fba435583" ] } ], "mendeley" : { "formattedCitation" : "Vermeulen and van den Akker, \u2018Notes on Metamodernism\u2019, p. 6.", "plainTextFormattedCitation" : "Vermeulen and van den Akker, \u2018Notes on Metamodernism\u2019, p. 6.", "previouslyFormattedCitation" : "Vermeulen and van den Akker, \u2018Notes on Metamodernism\u2019, p. 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6.</w:t>
      </w:r>
      <w:r w:rsidRPr="00505CF0">
        <w:rPr>
          <w:rFonts w:asciiTheme="majorBidi" w:hAnsiTheme="majorBidi" w:cstheme="majorBidi"/>
        </w:rPr>
        <w:fldChar w:fldCharType="end"/>
      </w:r>
    </w:p>
  </w:footnote>
  <w:footnote w:id="390">
    <w:p w14:paraId="3F21FBE9" w14:textId="1C597B9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"7", "uris" : [ "http://www.mendeley.com/documents/?uuid=52b43990-323a-4fb6-a986-d6f639722a39" ] } ], "mendeley" : { "formattedCitation" : "Camus, p. 7.", "plainTextFormattedCitation" : "Camus, p. 7.", "previouslyFormattedCitation" : "Camus, p. 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7.</w:t>
      </w:r>
      <w:r w:rsidRPr="00505CF0">
        <w:rPr>
          <w:rFonts w:asciiTheme="majorBidi" w:hAnsiTheme="majorBidi" w:cstheme="majorBidi"/>
        </w:rPr>
        <w:fldChar w:fldCharType="end"/>
      </w:r>
    </w:p>
  </w:footnote>
  <w:footnote w:id="391">
    <w:p w14:paraId="15C9FAFB" w14:textId="52B3FF1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"Granville", "given" : "Eliza", "non-dropping-particle" : "", "parse-names" : false, "suffix" : "" } ], "id" : "ITEM-1", "issued" : { "date-parts" : [ [ "2014" ] ] }, "publisher" : "Hamish Hamilton", "publisher-place" : "London", "title" : "Gretel and the Dark", "type" : "book" }, "locator" : "326", "uris" : [ "http://www.mendeley.com/documents/?uuid=20cb1e03-b9e5-4e12-a6a2-3cb1706c178c" ] } ], "mendeley" : { "formattedCitation" : "Granville, p. 326.", "plainTextFormattedCitation" : "Granville, p. 326.", "previouslyFormattedCitation" : "Granville, p. 326."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Granville, p. 326.</w:t>
      </w:r>
      <w:r w:rsidRPr="00505CF0">
        <w:rPr>
          <w:rFonts w:asciiTheme="majorBidi" w:hAnsiTheme="majorBidi" w:cstheme="majorBidi"/>
        </w:rPr>
        <w:fldChar w:fldCharType="end"/>
      </w:r>
    </w:p>
  </w:footnote>
  <w:footnote w:id="392">
    <w:p w14:paraId="00AE20CA"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Camus is often misquoted as having stated that ‘individuals should embrace the absurd condition of human existence while also defiantly continuing to explore and search for meaning.’ A sentence which never appears within </w:t>
      </w:r>
      <w:r w:rsidRPr="00505CF0">
        <w:rPr>
          <w:rFonts w:asciiTheme="majorBidi" w:hAnsiTheme="majorBidi" w:cstheme="majorBidi"/>
          <w:i/>
          <w:iCs/>
        </w:rPr>
        <w:t xml:space="preserve">The Myth of </w:t>
      </w:r>
      <w:r w:rsidRPr="00505CF0">
        <w:rPr>
          <w:rFonts w:asciiTheme="majorBidi" w:hAnsiTheme="majorBidi" w:cstheme="majorBidi"/>
        </w:rPr>
        <w:t xml:space="preserve">Sisyphus, though the sentiment of the phrase does echo the argument of the essay from which it is most frequently misquoted. </w:t>
      </w:r>
    </w:p>
  </w:footnote>
  <w:footnote w:id="393">
    <w:p w14:paraId="489A5794" w14:textId="77777777" w:rsidR="00054009" w:rsidRPr="00505CF0" w:rsidRDefault="00054009" w:rsidP="00613018">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"Camus", "given" : "Albert", "non-dropping-particle" : "", "parse-names" : false, "suffix" : "" } ], "id" : "ITEM-1", "issued" : { "date-parts" : [ [ "2013" ] ] }, "note" : "The Absurd is the conflict between the human tendency to seek inherent value and meaning in life, and the human inability to find any. Humanly impossible. \n\n[on suicide] The Worm is in man's heart. That is where it must be sought. p.6\n\nLiving, naturally, is never easy. You continue making the gestures commanded by esistence for many reasons, the first of which is habit. p.7\n\nDying voluntarily implies that you have recognized, even instinctively, the ridiculous character of that habit, the absence of any profound reason for living, the insane character of the daily agitation and the uselessness of suffering. p.7\n\nin a world suddenly divested of illusions and lights, man feels an alien, a stranger. His exile is without remedy since he is deprived of the memory of a lsot home or the hope of a primised land. This disvorce between man and his life, the actor and his setting, is prperly the feeling of absurdity. p.7\n\nWeariness comes at the end of the acts of a mechanical life, but at thge same time it inaugurates the impulse of consciousness. It awkwanes consciousness and provokes what follows. what follows is the gradual return into the chain or it is the definitive awakening. At the end of the awakening comes, in time, the consequence: suicide or recovery. p.12\n\nthe primitive hostility of the world rises up to face us across millenia. For a second we cease to understand it because for centuries we have understood it in solelt the imatges and designs that we had attributed to it beforehand, because henceforth we lack the power to make use of that artifice. p.13\n\nAt certain moments of lucidity, the mechanical aspect of their gestures, their meaningless pantomime make silly everything that surrounds them. A man is talking on the telephone behind a glass partition; you cannoy hear him but you see his incomprehensible dumb-show: you wonder why he is alive. The discomfort in the face of man's own inhumanity, this incalculable tumvle before the image of what we are, this 'nausea,' as a writer of today calls it, is also the absurd. Likewise the stranger who at certains econds comes to meet us in a mirror, the familiar yet alarming brother we encounter in our photographs is also the abusrd. p.13\n\n...the world is absurd. Its contrary, blind reason, may well claim that all is clear. I was waiting for proof and longing for it to be right. But, despite so many pretentious centuries and over the ehads to so many elooquent and persuasive men, I know that is false. On this plane, at least, there is no happiness if I cannot know. [...] in this unintellibible and limited universe, man's fate henceforth assumes its meaning. A horde of irrationals has sprung up and surrounds him until his ultimate end. p.17\n\nThis world in itself is not reasonable, that is all that can be said. But what is absrud is the confrontation of the irrational and the wild longing for clairty whose call echoes in the human heart. The absurd depends as much on man as on the world. p.17\n\nFrom the moment absurdity is recognized, it becomes a passion, the most harrowing of all. But whether or not one can live with one's passions, whether or not one can accept their law, which is to burn the heart they simultaneouslt exalt, that is the whole question. p.18\n\n[traditionally, conversationally] 'it's absurd' ,eams 'it's impossible' but also: 'it's contradictory.' It I see a man armed only with a sword attack a group of machine-guns, I shall consider his act to be absurd. But it is so solely by the virtue of the disproportion between his intention and the reality he will encounter, of the contradition I notice between his true strength and the aim he has in veiw. [...] The absurd is essentially a divorce. It lies in neither of the elements compared; it is born of their confrontation. p.23-4\n\nI must admit that the struggle implies a total absence of hope (which ahs nothing to do with despair), a continual rejection (which must not be confused with renunciation), and a conscious dissatisfaction (which must not be campted to immature unrest). Everything that destroys, conjures away, or exercises these requirements (and, to begin with, consent which overthrows divorce) ruins the absurd and devaluates the attitiude that may then be proposed. The absurd has meaning only in so far as it is not agreed to. p.24-5\n\nfor [the abusrd mind] the world is neither so rational nor so irrational It is unreasobale and only that. p. 37\n\nMy reasonign wants to be faithful to the evidence that aroused it. That evidence is the absurd. It is that divorce between the mind that desires and the world that dissapoints, my nostalgia for unity, this fragmented universe and the contradiction that binds them together. p.37\n\nIt was previously a question of finding out whether or not life had to have a meaning to be lived. It now becomes clear on the contrary that it will be lived all the better if it has no meaning. p.40\n\npage 43 - the abusrd man realising that he is not free and, in doing so, freeing himself\n\nIt is clear that death and the absurd are here the principles of the onlt reasble freedom: that which a human heart can experience and live. [...] The absurd man thus catches sight of a burning and frigid, transparent and limited universe in which nothing is possible, but everything is given, and beyond which all is collapse and nothingness. He can then decide to accept such a universe and draw from it his strength, his refusal to hope, and the unyielding evidence of a life without consolation. p.44-5\n\nBut it is bad to stop, hard to be satisfied with a single way of seeing, to go without contradiction, perhaps the most subtle of all spiritual forces. The preceding merely defines a way of thinking. But the point is to live. p.48\n\n[the absurd man] assured of his temporally limited freedom, of his revolt devoiud of future and of his mortal consciousness, he lives out his adventure within the span of his lifetime. p.49\n\nFor the absurd man it is not as matter of explaining and solving, but of experiencing and describing. Everything begins with lucid indifference. p.69\n\nAll that remains is a fate whose outcome alone is fatal. Outside that single fatality of death, evertything, joy or happiness, is liberty. A world remains of which man is the sole matser. What bound him was an illusion of another world. The outcome of his thought, ceasing to be renunciatory, flowers in images. It frolics - in myths to be sure - but myths with no other depth than that of human siffering and, like it, inexhaustible. Not the divine fable that amuses and blinds, but the terrestrial face, gesture, and drama in which are summed up a difficult wisdom and an ephemeral passion. p. 84\n\nAt the very end of his long effort measured by skyless space and time withoud depth, the purpose is acheived. Then Sisyphus wacthes the stone rush down in a moments towards that lower world whence he will have to push it up again towards the summit. He goes back down to the plain. \nIt is during that return, that pause, that sisyphus interests me. p.87\n\nI see the man going back down with a heavy yet measured step towards the torment of which he will never know the end, That hour like abreathing-space whcih returns as surely as his suffering, that is the hour of consciousness. At each of those moments when he leaves the heights and gradually sinks towards the lairs of the gods, he is superior to his fate. He is stronger than his rock. p.87\n\nThe wokeman of today works every day in his life at thge same tasks and this fate is no less absurd. p.87\n\nHappiness and the absurd are two sons of the same arth. They are inseperable. It would be a mistake to say that happiness necessarily springs from the absurd discovery. It happens as well that the feeling of the absurd springs from happiness. p.88\n\nAll SWisyphus' silent joy is contained therein. His fater belongs to him. His rock is his thing. Likewise, the absurd man, when he contemplattes his torment, silences all the idols. In the unvierse suddenly restores to its silence, the myriad wondering little voices of the earth rise up. p.88-9\n\nThe absurd man says yes and his effort will henceforth be unceaaing. If there is a personal fate, there is no higher destiny or at least there is byt one which he concludes is inevitable and dsepciable. For the rest, he knows himself to be the master of his days. At that sublte moment when man glances backward over his life, Sisyphus returning towards his rock, in that slight pivoting, he contemplates that series of unrelated actions which becomes his fate, created by him. p.89\n\nthe universe henceforth without a master seems to him neither sterile nor futile. Each atom of that stone, each mineral flake of that night-filled mountain, in itself forms a world. The struggle itself towards the heights is enough to fill a man's heart. One must imagine Sisyphus happy. p.89", "publisher" : "Penguin Books Ltd", "publisher-place" : "London", "title" : "The Myth of Sisyphus", "translator" : [ { "dropping-particle" : "", "family" : "O'Brien", "given" : "Justin", "non-dropping-particle" : "", "parse-names" : false, "suffix" : "" } ], "type" : "book" }, "locator" : "ix", "uris" : [ "http://www.mendeley.com/documents/?uuid=52b43990-323a-4fb6-a986-d6f639722a39" ] } ], "mendeley" : { "formattedCitation" : "Camus, p. ix.", "plainTextFormattedCitation" : "Camus, p. ix.", "previouslyFormattedCitation" : "Camus, p. ix."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Camus, p. ix.</w:t>
      </w:r>
      <w:r w:rsidRPr="00505CF0">
        <w:rPr>
          <w:rFonts w:asciiTheme="majorBidi" w:hAnsiTheme="majorBidi" w:cstheme="majorBidi"/>
        </w:rPr>
        <w:fldChar w:fldCharType="end"/>
      </w:r>
    </w:p>
  </w:footnote>
  <w:footnote w:id="394">
    <w:p w14:paraId="1814F3CC" w14:textId="7F201DD4" w:rsidR="00054009" w:rsidRPr="00613018" w:rsidRDefault="00054009">
      <w:pPr>
        <w:pStyle w:val="FootnoteText"/>
      </w:pPr>
      <w:r>
        <w:rPr>
          <w:rStyle w:val="FootnoteReference"/>
        </w:rPr>
        <w:footnoteRef/>
      </w:r>
      <w:r>
        <w:t xml:space="preserve"> Hereafter </w:t>
      </w:r>
      <w:r>
        <w:rPr>
          <w:i/>
        </w:rPr>
        <w:t>Oscar Wao</w:t>
      </w:r>
    </w:p>
  </w:footnote>
  <w:footnote w:id="395">
    <w:p w14:paraId="525B314D" w14:textId="70A6492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"172", "uris" : [ "http://www.mendeley.com/documents/?uuid=6169161f-ef92-49ae-a94e-68217484a5cb" ] } ], "mendeley" : { "formattedCitation" : "Junot D\u00edaz, &lt;i&gt;The Brief Wondrous Life of Oscar Wao&lt;/i&gt; (London: Faber and Faber, 2008), p. 172.", "plainTextFormattedCitation" : "Junot D\u00edaz, The Brief Wondrous Life of Oscar Wao (London: Faber and Faber, 2008), p. 172.", "previouslyFormattedCitation" : "Junot D\u00edaz, &lt;i&gt;The Brief Wondrous Life of Oscar Wao&lt;/i&gt; (London: Faber and Faber, 2008), p. 172."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Junot Díaz, </w:t>
      </w:r>
      <w:r w:rsidRPr="00505CF0">
        <w:rPr>
          <w:rFonts w:asciiTheme="majorBidi" w:hAnsiTheme="majorBidi" w:cstheme="majorBidi"/>
          <w:i/>
          <w:noProof/>
        </w:rPr>
        <w:t>The Brief Wondrous Life of Oscar Wao</w:t>
      </w:r>
      <w:r w:rsidRPr="00505CF0">
        <w:rPr>
          <w:rFonts w:asciiTheme="majorBidi" w:hAnsiTheme="majorBidi" w:cstheme="majorBidi"/>
          <w:noProof/>
        </w:rPr>
        <w:t xml:space="preserve"> (London: Faber and Faber, 2008), p. 172.</w:t>
      </w:r>
      <w:r w:rsidRPr="00505CF0">
        <w:rPr>
          <w:rFonts w:asciiTheme="majorBidi" w:hAnsiTheme="majorBidi" w:cstheme="majorBidi"/>
        </w:rPr>
        <w:fldChar w:fldCharType="end"/>
      </w:r>
    </w:p>
  </w:footnote>
  <w:footnote w:id="396">
    <w:p w14:paraId="0F7F2756" w14:textId="1EDC990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"Gibbons", "given" : "Alison", "non-dropping-particle" : "", "parse-names" : false, "suffix" : "" } ], "container-title" : "Studia Neophilologica", "id" : "ITEM-1", "issue" : "sup1", "issued" : { "date-parts" : [ [ "2015" ] ] }, "note" : "that is, rather than aiming for a universal world which carries with it connotations of cultural standardization, the favored approach moves towards a pluriversal world which embraces critical dialogues of and between diversity p.37\n\nThese strands are not entirely disparate; the boundaries between them are\nfuzzy. While the present and future moment is read through differing inter- pretive lenses, taken together, these framings help to build a critical vision of the recent shift in commitments and the contemporary Jetztzeit that succeeds postmodernism. p.30\n\nDespite the growing prevalence of metamodernism as a term to denote the cultural Jetzteit of the late twentieth and early twenty- first centuries, a comprehensive study of the ways in which contemporary literature relates to the metamodern paradigm has yet to be written. \u00a0P.30 \n\nIn metamodernist writing, this means acknowledging our complicity in the state of global affairs (from intersubjective memories to awareness of our participation in various political, economic, and environmental networks: for instance, of capital in the purchase of commercial goods or of the ecological in our decisions to recycle or not). Stylistically, this humanist commitment can be seen in metamodernist fiction in the way writers employ perceptual deixis, free indirect discourse, and modes of address, particularly in their play with the possibilities of pronominal positioning. p.31-2\n\nWhile modernism was fuelled by an enthusiasm for utopian thinking and an enlightened idealization of reason, and while postmodernism rejects such opti- mism in favor of nihilistic irony and distrust, metamodernism is flavored by the simultaneous and paradoxical sense of hope and future failure. Irony in meta- modernist writing is, therefore, not a derisive apolitical performance but unre- servedly committed to both promises that the locutionary act sets forth, both the surface meaning and its intended opposite. p.32\n\nAnother means in which metamodernism achieves its oscillation is through the assimilation of high and low cultural references. As a technique this might appear rather postmodern, yet it is employed in metamodernist writing not merely to create eclectic textuality but to present juxtapositions that evoke a reflection on contemporary culture. Similarly, metamodernist writing often contains everyday references, such as the explicit use of brand names, in a cloaked acknowledgement and criticism of commercialized culture. p.32\n\nLike many metamodernist writers, Thirlwell sees form and style as central in enabling literature to engage with world affairs. p.35\n\nThe intermixing of different registers often found in metamodernist writing is\nalso at work in this passage. p.37\n\nAll of this, really, returns to Thirlwell\u2019s metamodernist critique of the real and\nunreal, the way in which the prolific reshaping of events by media discourses, such as television news reporting, prevent us from really knowing what is going on in the world. p.38\n\nKapow! is metamodernist in its use of stylistic devices \u2013 namely heterochronic spatio-temporal deixis, second- person address, intermixing of high and low register and code-switching \u2013 to express its aesth-ethical commitment: a refusal to accept the current state of the world, asking readers instead to think critically and defiantly about the ways in which world events are connected and how their own involvement figures in such a world. Metamodernist writing does not neglect issues of global ethics. p.40-1\n\nMetamodernist writing hints at a future of literature and literary innovation that uses stylistic forms not for innovation\u2019s sake. Instead, metamodernism offers a literature that is accountable, just as we ourselves are accountable. p.41", "page" : "29-43", "title" : "\u201cTake that you intellectuals!\u201d and \u201ckaPOW!\u201d: Adam Thirlwell and the Metamodernist Future of Style", "type" : "article-journal", "volume" : "87" }, "locator" : "32", "uris" : [ "http://www.mendeley.com/documents/?uuid=267e3d87-4d96-4457-a46c-6b97dbdd44cd" ] } ], "mendeley" : { "formattedCitation" : "Gibbons, \u2018\u201cTake That You Intellectuals!\u201d and \u201ckaPOW!\u201d: Adam Thirlwell and the Metamodernist Future of Style\u2019, p. 32.", "plainTextFormattedCitation" : "Gibbons, \u2018\u201cTake That You Intellectuals!\u201d and \u201ckaPOW!\u201d: Adam Thirlwell and the Metamodernist Future of Style\u2019, p. 32.", "previouslyFormattedCitation" : "Gibbons, \u2018\u201cTake That You Intellectuals!\u201d and \u201ckaPOW!\u201d: Adam Thirlwell and the Metamodernist Future of Style\u2019, p. 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‘“Take That You Intellectuals!” and “kaPOW!”: Adam Thirlwell and the Metamodernist Future of Style’, p. 32.</w:t>
      </w:r>
      <w:r w:rsidRPr="00505CF0">
        <w:rPr>
          <w:rFonts w:asciiTheme="majorBidi" w:hAnsiTheme="majorBidi" w:cstheme="majorBidi"/>
        </w:rPr>
        <w:fldChar w:fldCharType="end"/>
      </w:r>
    </w:p>
  </w:footnote>
  <w:footnote w:id="397">
    <w:p w14:paraId="1C14CDA2" w14:textId="5680A18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"321, fn.33", "uris" : [ "http://www.mendeley.com/documents/?uuid=6169161f-ef92-49ae-a94e-68217484a5cb" ] } ], "mendeley" : { "formattedCitation" : "D\u00edaz, pp. 321, fn.33.", "plainTextFormattedCitation" : "D\u00edaz, pp. 321, fn.33.", "previouslyFormattedCitation" : "D\u00edaz, pp. 321, fn.33."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Díaz, pp. 321, fn.33.</w:t>
      </w:r>
      <w:r w:rsidRPr="00505CF0">
        <w:rPr>
          <w:rFonts w:asciiTheme="majorBidi" w:hAnsiTheme="majorBidi" w:cstheme="majorBidi"/>
        </w:rPr>
        <w:fldChar w:fldCharType="end"/>
      </w:r>
    </w:p>
  </w:footnote>
  <w:footnote w:id="398">
    <w:p w14:paraId="65218CF3" w14:textId="7181287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"2", "uris" : [ "http://www.mendeley.com/documents/?uuid=6169161f-ef92-49ae-a94e-68217484a5cb" ] } ], "mendeley" : { "formattedCitation" : "D\u00edaz, p. 2.", "plainTextFormattedCitation" : "D\u00edaz, p. 2.", "previouslyFormattedCitation" : "D\u00edaz,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2.</w:t>
      </w:r>
      <w:r w:rsidRPr="00505CF0">
        <w:rPr>
          <w:rFonts w:asciiTheme="majorBidi" w:hAnsiTheme="majorBidi" w:cstheme="majorBidi"/>
        </w:rPr>
        <w:fldChar w:fldCharType="end"/>
      </w:r>
    </w:p>
  </w:footnote>
  <w:footnote w:id="399">
    <w:p w14:paraId="532942F5" w14:textId="4599A3D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"5", "uris" : [ "http://www.mendeley.com/documents/?uuid=6169161f-ef92-49ae-a94e-68217484a5cb" ] } ], "mendeley" : { "formattedCitation" : "D\u00edaz, p. 5.", "plainTextFormattedCitation" : "D\u00edaz, p. 5.", "previouslyFormattedCitation" : "D\u00edaz,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5.</w:t>
      </w:r>
      <w:r w:rsidRPr="00505CF0">
        <w:rPr>
          <w:rFonts w:asciiTheme="majorBidi" w:hAnsiTheme="majorBidi" w:cstheme="majorBidi"/>
        </w:rPr>
        <w:fldChar w:fldCharType="end"/>
      </w:r>
    </w:p>
  </w:footnote>
  <w:footnote w:id="400">
    <w:p w14:paraId="70FA946E" w14:textId="35FCECA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"147", "uris" : [ "http://www.mendeley.com/documents/?uuid=6169161f-ef92-49ae-a94e-68217484a5cb" ] } ], "mendeley" : { "formattedCitation" : "D\u00edaz, p. 147.", "plainTextFormattedCitation" : "D\u00edaz, p. 147.", "previouslyFormattedCitation" : "D\u00edaz, p. 147."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147.</w:t>
      </w:r>
      <w:r w:rsidRPr="00505CF0">
        <w:rPr>
          <w:rFonts w:asciiTheme="majorBidi" w:hAnsiTheme="majorBidi" w:cstheme="majorBidi"/>
        </w:rPr>
        <w:fldChar w:fldCharType="end"/>
      </w:r>
    </w:p>
  </w:footnote>
  <w:footnote w:id="401">
    <w:p w14:paraId="581D4196" w14:textId="23CE6E2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"233", "uris" : [ "http://www.mendeley.com/documents/?uuid=6169161f-ef92-49ae-a94e-68217484a5cb" ] } ], "mendeley" : { "formattedCitation" : "D\u00edaz, p. 233.", "plainTextFormattedCitation" : "D\u00edaz, p. 233.", "previouslyFormattedCitation" : "D\u00edaz, p. 233."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233.</w:t>
      </w:r>
      <w:r w:rsidRPr="00505CF0">
        <w:rPr>
          <w:rFonts w:asciiTheme="majorBidi" w:hAnsiTheme="majorBidi" w:cstheme="majorBidi"/>
        </w:rPr>
        <w:fldChar w:fldCharType="end"/>
      </w:r>
    </w:p>
  </w:footnote>
  <w:footnote w:id="402">
    <w:p w14:paraId="7569FA9F" w14:textId="1896640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"251", "uris" : [ "http://www.mendeley.com/documents/?uuid=6169161f-ef92-49ae-a94e-68217484a5cb" ] } ], "mendeley" : { "formattedCitation" : "D\u00edaz, p. 251.", "plainTextFormattedCitation" : "D\u00edaz, p. 251.", "previouslyFormattedCitation" : "D\u00edaz, p. 251."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251.</w:t>
      </w:r>
      <w:r w:rsidRPr="00505CF0">
        <w:rPr>
          <w:rFonts w:asciiTheme="majorBidi" w:hAnsiTheme="majorBidi" w:cstheme="majorBidi"/>
        </w:rPr>
        <w:fldChar w:fldCharType="end"/>
      </w:r>
    </w:p>
  </w:footnote>
  <w:footnote w:id="403">
    <w:p w14:paraId="7DC08B83" w14:textId="3B181DC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"251", "uris" : [ "http://www.mendeley.com/documents/?uuid=6169161f-ef92-49ae-a94e-68217484a5cb" ] } ], "mendeley" : { "formattedCitation" : "D\u00edaz, p. 251.", "plainTextFormattedCitation" : "D\u00edaz, p. 251.", "previouslyFormattedCitation" : "D\u00edaz, p. 251."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251.</w:t>
      </w:r>
      <w:r w:rsidRPr="00505CF0">
        <w:rPr>
          <w:rFonts w:asciiTheme="majorBidi" w:hAnsiTheme="majorBidi" w:cstheme="majorBidi"/>
        </w:rPr>
        <w:fldChar w:fldCharType="end"/>
      </w:r>
    </w:p>
  </w:footnote>
  <w:footnote w:id="404">
    <w:p w14:paraId="5EB51434" w14:textId="309ABFD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"191", "uris" : [ "http://www.mendeley.com/documents/?uuid=6169161f-ef92-49ae-a94e-68217484a5cb" ] } ], "mendeley" : { "formattedCitation" : "D\u00edaz, p. 191.", "plainTextFormattedCitation" : "D\u00edaz, p. 191.", "previouslyFormattedCitation" : "D\u00edaz, p. 191."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191.</w:t>
      </w:r>
      <w:r w:rsidRPr="00505CF0">
        <w:rPr>
          <w:rFonts w:asciiTheme="majorBidi" w:hAnsiTheme="majorBidi" w:cstheme="majorBidi"/>
        </w:rPr>
        <w:fldChar w:fldCharType="end"/>
      </w:r>
    </w:p>
  </w:footnote>
  <w:footnote w:id="405">
    <w:p w14:paraId="63D4F338" w14:textId="7BD7ECC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"334-5", "uris" : [ "http://www.mendeley.com/documents/?uuid=6169161f-ef92-49ae-a94e-68217484a5cb" ] } ], "mendeley" : { "formattedCitation" : "D\u00edaz, pp. 334\u20135.", "plainTextFormattedCitation" : "D\u00edaz, pp. 334\u20135.", "previouslyFormattedCitation" : "D\u00edaz, pp. 334\u20135."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Díaz, pp. 334–5.</w:t>
      </w:r>
      <w:r w:rsidRPr="00505CF0">
        <w:rPr>
          <w:rFonts w:asciiTheme="majorBidi" w:hAnsiTheme="majorBidi" w:cstheme="majorBidi"/>
        </w:rPr>
        <w:fldChar w:fldCharType="end"/>
      </w:r>
    </w:p>
  </w:footnote>
  <w:footnote w:id="406">
    <w:p w14:paraId="1D36B6C4" w14:textId="27C457D3" w:rsidR="00054009" w:rsidRPr="00F74ECC" w:rsidRDefault="00054009">
      <w:pPr>
        <w:pStyle w:val="FootnoteText"/>
        <w:rPr>
          <w:i/>
        </w:rPr>
      </w:pPr>
      <w:r>
        <w:rPr>
          <w:rStyle w:val="FootnoteReference"/>
        </w:rPr>
        <w:footnoteRef/>
      </w:r>
      <w:r>
        <w:t xml:space="preserve"> </w:t>
      </w:r>
      <w:r>
        <w:rPr>
          <w:i/>
        </w:rPr>
        <w:t>ACO: Arapiama, incidentally, has become somewhat renowned for his lower-a-absurd claims about other, far more respected academics who have written greater volumes of work than himself. Absurd indeed.</w:t>
      </w:r>
    </w:p>
  </w:footnote>
  <w:footnote w:id="407">
    <w:p w14:paraId="7B838D7F" w14:textId="4FAD410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"http://www.metamodernism.com/2012/05/29/to-engage-in-literature/", "accessed" : { "date-parts" : [ [ "2017", "11", "13" ] ] }, "author" : [ { "dropping-particle" : "", "family" : "Fe\u00dfler", "given" : "Nadine", "non-dropping-particle" : "", "parse-names" : false, "suffix" : "" } ], "container-title" : "Notes on Metamodernism", "id" : "ITEM-1", "issued" : { "date-parts" : [ [ "2012" ] ] }, "note" : "the returns of\u00a0 ostensibly outdated concepts such as authenticity, ethics, engagement and aesthetics and what kind of themes are pushed to the foreground because of this.\n\n\u00a0contemporary literature does not dismiss postmodern ideas, but rather incorporates those ideas, though utilizing them for completely different outcomes, for example for installing authenticity or sincerity. One dominant strategy that is being pursued is to seek for ways to engage the reader again.\n\nIn a straightforward way Wallace points out the writer\u2019s responsibility to make the readers engage by allowing them simply no way out, by writing in such ways that makes it impossible not to care. It is precisely this that most contemporary literature tries to do. It tries to find ways that allow (or even force) the reader to be involved in what is presented to them, without falling back into a distanced mode.\u00a0\n\nAs McEwan does in\u00a0Atonement, A.S. Byatt in\u00a0Possession\u00a0or Margaret Atwood in\u00a0The Blind Assassin, she installs fiction as a powerful instrument that is used strategically by the protagonists rather than the protagonists being subjected to the overpowering nature of language and contextualization. The undecidability between fiction and reality that has been the clue of so many postmodern novels is not an issue anymore. Instead the value of aesthetics is highlighted by creating an emotional need in the reader for those kinds of aesthetic experiences (think for example of Yann Martel\u2019s\u00a0Life of Pi).\n\nThis revived interest in stories triggered a comeback of conventional literary forms like the historical novel, the realist novel or the family saga.\u00a0\n\nStrategies of fragmentation and destabilization are either left behind completely or given a smaller role in order to reintroduce a form of transcendence, a phenomenon that was significantly lacking in postmodern literature.\n\nFinishing with this last return, the return of transcendence, one could formulate a hypothesis: contemporary literature is trying to reintegrate precisely those themes and styles that postmodernism either was never interested in or was trying to get rid of. As a consequence, today\u2019s novelists are finding inventive ways to create refreshing narratives that allow those themes a comeback under very specific circumstances, and by doing so are enabling a going \u2018beyond\u2019 postmodernism.", "title" : "To engage in literature", "type" : "webpage" }, "uris" : [ "http://www.mendeley.com/documents/?uuid=ad6e6678-cc9f-4d1f-8dd0-c16b4cecb6da" ] } ], "mendeley" : { "formattedCitation" : "Fe\u00dfler.", "plainTextFormattedCitation" : "Fe\u00dfler.", "previouslyFormattedCitation" : "Fe\u00dfler."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Feßler.</w:t>
      </w:r>
      <w:r w:rsidRPr="00505CF0">
        <w:rPr>
          <w:rFonts w:asciiTheme="majorBidi" w:hAnsiTheme="majorBidi" w:cstheme="majorBidi"/>
        </w:rPr>
        <w:fldChar w:fldCharType="end"/>
      </w:r>
    </w:p>
  </w:footnote>
  <w:footnote w:id="408">
    <w:p w14:paraId="00D83F65" w14:textId="7F9B48B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"325", "uris" : [ "http://www.mendeley.com/documents/?uuid=6169161f-ef92-49ae-a94e-68217484a5cb" ] } ], "mendeley" : { "formattedCitation" : "D\u00edaz, p. 325.", "plainTextFormattedCitation" : "D\u00edaz, p. 325.", "previouslyFormattedCitation" : "D\u00edaz, p. 325."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325.</w:t>
      </w:r>
      <w:r w:rsidRPr="00505CF0">
        <w:rPr>
          <w:rFonts w:asciiTheme="majorBidi" w:hAnsiTheme="majorBidi" w:cstheme="majorBidi"/>
        </w:rPr>
        <w:fldChar w:fldCharType="end"/>
      </w:r>
    </w:p>
  </w:footnote>
  <w:footnote w:id="409">
    <w:p w14:paraId="0304BBB8" w14:textId="131892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"325", "uris" : [ "http://www.mendeley.com/documents/?uuid=6169161f-ef92-49ae-a94e-68217484a5cb" ] } ], "mendeley" : { "formattedCitation" : "D\u00edaz, p. 325.", "plainTextFormattedCitation" : "D\u00edaz, p. 325.", "previouslyFormattedCitation" : "D\u00edaz, p. 325."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Díaz, p. 325.</w:t>
      </w:r>
      <w:r w:rsidRPr="00505CF0">
        <w:rPr>
          <w:rFonts w:asciiTheme="majorBidi" w:hAnsiTheme="majorBidi" w:cstheme="majorBidi"/>
        </w:rPr>
        <w:fldChar w:fldCharType="end"/>
      </w:r>
    </w:p>
  </w:footnote>
  <w:footnote w:id="410">
    <w:p w14:paraId="67A233E5" w14:textId="41A3E88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"D\u00edaz", "given" : "Junot", "non-dropping-particle" : "", "parse-names" : false, "suffix" : "" } ], "id" : "ITEM-1", "issued" : { "date-parts" : [ [ "2008" ] ] }, "note" : "Which is why it's important to remember fuku doesnt always strike like lightning. Sometimes it works patiently, drowning a nigger by degrees [...] Sometimes it's slow and sometimes it's fast. It's doom-ish in that way, maikes it hard to put a finger on, to brace yourself against. But be assured: like Darkseid's Omega Effect, like Morgoth's bane, no matter how many turns and digressions this shit might take, it always - and I mean always - gets its man. p.4-5\n\nWhen the doctor confirmed La Inca's worst fears Beli let out a cheer. (Young ladt, this is not a game, the doctor barked.) She was simultaneously scared shitless and out of her mind with happiness. [...] In her memory he never told her to get rid of it, but later [...] she reflected that he had told her exactly that. p.136-7\n\nHow she survived I'll never know. They beat her like she was a slave. Like she was a dog. Let me pass over the actual violence and report instead on the damage inflicted [...] all that can be said is that it was the end of language, the end of hope. It was the sort of beating that breaks people, breaks them utterly. p. 147\n\nWhen the family talks about it at all [presumably the beginning of the family's bad luck] - which ios like never - they always begin in the same place: with Abelard and the Bad Thing he said about Trujillo. p.211\n\nAt the reception line Trujillo again paused before Abelard. Snigged the air like a cat. And your wife and daughter? \nAbelard trembling but holding it together somehow. Already sensing how everything was going to change. My apologies, Your Excellency. They could not attend.\nHis porcine eyes narrowed. So I see, he said coldly, and then dismissed Abelard with a flick of his wrist. [...] Not four weeks after the party, Dr. Abelard luis Cabral was arrested by the Secret Police. The charge? &amp;quot;Slander and gross calumny against the Person of the president.&amp;quot; p.233\n\nhe felt for her the odl desire, the one that nearly knocked him over the first time theyd mat at his cousin Amilcar's birthday, when theyd both been so slonder and young and so jam-packed with possibilities. [...] Can you beleive how long it's been? he asked her in amazement during their last Saturday-night tryst.\nI can beleive it, she said sadly, pulling at the flesh of her stomach. We're clocks, Abelard. Nothing more. \nAbelard shook his head. We're more than that. We're marvels, mi amor. p.236\n\nIt seems that a little campesina girl living in Outer Azua had tried to attend the new rural school the Trujillato had built out there but her parents, who weren't her parents, didn't want her to attend. The girl, though, was immensely stubborn, and the parents who weren't her parents flipped when the girl kept skipping out on work to attend classes, and in the ensuing brawl the poor muchachita got burned, horribly; the father, who was not her father, splashed a pan of hot oil on her naked back. The burn nearly killed her. p.255\n\nHi didn't want this future but he couldnt see how it could be avoided, couldnt figure his way out of it. \nFuku. p.268\n\nWhat he did was this: drank a third bottle of Cisco and then walked unsteadily down to the New Brunswick train station. With its crumbling facade and a long curve of track that shoots high over the Raritan. Even in the middle of the night, doesnt take much to get into the station or to walk out onto the tracks, which is exactly what he did. Stumbled out toward the river, toward Route 18. New Brunswick falling away beneath him until he was seventy-seven feet in the air. [...] the train was nearer now, and so, before he could lose his courage, he threw himself down in the darkness. p.189-90\n\nThey waited respectfully for him to finish and then they said, their faces slowly dissapearing into the floom, Listen, we'll let you go if you tell us what fuego means in English. \nFire, he blurted out, unable to stop himself. p.322\n\nBefore all hope died I used to have this stupid dream that shit could be saved, that we would be in bed together like the old times, with the fan on, the smoke from our weed drifting above us, and I'd finally try to say the words that coulkd have saved us\n________ ___________ _________.\nBut before I can shape the vowels I wake up. May face is wet, and that's how you know it's never going to come true. p.327\n\nbut what really got him was not the bam-bam-bam of sex - it was the little itnimacies that he'd never in his whole life have anticipated, like combing her hair or getting her underwear off a line or watching her walk naked to the bathroom or the way she would suddenly sit on his lap and put her face into his neck. The intimacies like listening to her tell him about being a little girl and him telling her that he'd been a virgin all his life. He wrote that he couldn't beleive he'd had to wait for this so goddamn long. (Ybon was the one who suggested calling the wait something else. Yeah, like what? Maybe, she said, you could call it life.) He wrote: So this is what everybody's always talking about! Diablo! If only I'd known. The beauty! The beauty! p.334-5", "publisher" : "Faber and Faber", "publisher-place" : "London", "title" : "The Brief Wondrous Life of Oscar Wao", "title-short" : "Oscar Wao", "type" : "book" }, "locator" : "330-1", "uris" : [ "http://www.mendeley.com/documents/?uuid=6169161f-ef92-49ae-a94e-68217484a5cb" ] } ], "mendeley" : { "formattedCitation" : "D\u00edaz, pp. 330\u20131.", "plainTextFormattedCitation" : "D\u00edaz, pp. 330\u20131.", "previouslyFormattedCitation" : "D\u00edaz, pp. 330\u20131."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Díaz, pp. 330–1.</w:t>
      </w:r>
      <w:r w:rsidRPr="00505CF0">
        <w:rPr>
          <w:rFonts w:asciiTheme="majorBidi" w:hAnsiTheme="majorBidi" w:cstheme="majorBidi"/>
        </w:rPr>
        <w:fldChar w:fldCharType="end"/>
      </w:r>
    </w:p>
  </w:footnote>
  <w:footnote w:id="411">
    <w:p w14:paraId="54ADCA6B" w14:textId="10B328D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"474", "uris" : [ "http://www.mendeley.com/documents/?uuid=2dba4e77-04d7-464e-a1e5-e859d85df38e" ] } ], "mendeley" : { "formattedCitation" : "Patrick Ness, &lt;i&gt;More Than This&lt;/i&gt; (London: Walker Books Ltd, 2013), p. 474.", "plainTextFormattedCitation" : "Patrick Ness, More Than This (London: Walker Books Ltd, 2013), p. 474.", "previouslyFormattedCitation" : "Patrick Ness, &lt;i&gt;More Than This&lt;/i&gt; (London: Walker Books Ltd, 2013), p. 474."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Patrick Ness, </w:t>
      </w:r>
      <w:r w:rsidRPr="00505CF0">
        <w:rPr>
          <w:rFonts w:asciiTheme="majorBidi" w:hAnsiTheme="majorBidi" w:cstheme="majorBidi"/>
          <w:i/>
          <w:noProof/>
        </w:rPr>
        <w:t>More Than This</w:t>
      </w:r>
      <w:r w:rsidRPr="00505CF0">
        <w:rPr>
          <w:rFonts w:asciiTheme="majorBidi" w:hAnsiTheme="majorBidi" w:cstheme="majorBidi"/>
          <w:noProof/>
        </w:rPr>
        <w:t xml:space="preserve"> (London: Walker Books Ltd, 2013), p. 474.</w:t>
      </w:r>
      <w:r w:rsidRPr="00505CF0">
        <w:rPr>
          <w:rFonts w:asciiTheme="majorBidi" w:hAnsiTheme="majorBidi" w:cstheme="majorBidi"/>
        </w:rPr>
        <w:fldChar w:fldCharType="end"/>
      </w:r>
    </w:p>
  </w:footnote>
  <w:footnote w:id="412">
    <w:p w14:paraId="2A3B3D85" w14:textId="1015B0E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"370", "uris" : [ "http://www.mendeley.com/documents/?uuid=2dba4e77-04d7-464e-a1e5-e859d85df38e" ] } ], "mendeley" : { "formattedCitation" : "Ness, &lt;i&gt;More Than This&lt;/i&gt;, p. 370.", "plainTextFormattedCitation" : "Ness, More Than This, p. 370.", "previouslyFormattedCitation" : "Ness, &lt;i&gt;More Than This&lt;/i&gt;, p. 370."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370.</w:t>
      </w:r>
      <w:r w:rsidRPr="00505CF0">
        <w:rPr>
          <w:rFonts w:asciiTheme="majorBidi" w:hAnsiTheme="majorBidi" w:cstheme="majorBidi"/>
        </w:rPr>
        <w:fldChar w:fldCharType="end"/>
      </w:r>
    </w:p>
  </w:footnote>
  <w:footnote w:id="413">
    <w:p w14:paraId="3DB3D834" w14:textId="16B38D0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"370", "uris" : [ "http://www.mendeley.com/documents/?uuid=2dba4e77-04d7-464e-a1e5-e859d85df38e" ] } ], "mendeley" : { "formattedCitation" : "Ness, &lt;i&gt;More Than This&lt;/i&gt;, p. 370.", "plainTextFormattedCitation" : "Ness, More Than This, p. 370.", "previouslyFormattedCitation" : "Ness, &lt;i&gt;More Than This&lt;/i&gt;, p. 370."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370.</w:t>
      </w:r>
      <w:r w:rsidRPr="00505CF0">
        <w:rPr>
          <w:rFonts w:asciiTheme="majorBidi" w:hAnsiTheme="majorBidi" w:cstheme="majorBidi"/>
        </w:rPr>
        <w:fldChar w:fldCharType="end"/>
      </w:r>
    </w:p>
  </w:footnote>
  <w:footnote w:id="414">
    <w:p w14:paraId="377A2845" w14:textId="2E5086F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"371", "uris" : [ "http://www.mendeley.com/documents/?uuid=2dba4e77-04d7-464e-a1e5-e859d85df38e" ] } ], "mendeley" : { "formattedCitation" : "Ness, &lt;i&gt;More Than This&lt;/i&gt;, p. 371.", "plainTextFormattedCitation" : "Ness, More Than This, p. 371.", "previouslyFormattedCitation" : "Ness, &lt;i&gt;More Than This&lt;/i&gt;, p. 371."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371.</w:t>
      </w:r>
      <w:r w:rsidRPr="00505CF0">
        <w:rPr>
          <w:rFonts w:asciiTheme="majorBidi" w:hAnsiTheme="majorBidi" w:cstheme="majorBidi"/>
        </w:rPr>
        <w:fldChar w:fldCharType="end"/>
      </w:r>
    </w:p>
  </w:footnote>
  <w:footnote w:id="415">
    <w:p w14:paraId="6467AFB0" w14:textId="2439091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"413, 477, for two examples among many", "uris" : [ "http://www.mendeley.com/documents/?uuid=2dba4e77-04d7-464e-a1e5-e859d85df38e" ] } ], "mendeley" : { "formattedCitation" : "Ness, &lt;i&gt;More Than This&lt;/i&gt;, pp. 413, 477, for two examples among many.", "plainTextFormattedCitation" : "Ness, More Than This, pp. 413, 477, for two examples among many.", "previouslyFormattedCitation" : "Ness, &lt;i&gt;More Than This&lt;/i&gt;, pp. 413, 477, for two examples among many."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Ness, </w:t>
      </w:r>
      <w:r w:rsidRPr="0025171E">
        <w:rPr>
          <w:rFonts w:asciiTheme="majorBidi" w:hAnsiTheme="majorBidi" w:cstheme="majorBidi"/>
          <w:i/>
          <w:noProof/>
        </w:rPr>
        <w:t>More Than This</w:t>
      </w:r>
      <w:r w:rsidRPr="0025171E">
        <w:rPr>
          <w:rFonts w:asciiTheme="majorBidi" w:hAnsiTheme="majorBidi" w:cstheme="majorBidi"/>
          <w:noProof/>
        </w:rPr>
        <w:t>, pp. 413, 477, for two examples among many.</w:t>
      </w:r>
      <w:r w:rsidRPr="00505CF0">
        <w:rPr>
          <w:rFonts w:asciiTheme="majorBidi" w:hAnsiTheme="majorBidi" w:cstheme="majorBidi"/>
        </w:rPr>
        <w:fldChar w:fldCharType="end"/>
      </w:r>
    </w:p>
  </w:footnote>
  <w:footnote w:id="416">
    <w:p w14:paraId="78CBDDDB" w14:textId="071B912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"447", "uris" : [ "http://www.mendeley.com/documents/?uuid=2dba4e77-04d7-464e-a1e5-e859d85df38e" ] } ], "mendeley" : { "formattedCitation" : "Ness, &lt;i&gt;More Than This&lt;/i&gt;, p. 447.", "plainTextFormattedCitation" : "Ness, More Than This, p. 447.", "previouslyFormattedCitation" : "Ness, &lt;i&gt;More Than This&lt;/i&gt;, p. 447."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447.</w:t>
      </w:r>
      <w:r w:rsidRPr="00505CF0">
        <w:rPr>
          <w:rFonts w:asciiTheme="majorBidi" w:hAnsiTheme="majorBidi" w:cstheme="majorBidi"/>
        </w:rPr>
        <w:fldChar w:fldCharType="end"/>
      </w:r>
    </w:p>
  </w:footnote>
  <w:footnote w:id="417">
    <w:p w14:paraId="400B227B" w14:textId="1111AD5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"272", "uris" : [ "http://www.mendeley.com/documents/?uuid=2dba4e77-04d7-464e-a1e5-e859d85df38e" ] } ], "mendeley" : { "formattedCitation" : "Ness, &lt;i&gt;More Than This&lt;/i&gt;, p. 272.", "plainTextFormattedCitation" : "Ness, More Than This, p. 272.", "previouslyFormattedCitation" : "Ness, &lt;i&gt;More Than This&lt;/i&gt;, p. 272."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272.</w:t>
      </w:r>
      <w:r w:rsidRPr="00505CF0">
        <w:rPr>
          <w:rFonts w:asciiTheme="majorBidi" w:hAnsiTheme="majorBidi" w:cstheme="majorBidi"/>
        </w:rPr>
        <w:fldChar w:fldCharType="end"/>
      </w:r>
    </w:p>
  </w:footnote>
  <w:footnote w:id="418">
    <w:p w14:paraId="0901621E" w14:textId="77777777" w:rsidR="00054009" w:rsidRPr="00505CF0" w:rsidRDefault="00054009" w:rsidP="004605D9">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"27", "uris" : [ "http://www.mendeley.com/documents/?uuid=2dba4e77-04d7-464e-a1e5-e859d85df38e" ] } ], "mendeley" : { "formattedCitation" : "Ness, &lt;i&gt;More Than This&lt;/i&gt;, p. 27.", "plainTextFormattedCitation" : "Ness, More Than This, p. 27.", "previouslyFormattedCitation" : "Ness, &lt;i&gt;More Than This&lt;/i&gt;, p. 27."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27.</w:t>
      </w:r>
      <w:r w:rsidRPr="00505CF0">
        <w:rPr>
          <w:rFonts w:asciiTheme="majorBidi" w:hAnsiTheme="majorBidi" w:cstheme="majorBidi"/>
        </w:rPr>
        <w:fldChar w:fldCharType="end"/>
      </w:r>
    </w:p>
  </w:footnote>
  <w:footnote w:id="419">
    <w:p w14:paraId="7625E175" w14:textId="6A86A9F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"462", "uris" : [ "http://www.mendeley.com/documents/?uuid=2dba4e77-04d7-464e-a1e5-e859d85df38e" ] } ], "mendeley" : { "formattedCitation" : "Ness, &lt;i&gt;More Than This&lt;/i&gt;, p. 462.", "plainTextFormattedCitation" : "Ness, More Than This, p. 462.", "previouslyFormattedCitation" : "Ness, &lt;i&gt;More Than This&lt;/i&gt;, p. 462."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462.</w:t>
      </w:r>
      <w:r w:rsidRPr="00505CF0">
        <w:rPr>
          <w:rFonts w:asciiTheme="majorBidi" w:hAnsiTheme="majorBidi" w:cstheme="majorBidi"/>
        </w:rPr>
        <w:fldChar w:fldCharType="end"/>
      </w:r>
    </w:p>
  </w:footnote>
  <w:footnote w:id="420">
    <w:p w14:paraId="26473214" w14:textId="53DCD83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"Ness", "given" : "Patrick", "non-dropping-particle" : "", "parse-names" : false, "suffix" : "" } ], "id" : "ITEM-1", "issued" : { "date-parts" : [ [ "2013" ] ] }, "note" : "&amp;quot;People break,&amp;quot; he says again. &amp;quot;But we got a second chance, the three of us.&amp;quot;\nRefgine laughs once. &amp;quot;You think this is a second chance? How shitty was your life?&amp;quot; p.339\n\n&amp;quot;But it is not better. Journey is very hard, very long, and the men who help us, well, they do not help us very much at all. One is nicer, but one is very bad. he treats us very badly. He... do things. To mama.&amp;quot; p.326\n\n&amp;quot;But you can imagine what happened, maybe. It started as a fun thing to dip in and out of. And then people began staying there, leaving the real world beghind, and the governments of the world think, Hang on, this could be useful. Then opeople started being encouraged to stay, because hey, youll save us money and resources and maybe, as a bonus, we'll offer you things that arent even there any more. But then maybe everything just got too bad too fast. People were forced to stay,. like the woman said, because the world became unliveable.&amp;quot; p,358\n\n&amp;quot;Are we not aome funny kind of group?&amp;quot; Tomasz saus. &amp;quot;Child abuse, murder and suicide.&amp;quot;\n&amp;quot;None of which happened for any good reason at all,&amp;quot; Regine says. p.370\n\nThat's what would happen if this were a story, Seth thinks. The villain who wouldnt stay dead. The one who has to be stopped over and over again. That's what would happen if this were all just my mind trying to tell me something. p.413\n\nAnd I guess he said he was only sleeping with her because she need him to. That he cared for her as a friend and dint know hot handle it so he just gave her what she wanted because he thought, well-&amp;quot; H Shruegged, &amp;quot;That was what she wanted.&amp;quot; p.429\n\n&amp;quot;I don't beleive in guardian angels,&amp;quot; Regine says seriously. &amp;quot;Just people who are there for you and people who aren't.&amp;quot; [...] &amp;quot;Just people,&amp;quot; Seth says, finding he agrees too. p.446\n\n&amp;quot;If this was a movie or a book, right?&amp;quot; Seth says. &amp;quot;If this was some kind of story I was telling myself, then it'll be waiting for us.&amp;quot; [...] All I'm saying is that's what would happen if this was my brain trying to make sense of stuff,&amp;quot; Seth says. 446-7\n\n&amp;quot;What am I doing here?&amp;quot; Seth asks her. &amp;quot;What has all this been about?&amp;quot;\n&amp;quot;Hell if I know.&amp;quot;\n&amp;quot;But haven't you been leasing me somewhere?&amp;quot; He gestures to the room, t the guests at the table again, Gudmund still watching him carefully, a look of concern crossing his face. &amp;quot;What does it all mean?&amp;quot;\nRegine chuckles. &amp;quot;Are you serious? Real life is only ever just real life. Messy. What it means depends on how you look at it. The only thing you've got to do is find a way to live there.&amp;quot; p.461-2\n\nHe's uncertain whats going to happen next.\nBut he is certain that that's actually the point.\nIf this is all a story, then that's what the story means.\nIf it isn't a story, then the exact same is true. \nBut as his freinds begin the final steps, pressing buttons, answering questions on a screen, he thinsk that what is forever certain is that there's always more. Always.\n[...]\nMore and more and more.\nSometimes in the shape of other people, suprising people, with unexpected, unimaginable stories of their own. People who looked at the world in a completely different way and by doing so, made it different. p.447-8", "publisher" : "Walker Books Ltd", "publisher-place" : "London", "title" : "More Than This", "type" : "book" }, "locator" : "477", "uris" : [ "http://www.mendeley.com/documents/?uuid=2dba4e77-04d7-464e-a1e5-e859d85df38e" ] } ], "mendeley" : { "formattedCitation" : "Ness, &lt;i&gt;More Than This&lt;/i&gt;, p. 477.", "plainTextFormattedCitation" : "Ness, More Than This, p. 477.", "previouslyFormattedCitation" : "Ness, &lt;i&gt;More Than This&lt;/i&gt;, p. 477."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Ness, </w:t>
      </w:r>
      <w:r w:rsidRPr="00505CF0">
        <w:rPr>
          <w:rFonts w:asciiTheme="majorBidi" w:hAnsiTheme="majorBidi" w:cstheme="majorBidi"/>
          <w:i/>
          <w:noProof/>
        </w:rPr>
        <w:t>More Than This</w:t>
      </w:r>
      <w:r w:rsidRPr="00505CF0">
        <w:rPr>
          <w:rFonts w:asciiTheme="majorBidi" w:hAnsiTheme="majorBidi" w:cstheme="majorBidi"/>
          <w:noProof/>
        </w:rPr>
        <w:t>, p. 477.</w:t>
      </w:r>
      <w:r w:rsidRPr="00505CF0">
        <w:rPr>
          <w:rFonts w:asciiTheme="majorBidi" w:hAnsiTheme="majorBidi" w:cstheme="majorBidi"/>
        </w:rPr>
        <w:fldChar w:fldCharType="end"/>
      </w:r>
    </w:p>
  </w:footnote>
  <w:footnote w:id="421">
    <w:p w14:paraId="1458E463" w14:textId="693E9F9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"196, 293", "uris" : [ "http://www.mendeley.com/documents/?uuid=b76e3829-4a8f-4e1d-b438-802760bcf59f" ] } ], "mendeley" : { "formattedCitation" : "Charles Elton, &lt;i&gt;Mr. Toppit&lt;/i&gt; (London: Penguin Books, 2009), pp. 196, 293.", "plainTextFormattedCitation" : "Charles Elton, Mr. Toppit (London: Penguin Books, 2009), pp. 196, 293.", "previouslyFormattedCitation" : "Charles Elton, &lt;i&gt;Mr. Toppit&lt;/i&gt; (London: Penguin Books, 2009), pp. 196, 293."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Charles Elton, </w:t>
      </w:r>
      <w:r w:rsidRPr="00505CF0">
        <w:rPr>
          <w:rFonts w:asciiTheme="majorBidi" w:hAnsiTheme="majorBidi" w:cstheme="majorBidi"/>
          <w:i/>
          <w:noProof/>
        </w:rPr>
        <w:t>Mr. Toppit</w:t>
      </w:r>
      <w:r w:rsidRPr="00505CF0">
        <w:rPr>
          <w:rFonts w:asciiTheme="majorBidi" w:hAnsiTheme="majorBidi" w:cstheme="majorBidi"/>
          <w:noProof/>
        </w:rPr>
        <w:t xml:space="preserve"> (London: Penguin Books, 2009), pp. 196, 293.</w:t>
      </w:r>
      <w:r w:rsidRPr="00505CF0">
        <w:rPr>
          <w:rFonts w:asciiTheme="majorBidi" w:hAnsiTheme="majorBidi" w:cstheme="majorBidi"/>
        </w:rPr>
        <w:fldChar w:fldCharType="end"/>
      </w:r>
    </w:p>
  </w:footnote>
  <w:footnote w:id="422">
    <w:p w14:paraId="313E6981" w14:textId="08070B3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"8", "uris" : [ "http://www.mendeley.com/documents/?uuid=b76e3829-4a8f-4e1d-b438-802760bcf59f" ] } ], "mendeley" : { "formattedCitation" : "Elton, p. 8.", "plainTextFormattedCitation" : "Elton, p. 8.", "previouslyFormattedCitation" : "Elton,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8.</w:t>
      </w:r>
      <w:r w:rsidRPr="00505CF0">
        <w:rPr>
          <w:rFonts w:asciiTheme="majorBidi" w:hAnsiTheme="majorBidi" w:cstheme="majorBidi"/>
        </w:rPr>
        <w:fldChar w:fldCharType="end"/>
      </w:r>
    </w:p>
  </w:footnote>
  <w:footnote w:id="423">
    <w:p w14:paraId="426254E7" w14:textId="62378B3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"261", "uris" : [ "http://www.mendeley.com/documents/?uuid=b76e3829-4a8f-4e1d-b438-802760bcf59f" ] } ], "mendeley" : { "formattedCitation" : "Elton, p. 261.", "plainTextFormattedCitation" : "Elton, p. 261.", "previouslyFormattedCitation" : "Elton, p. 261."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261.</w:t>
      </w:r>
      <w:r w:rsidRPr="00505CF0">
        <w:rPr>
          <w:rFonts w:asciiTheme="majorBidi" w:hAnsiTheme="majorBidi" w:cstheme="majorBidi"/>
        </w:rPr>
        <w:fldChar w:fldCharType="end"/>
      </w:r>
    </w:p>
  </w:footnote>
  <w:footnote w:id="424">
    <w:p w14:paraId="515FEFFE" w14:textId="1890800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As revealed by Laurie’s mother at the end of the text, Rudy, her father, sexually abused a young child by teaching her a ‘game’ which revolved around the Hiawatha poem as precursor to abuse, a poem that Laurie not only seems to later associate with – her repetitions on page 58 – but also suggests that her father may have played a similar game with her earlier in the text: ‘he had other names for her, Princess Poodle or Princess Peach, and sometimes he made up names that sounded as if they came from </w:t>
      </w:r>
      <w:r w:rsidRPr="00505CF0">
        <w:rPr>
          <w:rFonts w:asciiTheme="majorBidi" w:hAnsiTheme="majorBidi" w:cstheme="majorBidi"/>
          <w:i/>
          <w:iCs/>
        </w:rPr>
        <w:t>Hiawatha</w:t>
      </w:r>
      <w:r w:rsidRPr="00505CF0">
        <w:rPr>
          <w:rFonts w:asciiTheme="majorBidi" w:hAnsiTheme="majorBidi" w:cstheme="majorBidi"/>
        </w:rPr>
        <w:t>, like Princess Alamita.’</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"29", "uris" : [ "http://www.mendeley.com/documents/?uuid=b76e3829-4a8f-4e1d-b438-802760bcf59f" ] } ], "mendeley" : { "formattedCitation" : "Elton, p. 29.", "plainTextFormattedCitation" : "Elton, p. 29.", "previouslyFormattedCitation" : "Elton, p. 29."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29.</w:t>
      </w:r>
      <w:r w:rsidRPr="00505CF0">
        <w:rPr>
          <w:rFonts w:asciiTheme="majorBidi" w:hAnsiTheme="majorBidi" w:cstheme="majorBidi"/>
        </w:rPr>
        <w:fldChar w:fldCharType="end"/>
      </w:r>
    </w:p>
  </w:footnote>
  <w:footnote w:id="425">
    <w:p w14:paraId="6886C773" w14:textId="7AF9180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"182", "uris" : [ "http://www.mendeley.com/documents/?uuid=b76e3829-4a8f-4e1d-b438-802760bcf59f" ] } ], "mendeley" : { "formattedCitation" : "Elton, p. 182.", "plainTextFormattedCitation" : "Elton, p. 182.", "previouslyFormattedCitation" : "Elton, p. 182."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182.</w:t>
      </w:r>
      <w:r w:rsidRPr="00505CF0">
        <w:rPr>
          <w:rFonts w:asciiTheme="majorBidi" w:hAnsiTheme="majorBidi" w:cstheme="majorBidi"/>
        </w:rPr>
        <w:fldChar w:fldCharType="end"/>
      </w:r>
    </w:p>
  </w:footnote>
  <w:footnote w:id="426">
    <w:p w14:paraId="159E815D" w14:textId="01943FE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"295", "uris" : [ "http://www.mendeley.com/documents/?uuid=b76e3829-4a8f-4e1d-b438-802760bcf59f" ] } ], "mendeley" : { "formattedCitation" : "Elton, p. 295.", "plainTextFormattedCitation" : "Elton, p. 295.", "previouslyFormattedCitation" : "Elton, p. 295."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295.</w:t>
      </w:r>
      <w:r w:rsidRPr="00505CF0">
        <w:rPr>
          <w:rFonts w:asciiTheme="majorBidi" w:hAnsiTheme="majorBidi" w:cstheme="majorBidi"/>
        </w:rPr>
        <w:fldChar w:fldCharType="end"/>
      </w:r>
    </w:p>
  </w:footnote>
  <w:footnote w:id="427">
    <w:p w14:paraId="7CD5868D" w14:textId="7915144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"6", "uris" : [ "http://www.mendeley.com/documents/?uuid=b76e3829-4a8f-4e1d-b438-802760bcf59f" ] } ], "mendeley" : { "formattedCitation" : "Elton, p. 6.", "plainTextFormattedCitation" : "Elton, p. 6.", "previouslyFormattedCitation" : "Elton, p. 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6.</w:t>
      </w:r>
      <w:r w:rsidRPr="00505CF0">
        <w:rPr>
          <w:rFonts w:asciiTheme="majorBidi" w:hAnsiTheme="majorBidi" w:cstheme="majorBidi"/>
        </w:rPr>
        <w:fldChar w:fldCharType="end"/>
      </w:r>
    </w:p>
  </w:footnote>
  <w:footnote w:id="428">
    <w:p w14:paraId="2697D126" w14:textId="6BEA511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"8", "uris" : [ "http://www.mendeley.com/documents/?uuid=b76e3829-4a8f-4e1d-b438-802760bcf59f" ] } ], "mendeley" : { "formattedCitation" : "Elton, p. 8.", "plainTextFormattedCitation" : "Elton, p. 8.", "previouslyFormattedCitation" : "Elton,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8.</w:t>
      </w:r>
      <w:r w:rsidRPr="00505CF0">
        <w:rPr>
          <w:rFonts w:asciiTheme="majorBidi" w:hAnsiTheme="majorBidi" w:cstheme="majorBidi"/>
        </w:rPr>
        <w:fldChar w:fldCharType="end"/>
      </w:r>
    </w:p>
  </w:footnote>
  <w:footnote w:id="429">
    <w:p w14:paraId="293F7772" w14:textId="581BF38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"54", "uris" : [ "http://www.mendeley.com/documents/?uuid=b76e3829-4a8f-4e1d-b438-802760bcf59f" ] } ], "mendeley" : { "formattedCitation" : "Elton, p. 54.", "plainTextFormattedCitation" : "Elton, p. 54.", "previouslyFormattedCitation" : "Elton, p. 54."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54.</w:t>
      </w:r>
      <w:r w:rsidRPr="00505CF0">
        <w:rPr>
          <w:rFonts w:asciiTheme="majorBidi" w:hAnsiTheme="majorBidi" w:cstheme="majorBidi"/>
        </w:rPr>
        <w:fldChar w:fldCharType="end"/>
      </w:r>
    </w:p>
  </w:footnote>
  <w:footnote w:id="430">
    <w:p w14:paraId="02D625B0" w14:textId="37C818B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"11", "uris" : [ "http://www.mendeley.com/documents/?uuid=b76e3829-4a8f-4e1d-b438-802760bcf59f" ] } ], "mendeley" : { "formattedCitation" : "Elton, p. 11.", "plainTextFormattedCitation" : "Elton, p. 11.", "previouslyFormattedCitation" : "Elton, p. 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11.</w:t>
      </w:r>
      <w:r w:rsidRPr="00505CF0">
        <w:rPr>
          <w:rFonts w:asciiTheme="majorBidi" w:hAnsiTheme="majorBidi" w:cstheme="majorBidi"/>
        </w:rPr>
        <w:fldChar w:fldCharType="end"/>
      </w:r>
    </w:p>
  </w:footnote>
  <w:footnote w:id="431">
    <w:p w14:paraId="6C70792C" w14:textId="6AF4425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"196", "uris" : [ "http://www.mendeley.com/documents/?uuid=b76e3829-4a8f-4e1d-b438-802760bcf59f" ] } ], "mendeley" : { "formattedCitation" : "Elton, p. 196.", "plainTextFormattedCitation" : "Elton, p. 196.", "previouslyFormattedCitation" : "Elton, p. 196."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196.</w:t>
      </w:r>
      <w:r w:rsidRPr="00505CF0">
        <w:rPr>
          <w:rFonts w:asciiTheme="majorBidi" w:hAnsiTheme="majorBidi" w:cstheme="majorBidi"/>
        </w:rPr>
        <w:fldChar w:fldCharType="end"/>
      </w:r>
    </w:p>
  </w:footnote>
  <w:footnote w:id="432">
    <w:p w14:paraId="31E57B95" w14:textId="0268097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"257", "uris" : [ "http://www.mendeley.com/documents/?uuid=b76e3829-4a8f-4e1d-b438-802760bcf59f" ] } ], "mendeley" : { "formattedCitation" : "Elton, p. 257.", "plainTextFormattedCitation" : "Elton, p. 257.", "previouslyFormattedCitation" : "Elton, p. 257."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257.</w:t>
      </w:r>
      <w:r w:rsidRPr="00505CF0">
        <w:rPr>
          <w:rFonts w:asciiTheme="majorBidi" w:hAnsiTheme="majorBidi" w:cstheme="majorBidi"/>
        </w:rPr>
        <w:fldChar w:fldCharType="end"/>
      </w:r>
    </w:p>
  </w:footnote>
  <w:footnote w:id="433">
    <w:p w14:paraId="25BC7017" w14:textId="1B6F8ED7" w:rsidR="00054009" w:rsidRPr="00ED4026" w:rsidRDefault="00054009">
      <w:pPr>
        <w:pStyle w:val="FootnoteText"/>
        <w:rPr>
          <w:i/>
          <w:iCs/>
        </w:rPr>
      </w:pPr>
      <w:r>
        <w:rPr>
          <w:rStyle w:val="FootnoteReference"/>
        </w:rPr>
        <w:footnoteRef/>
      </w:r>
      <w:r>
        <w:t xml:space="preserve"> </w:t>
      </w:r>
      <w:r>
        <w:rPr>
          <w:i/>
          <w:iCs/>
        </w:rPr>
        <w:t>ACO: Strange that Southward’s novels have not dipped in popularity following the end of his reign, though Netom makes an interesting argument in her recent monomyth ‘Southward isn’t so bad! Honest!’ for the continued reading of the tyrant’s works, despite having lost both her eyes to the Enforced Sublimity tests.</w:t>
      </w:r>
    </w:p>
  </w:footnote>
  <w:footnote w:id="434">
    <w:p w14:paraId="4BC2D194" w14:textId="2CFCE7F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"9", "uris" : [ "http://www.mendeley.com/documents/?uuid=b76e3829-4a8f-4e1d-b438-802760bcf59f" ] } ], "mendeley" : { "formattedCitation" : "Elton, p. 9.", "plainTextFormattedCitation" : "Elton, p. 9.", "previouslyFormattedCitation" : "Elton,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9.</w:t>
      </w:r>
      <w:r w:rsidRPr="00505CF0">
        <w:rPr>
          <w:rFonts w:asciiTheme="majorBidi" w:hAnsiTheme="majorBidi" w:cstheme="majorBidi"/>
        </w:rPr>
        <w:fldChar w:fldCharType="end"/>
      </w:r>
    </w:p>
  </w:footnote>
  <w:footnote w:id="435">
    <w:p w14:paraId="0BEEFB6D" w14:textId="71DEFFD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"9", "uris" : [ "http://www.mendeley.com/documents/?uuid=b76e3829-4a8f-4e1d-b438-802760bcf59f" ] } ], "mendeley" : { "formattedCitation" : "Elton, p. 9.", "plainTextFormattedCitation" : "Elton, p. 9.", "previouslyFormattedCitation" : "Elton,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9.</w:t>
      </w:r>
      <w:r w:rsidRPr="00505CF0">
        <w:rPr>
          <w:rFonts w:asciiTheme="majorBidi" w:hAnsiTheme="majorBidi" w:cstheme="majorBidi"/>
        </w:rPr>
        <w:fldChar w:fldCharType="end"/>
      </w:r>
    </w:p>
  </w:footnote>
  <w:footnote w:id="436">
    <w:p w14:paraId="6A304436" w14:textId="2A65824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"Elton", "given" : "Charles", "non-dropping-particle" : "", "parse-names" : false, "suffix" : "" } ], "id" : "ITEM-1", "issued" : { "date-parts" : [ [ "2009" ] ] }, "note" : "For instance: when we were children there was a particular lavender bush by the corner of the house. In the summer the glowers were covered with bees, circling and humming and landing. I spent hours watching them and there came a moment when I realized something important.\nWhat I knew was this: they did not want to be there and they could not help themselves. What I did was thisL I moved them from the bush and put them under the shade of a tree in another part of the garden. I picked them up, I held their wings together between thumb and forefinger and I laid them on my palm and carried them through the garden to put them under the particular tree I had choden, which I knew, with unerring certainty, the kind of certainty I would kill for today, was where they wanted to be. p.7\n\nWith Mr Toppit nothing was ever simple, and normally there was more than one clue to what he wanted. Luke got out of bed. The room was cold, and in his pyjamas he felt rather exposed, even though he knew that clothes alone were no particular protection against Mr.Toppit. p.8\n\n[...]to perform this terrifying and thankless task for the unsatisfiable (as it turns out) Mr Toppit. p.11 \n\nI preffered to think about [the butterfly effect &amp;amp; inintended consequences] because it was so absurd rather than the other example opf thinking something into existence that had sprung into mind: at the end of Garden Growing, the third of the Hayseed books, Luke dreams of a bird dying [...] and when he wakse up in the morning, to a silent and deserted house, he looks out of his window and sees the field that leads to the Darkwood black with the bodies of dead crows. Mr Toppit has made his dream come true. p.54\n\nA gust of clear air blew into the room, and the curtains waved anbd rustled as if someone was moving behind them.\n&amp;quot;i think MR Toppit's out there,&amp;quot; she said. Then she was crying and laughing at the same time. p.90\n\nAt first [Laurie] thought her trip to England has been a voyage of discovery, but now she believed it was more like a series of reawakenings - an accumulation of events that seemed extraordinary and familiar at the same time. [...] the restaurant where she was sitting was like a war zone. There wasnt a table that ddint have several trays on it. And the floor was littered with plastic cups, bits of food and sandwich wrappings. When she brought her coffee to the table, she di nothing more than wipe the crumbs off the chair with a paper napkin and make a small space for her cup on the table. Once she would have cleared the whole thing, or stood by, trying to overcome her embarrasment, as Marge shouted at one of the waiters to do it. The truth was, she felt indifferent to it now. p.141\n\nso she could get to the end by Friday - and not have to think about Marge's rough, red hands and the awful weight of her and what Marge had told her to do, her voice a husky whisper, and Laurie's powerlessness to stop what had happened on the last night of their vacation on St Bart's. p.182\n\n[...] the tasks that Mr Toppit set luke were variatons on the myth of Sisyphus p.196\n\n&amp;quot;Someone was saying what a nice boy you were. Who was it? Nice and kind and thoughtful. Decent, but ...&amp;quot;\n&amp;quot;But what?&amp;quot;\nShe gazed up at the ceiling as if the word she was looking for might be found there. &amp;quot;But ordinary,&amp;quot; she said.\nI turned away.\n&amp;quot;You need to work hard to be special, baby,&amp;quot; she said. &amp;quot;Everyone does. Special is hard.&amp;quot; \n[...]\n&amp;quot;How could you?&amp;quot;\nI thought for a moment, and I said, &amp;quot;Because I'm special,&amp;quot; and then I hung up on her. p.216,230\n\nMerry might have been crying when she came out of the water or it might have been when we got inside [...] but she kept saying it was only because she was so happy. [...] what she was so happy about, she kept saying while she was crying, was thaqt she had read the books and had realized that while they were about me they were also about her. [...] She knew who Mr Toppit was, she was saying, not who he was, like being a person you could recognize if you saw him opn the street, but who he was if he was in your family. [...] What she was crying about was that she knew Mr Toppit was Rick, and reading the books reminded her of when she was a child and of what he had been like with her then. She forgave him, she kepty saying. She loved him, she would always love him, but he shouldnt have been like that. He shouldnt have lost his temper. He shouldnt have shoputed all the time. p.257\n\nAnd the real killer - that thing she's always quoting from Goethe or Rilke or whoeever it is, 'Everything serious is difficult... ' and then she gives that awful pause and says, like it's a punchline: '...and nearly everything is serious.' God! No wonder we're so fucked up. p.261\n\n&amp;quot;this girl,&amp;quot; she said. &amp;quot;this girl. Nine or ten, I guess. [...] Rudy made her put his thing in her mouth. [...] She thought it was a game. He'd made it into a game. [...] It was like a Red Indian thing,&amp;quot; she said, &amp;quot;the game Rudy played with the kid. She was a princess and he was Hiawatha.&amp;quot; p.283-5\n\nFive years ago the fixed points of her life had been KCIF, the hospital, Spring Crest and her house, all joined in a circle that surrounded the nothingness at the centre. Her days then were filled simply with coping: with Rick at work, with Alma, with Marge. Keeping everybody happy was like one of those tasks from the Greek myths that never ended however hard you tried, rolling a stone up a hill only to have it roll down before it reached the top. p.293\n\nShe had done a show about pollution not so long ago: she had interviewed environmentalists with their grim warnings and foreboding statistics and had shown footage of rivers in places like Alaska which - even there, miles from human habitation - had that discoloured soapsuddy stuff clinging to the banks. Everything gets destroyed. It couldnt just be that people didnt recycle enoughm it wasnt what people did or didnt do, it was the people themselves, emitting some kind of toxic gas that seeped into everything and rearranged the DNA. p.295\n\n\n\np.216", "publisher" : "Penguin Books", "publisher-place" : "London", "title" : "Mr. Toppit", "type" : "book" }, "locator" : "293", "uris" : [ "http://www.mendeley.com/documents/?uuid=b76e3829-4a8f-4e1d-b438-802760bcf59f" ] } ], "mendeley" : { "formattedCitation" : "Elton, p. 293.", "plainTextFormattedCitation" : "Elton, p. 293.", "previouslyFormattedCitation" : "Elton, p. 293."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Elton, p. 293.</w:t>
      </w:r>
      <w:r w:rsidRPr="00505CF0">
        <w:rPr>
          <w:rFonts w:asciiTheme="majorBidi" w:hAnsiTheme="majorBidi" w:cstheme="majorBidi"/>
        </w:rPr>
        <w:fldChar w:fldCharType="end"/>
      </w:r>
    </w:p>
  </w:footnote>
  <w:footnote w:id="437">
    <w:p w14:paraId="58B5AD9F" w14:textId="4435A7F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‘Metamodernism is the very imperfect placeholder, I guess, the label for the new language that we are trying to develop.’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"https://www.youtube.com/watch?v=5b_6D3xxdzQ", "accessed" : { "date-parts" : [ [ "2017", "10", "19" ] ] }, "author" : [ { "dropping-particle" : "", "family" : "Braidotti", "given" : "Rosi", "non-dropping-particle" : "", "parse-names" : false, "suffix" : "" } ], "container-title" : "Centre for the Humanities Utrecht University", "id" : "ITEM-1", "issued" : { "date-parts" : [ [ "2015" ] ] }, "note" : "TV: &amp;quot;We tried to find a term - or at least a label -that we could use to understand the post-postmodern condition, to understand those developments, those strategies, those new ... phenomena that were occuring, that we found we found we could no longer explain, we no longer contextualisze, or map, with the vernacular that we had learned as students about postmodernism.&amp;quot; \n\nTV: &amp;quot;metamodernism is the very imperfect placeholder, I guess, the label for the new language that we are trying to develop.&amp;quot;\n\nTV: &amp;quot;[metamodernism is] a mapping of contemporary culture&amp;quot;", "title" : "The Humanities in Europe Interview Series - Timotheus Vermeulen", "type" : "webpage" }, "prefix" : "Timotheus Vermeulen in ", "uris" : [ "http://www.mendeley.com/documents/?uuid=dcda2b3d-2f4c-4ccc-b228-7d31c6ef68b7" ] } ], "mendeley" : { "formattedCitation" : "Timotheus Vermeulen in Braidotti.", "plainTextFormattedCitation" : "Timotheus Vermeulen in Braidotti.", "previouslyFormattedCitation" : "Timotheus Vermeulen in Braidotti."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Timotheus Vermeulen in Braidotti.</w:t>
      </w:r>
      <w:r w:rsidRPr="00505CF0">
        <w:rPr>
          <w:rFonts w:asciiTheme="majorBidi" w:hAnsiTheme="majorBidi" w:cstheme="majorBidi"/>
        </w:rPr>
        <w:fldChar w:fldCharType="end"/>
      </w:r>
    </w:p>
  </w:footnote>
  <w:footnote w:id="438">
    <w:p w14:paraId="4CD29D14" w14:textId="12AF282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"Gibbons", "given" : "Alison", "non-dropping-particle" : "", "parse-names" : false, "suffix" : "" } ], "container-title" : "Studia Neophilologica", "id" : "ITEM-1", "issue" : "sup1", "issued" : { "date-parts" : [ [ "2015" ] ] }, "note" : "that is, rather than aiming for a universal world which carries with it connotations of cultural standardization, the favored approach moves towards a pluriversal world which embraces critical dialogues of and between diversity p.37\n\nThese strands are not entirely disparate; the boundaries between them are\nfuzzy. While the present and future moment is read through differing inter- pretive lenses, taken together, these framings help to build a critical vision of the recent shift in commitments and the contemporary Jetztzeit that succeeds postmodernism. p.30\n\nDespite the growing prevalence of metamodernism as a term to denote the cultural Jetzteit of the late twentieth and early twenty- first centuries, a comprehensive study of the ways in which contemporary literature relates to the metamodern paradigm has yet to be written. \u00a0P.30 \n\nIn metamodernist writing, this means acknowledging our complicity in the state of global affairs (from intersubjective memories to awareness of our participation in various political, economic, and environmental networks: for instance, of capital in the purchase of commercial goods or of the ecological in our decisions to recycle or not). Stylistically, this humanist commitment can be seen in metamodernist fiction in the way writers employ perceptual deixis, free indirect discourse, and modes of address, particularly in their play with the possibilities of pronominal positioning. p.31-2\n\nWhile modernism was fuelled by an enthusiasm for utopian thinking and an enlightened idealization of reason, and while postmodernism rejects such opti- mism in favor of nihilistic irony and distrust, metamodernism is flavored by the simultaneous and paradoxical sense of hope and future failure. Irony in meta- modernist writing is, therefore, not a derisive apolitical performance but unre- servedly committed to both promises that the locutionary act sets forth, both the surface meaning and its intended opposite. p.32\n\nAnother means in which metamodernism achieves its oscillation is through the assimilation of high and low cultural references. As a technique this might appear rather postmodern, yet it is employed in metamodernist writing not merely to create eclectic textuality but to present juxtapositions that evoke a reflection on contemporary culture. Similarly, metamodernist writing often contains everyday references, such as the explicit use of brand names, in a cloaked acknowledgement and criticism of commercialized culture. p.32\n\nLike many metamodernist writers, Thirlwell sees form and style as central in enabling literature to engage with world affairs. p.35\n\nThe intermixing of different registers often found in metamodernist writing is\nalso at work in this passage. p.37\n\nAll of this, really, returns to Thirlwell\u2019s metamodernist critique of the real and\nunreal, the way in which the prolific reshaping of events by media discourses, such as television news reporting, prevent us from really knowing what is going on in the world. p.38\n\nKapow! is metamodernist in its use of stylistic devices \u2013 namely heterochronic spatio-temporal deixis, second- person address, intermixing of high and low register and code-switching \u2013 to express its aesth-ethical commitment: a refusal to accept the current state of the world, asking readers instead to think critically and defiantly about the ways in which world events are connected and how their own involvement figures in such a world. Metamodernist writing does not neglect issues of global ethics. p.40-1\n\nMetamodernist writing hints at a future of literature and literary innovation that uses stylistic forms not for innovation\u2019s sake. Instead, metamodernism offers a literature that is accountable, just as we ourselves are accountable. p.41", "page" : "29-43", "title" : "\u201cTake that you intellectuals!\u201d and \u201ckaPOW!\u201d: Adam Thirlwell and the Metamodernist Future of Style", "type" : "article-journal", "volume" : "87" }, "locator" : "31-2", "uris" : [ "http://www.mendeley.com/documents/?uuid=267e3d87-4d96-4457-a46c-6b97dbdd44cd" ] } ], "mendeley" : { "formattedCitation" : "Gibbons, \u2018\u201cTake That You Intellectuals!\u201d and \u201ckaPOW!\u201d: Adam Thirlwell and the Metamodernist Future of Style\u2019, pp. 31\u20132.", "plainTextFormattedCitation" : "Gibbons, \u2018\u201cTake That You Intellectuals!\u201d and \u201ckaPOW!\u201d: Adam Thirlwell and the Metamodernist Future of Style\u2019, pp. 31\u20132.", "previouslyFormattedCitation" : "Gibbons, \u2018\u201cTake That You Intellectuals!\u201d and \u201ckaPOW!\u201d: Adam Thirlwell and the Metamodernist Future of Style\u2019, pp. 31\u20132."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Gibbons, ‘“Take That You Intellectuals!” and “kaPOW!”: Adam Thirlwell and the Metamodernist Future of Style’, pp. 31–2.</w:t>
      </w:r>
      <w:r w:rsidRPr="00505CF0">
        <w:rPr>
          <w:rFonts w:asciiTheme="majorBidi" w:hAnsiTheme="majorBidi" w:cstheme="majorBidi"/>
        </w:rPr>
        <w:fldChar w:fldCharType="end"/>
      </w:r>
    </w:p>
  </w:footnote>
  <w:footnote w:id="439">
    <w:p w14:paraId="46E0ECD2" w14:textId="0B77B88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"Gibbons", "given" : "Alison", "non-dropping-particle" : "", "parse-names" : false, "suffix" : "" } ], "container-title" : "Studia Neophilologica", "id" : "ITEM-1", "issue" : "sup1", "issued" : { "date-parts" : [ [ "2015" ] ] }, "note" : "that is, rather than aiming for a universal world which carries with it connotations of cultural standardization, the favored approach moves towards a pluriversal world which embraces critical dialogues of and between diversity p.37\n\nThese strands are not entirely disparate; the boundaries between them are\nfuzzy. While the present and future moment is read through differing inter- pretive lenses, taken together, these framings help to build a critical vision of the recent shift in commitments and the contemporary Jetztzeit that succeeds postmodernism. p.30\n\nDespite the growing prevalence of metamodernism as a term to denote the cultural Jetzteit of the late twentieth and early twenty- first centuries, a comprehensive study of the ways in which contemporary literature relates to the metamodern paradigm has yet to be written. \u00a0P.30 \n\nIn metamodernist writing, this means acknowledging our complicity in the state of global affairs (from intersubjective memories to awareness of our participation in various political, economic, and environmental networks: for instance, of capital in the purchase of commercial goods or of the ecological in our decisions to recycle or not). Stylistically, this humanist commitment can be seen in metamodernist fiction in the way writers employ perceptual deixis, free indirect discourse, and modes of address, particularly in their play with the possibilities of pronominal positioning. p.31-2\n\nWhile modernism was fuelled by an enthusiasm for utopian thinking and an enlightened idealization of reason, and while postmodernism rejects such opti- mism in favor of nihilistic irony and distrust, metamodernism is flavored by the simultaneous and paradoxical sense of hope and future failure. Irony in meta- modernist writing is, therefore, not a derisive apolitical performance but unre- servedly committed to both promises that the locutionary act sets forth, both the surface meaning and its intended opposite. p.32\n\nAnother means in which metamodernism achieves its oscillation is through the assimilation of high and low cultural references. As a technique this might appear rather postmodern, yet it is employed in metamodernist writing not merely to create eclectic textuality but to present juxtapositions that evoke a reflection on contemporary culture. Similarly, metamodernist writing often contains everyday references, such as the explicit use of brand names, in a cloaked acknowledgement and criticism of commercialized culture. p.32\n\nLike many metamodernist writers, Thirlwell sees form and style as central in enabling literature to engage with world affairs. p.35\n\nThe intermixing of different registers often found in metamodernist writing is\nalso at work in this passage. p.37\n\nAll of this, really, returns to Thirlwell\u2019s metamodernist critique of the real and\nunreal, the way in which the prolific reshaping of events by media discourses, such as television news reporting, prevent us from really knowing what is going on in the world. p.38\n\nKapow! is metamodernist in its use of stylistic devices \u2013 namely heterochronic spatio-temporal deixis, second- person address, intermixing of high and low register and code-switching \u2013 to express its aesth-ethical commitment: a refusal to accept the current state of the world, asking readers instead to think critically and defiantly about the ways in which world events are connected and how their own involvement figures in such a world. Metamodernist writing does not neglect issues of global ethics. p.40-1\n\nMetamodernist writing hints at a future of literature and literary innovation that uses stylistic forms not for innovation\u2019s sake. Instead, metamodernism offers a literature that is accountable, just as we ourselves are accountable. p.41", "page" : "29-43", "title" : "\u201cTake that you intellectuals!\u201d and \u201ckaPOW!\u201d: Adam Thirlwell and the Metamodernist Future of Style", "type" : "article-journal", "volume" : "87" }, "locator" : "32", "uris" : [ "http://www.mendeley.com/documents/?uuid=267e3d87-4d96-4457-a46c-6b97dbdd44cd" ] } ], "mendeley" : { "formattedCitation" : "Gibbons, \u2018\u201cTake That You Intellectuals!\u201d and \u201ckaPOW!\u201d: Adam Thirlwell and the Metamodernist Future of Style\u2019, p. 32.", "plainTextFormattedCitation" : "Gibbons, \u2018\u201cTake That You Intellectuals!\u201d and \u201ckaPOW!\u201d: Adam Thirlwell and the Metamodernist Future of Style\u2019, p. 32.", "previouslyFormattedCitation" : "Gibbons, \u2018\u201cTake That You Intellectuals!\u201d and \u201ckaPOW!\u201d: Adam Thirlwell and the Metamodernist Future of Style\u2019, p. 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Gibbons, ‘“Take That You Intellectuals!” and “kaPOW!”: Adam Thirlwell and the Metamodernist Future of Style’, p. 32.</w:t>
      </w:r>
      <w:r w:rsidRPr="00505CF0">
        <w:rPr>
          <w:rFonts w:asciiTheme="majorBidi" w:hAnsiTheme="majorBidi" w:cstheme="majorBidi"/>
        </w:rPr>
        <w:fldChar w:fldCharType="end"/>
      </w:r>
    </w:p>
  </w:footnote>
  <w:footnote w:id="440">
    <w:p w14:paraId="3DEA04FD" w14:textId="3AEC422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"http://www.metamodernism.com/2012/05/29/to-engage-in-literature/", "accessed" : { "date-parts" : [ [ "2017", "11", "13" ] ] }, "author" : [ { "dropping-particle" : "", "family" : "Fe\u00dfler", "given" : "Nadine", "non-dropping-particle" : "", "parse-names" : false, "suffix" : "" } ], "container-title" : "Notes on Metamodernism", "id" : "ITEM-1", "issued" : { "date-parts" : [ [ "2012" ] ] }, "note" : "the returns of\u00a0 ostensibly outdated concepts such as authenticity, ethics, engagement and aesthetics and what kind of themes are pushed to the foreground because of this.\n\n\u00a0contemporary literature does not dismiss postmodern ideas, but rather incorporates those ideas, though utilizing them for completely different outcomes, for example for installing authenticity or sincerity. One dominant strategy that is being pursued is to seek for ways to engage the reader again.\n\nIn a straightforward way Wallace points out the writer\u2019s responsibility to make the readers engage by allowing them simply no way out, by writing in such ways that makes it impossible not to care. It is precisely this that most contemporary literature tries to do. It tries to find ways that allow (or even force) the reader to be involved in what is presented to them, without falling back into a distanced mode.\u00a0\n\nAs McEwan does in\u00a0Atonement, A.S. Byatt in\u00a0Possession\u00a0or Margaret Atwood in\u00a0The Blind Assassin, she installs fiction as a powerful instrument that is used strategically by the protagonists rather than the protagonists being subjected to the overpowering nature of language and contextualization. The undecidability between fiction and reality that has been the clue of so many postmodern novels is not an issue anymore. Instead the value of aesthetics is highlighted by creating an emotional need in the reader for those kinds of aesthetic experiences (think for example of Yann Martel\u2019s\u00a0Life of Pi).\n\nThis revived interest in stories triggered a comeback of conventional literary forms like the historical novel, the realist novel or the family saga.\u00a0\n\nStrategies of fragmentation and destabilization are either left behind completely or given a smaller role in order to reintroduce a form of transcendence, a phenomenon that was significantly lacking in postmodern literature.\n\nFinishing with this last return, the return of transcendence, one could formulate a hypothesis: contemporary literature is trying to reintegrate precisely those themes and styles that postmodernism either was never interested in or was trying to get rid of. As a consequence, today\u2019s novelists are finding inventive ways to create refreshing narratives that allow those themes a comeback under very specific circumstances, and by doing so are enabling a going \u2018beyond\u2019 postmodernism.", "title" : "To engage in literature", "type" : "webpage" }, "uris" : [ "http://www.mendeley.com/documents/?uuid=ad6e6678-cc9f-4d1f-8dd0-c16b4cecb6da" ] } ], "mendeley" : { "formattedCitation" : "Fe\u00dfler.", "plainTextFormattedCitation" : "Fe\u00dfler.", "previouslyFormattedCitation" : "Fe\u00dfler."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Feßler.</w:t>
      </w:r>
      <w:r w:rsidRPr="00505CF0">
        <w:rPr>
          <w:rFonts w:asciiTheme="majorBidi" w:hAnsiTheme="majorBidi" w:cstheme="majorBidi"/>
        </w:rPr>
        <w:fldChar w:fldCharType="end"/>
      </w:r>
    </w:p>
  </w:footnote>
  <w:footnote w:id="441">
    <w:p w14:paraId="55CE2970" w14:textId="7212545B"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"http://www.metamodernism.com/2012/10/23/the-privilege-of-the-sponge/", "accessed" : { "date-parts" : [ [ "2017", "11", "13" ] ] }, "author" : [ { "dropping-particle" : "", "family" : "Wolff", "given" : "Alexander", "non-dropping-particle" : "", "parse-names" : false, "suffix" : "" } ], "container-title" : "Notes on Metamodernism", "id" : "ITEM-1", "issued" : { "date-parts" : [ [ "2012" ] ] }, "note" : "Setz shows that the historic development does not necessarily mean that contemporary literature is able to deal with pre-postmodernist concepts only by way of irony and the constant reference to its symbolic constitution and discursive strategies. But, on the contrary, to move beyond postmodernism we need to take a look at the basic goals and structures of literary\u00a0endeavour\u00a0and to relocate it in a broader context of a communicative act from which meaning can be gathered only in front of a painful but inevitable social horizon.\n\nhe realm beyond the work of art, the truth behind its sentences and words, which for the surrealists was supposed to be unmediated life itself, remains within the narrative frame and is not simply there to be discovered by those sensitive to it \u2013 \u201cbe aware of storytellers\u201d, one of the characters says after summarizing the story of Scheherazade.\n\n\u00a0The hidden becomes the meaningful, while the meaning in the obvious recedes to the swampy lands of nonsense as soon it is looked at closely, or any explanation asked of it. Just as with the razor blade cutting the eye in Bu\u00f1uel and Dal\u00ed\u2019s\u00a0Le Chien Andalou, in this novel we are confronted with a biting miniature horse or a painful solar eclipse. The text exposes the mechanism of literature in connecting disparate events in a reality that constitutes no meaningful whole\n\nIn\u00a0The Frequencies,\u00a0Setz discards the endless play of self-referentiality as \u201ca ghost writing: something that has to occur in every novel\u201d. It has become a backdrop of our current situation that lost its ability to make an impression on the reader. At the same time, the historic example of the avant-gardes shows that we cannot simply discard postmodernism\u2019s insights altogether. Instead, one could argue, Setz uses a metamodern strategy of oscillation between \u201ca modern desire for sense and the postmodern doubt about the sense of it all\u201d\n\nSetz uses his novels as an interrogation in the ways in which we still generate a coherent picture of ourselves and the ties to our environment. There is help, we could say in Setz\u2019s terms,\u00a0The Frequencies\u00a0showing that we do not need to turn into helpless tragic figures like Walter, who struggle to develop an identity of their own. Rather it is a question of a consolidation of two sides. When Alexander remembers his childhood, he realizes his social side that longs for recognition, while at the same time an \u201cearth turned away side\u201d is further ahead and sees through the mechanisms of life.\n\nThe postmodern has shown the loss of a telos behind social and historic development together with the self-referentiality of any symbolic act. Setz knows about the ever-retreating chain of the signifier and a constructivism that seems to relativize everything once it enters the realm of language. The younger Setz finds poetic allegories and simple answers where the Setz of\u00a0The\u00a0Frequencieselaborates on the problem in narratological intricacies. The trick is to do it like the sponge in the puddle.\n\nthe possibility of transcendence refused by postmodernism lies within an individual pragmatism that turns the admittedly and a priori impossible into a privilege.", "title" : "The Privilege of the Sponge", "type" : "webpage" }, "uris" : [ "http://www.mendeley.com/documents/?uuid=d7edbe28-15af-4598-b180-3d1c67fe398a" ] } ], "mendeley" : { "formattedCitation" : "Alexander Wolff, \u2018The Privilege of the Sponge\u2019, &lt;i&gt;Notes on Metamodernism&lt;/i&gt;, 2012 &lt;http://www.metamodernism.com/2012/10/23/the-privilege-of-the-sponge/&gt; [accessed 13 November 2017].", "plainTextFormattedCitation" : "Alexander Wolff, \u2018The Privilege of the Sponge\u2019, Notes on Metamodernism, 2012  [accessed 13 November 2017].", "previouslyFormattedCitation" : "Alexander Wolff, \u2018The Privilege of the Sponge\u2019, &lt;i&gt;Notes on Metamodernism&lt;/i&gt;, 2012 &lt;http://www.metamodernism.com/2012/10/23/the-privilege-of-the-sponge/&gt; [accessed 13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Alexander Wolff, ‘The Privilege of the Sponge’, </w:t>
      </w:r>
      <w:r w:rsidRPr="0025171E">
        <w:rPr>
          <w:rFonts w:asciiTheme="majorBidi" w:hAnsiTheme="majorBidi" w:cstheme="majorBidi"/>
          <w:i/>
          <w:noProof/>
        </w:rPr>
        <w:t>Notes on Metamodernism</w:t>
      </w:r>
      <w:r w:rsidRPr="0025171E">
        <w:rPr>
          <w:rFonts w:asciiTheme="majorBidi" w:hAnsiTheme="majorBidi" w:cstheme="majorBidi"/>
          <w:noProof/>
        </w:rPr>
        <w:t>, 2012 &lt;http://www.metamodernism.com/2012/10/23/the-privilege-of-the-sponge/&gt; [accessed 13 November 2017].</w:t>
      </w:r>
      <w:r w:rsidRPr="00505CF0">
        <w:rPr>
          <w:rFonts w:asciiTheme="majorBidi" w:hAnsiTheme="majorBidi" w:cstheme="majorBidi"/>
        </w:rPr>
        <w:fldChar w:fldCharType="end"/>
      </w:r>
    </w:p>
  </w:footnote>
  <w:footnote w:id="442">
    <w:p w14:paraId="61188B1F" w14:textId="4DAC477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"James and Seshagiri discuss the persistent legacy of mythos in twenty-first-century arts and letters. A growing number of contemporary novelists--among them Julian Barnes, J. M. Coetzee, Ian McEwan, Cynthia Ozick, Will Self, and Zadie Smith--place a conception of modernism as revolution at the heart of their fictions, styling their twenty-first-century literary innovations as explicit engagements with the innovations of early-twentieth-century writing.", "author" : [ { "dropping-particle" : "", "family" : "James", "given" : "D", "non-dropping-particle" : "", "parse-names" : false, "suffix" : "" }, { "dropping-particle" : "", "family" : "Seshagiri", "given" : "U", "non-dropping-particle" : "", "parse-names" : false, "suffix" : "" } ], "container-title" : "PMLA", "id" : "ITEM-1", "issue" : "1", "issued" : { "date-parts" : [ [ "2014" ] ] }, "note" : "A growing number of contemporary novelists\u2014among them Julian Barnes, J.\u00a0M. Coetzee, Ian McEwan, Cynthia Ozick, Will Self, and Zadie Smith\u2014place a conception of modernism as revolution at the heart of their ictions, styling their twenty- irstcentury literary innovations as explicit engagements with the innovations of early- twentieth- century writing. p.87\n\na significant body of late twentieth-and twenty-first-century literature consciously responds to modernist impulses, methods, and commitments. p.88\n\nWe focus on contemporary ictions distinguished by inventive, self- conscious relationships with modernist literature. The legacy inscribed in these relationships is an important but little- charted twenty- firstcentury aesthetic that we call metamodernism. Metamodernism regards modernism as an era, an aesthetic, and an archive that originated in the late nineteenth and early twentieth centuries. p.88\n\nMetamodernism\u2019s value for scholars of contemporary and modernist literature alike lies in the ambition that uniies its otherwise varied artistic and historical positions: to reassess and remobilize narratives of modernism. p.89\n\nThe growing body of twenty- first- century metamodernist iction does not only (or even principally) redeploy familiar traits like rupture, irony, and fragmentation as benchmarks of newness or arbiters of compositional value and esteem. If we map metamodernism\u2019s dominant strains, we ind that a more ambitious aesthetic- historical pursuit characterizes an otherwise disjunctive collection of writers and novels: to move the novel forward by looking back to the aspirational energies of modernism. p.93\n\nMetamodernist practice redistributes the innovative energies of its predecessors. It pays tribute to modernist style [...]; it inhabits the consciousness of individual modernist writers [...] and it details modernism\u2019s sociopolitical, historical, and philosophical contexts. [...] And if early- twentieth- century modernism takes center stage in iction that aggressively examines the very idea and ethos of modernist artistry (McEwan\u2019s Atonement and Coetzee\u2019s Youth), it plays an equally formative role as an absent or vanishing referent in novels where overt inluences are less visible (Barnes\u2019s he Sense of an Ending [2011], Ali Smith\u2019s There but for The [2011], Self\u2019s Umbrella [2012]). Across vastly divergent transnational literary registers, as even these partial catalogs reveal, metamodernist writing incorporates and adapts, reactivates and complicates the aesthetic prerogatives of an earlier cultural moment. p.93\n\nMetamodernist narratives thus distinguish themselves from an earlier postmodernism through selfconscious, consistent visions of dissent and defamiliarization as novelistic inventions specific to the early twentieth century. p.93\n\ntwenty- irst- century metamodernism demonstrates that the impulse to reform the very medium of narrative iction reached a zenith a century ago; contemporary writers variously acknowledge that the manipulation of form was a litmus test for modernist accomplishment. On the other hand, some metamodernist fictions actually perform historicizing acts, dynamically relecting on modernism\u2019s aesthetic prerogatives in order to mobilize innovations of their own. p.94\n\nMcCarthy\u2019s striking intervention in the contemporary scene therefore seems all the more pointed and disruptive at a time when a sizable proportion of literary iction, as Jesse Matz has argued, is dominated by impressionism\u2014by writing that we expect to elaborate, rather than eviscerate, psychological depth. p.94", "page" : "87-100", "title" : "Metamodernism: Narratives of Continuity and Revolution", "type" : "article-journal", "volume" : "129" }, "locator" : "93", "uris" : [ "http://www.mendeley.com/documents/?uuid=2cb9f8aa-3e54-39af-a31a-8dd6793c247c" ] } ], "mendeley" : { "formattedCitation" : "D James and U Seshagiri, \u2018Metamodernism: Narratives of Continuity and Revolution\u2019, &lt;i&gt;PMLA&lt;/i&gt;, 129 (2014), 87\u2013100 (p. 93).", "plainTextFormattedCitation" : "D James and U Seshagiri, \u2018Metamodernism: Narratives of Continuity and Revolution\u2019, PMLA, 129 (2014), 87\u2013100 (p. 93).", "previouslyFormattedCitation" : "D James and U Seshagiri, \u2018Metamodernism: Narratives of Continuity and Revolution\u2019, &lt;i&gt;PMLA&lt;/i&gt;, 129 (2014), 87\u2013100 (p. 93) &lt;doi:10.1632/pmla.2014.129.1.87&gt;."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 James and U Seshagiri, ‘Metamodernism: Narratives of Continuity and Revolution’, </w:t>
      </w:r>
      <w:r w:rsidRPr="0025171E">
        <w:rPr>
          <w:rFonts w:asciiTheme="majorBidi" w:hAnsiTheme="majorBidi" w:cstheme="majorBidi"/>
          <w:i/>
          <w:noProof/>
        </w:rPr>
        <w:t>PMLA</w:t>
      </w:r>
      <w:r w:rsidRPr="0025171E">
        <w:rPr>
          <w:rFonts w:asciiTheme="majorBidi" w:hAnsiTheme="majorBidi" w:cstheme="majorBidi"/>
          <w:noProof/>
        </w:rPr>
        <w:t>, 129 (2014), 87–100 (p. 93).</w:t>
      </w:r>
      <w:r w:rsidRPr="00505CF0">
        <w:rPr>
          <w:rFonts w:asciiTheme="majorBidi" w:hAnsiTheme="majorBidi" w:cstheme="majorBidi"/>
        </w:rPr>
        <w:fldChar w:fldCharType="end"/>
      </w:r>
    </w:p>
  </w:footnote>
  <w:footnote w:id="443">
    <w:p w14:paraId="059E1183" w14:textId="783A2338" w:rsidR="00054009" w:rsidRPr="00505CF0" w:rsidRDefault="00054009" w:rsidP="00C111D3">
      <w:pPr>
        <w:pStyle w:val="FootnoteText"/>
        <w:rPr>
          <w:rFonts w:asciiTheme="majorBidi" w:hAnsiTheme="majorBidi" w:cstheme="majorBidi"/>
          <w:lang w:val="it-IT"/>
        </w:rPr>
      </w:pPr>
      <w:r w:rsidRPr="00505CF0">
        <w:rPr>
          <w:rStyle w:val="FootnoteReference"/>
          <w:rFonts w:asciiTheme="majorBidi" w:hAnsiTheme="majorBidi" w:cstheme="majorBidi"/>
        </w:rPr>
        <w:footnoteRef/>
      </w:r>
      <w:r w:rsidRPr="00505CF0">
        <w:rPr>
          <w:rFonts w:asciiTheme="majorBidi" w:hAnsiTheme="majorBidi" w:cstheme="majorBidi"/>
          <w:lang w:val="it-IT"/>
        </w:rPr>
        <w:t xml:space="preserve"> </w:t>
      </w:r>
      <w:r w:rsidRPr="00505CF0">
        <w:rPr>
          <w:rFonts w:asciiTheme="majorBidi" w:hAnsiTheme="majorBidi" w:cstheme="majorBidi"/>
        </w:rPr>
        <w:fldChar w:fldCharType="begin" w:fldLock="1"/>
      </w:r>
      <w:r>
        <w:rPr>
          <w:rFonts w:asciiTheme="majorBidi" w:hAnsiTheme="majorBidi" w:cstheme="majorBidi"/>
          <w:lang w:val="it-IT"/>
        </w:rPr>
        <w:instrText>ADDIN CSL_CITATION { "citationItems" : [ { "id" : "ITEM-1", "itemData" : { "URL" : "https://themetamodernist.com/2017/02/18/an-introduction-to-metamodernism/", "accessed" : { "date-parts" : [ [ "2017", "10", "30" ] ] }, "author" : [ { "dropping-particle" : "", "family" : "Damico", "given" : "Philip", "non-dropping-particle" : "", "parse-names" : false, "suffix" : "" } ], "container-title" : "The Metamodernist", "id" : "ITEM-1", "issued" : { "date-parts" : [ [ "2017" ] ] }, "note" : "Metamodernism is an emerging movement that hopes to synthesize both postmodernist, modernist and premodern (romantic, enlightenment) ideas while moving our civilization and culture forward in a positive way.\n\nLiterature that engages in sincere expression while being aware of its appearance from a postmodern perspective is considered metamodern.\n\nHonesty from the author concerning their intentions and meaning, something that's severely lacking in postmodern works.\n\nThe defininf characteristic and most important aspect of the metamodern movement is the &amp;quot;as if&amp;quot; mindset. Metamodernism is not a rejection of postmodern moral relativism and cynicism but a progression from it. We have, as a result of postmodernism, been convinced that humanity is in decline (statistics tend to say otherwise, but that doesnt matter when truth is a construct, as postmodern thought tends to teach). The metamodernist wants to live as if positive change and progress can be acheived.", "title" : "An Introduction to Metamodernism", "type" : "webpage" }, "uris" : [ "http://www.mendeley.com/documents/?uuid=40cd66cd-5884-4bc2-a267-359a5d296728" ] } ], "mendeley" : { "formattedCitation" : "Damico.", "plainTextFormattedCitation" : "Damico.", "previouslyFormattedCitation" : "Damico."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it-IT"/>
        </w:rPr>
        <w:t>Damico.</w:t>
      </w:r>
      <w:r w:rsidRPr="00505CF0">
        <w:rPr>
          <w:rFonts w:asciiTheme="majorBidi" w:hAnsiTheme="majorBidi" w:cstheme="majorBidi"/>
        </w:rPr>
        <w:fldChar w:fldCharType="end"/>
      </w:r>
    </w:p>
  </w:footnote>
  <w:footnote w:id="444">
    <w:p w14:paraId="1C127BA0" w14:textId="01079AA0" w:rsidR="00054009" w:rsidRPr="00FE7EAF" w:rsidRDefault="00054009" w:rsidP="0025171E">
      <w:pPr>
        <w:pStyle w:val="FootnoteText"/>
        <w:rPr>
          <w:rFonts w:asciiTheme="majorBidi" w:hAnsiTheme="majorBidi" w:cstheme="majorBidi"/>
          <w:lang w:val="it-IT"/>
        </w:rPr>
      </w:pPr>
      <w:r w:rsidRPr="00505CF0">
        <w:rPr>
          <w:rStyle w:val="FootnoteReference"/>
          <w:rFonts w:asciiTheme="majorBidi" w:hAnsiTheme="majorBidi" w:cstheme="majorBidi"/>
        </w:rPr>
        <w:footnoteRef/>
      </w:r>
      <w:r w:rsidRPr="00FE7EAF">
        <w:rPr>
          <w:rFonts w:asciiTheme="majorBidi" w:hAnsiTheme="majorBidi" w:cstheme="majorBidi"/>
          <w:lang w:val="it-IT"/>
        </w:rPr>
        <w:t xml:space="preserve"> </w:t>
      </w:r>
      <w:r w:rsidRPr="00505CF0">
        <w:rPr>
          <w:rFonts w:asciiTheme="majorBidi" w:hAnsiTheme="majorBidi" w:cstheme="majorBidi"/>
        </w:rPr>
        <w:fldChar w:fldCharType="begin" w:fldLock="1"/>
      </w:r>
      <w:r w:rsidRPr="00FE7EAF">
        <w:rPr>
          <w:rFonts w:asciiTheme="majorBidi" w:hAnsiTheme="majorBidi" w:cstheme="majorBidi"/>
          <w:lang w:val="it-IT"/>
        </w:rPr>
        <w:instrText>ADDIN CSL_CITATION { "citationItems" : [ { "id" : "ITEM-1", "itemData" : { "URL" : "http://www.metamodernism.com/2012/02/03/duel-is-not-a-gimmick/", "accessed" : { "date-parts" : [ [ "2017", "11", "13" ] ] }, "author" : [ { "dropping-particle" : "", "family" : "Popelier", "given" : "Jeroen", "non-dropping-particle" : "", "parse-names" : false, "suffix" : "" } ], "container-title" : "Notes on Metamodernism", "id" : "ITEM-1", "issued" : { "date-parts" : [ [ "2012" ] ] }, "note" : "It could be argued therefore that metamodernism is born from two paradigms and that the metamodern generation is raised bilingually.\u00a0On the one hand it speaks a fanatic, activist or naive (read: modern) language, on the other hand it speaks a tongue that is moderate, pragmatic or informed (read: postmodern). The metamodern generation wants to voice its concerns truthfully and authentically and sincerely, while knowing that there is no such thing as truth, authenticity is a construction and sincerity could only be smirked at \u2013 yet it does so nonetheless.", "title" : "Duel is Not a 'Gimmick'", "type" : "webpage" }, "uris" : [ "http://www.mendeley.com/documents/?uuid=ece9d06c-6752-4143-bd6c-31321cef45a7" ] } ], "mendeley" : { "formattedCitation" : "Jeroen Popelier, \u2018Duel Is Not a \u201cGimmick\u201d\u2019, &lt;i&gt;Notes on Metamodernism&lt;/i&gt;, 2012 &lt;http://www.metamodernism.com/2012/02/03/duel-is-not-a-gimmick/&gt; [accessed 13 November 2017].", "plainTextFormattedCitation" : "Jeroen Popelier, \u2018Duel Is Not a \u201cGimmick\u201d\u2019, Notes on Metamodernism, 2012  [accessed 13 November 2017].", "previouslyFormattedCitation" : "Jeroen Popelier, \u2018Duel Is Not a \u201cGimmick\u201d\u2019, &lt;i&gt;Notes on Metamodernism&lt;/i&gt;, 2012 &lt;http://www.metamodernism.com/2012/02/03/duel-is-not-a-gimmick/&gt; [accessed 13 November 2017]."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it-IT"/>
        </w:rPr>
        <w:t xml:space="preserve">Jeroen Popelier, ‘Duel Is Not a “Gimmick”’, </w:t>
      </w:r>
      <w:r w:rsidRPr="00FE7EAF">
        <w:rPr>
          <w:rFonts w:asciiTheme="majorBidi" w:hAnsiTheme="majorBidi" w:cstheme="majorBidi"/>
          <w:i/>
          <w:noProof/>
          <w:lang w:val="it-IT"/>
        </w:rPr>
        <w:t>Notes on Metamodernism</w:t>
      </w:r>
      <w:r w:rsidRPr="00FE7EAF">
        <w:rPr>
          <w:rFonts w:asciiTheme="majorBidi" w:hAnsiTheme="majorBidi" w:cstheme="majorBidi"/>
          <w:noProof/>
          <w:lang w:val="it-IT"/>
        </w:rPr>
        <w:t>, 2012 &lt;http://www.metamodernism.com/2012/02/03/duel-is-not-a-gimmick/&gt; [accessed 13 November 2017].</w:t>
      </w:r>
      <w:r w:rsidRPr="00505CF0">
        <w:rPr>
          <w:rFonts w:asciiTheme="majorBidi" w:hAnsiTheme="majorBidi" w:cstheme="majorBidi"/>
        </w:rPr>
        <w:fldChar w:fldCharType="end"/>
      </w:r>
    </w:p>
  </w:footnote>
  <w:footnote w:id="445">
    <w:p w14:paraId="0C1D62F9" w14:textId="7770812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"https://www.youtube.com/watch?v=MBRqu0YOH14", "accessed" : { "date-parts" : [ [ "2017", "12", "6" ] ] }, "container-title" : "Kurzgesagt", "id" : "ITEM-1", "issued" : { "date-parts" : [ [ "2017" ] ] }, "note" : "Human existence is scary and confusing.\n\nThe older we got, the more we learned about the world and ourselves. We learned that the twinkling lights are not shining beautifully for us, they just are. \n\nWe learned that we're not at the cenrer of what we now call the universe, and that it is much, much older than we thought.\n\nWe learned, in awe, that we live on a moist speck of dust moving around a medim-sized star in a quiet region of one arm of an average galaxy, which is part of a galaxy group that we will never leave. And this group is only one of thoysands that, together, make up a galaxy supercluster. But even our supercluster is only one in thousands that make up what we call the observable universe. The universe might be a million times bigger, but we will never know.\n\nBut size is not the most troubling concept we have to deal with. It's time, or, more precisely, the time we have. [we have] a lot of time, but also ... not really. And then what? Your biological processes will break down and the dynamic pattern that is you will stop being dynamic. It will dissolve until there is no you left. Some beleive that there is a part of us we can't see or measure, but we have no way to find out, so this life might be it and we might end up dead forever. [...] And as far as we know, in the end, the universe itself will die and nothing will ever change again. \n\nour videos induce existential dread in many people [...] so, for once, we want to offer a different way of looking at these things: an unscientific, subjective point of view, the philosophy of Kurzgesagt, if you want.\n\nWe counter existential dread with optimistic nihilism.\n\nto summarize, it seems very unlikely that 200 trillion trillion stars have been made for us. In a way it feels like the curlest joke in esistence has been played on us. We became self-aware only to realize this story is not about us. \n\nWhile it is great to know about electrons and the powerhouse of the cell, science doesn't do a lot to make this less depressing. Okay, but so what?\n\nYou only get one shot at life, which is scary, but it also sets you free. If the universe ends in heat death, every humiliation you suffer in life will be forgotten. Every mistake you made will not matter in the end. Every bad thing you did will be voided. If our life is all we get to experience, then it's the only thing that matters. If the universe has no principles, the only principles relevant are the ones we decide on. If the universe has no purpose, then we get to dictate what its purpose is.\n\nHumans will most certainly cease to exist at some point, but before we do, we get to explore ourselves and the world around us. We get to experience feelings. We get to experience food, books, sunrises, and being with each other. The fact that we're even able tyo think about these things is already kind of incredible.\n\nIt's easy to think of ourselves as separated from everything, but this is not true. We are as much the universe as a neutron star, or a black hole, or a nebula. Even better, actually, we are its thinking and feeling part: the sensory organs of the universe. \n\nWe are truly free in a universe-sized playground, so we might as well aim to be happy and to build some kind of utopia in the stars. \n\nThere are billions of stars to visit, diseases to cure, people to help, happy feelings to be experienced, and video games to finish. There is so much to do.\n\nYou've probably used up a good chunk of the time available to you. If this is our one shot at life, there is no reason not to have fun and live as happy as possible. [...] Do the things that make you feel good. You get to decide whatever this means for you.", "title" : "Optimistic Nihilism", "type" : "webpage" }, "uris" : [ "http://www.mendeley.com/documents/?uuid=5d2a7740-1b98-4298-8d5d-81c1a231b03e" ] } ], "mendeley" : { "formattedCitation" : "\u2018Optimistic Nihilism\u2019, &lt;i&gt;Kurzgesagt&lt;/i&gt;, 2017 &lt;https://www.youtube.com/watch?v=MBRqu0YOH14&gt; [accessed 6 December 2017].", "plainTextFormattedCitation" : "\u2018Optimistic Nihilism\u2019, Kurzgesagt, 2017  [accessed 6 December 2017].", "previouslyFormattedCitation" : "\u2018Optimistic Nihilism\u2019, &lt;i&gt;Kurzgesagt&lt;/i&gt;, 2017 &lt;https://www.youtube.com/watch?v=MBRqu0YOH14&gt; [accessed 6 December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‘Optimistic Nihilism’, </w:t>
      </w:r>
      <w:r w:rsidRPr="0025171E">
        <w:rPr>
          <w:rFonts w:asciiTheme="majorBidi" w:hAnsiTheme="majorBidi" w:cstheme="majorBidi"/>
          <w:i/>
          <w:noProof/>
        </w:rPr>
        <w:t>Kurzgesagt</w:t>
      </w:r>
      <w:r w:rsidRPr="0025171E">
        <w:rPr>
          <w:rFonts w:asciiTheme="majorBidi" w:hAnsiTheme="majorBidi" w:cstheme="majorBidi"/>
          <w:noProof/>
        </w:rPr>
        <w:t>, 2017 &lt;https://www.youtube.com/watch?v=MBRqu0YOH14&gt; [accessed 6 December 2017].</w:t>
      </w:r>
      <w:r w:rsidRPr="00505CF0">
        <w:rPr>
          <w:rFonts w:asciiTheme="majorBidi" w:hAnsiTheme="majorBidi" w:cstheme="majorBidi"/>
        </w:rPr>
        <w:fldChar w:fldCharType="end"/>
      </w:r>
    </w:p>
  </w:footnote>
  <w:footnote w:id="446">
    <w:p w14:paraId="56E102C1" w14:textId="20D16BC2" w:rsidR="00054009" w:rsidRDefault="00054009">
      <w:pPr>
        <w:pStyle w:val="FootnoteText"/>
      </w:pPr>
      <w:r>
        <w:rPr>
          <w:rStyle w:val="FootnoteReference"/>
        </w:rPr>
        <w:footnoteRef/>
      </w:r>
      <w:r>
        <w:t xml:space="preserve"> </w:t>
      </w:r>
      <w:r w:rsidRPr="00811F20">
        <w:rPr>
          <w:i/>
          <w:iCs/>
        </w:rPr>
        <w:t xml:space="preserve">ACO: At the 2002 meeting of the ethno-archaeological society, Southward focuses particularly on one professor William Channing Trapp who, according to all sources, was a bit of a lush. In his drunken state at the meeting he apparently eagerly </w:t>
      </w:r>
      <w:proofErr w:type="gramStart"/>
      <w:r w:rsidRPr="00811F20">
        <w:rPr>
          <w:i/>
          <w:iCs/>
        </w:rPr>
        <w:t>and  repeatedly</w:t>
      </w:r>
      <w:proofErr w:type="gramEnd"/>
      <w:r w:rsidRPr="00811F20">
        <w:rPr>
          <w:i/>
          <w:iCs/>
        </w:rPr>
        <w:t xml:space="preserve"> interrupted Allan’s tale of how he retrieved the Esquimaux statue, with his own description of a small band of ‘devolved, humanoid beings’ down in New Orleans who worshipped a similar looking idol, though they believed it to be a slumbering God somewhere in the world. This Unnameable God, Trapp reportedly stated, was kept sedate by the frequent release of nihilistic and warlike psychic waves that inspire dread in humans of a specific form of bitter intelligence, or creatives. Southward’s notes end here, but not before reporting that Allan returned to the Arctic once more never to return, though famously texting his wife with a cryptic message about chartreuse watchers in the eldritch darkness surrounding them all. After this, all contact was lost.</w:t>
      </w:r>
    </w:p>
  </w:footnote>
  <w:footnote w:id="447">
    <w:p w14:paraId="5E6AA69F" w14:textId="2A365869"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"Vermeulen", "given" : "Timotheus", "non-dropping-particle" : "", "parse-names" : false, "suffix" : "" }, { "dropping-particle" : "", "family" : "Akker", "given" : "Robin", "non-dropping-particle" : "van den", "parse-names" : false, "suffix" : "" } ], "container-title" : "Studia Neophilologica", "id" : "ITEM-1", "issue" : "sup1", "issued" : { "date-parts" : [ [ "2015" ] ] }, "note" : "Quite unexpectedly, the figure of utopia has reappeared across the arts in the past few years, often alongside a nenewed sense of empathy, invigorated constructive engagement, a reappreciation of narrative and a return to craftswo/manship, p.55\n\nJameson described postmodernism as a hegemonic &amp;quot;structure of feeling&amp;quot; (1991: xiv) characterizzed by senses of an end - of History, social class, art, the subject, etc. We conceive of metamodernism as a structure of feeling typified by the return of many of these debates, foremost among them History, the grand narrative, Bildung, and the agent. p.55\n\nIn other words, a structure of feeling is a sentiment or, rather, still a sensability that many people, that many are aware of, but which cannot easily, if at all, be pinned down. p.56\n\nit is that element of culutre which circumscribes it but nonetheless cannot be traced back to any one of its individual ingredients, that element which eludes, or is left after, strutural analysis. p.56\n\n[emerging new phenomeno antithetical to the postmodern are] characterized by an attempt to incorporate postmodern stylistics and formal conventions while moving beyond them. p.56\n\nIf postmodernism must be assosciated with socio-economic developments that Jameson described, following Mandel, as late capitalism, metamodernism can be seen to be intertwined with social and economic tendencies that have come to be labeled under the cognomen of global capitalism. p.56\n\nThis is to say that &amp;quot;Utopia&amp;quot; - as a trope, individual desire or collective fantasy - is once more, and increasingly, visable and noticeable across artistic practices that must be situated in, and related, to, the passage from postmodernism to metamodernism.// Under postmodernism, to wit, the figure of utopia was avoided as something suspiciously totalitarian while it morphed into its generic &amp;quot;dystopian&amp;quot; cosuin [...] or turned into debris after the operations of deconstruction. p.57\n\nUnder metamodernism - and this is perhaps the most paradoxical aspect of our current situation or historical moment [...] - there is no need to dig deep or look far and wide for the figure of utopia. It appears everywhere and nowehere across the arts and contemporary culture. p.57\n\nwe could say [...] that nowadays there is, and very much so, a pessimism of the intellect and an optimism of the will. [...] The millenials know too much of today's exploits, inequalities and injustices to take any meaningful decision, let alone position themselves on a conveinient subject position, yet they appear - from the political left to the political right - to be united around the feeling that today's deal is not the deal they signed up for during the postmodern years (with its promise of the end of conjectures, careless consumerism, and eternal youth). p.58\n\nThe scientific utopia of, say, Star Trek, for instance, cannot coexist with the biblical utopia of Christianity, because they are based on contrary assumptions with resepct to utopia, truth and the myth of origins. p.59\n\nFor the element that is most important in [Ragnar Kjartansson's] engagement with utopias is not intertextuality but another typically postmodern convention: irony. Now, over the past few postmodern decades, irony has, by and large, become synonymous with sarcasm, cynicism and even nihilism. [...] irony has been utilized almost exclusively as a tool to deconstruct contemporary culture until there is neither anything contemporary nor anything remotely culutural left: broadly speaking, what remains is either something shiny, something sexually polymorphous (or, in non-psychoanalytical terms, vernacular, perverse) or something involving excrement. p.60-1\n\nwhat [certain metamodern artists] share, however, is their use of techniques and tropes assosciated with the postmodern precisely in order to surpass the postmodern. The way in which they both do this is by bringing the postmodern into the realm of what one might call the modern [...], and vice versa by dragging the modern into the realm of the postmodern: metamodernism. p.62\n\nThe metamodern figure of utopia, as it appeared across the arts in the 2000s, represents, then, at least two aspects of the metamodern structure of feeling. We hope to have shown, first, that we witness a utopian turn in the arts that stands for the re-emergence and multiplication of utopian desires of all sorts in contemporary culture. [...] Second, the metamodern figure of utopia indicates that there are no clear utopian horizons after decades of TINA and carless consumerism. p.64-5\n\nTo our mind, artists today are once more taking to reimagining utopia primarily because they are faced with a radically unstable and uncertain world, where political systems and power relations are diffuse and unpredictable, financial security a rare privilege and ecological problems \u2013 sometimes quite literally \u2013 clog the horizon. By this we do not mean to say that the return to utopia is an escape mechanism. On the contrary. During the postmodern years of relative peace and plenty, few artists felt the need to imagine alternative societies or cultivate a utopian desire. Even those artists that were critical did not look elsewhere but rather set their sights on problems within society. Now that conflicts are pending and poverty is increasingly widespread within the West, looking elsewhere for solutions suddenly seems like a viable option again. As an impossible possib</w:instrText>
      </w:r>
      <w:r w:rsidRPr="00FE7EAF">
        <w:rPr>
          <w:rFonts w:asciiTheme="majorBidi" w:hAnsiTheme="majorBidi" w:cstheme="majorBidi"/>
          <w:lang w:val="nl-NL"/>
        </w:rPr>
        <w:instrText>ility, utopia should not be perceived as a new ideological blueprint, however. Much rather, it should be understood as a tool, say, a looking glass, for scanning this world and others for alternative possibilities. It is not invoked to get us away from something according to this or that dogma; it is evoked our of a renewed utopian desire. p. 65\n\nthe metamodern links itself to a more Kantian proposition of history. [...] Metamodernism adheres to Kant's philosophy of History in that it moves for the sake of moving, making attempts in spite of their inevitable failure; it forever seeks a truth that it never expects to find. Indeed, because it never finds it, it never stops its search. p.65-6", "page" : "55-67", "title" : "Utopia, Sort of: A Case Study in Metamodernism", "title-short" : "Utopia, Sort of", "type" : "article-journal", "volume" : "87" }, "locator" : "58", "suffix" : "Original Emphasis", "uris" : [ "http://www.mendeley.com/documents/?uuid=7800a0be-17ee-443b-8427-7c803ab7a556" ] } ], "mendeley" : { "formattedCitation" : "Vermeulen and van den Akker, \u2018Utopia, Sort of\u2019, p. 58 Original Emphasis.", "plainTextFormattedCitation" : "Vermeulen and van den Akker, \u2018Utopia, Sort of\u2019, p. 58 Original Emphasis.", "previouslyFormattedCitation" : "Vermeulen and van den Akker, \u2018Utopia, Sort of\u2019, p. 58 Original Emphasis."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‘Utopia, Sort of’, p. 58 Original Emphasis.</w:t>
      </w:r>
      <w:r w:rsidRPr="00505CF0">
        <w:rPr>
          <w:rFonts w:asciiTheme="majorBidi" w:hAnsiTheme="majorBidi" w:cstheme="majorBidi"/>
        </w:rPr>
        <w:fldChar w:fldCharType="end"/>
      </w:r>
    </w:p>
  </w:footnote>
  <w:footnote w:id="448">
    <w:p w14:paraId="3C871C7F" w14:textId="47C6CDF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"https://www.metamodernism.com/2011/03/16/hard-and-soft/", "accessed" : { "date-parts" : [ [ "2017", "5", "6" ] ] }, "author" : [ { "dropping-particle" : "", "family" : "Vermeulen", "given" : "Timotheus", "non-dropping-particle" : "", "parse-names" : false, "suffix" : "" } ], "container-title" : "Notes on Metamodernism", "id" : "ITEM-1", "issued" : { "date-parts" : [ [ "2011" ] ] }, "note" : "Metamodernism is above all about oscillation [...] it is about the oscillation between the modern and the postmodern, history and ahistoricity, optimism and pessimism, sincerity and irony, the cncept and the material, the figurative and the formless, narrative and the plotless, discursive originality and individual intertextuality, meaning and meaninglessness. \n\nA (post)modern world of failed utopias, missed chances and cynical deconstruction is represented as a horrendous, terrible place; but a place, still, a lived space of relationships and history, where one can begin to try and live again. Dystopian Acceptance", "title" : "Hard and Soft", "type" : "webpage" }, "uris" : [ "http://www.mendeley.com/documents/?uuid=aee38990-4c22-45b1-8d82-d20797840100" ] } ], "mendeley" : { "formattedCitation" : "Vermeulen, \u2018Hard and Soft\u2019.", "plainTextFormattedCitation" : "Vermeulen, \u2018Hard and Soft\u2019.", "previouslyFormattedCitation" : "Vermeulen, \u2018Hard and Soft\u2019."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‘Hard and Soft’.</w:t>
      </w:r>
      <w:r w:rsidRPr="00505CF0">
        <w:rPr>
          <w:rFonts w:asciiTheme="majorBidi" w:hAnsiTheme="majorBidi" w:cstheme="majorBidi"/>
        </w:rPr>
        <w:fldChar w:fldCharType="end"/>
      </w:r>
    </w:p>
  </w:footnote>
  <w:footnote w:id="449">
    <w:p w14:paraId="01F36465" w14:textId="051B75A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"Napier", "given" : "Elizabeth R.", "non-dropping-particle" : "", "parse-names" : false, "suffix" : "" } ], "id" : "ITEM-1", "issued" : { "date-parts" : [ [ "1987" ] ] }, "publisher" : "Clarendon Press", "publisher-place" : "Oxford", "title" : "The Failure of Gothic: Problems of Disjunction in Eighteenth-century Literary Form", "title-short" : "The Failure of Gothic", "type" : "book" }, "locator" : "xiii", "uris" : [ "http://www.mendeley.com/documents/?uuid=8049ddf1-a556-4582-96fd-96df1a9df028" ] } ], "mendeley" : { "formattedCitation" : "Elizabeth R. Napier, &lt;i&gt;The Failure of Gothic: Problems of Disjunction in Eighteenth-Century Literary Form&lt;/i&gt; (Oxford: Clarendon Press, 1987), p. xiii.", "plainTextFormattedCitation" : "Elizabeth R. Napier, The Failure of Gothic: Problems of Disjunction in Eighteenth-Century Literary Form (Oxford: Clarendon Press, 1987), p. xiii.", "previouslyFormattedCitation" : "Elizabeth R. Napier, &lt;i&gt;The Failure of Gothic: Problems of Disjunction in Eighteenth-Century Literary Form&lt;/i&gt; (Oxford: Clarendon Press, 1987), p. xiii."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Elizabeth R. Napier, </w:t>
      </w:r>
      <w:r w:rsidRPr="00505CF0">
        <w:rPr>
          <w:rFonts w:asciiTheme="majorBidi" w:hAnsiTheme="majorBidi" w:cstheme="majorBidi"/>
          <w:i/>
          <w:noProof/>
        </w:rPr>
        <w:t>The Failure of Gothic: Problems of Disjunction in Eighteenth-Century Literary Form</w:t>
      </w:r>
      <w:r w:rsidRPr="00505CF0">
        <w:rPr>
          <w:rFonts w:asciiTheme="majorBidi" w:hAnsiTheme="majorBidi" w:cstheme="majorBidi"/>
          <w:noProof/>
        </w:rPr>
        <w:t xml:space="preserve"> (Oxford: Clarendon Press, 1987), p. xiii.</w:t>
      </w:r>
      <w:r w:rsidRPr="00505CF0">
        <w:rPr>
          <w:rFonts w:asciiTheme="majorBidi" w:hAnsiTheme="majorBidi" w:cstheme="majorBidi"/>
        </w:rPr>
        <w:fldChar w:fldCharType="end"/>
      </w:r>
    </w:p>
  </w:footnote>
  <w:footnote w:id="450">
    <w:p w14:paraId="715F2166" w14:textId="352E7EE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"MacAndew", "given" : "Elizabeth", "non-dropping-particle" : "", "parse-names" : false, "suffix" : "" } ], "id" : "ITEM-1", "issued" : { "date-parts" : [ [ "1979" ] ] }, "publisher" : "Columbia University Press", "publisher-place" : "New York", "title" : "The Gothic Tradition in Fiction", "type" : "book" }, "locator" : "241", "uris" : [ "http://www.mendeley.com/documents/?uuid=c2cf2abd-6442-492e-9d43-e7c4a9d11f57" ] } ], "mendeley" : { "formattedCitation" : "Elizabeth MacAndew, &lt;i&gt;The Gothic Tradition in Fiction&lt;/i&gt; (New York: Columbia University Press, 1979), p. 241.", "plainTextFormattedCitation" : "Elizabeth MacAndew, The Gothic Tradition in Fiction (New York: Columbia University Press, 1979), p. 241.", "previouslyFormattedCitation" : "Elizabeth MacAndew, &lt;i&gt;The Gothic Tradition in Fiction&lt;/i&gt; (New York: Columbia University Press, 1979), p. 241."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Elizabeth MacAndew, </w:t>
      </w:r>
      <w:r w:rsidRPr="00505CF0">
        <w:rPr>
          <w:rFonts w:asciiTheme="majorBidi" w:hAnsiTheme="majorBidi" w:cstheme="majorBidi"/>
          <w:i/>
          <w:noProof/>
        </w:rPr>
        <w:t>The Gothic Tradition in Fiction</w:t>
      </w:r>
      <w:r w:rsidRPr="00505CF0">
        <w:rPr>
          <w:rFonts w:asciiTheme="majorBidi" w:hAnsiTheme="majorBidi" w:cstheme="majorBidi"/>
          <w:noProof/>
        </w:rPr>
        <w:t xml:space="preserve"> (New York: Columbia University Press, 1979), p. 241.</w:t>
      </w:r>
      <w:r w:rsidRPr="00505CF0">
        <w:rPr>
          <w:rFonts w:asciiTheme="majorBidi" w:hAnsiTheme="majorBidi" w:cstheme="majorBidi"/>
        </w:rPr>
        <w:fldChar w:fldCharType="end"/>
      </w:r>
    </w:p>
  </w:footnote>
  <w:footnote w:id="451">
    <w:p w14:paraId="6991346D" w14:textId="5128243B"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xml:space="preserve">: Southward playfully parodying his own earlier published works here, in their reliance on somewhat terrible ‘shock’ opening sentences meant to hook the reader. </w:t>
      </w:r>
    </w:p>
  </w:footnote>
  <w:footnote w:id="452">
    <w:p w14:paraId="0295196F" w14:textId="1C5B537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"Botting", "given" : "Fred", "non-dropping-particle" : "", "parse-names" : false, "suffix" : "" } ], "chapter-number" : "14", "container-title" : "The Cambridge Companion to Gothic Fiction", "editor" : [ { "dropping-particle" : "", "family" : "Hogle", "given" : "Jerrold E.", "non-dropping-particle" : "", "parse-names" : false, "suffix" : "" } ], "id" : "ITEM-1", "issued" : { "date-parts" : [ [ "2002" ] ] }, "note" : "The artificial sublimity of computer-generated worlds are comparable to eighteenth-century aesthetic notions, in which a sense of the sublime occurs in an encounter with an immensity the mind cannot comprehend, a natural and divine power found in the sovereign shape of rugged, mountainous landscapes. First overwhelmed by the spectacle, the viewer is then elevated by the sense of grandeur. Self-possession is then lost then re-gained on another, imaginative, level. p.278\n\nGothic representations are a product of cultural anxieties about the nature of human identity, the stability of cultural formations, and processes of change. p.280 \nLinks to Metafiction?\n\nThe possibility of decline and the fears evoked by so many negative features also provide the occasion for the assertion of the characteristics that are lacking. The antithetical, countercultural\u00a0 features of Gothic representation serves as the inverted image of accepted qualities, threats to be expunged like dark stains on the shining mirror of enlightened modernity. Their destruction allows for the projection and restoration of missing human factors: the stain is cleaned up or cast out so that reason, morality and good sense prevail.\u201d p.281 \nLevi as the gothic tale, as the postmodern gothic, the stain that must be removed, or at least smeared.\n\nGothic fiction is bound up with the function of the paternal metaphor. Since Walpole, Gothic has emerged as an effect of and an engagement with a crisis in the legitimacy and authority of the structured circulation os social exchanges and meanings over which the father figure presides. More precisely, the usual subject of Gothic Fiction can be defined as a transgression of the paternal metaphor. p.282\n\nFrom its beginnings, Gothic friction takes the form of a family romance in which paternal figures assume a variety of guises: tyrants, murderers, rapacious villains, ghostly revenants. p.283\n\nThe abscence of a stable paternal orderprovides room for the projection of both ideal and terrifying figures of authority and power. p.284\n\nThe assosciation between Gothoc styles and aristocratic excess, though giving aristocracy a dark and dangerous allure [...] nonetheless places both forms in a position subordinate to emerging bourgeois values. p.285\n\nGothic figures and fictions now circulate with greater visibility to manifest the absence of strict, prohibitive mechanisms or a strong, exclusionary force. p.286\n\nWhere the restoration of symbolic, normative boundaries was celebrated in the violent climaxes to older tales of terror, monstrous figures are now less often terrifying objects of animosity expelled in the return to the social equilibrium. Instead, they retain a fascinating, attractive appeal: no longer objects of hate or fear, monstrous others become sites of identificiation, sympathy, desire, and self-recognition. Excluded figures once represented as malevolent, disturbed, or deviant monsters are rendered more humane while the systems that exclude them assume terrifying, persecutory, and inhuman shapes. The reversal, with its residual Romantic indentification with outcast and rebel, alongisde its feeling for liberation and individual freedom, makes transgression a positive act and diffuses the negative charge of spectral paternal prohibition. Transgression becomes just another permitted social activity. p.286\n\n[in The bloody Chamber] the Gothic coincides with postmodernism's &amp;quot;Incredulity towards metanarratives.&amp;quot; Figures of authoirty are rendered suspect. With its ghostly power demystified, the space of a single, credible, paternal figure is left vacant, to be filled with a host of fleeting specters of delgetimized (governmental, conspirational, military, corporate, criminal, or alien) Power. p.286\n\nGothic Times present a double bind: invited to choose, the subject is overhwlemed by the choices available; with the subject unable to choose, the matter of choice becomes all the more pressing. The deregulation of subjective desire and the confrontation with an sunsurmountably sublime excess of choice signals a shift towards &amp;quot;postmodern capitalism.&amp;quot; The collapse of distinctions between useful production and wasteful consumption means there is no regulative figure or ideal other than accelerated circuits of production, consumption and expenditure. p.294\n\nThe black hole opened up by the decline of the paternal figure and the loss of beleif in metanarratives marks out a final limit, then substitutes a plunge into limitlessness, an ultimate meaning as meaninglessness. This is the black hole of postmodern culture and the ultimate horror of postmodern Gothic. Nothing escapes a black hole, not even light. p.296\n\nIn cultural terms, such a powerful consuming void forms the ultimate figure: postmodernity's impending collapse of all laws and distinctions. The light of enlightened modernity no longer has the speed to overcome the dead weight of its own history or advance in glorious progress. it is pulled back to the black hole of its uncertain, postmodern present and recycles Gothic images in an attempt to give form to anxiety and horror. P.296\n\na sense of cultural bexhaustion haunts the present. an inhuman future is shrouded in old Gothic trappings emptied of any strong charge; past images and forms are worn too thin to veil the gaping hole of objectless anxiety.Gothic fiction, which served as earlier moderntiy's black hole and has served up a range of objects and figures crystalizing anxiety into fear, has become too familiar after two centuries of repetative mutation and seems incapable of shocking anew. p.298\n\nInured to Gothic shocks and terrors, contemporary culture recycles its images in the hope of finding a charge intense enough to stave off the black hole within and without, the one opened up by postmodern plurality. p.298\n\nGothic figures, once giving form to the anxieties surrounding the transition from aristocratic to bourgeoiis culture, now disclose only the formlessness, the consuming void, underlying the flickering thrills of contemporary western simulations. Since they seem unable to envisage a future that is not fully cloaked in darkness, the only projections to be made offer us a weary and ominously doom-laden view. p.298", "page" : "277-300", "publisher" : "Cambridge University Press", "publisher-place" : "Cambridge", "title" : "Aftergothic: Consumption, Machines and Black Holes", "type" : "chapter" }, "locator" : "298", "uris" : [ "http://www.mendeley.com/documents/?uuid=919da31c-7e85-42a6-8701-baecad781db4" ] } ], "mendeley" : { "formattedCitation" : "Fred Botting, \u2018Aftergothic: Consumption, Machines and Black Holes\u2019, in &lt;i&gt;The Cambridge Companion to Gothic Fiction&lt;/i&gt;, ed. by Jerrold E. Hogle (Cambridge: Cambridge University Press, 2002), pp. 277\u2013300 (p. 298).", "plainTextFormattedCitation" : "Fred Botting, \u2018Aftergothic: Consumption, Machines and Black Holes\u2019, in The Cambridge Companion to Gothic Fiction, ed. by Jerrold E. Hogle (Cambridge: Cambridge University Press, 2002), pp. 277\u2013300 (p. 298).", "previouslyFormattedCitation" : "Fred Botting, \u2018Aftergothic: Consumption, Machines and Black Holes\u2019, in &lt;i&gt;The Cambridge Companion to Gothic Fiction&lt;/i&gt;, ed. by Jerrold E. Hogle (Cambridge: Cambridge University Press, 2002), pp. 277\u2013300 (p. 298)."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Fred Botting, ‘Aftergothic: Consumption, Machines and Black Holes’, in </w:t>
      </w:r>
      <w:r w:rsidRPr="00505CF0">
        <w:rPr>
          <w:rFonts w:asciiTheme="majorBidi" w:hAnsiTheme="majorBidi" w:cstheme="majorBidi"/>
          <w:i/>
          <w:noProof/>
        </w:rPr>
        <w:t>The Cambridge Companion to Gothic Fiction</w:t>
      </w:r>
      <w:r w:rsidRPr="00505CF0">
        <w:rPr>
          <w:rFonts w:asciiTheme="majorBidi" w:hAnsiTheme="majorBidi" w:cstheme="majorBidi"/>
          <w:noProof/>
        </w:rPr>
        <w:t>, ed. by Jerrold E. Hogle (Cambridge: Cambridge University Press, 2002), pp. 277–300 (p. 298).</w:t>
      </w:r>
      <w:r w:rsidRPr="00505CF0">
        <w:rPr>
          <w:rFonts w:asciiTheme="majorBidi" w:hAnsiTheme="majorBidi" w:cstheme="majorBidi"/>
        </w:rPr>
        <w:fldChar w:fldCharType="end"/>
      </w:r>
    </w:p>
  </w:footnote>
  <w:footnote w:id="453">
    <w:p w14:paraId="2CFD7704" w14:textId="661E6B9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"ISBN" : "9789042026643 (pbk.)\\r9042026642 (pbk.)\\r9789042026650 (e-book)\\r9042026650 (e-book)", "author" : [ { "dropping-particle" : "", "family" : "Beville", "given" : "Maria", "non-dropping-particle" : "", "parse-names" : false, "suffix" : "" } ], "editor" : [ { "dropping-particle" : "", "family" : "D'haen", "given" : "Theo", "non-dropping-particle" : "", "parse-names" : false, "suffix" : "" }, { "dropping-particle" : "", "family" : "Bertens", "given" : "Hans", "non-dropping-particle" : "", "parse-names" : false, "suffix" : "" } ], "id" : "ITEM-1", "issued" : { "date-parts" : [ [ "2009" ] ] }, "note" : "Auster's narrator/author relationship [in City of Glass] presents a perfect parallel with Lunar Park, and both novels quite effectively relate a murky existentialism that refers to ideas of multiple subjectivity and a postmodern rejection of concepts of wholeness. p.186\n\nReinforcing this Gothic aesthetic, references to Poe are scattered throughout Lunar Park, most remarkably in the case when Bret\u2019s hair, after his climactic night of terror at the house, turns completely white, echoing Poe\u2019s \u2018A Descent into the Maelstrom\u2019:\u2018When I was found in the Range Rover, my hair had turned completely white\u2019 (Easton Ellis 2005, 440). On other occasions, Ellis playfully throws in suggestive words in his narrative such as in the case of \u2018a writer\u2019s life is a maelstrom of lying\u2019 (Easton Ellis 2005, 218). The most resonant connection, however, remains to be seen in \u2018The Fall of the House of Usher\u2019. The return of the ghost of Lady Madeleine Usher in Poe\u2019s short story coincides with the reappearance of Robert Ellis. The most striking similarity between the two is the part that the house plays in triggering madness in the character. p.188-9\n\n\n[Quoting Burke]\nwhatever is fitted in any sort to excite the ideas of pain and danger, that is to say, whatever is in any sort terrible, or is conversant about terrible objects, or operates in a manner analogous to terror, is a source of the sublime; that is, it is productive of the strongest emotion which the mind is capable of feeling (Burke 1998, 86). p.25\n\nPerhaps [9/11] is so far beyond our simulated frames of reference, so awesome and unquantifiable and so \u2018real\u2019, that it can be regarded as a postmodern sublime encounter that is truly unrepresentable.\nIn a similar way, the sublime aspects of terror explored in Gothic-postmodernist texts have the effect of giving us as readers a sense of our own reality through the creation of the symbolic event of terror; a sense also of the reality of self, or \u2018being\u2019 and by extension of the infinite. p.32\n\nWe can thus conclude that terror, from the very earliest stages of philosophical and literary analysis, was regarded as sublime: as a unique, timeless and unquantifiable emotion. It was regarded as a totalising experience, in which one could potentially encounter self in its most basic of \u2018knowable\u2019 forms through imagination, and the most profound subject matter for avante garde literature. p.26\n\nJean Francois Lyotard\u2019s theory of \u2018the unrepresentable\u2019 is central to this idea, as it establishes the concept that an encounter with the unrepresentable, or unimaginable, results in the interruption of subjective action and a split between rationality and imagination (Lyotard 1991, 210). The condition according to Lyotard is one of exultation/ terror, or in terms of Kantian philosophy: \u2018pleasure displeasure\u2019. Kant\u2019s analytic of the sublime is the basis for Lyotard\u2019s theory and accounts for the situation in terms of \u2018negative pleasure\u2019. When the subject has this sublime experience, it is one of simultaneous \u2018terror\u2019 at the loss of \u2018time moving\u2019 and \u2018exultation\u2019 at the comprehension of the \u2018finite\u2019. The feelings are the result of a conflict of reason as it comprehends the sublime, and imagination as it fails to \u2018re-present it\u2019 (Kant 2001, 24-26). p.24\n\nLiterary history has revealed that Burke\u2019s perspective on the sublime is one of the most fundamental philosophies underpinning Gothic aesthetics. It therefore had a remarkable impact on the \u2018original\u2019 Gothic, and its orientation toward the dark side of human subjective experience. Significantly, the Gothic, as it evolved, retained this preoccupation with the sublime and the power of terror as an overwhelming experience for the subject, and an intensification of this focus is evident as the genre moves toward postmodernism. p.26\n\nNotably, there is one other factor that Burke deems as essential to the experience of sublimity and that is obscurity, noting how experiences of terror are more intense during the night-time hours and when veiled by darkness. This suggests that the sublime experience of terror is one of heightened experience and imagination, one in which cognitive reason and objectivity is neglected in favour of fantasy and desire. p.26\n\nWhat distinguishes this text, however, is that in a typically Gothic- postmodernist manner, it works on the distortion and perversion of particular realities that can only be considered as sublime or unrepresentable instances of terror; namely: genocide, loss of self, and death p.109\n\nIn Slaughterhouse 5, Vonnegut performs a \u2018duty dance with death\u2019 and imagines the unimaginable, which can only be achieved from a defamiliarised perspective that is absurd and terrifying, so much so, that Billy commits himself to a mental asylum because he is too alarmed by the implications. p.110\n\nIt is probable that we do not need the paraphernalia of the Gothic as much today, firstly, as it is all around us, and secondly, as our fascination with the Gothic is entirely narcissistic. It is to do with explorations of self and reality and the terror of the end, with issues that we cannot know or directly represent. Possibly, for this reason, Gothic-postmodernist works can generate intense fear as they touch on those terrors and anxieties that we cannot expel, that are intrinsic to our being. 106-7", "publisher" : "Rodopi", "publisher-place" : "Amsterdam", "title" : "Gothic-Postmodernism : Voicing the Terrors of Postmodernity", "type" : "book" }, "locator" : "106", "uris" : [ "http://www.mendeley.com/documents/?uuid=7bdd32d5-56c3-49d0-a309-4237758e90bb" ] } ], "mendeley" : { "formattedCitation" : "Maria Beville, &lt;i&gt;Gothic-Postmodernism\u202f: Voicing the Terrors of Postmodernity&lt;/i&gt;, ed. by Theo D\u2019haen and Hans Bertens (Amsterdam: Rodopi, 2009), p. 106.", "plainTextFormattedCitation" : "Maria Beville, Gothic-Postmodernism\u202f: Voicing the Terrors of Postmodernity, ed. by Theo D\u2019haen and Hans Bertens (Amsterdam: Rodopi, 2009), p. 106.", "previouslyFormattedCitation" : "Maria Beville, &lt;i&gt;Gothic-Postmodernism\u202f: Voicing the Terrors of Postmodernity&lt;/i&gt;, ed. by Theo D\u2019haen and Hans Bertens (Amsterdam: Rodopi, 2009), p. 106."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Maria Beville, </w:t>
      </w:r>
      <w:r w:rsidRPr="00505CF0">
        <w:rPr>
          <w:rFonts w:asciiTheme="majorBidi" w:hAnsiTheme="majorBidi" w:cstheme="majorBidi"/>
          <w:i/>
          <w:noProof/>
        </w:rPr>
        <w:t>Gothic-Postmodernism : Voicing the Terrors of Postmodernity</w:t>
      </w:r>
      <w:r w:rsidRPr="00505CF0">
        <w:rPr>
          <w:rFonts w:asciiTheme="majorBidi" w:hAnsiTheme="majorBidi" w:cstheme="majorBidi"/>
          <w:noProof/>
        </w:rPr>
        <w:t>, ed. by Theo D’haen and Hans Bertens (Amsterdam: Rodopi, 2009), p. 106.</w:t>
      </w:r>
      <w:r w:rsidRPr="00505CF0">
        <w:rPr>
          <w:rFonts w:asciiTheme="majorBidi" w:hAnsiTheme="majorBidi" w:cstheme="majorBidi"/>
        </w:rPr>
        <w:fldChar w:fldCharType="end"/>
      </w:r>
    </w:p>
  </w:footnote>
  <w:footnote w:id="454">
    <w:p w14:paraId="4C06A835" w14:textId="2BEDD12C" w:rsidR="00054009" w:rsidRDefault="00054009">
      <w:pPr>
        <w:pStyle w:val="FootnoteText"/>
      </w:pPr>
      <w:r>
        <w:rPr>
          <w:rStyle w:val="FootnoteReference"/>
        </w:rPr>
        <w:footnoteRef/>
      </w:r>
      <w:r>
        <w:t xml:space="preserve"> </w:t>
      </w:r>
      <w:r w:rsidRPr="00A452B5">
        <w:rPr>
          <w:i/>
          <w:iCs/>
        </w:rPr>
        <w:t>ACO: Also within Eyestan’s cache of Southwardian treasures was a small newspaper clipping from a 2011 New Zealand newspaper, reporting the discovery of a floundering ship, the Meghan, crewed only by bloody bodies and single live crewman – second mate of  the lost ship the Maya, Timmy Vermeulen.</w:t>
      </w:r>
    </w:p>
  </w:footnote>
  <w:footnote w:id="455">
    <w:p w14:paraId="12CB9712" w14:textId="428FB59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introductions to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"Olsen", "given" : "Daniel", "non-dropping-particle" : "", "parse-names" : false, "suffix" : "" } ], "container-title" : "21st-century Gothic: Great Gothic Novels since 2000", "editor" : [ { "dropping-particle" : "", "family" : "Olson", "given" : "Daniel", "non-dropping-particle" : "", "parse-names" : false, "suffix" : "" } ], "id" : "ITEM-1", "issued" : { "date-parts" : [ [ "2011" ] ] }, "note" : "Dry academic discussion implies that these works are mostly intellectual puzzles, or some chaos to put in order. I sense they are more. They intend to chill and astonish, and they mean to be felt. p.xxii", "page" : "xxi-xxxiii", "publisher" : "The Scarecrow Press, inc.", "publisher-place" : "Plymouth", "title" : "Introduction", "type" : "chapter" }, "uris" : [ "http://www.mendeley.com/documents/?uuid=6e27ab69-dbd3-4ff7-bdf5-ccdace3a31c7" ] }, { "id" : "ITEM-2", "itemData" : { "author" : [ { "dropping-particle" : "", "family" : "Watkiss", "given" : "Joanne", "non-dropping-particle" : "", "parse-names" : false, "suffix" : "" } ], "id" : "ITEM-2", "issued" : { "date-parts" : [ [ "2012" ] ] }, "note" : "On House of Leaves:\n[\u2026]The hallway refuses to be contained and ultimately consumes those who attempt to force it to signify.p.7\n\n[...]Ellis's novel presents a time that is 'out of joint', figuring a dislocation that makes the notion of father-son inheritence impossible. Ellis's postmodernity is immediately suggested by an ambiguous authorial voice, as his protagonist, Bret Easton Ellis, shares not only his name, but also his infamous past and familial history. p.83\n\n[In Lunar Park] horror is inititated through a dissemination of meaning, an uncertainty that shakes the foundations of authoritative structures such as history, patriarchy and the law. p.84\n\nThrough employment of the spectral, the Gothic usurps tradition itself, rendering all efforts to overcome the horror of a dislocated linerarity hopeless.p.86\n\nThe irregularities in his [father's] autopsy suggest a lack of (or proliferation) of meaning, an uncategorizable death that, in all respects, resiusts closure. Instead of acting on these irregularities, Bret chooses to ignore them until haunting forces him to reconsider the father. p.94\n\nIn his obsession with his own father's deamnds, Bret dismisses is son, and his opportunity to secure a lineage fails. p.101\nYet, is not the true legacy revealled to be the text? That Bret has left Robby a literary legacy to follow? or that his true legacy is not the illegitimate child, but in fact, the texts that he has produced. In this way, is Robby not, in fact, this text? The son never produced, the child never born, the legacy that the author wishes to produce- GUARDIAN INTERVIEW. Robby is Less than Zero character, he is that text, he is the lasting lost legacy of Ellis, ungraspable and evolving without him. Lunar Park is a text obsessed with lineage, and the answer to this seemingly missing legacy is the continuation of Ellis's work, which grows without him, devoid of his influence- eager, even to escape his patriarchal influence and the poisoning madness of his other creations- The Rogue Hairy Beast and, worst of all, Patrick Bateman. ", "publisher" : "University of Wales Press", "publisher-place" : "Cardiff", "title" : "Gothic Contemporaries: The Haunted Text", "type" : "book" }, "uris" : [ "http://www.mendeley.com/documents/?uuid=03b3029f-2ae6-4042-9353-e2abb1b380f2" ] } ], "mendeley" : { "formattedCitation" : "Daniel Olsen, \u2018Introduction\u2019, in &lt;i&gt;21st-century Gothic: Great Gothic Novels since 2000&lt;/i&gt;, ed. by Daniel Olson (Plymouth: The Scarecrow Press, inc., 2011), pp. xxi\u2013xxxiii; Joanne Watkiss, &lt;i&gt;Gothic Contemporaries: The Haunted Text&lt;/i&gt; (Cardiff: University of Wales Press, 2012).", "manualFormatting" : "Daniel Olsen, \u2018Introduction\u2019, in 21st-Century Gothic: Great Gothic Novels since 2000, ed. by Daniel Olson (Plymouth: The Scarecrow Press, inc., 2011), pp. xxi\u2013xxxiii; Joanne Watkiss, Gothic Contemporaries: The Haunted Text (Cardiff: University of Wales Press, 2012)", "plainTextFormattedCitation" : "Daniel Olsen, \u2018Introduction\u2019, in 21st-century Gothic: Great Gothic Novels since 2000, ed. by Daniel Olson (Plymouth: The Scarecrow Press, inc., 2011), pp. xxi\u2013xxxiii; Joanne Watkiss, Gothic Contemporaries: The Haunted Text (Cardiff: University of Wales Press, 2012).", "previouslyFormattedCitation" : "Daniel Olsen, \u2018Introduction\u2019, in &lt;i&gt;21st-century Gothic: Great Gothic Novels since 2000&lt;/i&gt;, ed. by Daniel Olson (Plymouth: The Scarecrow Press, inc., 2011), pp. xxi\u2013xxxiii; Joanne Watkiss, &lt;i&gt;Gothic Contemporaries: The Haunted Text&lt;/i&gt; (Cardiff: University of Wales Press, 2012)."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 Olsen, ‘Introduction’, in </w:t>
      </w:r>
      <w:r w:rsidRPr="00505CF0">
        <w:rPr>
          <w:rFonts w:asciiTheme="majorBidi" w:hAnsiTheme="majorBidi" w:cstheme="majorBidi"/>
          <w:i/>
          <w:noProof/>
        </w:rPr>
        <w:t>21st-Century Gothic: Great Gothic Novels since 2000</w:t>
      </w:r>
      <w:r w:rsidRPr="00505CF0">
        <w:rPr>
          <w:rFonts w:asciiTheme="majorBidi" w:hAnsiTheme="majorBidi" w:cstheme="majorBidi"/>
          <w:noProof/>
        </w:rPr>
        <w:t xml:space="preserve">, ed. by Daniel Olson (Plymouth: The Scarecrow Press, inc., 2011), pp. xxi–xxxiii; Joanne Watkiss, </w:t>
      </w:r>
      <w:r w:rsidRPr="00505CF0">
        <w:rPr>
          <w:rFonts w:asciiTheme="majorBidi" w:hAnsiTheme="majorBidi" w:cstheme="majorBidi"/>
          <w:i/>
          <w:noProof/>
        </w:rPr>
        <w:t>Gothic Contemporaries: The Haunted Text</w:t>
      </w:r>
      <w:r w:rsidRPr="00505CF0">
        <w:rPr>
          <w:rFonts w:asciiTheme="majorBidi" w:hAnsiTheme="majorBidi" w:cstheme="majorBidi"/>
          <w:noProof/>
        </w:rPr>
        <w:t xml:space="preserve"> (Cardiff: University of Wales Press, 2012)</w:t>
      </w:r>
      <w:r w:rsidRPr="00505CF0">
        <w:rPr>
          <w:rFonts w:asciiTheme="majorBidi" w:hAnsiTheme="majorBidi" w:cstheme="majorBidi"/>
        </w:rPr>
        <w:fldChar w:fldCharType="end"/>
      </w:r>
      <w:r w:rsidRPr="00505CF0">
        <w:rPr>
          <w:rFonts w:asciiTheme="majorBidi" w:hAnsiTheme="majorBidi" w:cstheme="majorBidi"/>
        </w:rPr>
        <w:t xml:space="preserve"> as two examples. </w:t>
      </w:r>
    </w:p>
  </w:footnote>
  <w:footnote w:id="456">
    <w:p w14:paraId="276F4404" w14:textId="7E54020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"edition" : "2nd", "id" : "ITEM-1", "issued" : { "date-parts" : [ [ "1996" ] ] }, "note" : "I should add here that I am not concerned at this point with traditional or modern distinctions between 'terror' and 'horror', which appear to me to be unsatisfactory and often misleading. p.146\n\nWhat is, perhaps, most distinctive about contemporary Gothic is the way in which it has followed the tradition of not merely describing but inhabiting the disttorted forms of life, social and psychic, which follow from the attempted recollection of primal damage. [...] What this also brings us up against, it seems to me, is a sense of being at a loss, or perhaps a sense of loss itself, of loss of certainty. p.178\n\nAnd this, I think, is the major theme which contemporary Gothic has cisocvered, one might say, the impossibility, the undecidability, of discovery. In the past it has sometimes been the case that Gothic writers have known, or supposed, that the vagueness, the intimations, the shadows which characterise their writings are simply a matter of conviction. But increasingly it has become obvious that these very uncertainties are themselves not only the 'stuff' of Gothiuc but the stuff of memory itself as it hovers between the poles of recollection and reconstruction. p.179\n\nFrom the detailled, internal analysis of text which we have undertaken, a number of other poitns emeger, and I want here to spell out the three most significant. In the first place it seems to me impossivle to make much sense out of Gothic fiction without continual recourse to the concept of paranoia [...]fiction in which the 'implicated' reader is placed in a situation of ambiguity with regards to fears within the text , and in which the attribution of persecution remains uncertain and the reader is invited to share in the douvts and uncertainties which pervade the apparent story. p.183\n\nIt is this element of paranopiac structure which markds maney of the better Gothic works off from mere tame supernaturalism; they continually throw the supernatural into doubt, and in doing so they also serve the important function of removing the illusory halo of certainty from the so-called 'natural' world. p.183\n\nSecond, Gothic, as I have shown, is intinately to do with the notion of the barbaric. . This emerges in a number of forms: as the fear of the past which is the motivating force of the subgenre of 'Historical Gothic', as fear of the aristocracy which provides the basis for vampire legendry, as the gear of racial degeneration which permeates Stevenson, Wells, Stoker, and others; and more recently as fear of the barbaric not only from the past byt also in the present and even the future, as in Pynchon, Ballard, Carter and Gibson. Time and again, those writers who are reffered to as Gothic turn out to be those who bring us up against the boundaries of the civilized, who demonstrate to us the relative nature of ethical and behavioural codes, and who place, over against the conventional world, a different sphere in which these codes operate at best in distorted forms. p.183-4\n\nAnd third, I have tried throughout to draw attention to the very wife-ranging concern among Gothic writers who constantly approach areas of socio-psychological lifr which offend, which are supressed, which are generally swept under the carpet in the interests of psychological equilibrium. p.184\n\nAt allevents, the Gothic writer insists, 'realism' is not the whole story: the world, at least some aspects, is very much more inexplicable - or mysterious, or terrifying, or violent - than that. p. 186\n\nThe code of Gothic is thus not a simple one in which past is encoded in present or vice versa, but dialectical, past and present interrwined, and distorting [...] each other with the sheer effort of coming to grips. p.198", "publisher" : "Addison Wesley Longman", "publisher-place" : "New York", "title" : "The Literature of Terror", "type" : "book", "volume" : "2" }, "locator" : "178", "uris" : [ "http://www.mendeley.com/documents/?uuid=90fcc2fd-4ebc-412c-8986-46a519e8dc6f" ] } ], "mendeley" : { "formattedCitation" : "David Punter, &lt;i&gt;The Literature of Terror&lt;/i&gt;, 2nd edn (New York: Addison Wesley Longman, 1996), &lt;span style=\"font-variant:small-caps;\"&gt;ii&lt;/span&gt;, p. 178.", "plainTextFormattedCitation" : "David Punter, The Literature of Terror, 2nd edn (New York: Addison Wesley Longman, 1996), ii, p. 178.", "previouslyFormattedCitation" : "David Punter, &lt;i&gt;The Literature of Terror&lt;/i&gt;, 2nd edn (New York: Addison Wesley Longman, 1996), &lt;span style=\"font-variant:small-caps;\"&gt;ii&lt;/span&gt;, p. 178."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David Punter, </w:t>
      </w:r>
      <w:r w:rsidRPr="00505CF0">
        <w:rPr>
          <w:rFonts w:asciiTheme="majorBidi" w:hAnsiTheme="majorBidi" w:cstheme="majorBidi"/>
          <w:i/>
          <w:noProof/>
        </w:rPr>
        <w:t>The Literature of Terror</w:t>
      </w:r>
      <w:r w:rsidRPr="00505CF0">
        <w:rPr>
          <w:rFonts w:asciiTheme="majorBidi" w:hAnsiTheme="majorBidi" w:cstheme="majorBidi"/>
          <w:noProof/>
        </w:rPr>
        <w:t xml:space="preserve">, 2nd edn (New York: Addison Wesley Longman, 1996), </w:t>
      </w:r>
      <w:r w:rsidRPr="00505CF0">
        <w:rPr>
          <w:rFonts w:asciiTheme="majorBidi" w:hAnsiTheme="majorBidi" w:cstheme="majorBidi"/>
          <w:smallCaps/>
          <w:noProof/>
        </w:rPr>
        <w:t>ii</w:t>
      </w:r>
      <w:r w:rsidRPr="00505CF0">
        <w:rPr>
          <w:rFonts w:asciiTheme="majorBidi" w:hAnsiTheme="majorBidi" w:cstheme="majorBidi"/>
          <w:noProof/>
        </w:rPr>
        <w:t>, p. 178.</w:t>
      </w:r>
      <w:r w:rsidRPr="00505CF0">
        <w:rPr>
          <w:rFonts w:asciiTheme="majorBidi" w:hAnsiTheme="majorBidi" w:cstheme="majorBidi"/>
        </w:rPr>
        <w:fldChar w:fldCharType="end"/>
      </w:r>
    </w:p>
  </w:footnote>
  <w:footnote w:id="457">
    <w:p w14:paraId="6F9EEC54" w14:textId="51C88478" w:rsidR="00054009" w:rsidRPr="00F74ECC" w:rsidRDefault="00054009">
      <w:pPr>
        <w:pStyle w:val="FootnoteText"/>
        <w:rPr>
          <w:i/>
        </w:rPr>
      </w:pPr>
      <w:r>
        <w:rPr>
          <w:rStyle w:val="FootnoteReference"/>
        </w:rPr>
        <w:footnoteRef/>
      </w:r>
      <w:r>
        <w:t xml:space="preserve"> </w:t>
      </w:r>
      <w:r>
        <w:rPr>
          <w:i/>
        </w:rPr>
        <w:t>ACO: This editor, for one, finds it somewhat ironic that certain (shall we say) FISHY academics refuse to comment on their infantile behaviour at conferences, despite their university stating that it has a no-tolerance attitude to violence. My eye has never properly recovered, either, and it was entirely unprovoked. If one can’t handle criticism, then one might be in a rather ironically titled profession.</w:t>
      </w:r>
    </w:p>
  </w:footnote>
  <w:footnote w:id="458">
    <w:p w14:paraId="729102F3" w14:textId="075C7A3F"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"https://www.youtube.com/watch?v=fdgDoT8LJaM&amp;t=1709s", "accessed" : { "date-parts" : [ [ "2017", "11", "11" ] ] }, "author" : [ { "dropping-particle" : "", "family" : "Punter", "given" : "David", "non-dropping-particle" : "", "parse-names" : false, "suffix" : "" } ], "container-title" : "SOG59's The Horror Vault", "id" : "ITEM-1", "issued" : { "date-parts" : [ [ "2015" ] ] }, "title" : "The Gothic - A Lecture", "type" : "webpage" }, "uris" : [ "http://www.mendeley.com/documents/?uuid=4af4b0b8-17a0-41ec-ba92-cd50f4d93158" ] } ], "mendeley" : { "formattedCitation" : "David Punter, \u2018The Gothic - A Lecture\u2019, &lt;i&gt;SOG59\u2019s The Horror Vault&lt;/i&gt;, 2015 &lt;https://www.youtube.com/watch?v=fdgDoT8LJaM&amp;t=1709s&gt; [accessed 11 November 2017].", "plainTextFormattedCitation" : "David Punter, \u2018The Gothic - A Lecture\u2019, SOG59\u2019s The Horror Vault, 2015  [accessed 11 November 2017].", "previouslyFormattedCitation" : "David Punter, \u2018The Gothic - A Lecture\u2019, &lt;i&gt;SOG59\u2019s The Horror Vault&lt;/i&gt;, 2015 &lt;https://www.youtube.com/watch?v=fdgDoT8LJaM&amp;t=1709s&gt; [accessed 11 November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David Punter, ‘The Gothic - A Lecture’, </w:t>
      </w:r>
      <w:r w:rsidRPr="0025171E">
        <w:rPr>
          <w:rFonts w:asciiTheme="majorBidi" w:hAnsiTheme="majorBidi" w:cstheme="majorBidi"/>
          <w:i/>
          <w:noProof/>
        </w:rPr>
        <w:t>SOG59’s The Horror Vault</w:t>
      </w:r>
      <w:r w:rsidRPr="0025171E">
        <w:rPr>
          <w:rFonts w:asciiTheme="majorBidi" w:hAnsiTheme="majorBidi" w:cstheme="majorBidi"/>
          <w:noProof/>
        </w:rPr>
        <w:t>, 2015 &lt;https://www.youtube.com/watch?v=fdgDoT8LJaM&amp;t=1709s&gt; [accessed 11 November 2017].</w:t>
      </w:r>
      <w:r w:rsidRPr="00505CF0">
        <w:rPr>
          <w:rFonts w:asciiTheme="majorBidi" w:hAnsiTheme="majorBidi" w:cstheme="majorBidi"/>
        </w:rPr>
        <w:fldChar w:fldCharType="end"/>
      </w:r>
    </w:p>
  </w:footnote>
  <w:footnote w:id="459">
    <w:p w14:paraId="402B18A4" w14:textId="28312665"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When asked to elaborate on this metaphor with regard, perhaps, to a Derridian analysis of hauntology, Southward is reported to have said the following (though it is to be taken with a grain of salt, as all Southwardian quotes should be at the point following the destruction of the records): “Must we always flay Derrida’s poor corpse for quotes? Beat sentences from his oeuvre like so much dust from a shirt, or flies from the feast? Must we continue to disturb that grave, marred as it is – by now – with a thousand filthy finger prints of academics determined to not let that great brain rest? No? Well… damn.”</w:t>
      </w:r>
    </w:p>
  </w:footnote>
  <w:footnote w:id="460">
    <w:p w14:paraId="505D28DD" w14:textId="664F33F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"Botting", "given" : "Fred", "non-dropping-particle" : "", "parse-names" : false, "suffix" : "" } ], "chapter-number" : "14", "container-title" : "The Cambridge Companion to Gothic Fiction", "editor" : [ { "dropping-particle" : "", "family" : "Hogle", "given" : "Jerrold E.", "non-dropping-particle" : "", "parse-names" : false, "suffix" : "" } ], "id" : "ITEM-1", "issued" : { "date-parts" : [ [ "2002" ] ] }, "note" : "The artificial sublimity of computer-generated worlds are comparable to eighteenth-century aesthetic notions, in which a sense of the sublime occurs in an encounter with an immensity the mind cannot comprehend, a natural and divine power found in the sovereign shape of rugged, mountainous landscapes. First overwhelmed by the spectacle, the viewer is then elevated by the sense of grandeur. Self-possession is then lost then re-gained on another, imaginative, level. p.278\n\nGothic representations are a product of cultural anxieties about the nature of human identity, the stability of cultural formations, and processes of change. p.280 \nLinks to Metafiction?\n\nThe possibility of decline and the fears evoked by so many negative features also provide the occasion for the assertion of the characteristics that are lacking. The antithetical, countercultural\u00a0 features of Gothic representation serves as the inverted image of accepted qualities, threats to be expunged like dark stains on the shining mirror of enlightened modernity. Their destruction allows for the projection and restoration of missing human factors: the stain is cleaned up or cast out so that reason, morality and good sense prevail.\u201d p.281 \nLevi as the gothic tale, as the postmodern gothic, the stain that must be removed, or at least smeared.\n\nGothic fiction is bound up with the function of the paternal metaphor. Since Walpole, Gothic has emerged as an effect of and an engagement with a crisis in the legitimacy and authority of the structured circulation os social exchanges and meanings over which the father figure presides. More precisely, the usual subject of Gothic Fiction can be defined as a transgression of the paternal metaphor. p.282\n\nFrom its beginnings, Gothic friction takes the form of a family romance in which paternal figures assume a variety of guises: tyrants, murderers, rapacious villains, ghostly revenants. p.283\n\nThe abscence of a stable paternal orderprovides room for the projection of both ideal and terrifying figures of authority and power. p.284\n\nThe assosciation between Gothoc styles and aristocratic excess, though giving aristocracy a dark and dangerous allure [...] nonetheless places both forms in a position subordinate to emerging bourgeois values. p.285\n\nGothic figures and fictions now circulate with greater visibility to manifest the absence of strict, prohibitive mechanisms or a strong, exclusionary force. p.286\n\nWhere the restoration of symbolic, normative boundaries was celebrated in the violent climaxes to older tales of terror, monstrous figures are now less often terrifying objects of animosity expelled in the return to the social equilibrium. Instead, they retain a fascinating, attractive appeal: no longer objects of hate or fear, monstrous others become sites of identificiation, sympathy, desire, and self-recognition. Excluded figures once represented as malevolent, disturbed, or deviant monsters are rendered more humane while the systems that exclude them assume terrifying, persecutory, and inhuman shapes. The reversal, with its residual Romantic indentification with outcast and rebel, alongisde its feeling for liberation and individual freedom, makes transgression a positive act and diffuses the negative charge of spectral paternal prohibition. Transgression becomes just another permitted social activity. p.286\n\n[in The bloody Chamber] the Gothic coincides with postmodernism's &amp;quot;Incredulity towards metanarratives.&amp;quot; Figures of authoirty are rendered suspect. With its ghostly power demystified, the space of a single, credible, paternal figure is left vacant, to be filled with a host of fleeting specters of delgetimized (governmental, conspirational, military, corporate, criminal, or alien) Power. p.286\n\nGothic Times present a double bind: invited to choose, the subject is overhwlemed by the choices available; with the subject unable to choose, the matter of choice becomes all the more pressing. The deregulation of subjective desire and the confrontation with an sunsurmountably sublime excess of choice signals a shift towards &amp;quot;postmodern capitalism.&amp;quot; The collapse of distinctions between useful production and wasteful consumption means there is no regulative figure or ideal other than accelerated circuits of production, consumption and expenditure. p.294\n\nThe black hole opened up by the decline of the paternal figure and the loss of beleif in metanarratives marks out a final limit, then substitutes a plunge into limitlessness, an ultimate meaning as meaninglessness. This is the black hole of postmodern culture and the ultimate horror of postmodern Gothic. Nothing escapes a black hole, not even light. p.296\n\nIn cultural terms, such a powerful consuming void forms the ultimate figure: postmodernity's impending collapse of all laws and distinctions. The light of enlightened modernity no longer has the speed to overcome the dead weight of its own history or advance in glorious progress. it is pulled back to the black hole of its uncertain, postmodern present and recycles Gothic images in an attempt to give form to anxiety and horror. P.296\n\na sense of cultural bexhaustion haunts the present. an inhuman future is shrouded in old Gothic trappings emptied of any strong charge; past images and forms are worn too thin to veil the gaping hole of objectless anxiety.Gothic fiction, which served as earlier moderntiy's black hole and has served up a range of objects and figures crystalizing anxiety into fear, has become too familiar after two centuries of repetative mutation and seems incapable of shocking anew. p.298\n\nInured to Gothic shocks and terrors, contemporary culture recycles its images in the hope of finding a charge intense enough to stave off the black hole within and without, the one opened up by postmodern plurality. p.298\n\nGothic figures, once giving form to the anxieties surrounding the transition from aristocratic to bourgeoiis culture, now disclose only the formlessness, the consuming void, underlying the flickering thrills of contemporary western simulations. Since they seem unable to envisage a future that is not fully cloaked in darkness, the only projections to be made offer us a weary and ominously doom-laden view. p.298", "page" : "277-300", "publisher" : "Cambridge University Press", "publisher-place" : "Cambridge", "title" : "Aftergothic: Consumption, Machines and Black Holes", "type" : "chapter" }, "locator" : "280", "uris" : [ "http://www.mendeley.com/documents/?uuid=919da31c-7e85-42a6-8701-baecad781db4" ] } ], "mendeley" : { "formattedCitation" : "Botting, p. 280.", "plainTextFormattedCitation" : "Botting, p. 280.", "previouslyFormattedCitation" : "Botting, p. 280."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Botting, p. 280.</w:t>
      </w:r>
      <w:r w:rsidRPr="00505CF0">
        <w:rPr>
          <w:rFonts w:asciiTheme="majorBidi" w:hAnsiTheme="majorBidi" w:cstheme="majorBidi"/>
        </w:rPr>
        <w:fldChar w:fldCharType="end"/>
      </w:r>
    </w:p>
  </w:footnote>
  <w:footnote w:id="461">
    <w:p w14:paraId="20F58599" w14:textId="7180E44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"Bruhm", "given" : "Steven", "non-dropping-particle" : "", "parse-names" : false, "suffix" : "" } ], "chapter-number" : "13", "container-title" : "The Cambridge Companion to Gothic Fiction", "editor" : [ { "dropping-particle" : "", "family" : "Hogle", "given" : "Jerrold E.", "non-dropping-particle" : "", "parse-names" : false, "suffix" : "" } ], "id" : "ITEM-1", "issued" : { "date-parts" : [ [ "2002" ] ] }, "note" : "The gothic has always been a barometer of the anxieties plaguing a certain culture at a particular moment in history[\u2026] p.260\n\nWe can best place this question of audience need by placing the contemporary Gothic within a number of current anxieties- the ones we need it both to arouse and assuage. p.260\n\nWhat becomes most marked in the contemporary Gothic \u2013and what distinguishes it from its ancestors- is the protagonists\u2019 and the viewers\u2019 compulsive return to certain fixations, obsessions and blockages. p.261\n\nA major theme in the Gothic has always been interior life, as in the paranoid Gothic of William Godwin\u2019s Caleb Williams (1794) or James Hogg\u2019s The Private Memoirs and Confessions of a Justified Sinner \u00a0(1824), but the rise of psychoanalysis in the twentieth century has afforded Gothic Writers a very particular configuration of this internal life. To the degree that the contemporary Gothic subject is the psychoanalytic subject (and vice versa), she/he becomes a/the field on which national, racial, and gender anxieties configured like Freudian drives get played out and symbolized over and over again. p.262\n\nWhat makes the contemporary Gothic particularly contemporary in both its themes and reception, however, is that these [Freudian] unconscious desires center on the problem of a lost object, the most overriding basis of our need for the Gothic and almost everything else. That loss is usually material (Parents, money, property, freedom to move around, a lover, or family member), but the materiality of that loss always has a psychological and symbolic dimension to it. p.263\n\nWhen the desire for an object butts up against the prohibition against the fulfilling of that desire, the result is the contemporary human subject.\u00a0 p.263\n\nTime and again the contemporary Gothic provides us with traumatized heroes who have lost the very psychic structures that allow them to access to their own experiences p.269 \n\nAll of this together fashions a contemporary Gothic phenomenon. Words, the building blocks of stories, rise and fall in consciousness, constituting horrifying returns and traumatic suggestions. The very act of storytelling itself has the resonance of multiple traumas that we\u00a0 [\u2026] cannot integrate into a coherent whole. What gets left in this blank space where our narratives cannot be is, paradoxically, a massive production of other Gothic narratives. In the process of trauma shattering us from one into a \u201cstunning little multitude,\u201d we are forced to confront our demons, our worst fears about the agents and influences that might control and create us. p.270 \n\nThe Gothic\u2019s basic investment in ravaging history and fragmenting the past meshes with our own investments now as we attempt to reinvent history as a way of healing the perpetual loss in modern existence.\u00a0 \u201cWe\u201d do this, moreover, as a western civilization shattered by personal and social traumas, yet \u201cwe\u201d do not exist except as a collection of individual psyches whose personal histories are inflected by social history, but not completely determined by it.\u00a0p.274\n\nAs we confront this underlying terror of our times, after all, the Gothic provides us a guarantee of life even in the face of so much death. [...] But the pleasantly terrifying thing may be that this life, this consciousness of being alive, is constantly shadowed by previous and immanent breakage and dissolution. Contemporary life constantly reminds us that we are moving toward death, or at least osolescence, and that life we must continually strive to hold together. Patadoxically, we need the sconsistent consciousness of deah provided by the gothic in otder to understand and want that life. [...see above...] We want our life and our death, and in that vacillation between wanting life and capitulating to destruction, we keep needing the Gothic to give shape to our contradiction. By now we have become like an Anne Rice vampire, or a Stephen King family man: we crave presence, we crave departure, we crave. p. 274", "page" : "259-76", "publisher" : "Cambridge University Press", "publisher-place" : "Cambridge", "title" : "Contemporary Gothic: Why We Need It", "type" : "chapter" }, "locator" : "260", "uris" : [ "http://www.mendeley.com/documents/?uuid=e931b48c-c5c4-4e75-ac56-e8cafd597083" ] } ], "mendeley" : { "formattedCitation" : "Steven Bruhm, \u2018Contemporary Gothic: Why We Need It\u2019, in &lt;i&gt;The Cambridge Companion to Gothic Fiction&lt;/i&gt;, ed. by Jerrold E. Hogle (Cambridge: Cambridge University Press, 2002), pp. 259\u201376 (p. 260).", "plainTextFormattedCitation" : "Steven Bruhm, \u2018Contemporary Gothic: Why We Need It\u2019, in The Cambridge Companion to Gothic Fiction, ed. by Jerrold E. Hogle (Cambridge: Cambridge University Press, 2002), pp. 259\u201376 (p. 260).", "previouslyFormattedCitation" : "Steven Bruhm, \u2018Contemporary Gothic: Why We Need It\u2019, in &lt;i&gt;The Cambridge Companion to Gothic Fiction&lt;/i&gt;, ed. by Jerrold E. Hogle (Cambridge: Cambridge University Press, 2002), pp. 259\u201376 (p. 260)."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Steven Bruhm, ‘Contemporary Gothic: Why We Need It’, in </w:t>
      </w:r>
      <w:r w:rsidRPr="00505CF0">
        <w:rPr>
          <w:rFonts w:asciiTheme="majorBidi" w:hAnsiTheme="majorBidi" w:cstheme="majorBidi"/>
          <w:i/>
          <w:noProof/>
        </w:rPr>
        <w:t>The Cambridge Companion to Gothic Fiction</w:t>
      </w:r>
      <w:r w:rsidRPr="00505CF0">
        <w:rPr>
          <w:rFonts w:asciiTheme="majorBidi" w:hAnsiTheme="majorBidi" w:cstheme="majorBidi"/>
          <w:noProof/>
        </w:rPr>
        <w:t>, ed. by Jerrold E. Hogle (Cambridge: Cambridge University Press, 2002), pp. 259–76 (p. 260).</w:t>
      </w:r>
      <w:r w:rsidRPr="00505CF0">
        <w:rPr>
          <w:rFonts w:asciiTheme="majorBidi" w:hAnsiTheme="majorBidi" w:cstheme="majorBidi"/>
        </w:rPr>
        <w:fldChar w:fldCharType="end"/>
      </w:r>
    </w:p>
  </w:footnote>
  <w:footnote w:id="462">
    <w:p w14:paraId="0612F3DC" w14:textId="64B9D72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"3", "uris" : [ "http://www.mendeley.com/documents/?uuid=accda2e9-6220-410d-ae47-ebabdff6163f" ] } ], "mendeley" : { "formattedCitation" : "Vijay Mishra, &lt;i&gt;The Gothic Sublime&lt;/i&gt; (Albany: State University of New York Press, 1994), p. 3.", "plainTextFormattedCitation" : "Vijay Mishra, The Gothic Sublime (Albany: State University of New York Press, 1994), p. 3.", "previouslyFormattedCitation" : "Vijay Mishra, &lt;i&gt;The Gothic Sublime&lt;/i&gt; (Albany: State University of New York Press, 1994),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Vijay Mishra, </w:t>
      </w:r>
      <w:r w:rsidRPr="00505CF0">
        <w:rPr>
          <w:rFonts w:asciiTheme="majorBidi" w:hAnsiTheme="majorBidi" w:cstheme="majorBidi"/>
          <w:i/>
          <w:noProof/>
        </w:rPr>
        <w:t>The Gothic Sublime</w:t>
      </w:r>
      <w:r w:rsidRPr="00505CF0">
        <w:rPr>
          <w:rFonts w:asciiTheme="majorBidi" w:hAnsiTheme="majorBidi" w:cstheme="majorBidi"/>
          <w:noProof/>
        </w:rPr>
        <w:t xml:space="preserve"> (Albany: State University of New York Press, 1994), p. 3.</w:t>
      </w:r>
      <w:r w:rsidRPr="00505CF0">
        <w:rPr>
          <w:rFonts w:asciiTheme="majorBidi" w:hAnsiTheme="majorBidi" w:cstheme="majorBidi"/>
        </w:rPr>
        <w:fldChar w:fldCharType="end"/>
      </w:r>
    </w:p>
  </w:footnote>
  <w:footnote w:id="463">
    <w:p w14:paraId="2021F805" w14:textId="26FA127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"edition" : "2nd", "id" : "ITEM-1", "issued" : { "date-parts" : [ [ "1996" ] ] }, "note" : "I should add here that I am not concerned at this point with traditional or modern distinctions between 'terror' and 'horror', which appear to me to be unsatisfactory and often misleading. p.146\n\nWhat is, perhaps, most distinctive about contemporary Gothic is the way in which it has followed the tradition of not merely describing but inhabiting the disttorted forms of life, social and psychic, which follow from the attempted recollection of primal damage. [...] What this also brings us up against, it seems to me, is a sense of being at a loss, or perhaps a sense of loss itself, of loss of certainty. p.178\n\nAnd this, I think, is the major theme which contemporary Gothic has cisocvered, one might say, the impossibility, the undecidability, of discovery. In the past it has sometimes been the case that Gothic writers have known, or supposed, that the vagueness, the intimations, the shadows which characterise their writings are simply a matter of conviction. But increasingly it has become obvious that these very uncertainties are themselves not only the 'stuff' of Gothiuc but the stuff of memory itself as it hovers between the poles of recollection and reconstruction. p.179\n\nFrom the detailled, internal analysis of text which we have undertaken, a number of other poitns emeger, and I want here to spell out the three most significant. In the first place it seems to me impossivle to make much sense out of Gothic fiction without continual recourse to the concept of paranoia [...]fiction in which the 'implicated' reader is placed in a situation of ambiguity with regards to fears within the text , and in which the attribution of persecution remains uncertain and the reader is invited to share in the douvts and uncertainties which pervade the apparent story. p.183\n\nIt is this element of paranopiac structure which markds maney of the better Gothic works off from mere tame supernaturalism; they continually throw the supernatural into doubt, and in doing so they also serve the important function of removing the illusory halo of certainty from the so-called 'natural' world. p.183\n\nSecond, Gothic, as I have shown, is intinately to do with the notion of the barbaric. . This emerges in a number of forms: as the fear of the past which is the motivating force of the subgenre of 'Historical Gothic', as fear of the aristocracy which provides the basis for vampire legendry, as the gear of racial degeneration which permeates Stevenson, Wells, Stoker, and others; and more recently as fear of the barbaric not only from the past byt also in the present and even the future, as in Pynchon, Ballard, Carter and Gibson. Time and again, those writers who are reffered to as Gothic turn out to be those who bring us up against the boundaries of the civilized, who demonstrate to us the relative nature of ethical and behavioural codes, and who place, over against the conventional world, a different sphere in which these codes operate at best in distorted forms. p.183-4\n\nAnd third, I have tried throughout to draw attention to the very wife-ranging concern among Gothic writers who constantly approach areas of socio-psychological lifr which offend, which are supressed, which are generally swept under the carpet in the interests of psychological equilibrium. p.184\n\nAt allevents, the Gothic writer insists, 'realism' is not the whole story: the world, at least some aspects, is very much more inexplicable - or mysterious, or terrifying, or violent - than that. p. 186\n\nThe code of Gothic is thus not a simple one in which past is encoded in present or vice versa, but dialectical, past and present interrwined, and distorting [...] each other with the sheer effort of coming to grips. p.198", "publisher" : "Addison Wesley Longman", "publisher-place" : "New York", "title" : "The Literature of Terror", "type" : "book", "volume" : "2" }, "locator" : "186", "uris" : [ "http://www.mendeley.com/documents/?uuid=90fcc2fd-4ebc-412c-8986-46a519e8dc6f" ] } ], "mendeley" : { "formattedCitation" : "Punter, &lt;span style=\"font-variant:small-caps;\"&gt;ii&lt;/span&gt;, p. 186.", "plainTextFormattedCitation" : "Punter, ii, p. 186.", "previouslyFormattedCitation" : "Punter, &lt;span style=\"font-variant:small-caps;\"&gt;ii&lt;/span&gt;, p. 186."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Punter, </w:t>
      </w:r>
      <w:r w:rsidRPr="00505CF0">
        <w:rPr>
          <w:rFonts w:asciiTheme="majorBidi" w:hAnsiTheme="majorBidi" w:cstheme="majorBidi"/>
          <w:smallCaps/>
          <w:noProof/>
        </w:rPr>
        <w:t>ii</w:t>
      </w:r>
      <w:r w:rsidRPr="00505CF0">
        <w:rPr>
          <w:rFonts w:asciiTheme="majorBidi" w:hAnsiTheme="majorBidi" w:cstheme="majorBidi"/>
          <w:noProof/>
        </w:rPr>
        <w:t>, p. 186.</w:t>
      </w:r>
      <w:r w:rsidRPr="00505CF0">
        <w:rPr>
          <w:rFonts w:asciiTheme="majorBidi" w:hAnsiTheme="majorBidi" w:cstheme="majorBidi"/>
        </w:rPr>
        <w:fldChar w:fldCharType="end"/>
      </w:r>
    </w:p>
  </w:footnote>
  <w:footnote w:id="464">
    <w:p w14:paraId="52349B07" w14:textId="203B7B0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"Botting", "given" : "Fred", "non-dropping-particle" : "", "parse-names" : false, "suffix" : "" } ], "chapter-number" : "14", "container-title" : "The Cambridge Companion to Gothic Fiction", "editor" : [ { "dropping-particle" : "", "family" : "Hogle", "given" : "Jerrold E.", "non-dropping-particle" : "", "parse-names" : false, "suffix" : "" } ], "id" : "ITEM-1", "issued" : { "date-parts" : [ [ "2002" ] ] }, "note" : "The artificial sublimity of computer-generated worlds are comparable to eighteenth-century aesthetic notions, in which a sense of the sublime occurs in an encounter with an immensity the mind cannot comprehend, a natural and divine power found in the sovereign shape of rugged, mountainous landscapes. First overwhelmed by the spectacle, the viewer is then elevated by the sense of grandeur. Self-possession is then lost then re-gained on another, imaginative, level. p.278\n\nGothic representations are a product of cultural anxieties about the nature of human identity, the stability of cultural formations, and processes of change. p.280 \nLinks to Metafiction?\n\nThe possibility of decline and the fears evoked by so many negative features also provide the occasion for the assertion of the characteristics that are lacking. The antithetical, countercultural\u00a0 features of Gothic representation serves as the inverted image of accepted qualities, threats to be expunged like dark stains on the shining mirror of enlightened modernity. Their destruction allows for the projection and restoration of missing human factors: the stain is cleaned up or cast out so that reason, morality and good sense prevail.\u201d p.281 \nLevi as the gothic tale, as the postmodern gothic, the stain that must be removed, or at least smeared.\n\nGothic fiction is bound up with the function of the paternal metaphor. Since Walpole, Gothic has emerged as an effect of and an engagement with a crisis in the legitimacy and authority of the structured circulation os social exchanges and meanings over which the father figure presides. More precisely, the usual subject of Gothic Fiction can be defined as a transgression of the paternal metaphor. p.282\n\nFrom its beginnings, Gothic friction takes the form of a family romance in which paternal figures assume a variety of guises: tyrants, murderers, rapacious villains, ghostly revenants. p.283\n\nThe abscence of a stable paternal orderprovides room for the projection of both ideal and terrifying figures of authority and power. p.284\n\nThe assosciation between Gothoc styles and aristocratic excess, though giving aristocracy a dark and dangerous allure [...] nonetheless places both forms in a position subordinate to emerging bourgeois values. p.285\n\nGothic figures and fictions now circulate with greater visibility to manifest the absence of strict, prohibitive mechanisms or a strong, exclusionary force. p.286\n\nWhere the restoration of symbolic, normative boundaries was celebrated in the violent climaxes to older tales of terror, monstrous figures are now less often terrifying objects of animosity expelled in the return to the social equilibrium. Instead, they retain a fascinating, attractive appeal: no longer objects of hate or fear, monstrous others become sites of identificiation, sympathy, desire, and self-recognition. Excluded figures once represented as malevolent, disturbed, or deviant monsters are rendered more humane while the systems that exclude them assume terrifying, persecutory, and inhuman shapes. The reversal, with its residual Romantic indentification with outcast and rebel, alongisde its feeling for liberation and individual freedom, makes transgression a positive act and diffuses the negative charge of spectral paternal prohibition. Transgression becomes just another permitted social activity. p.286\n\n[in The bloody Chamber] the Gothic coincides with postmodernism's &amp;quot;Incredulity towards metanarratives.&amp;quot; Figures of authoirty are rendered suspect. With its ghostly power demystified, the space of a single, credible, paternal figure is left vacant, to be filled with a host of fleeting specters of delgetimized (governmental, conspirational, military, corporate, criminal, or alien) Power. p.286\n\nGothic Times present a double bind: invited to choose, the subject is overhwlemed by the choices available; with the subject unable to choose, the matter of choice becomes all the more pressing. The deregulation of subjective desire and the confrontation with an sunsurmountably sublime excess of choice signals a shift towards &amp;quot;postmodern capitalism.&amp;quot; The collapse of distinctions between useful production and wasteful consumption means there is no regulative figure or ideal other than accelerated circuits of production, consumption and expenditure. p.294\n\nThe black hole opened up by the decline of the paternal figure and the loss of beleif in metanarratives marks out a final limit, then substitutes a plunge into limitlessness, an ultimate meaning as meaninglessness. This is the black hole of postmodern culture and the ultimate horror of postmodern Gothic. Nothing escapes a black hole, not even light. p.296\n\nIn cultural terms, such a powerful consuming void forms the ultimate figure: postmodernity's impending collapse of all laws and distinctions. The light of enlightened modernity no longer has the speed to overcome the dead weight of its own history or advance in glorious progress. it is pulled back to the black hole of its uncertain, postmodern present and recycles Gothic images in an attempt to give form to anxiety and horror. P.296\n\na sense of cultural bexhaustion haunts the present. an inhuman future is shrouded in old Gothic trappings emptied of any strong charge; past images and forms are worn too thin to veil the gaping hole of objectless anxiety.Gothic fiction, which served as earlier moderntiy's black hole and has served up a range of objects and figures crystalizing anxiety into fear, has become too familiar after two centuries of repetative mutation and seems incapable of shocking anew. p.298\n\nInured to Gothic shocks and terrors, contemporary culture recycles its images in the hope of finding a charge intense enough to stave off the black hole within and without, the one opened up by postmodern plurality. p.298\n\nGothic figures, once giving form to the anxieties surrounding the transition from aristocratic to bourgeoiis culture, now disclose only the formlessness, the consuming void, underlying the flickering thrills of contemporary western simulations. Since they seem unable to envisage a future that is not fully cloaked in darkness, the only projections to be made offer us a weary and ominously doom-laden view. p.298", "page" : "277-300", "publisher" : "Cambridge University Press", "publisher-place" : "Cambridge", "title" : "Aftergothic: Consumption, Machines and Black Holes", "type" : "chapter" }, "locator" : "294", "uris" : [ "http://www.mendeley.com/documents/?uuid=919da31c-7e85-42a6-8701-baecad781db4" ] } ], "mendeley" : { "formattedCitation" : "Botting, p. 294.", "plainTextFormattedCitation" : "Botting, p. 294.", "previouslyFormattedCitation" : "Botting, p. 294."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Botting, p. 294.</w:t>
      </w:r>
      <w:r w:rsidRPr="00505CF0">
        <w:rPr>
          <w:rFonts w:asciiTheme="majorBidi" w:hAnsiTheme="majorBidi" w:cstheme="majorBidi"/>
        </w:rPr>
        <w:fldChar w:fldCharType="end"/>
      </w:r>
    </w:p>
  </w:footnote>
  <w:footnote w:id="465">
    <w:p w14:paraId="472C32C2" w14:textId="3AA48AB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"Botting", "given" : "Fred", "non-dropping-particle" : "", "parse-names" : false, "suffix" : "" } ], "chapter-number" : "14", "container-title" : "The Cambridge Companion to Gothic Fiction", "editor" : [ { "dropping-particle" : "", "family" : "Hogle", "given" : "Jerrold E.", "non-dropping-particle" : "", "parse-names" : false, "suffix" : "" } ], "id" : "ITEM-1", "issued" : { "date-parts" : [ [ "2002" ] ] }, "note" : "The artificial sublimity of computer-generated worlds are comparable to eighteenth-century aesthetic notions, in which a sense of the sublime occurs in an encounter with an immensity the mind cannot comprehend, a natural and divine power found in the sovereign shape of rugged, mountainous landscapes. First overwhelmed by the spectacle, the viewer is then elevated by the sense of grandeur. Self-possession is then lost then re-gained on another, imaginative, level. p.278\n\nGothic representations are a product of cultural anxieties about the nature of human identity, the stability of cultural formations, and processes of change. p.280 \nLinks to Metafiction?\n\nThe possibility of decline and the fears evoked by so many negative features also provide the occasion for the assertion of the characteristics that are lacking. The antithetical, countercultural\u00a0 features of Gothic representation serves as the inverted image of accepted qualities, threats to be expunged like dark stains on the shining mirror of enlightened modernity. Their destruction allows for the projection and restoration of missing human factors: the stain is cleaned up or cast out so that reason, morality and good sense prevail.\u201d p.281 \nLevi as the gothic tale, as the postmodern gothic, the stain that must be removed, or at least smeared.\n\nGothic fiction is bound up with the function of the paternal metaphor. Since Walpole, Gothic has emerged as an effect of and an engagement with a crisis in the legitimacy and authority of the structured circulation os social exchanges and meanings over which the father figure presides. More precisely, the usual subject of Gothic Fiction can be defined as a transgression of the paternal metaphor. p.282\n\nFrom its beginnings, Gothic friction takes the form of a family romance in which paternal figures assume a variety of guises: tyrants, murderers, rapacious villains, ghostly revenants. p.283\n\nThe abscence of a stable paternal orderprovides room for the projection of both ideal and terrifying figures of authority and power. p.284\n\nThe assosciation between Gothoc styles and aristocratic excess, though giving aristocracy a dark and dangerous allure [...] nonetheless places both forms in a position subordinate to emerging bourgeois values. p.285\n\nGothic figures and fictions now circulate with greater visibility to manifest the absence of strict, prohibitive mechanisms or a strong, exclusionary force. p.286\n\nWhere the restoration of symbolic, normative boundaries was celebrated in the violent climaxes to older tales of terror, monstrous figures are now less often terrifying objects of animosity expelled in the return to the social equilibrium. Instead, they retain a fascinating, attractive appeal: no longer objects of hate or fear, monstrous others become sites of identificiation, sympathy, desire, and self-recognition. Excluded figures once represented as malevolent, disturbed, or deviant monsters are rendered more humane while the systems that exclude them assume terrifying, persecutory, and inhuman shapes. The reversal, with its residual Romantic indentification with outcast and rebel, alongisde its feeling for liberation and individual freedom, makes transgression a positive act and diffuses the negative charge of spectral paternal prohibition. Transgression becomes just another permitted social activity. p.286\n\n[in The bloody Chamber] the Gothic coincides with postmodernism's &amp;quot;Incredulity towards metanarratives.&amp;quot; Figures of authoirty are rendered suspect. With its ghostly power demystified, the space of a single, credible, paternal figure is left vacant, to be filled with a host of fleeting specters of delgetimized (governmental, conspirational, military, corporate, criminal, or alien) Power. p.286\n\nGothic Times present a double bind: invited to choose, the subject is overhwlemed by the choices available; with the subject unable to choose, the matter of choice becomes all the more pressing. The deregulation of subjective desire and the confrontation with an sunsurmountably sublime excess of choice signals a shift towards &amp;quot;postmodern capitalism.&amp;quot; The collapse of distinctions between useful production and wasteful consumption means there is no regulative figure or ideal other than accelerated circuits of production, consumption and expenditure. p.294\n\nThe black hole opened up by the decline of the paternal figure and the loss of beleif in metanarratives marks out a final limit, then substitutes a plunge into limitlessness, an ultimate meaning as meaninglessness. This is the black hole of postmodern culture and the ultimate horror of postmodern Gothic. Nothing escapes a black hole, not even light. p.296\n\nIn cultural terms, such a powerful consuming void forms the ultimate figure: postmodernity's impending collapse of all laws and distinctions. The light of enlightened modernity no longer has the speed to overcome the dead weight of its own history or advance in glorious progress. it is pulled back to the black hole of its uncertain, postmodern present and recycles Gothic images in an attempt to give form to anxiety and horror. P.296\n\na sense of cultural bexhaustion haunts the present. an inhuman future is shrouded in old Gothic trappings emptied of any strong charge; past images and forms are worn too thin to veil the gaping hole of objectless anxiety.Gothic fiction, which served as earlier moderntiy's black hole and has served up a range of objects and figures crystalizing anxiety into fear, has become too familiar after two centuries of repetative mutation and seems incapable of shocking anew. p.298\n\nInured to Gothic shocks and terrors, contemporary culture recycles its images in the hope of finding a charge intense enough to stave off the black hole within and without, the one opened up by postmodern plurality. p.298\n\nGothic figures, once giving form to the anxieties surrounding the transition from aristocratic to bourgeoiis culture, now disclose only the formlessness, the consuming void, underlying the flickering thrills of contemporary western simulations. Since they seem unable to envisage a future that is not fully cloaked in darkness, the only projections to be made offer us a weary and ominously doom-laden view. p.298", "page" : "277-300", "publisher" : "Cambridge University Press", "publisher-place" : "Cambridge", "title" : "Aftergothic: Consumption, Machines and Black Holes", "type" : "chapter" }, "locator" : "296", "uris" : [ "http://www.mendeley.com/documents/?uuid=919da31c-7e85-42a6-8701-baecad781db4" ] } ], "mendeley" : { "formattedCitation" : "Botting, p. 296.", "plainTextFormattedCitation" : "Botting, p. 296.", "previouslyFormattedCitation" : "Botting, p. 296."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Botting, p. 296.</w:t>
      </w:r>
      <w:r w:rsidRPr="00505CF0">
        <w:rPr>
          <w:rFonts w:asciiTheme="majorBidi" w:hAnsiTheme="majorBidi" w:cstheme="majorBidi"/>
        </w:rPr>
        <w:fldChar w:fldCharType="end"/>
      </w:r>
    </w:p>
  </w:footnote>
  <w:footnote w:id="466">
    <w:p w14:paraId="05A426CE" w14:textId="39D826E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"Botting", "given" : "Fred", "non-dropping-particle" : "", "parse-names" : false, "suffix" : "" } ], "chapter-number" : "14", "container-title" : "The Cambridge Companion to Gothic Fiction", "editor" : [ { "dropping-particle" : "", "family" : "Hogle", "given" : "Jerrold E.", "non-dropping-particle" : "", "parse-names" : false, "suffix" : "" } ], "id" : "ITEM-1", "issued" : { "date-parts" : [ [ "2002" ] ] }, "note" : "The artificial sublimity of computer-generated worlds are comparable to eighteenth-century aesthetic notions, in which a sense of the sublime occurs in an encounter with an immensity the mind cannot comprehend, a natural and divine power found in the sovereign shape of rugged, mountainous landscapes. First overwhelmed by the spectacle, the viewer is then elevated by the sense of grandeur. Self-possession is then lost then re-gained on another, imaginative, level. p.278\n\nGothic representations are a product of cultural anxieties about the nature of human identity, the stability of cultural formations, and processes of change. p.280 \nLinks to Metafiction?\n\nThe possibility of decline and the fears evoked by so many negative features also provide the occasion for the assertion of the characteristics that are lacking. The antithetical, countercultural\u00a0 features of Gothic representation serves as the inverted image of accepted qualities, threats to be expunged like dark stains on the shining mirror of enlightened modernity. Their destruction allows for the projection and restoration of missing human factors: the stain is cleaned up or cast out so that reason, morality and good sense prevail.\u201d p.281 \nLevi as the gothic tale, as the postmodern gothic, the stain that must be removed, or at least smeared.\n\nGothic fiction is bound up with the function of the paternal metaphor. Since Walpole, Gothic has emerged as an effect of and an engagement with a crisis in the legitimacy and authority of the structured circulation os social exchanges and meanings over which the father figure presides. More precisely, the usual subject of Gothic Fiction can be defined as a transgression of the paternal metaphor. p.282\n\nFrom its beginnings, Gothic friction takes the form of a family romance in which paternal figures assume a variety of guises: tyrants, murderers, rapacious villains, ghostly revenants. p.283\n\nThe abscence of a stable paternal orderprovides room for the projection of both ideal and terrifying figures of authority and power. p.284\n\nThe assosciation between Gothoc styles and aristocratic excess, though giving aristocracy a dark and dangerous allure [...] nonetheless places both forms in a position subordinate to emerging bourgeois values. p.285\n\nGothic figures and fictions now circulate with greater visibility to manifest the absence of strict, prohibitive mechanisms or a strong, exclusionary force. p.286\n\nWhere the restoration of symbolic, normative boundaries was celebrated in the violent climaxes to older tales of terror, monstrous figures are now less often terrifying objects of animosity expelled in the return to the social equilibrium. Instead, they retain a fascinating, attractive appeal: no longer objects of hate or fear, monstrous others become sites of identificiation, sympathy, desire, and self-recognition. Excluded figures once represented as malevolent, disturbed, or deviant monsters are rendered more humane while the systems that exclude them assume terrifying, persecutory, and inhuman shapes. The reversal, with its residual Romantic indentification with outcast and rebel, alongisde its feeling for liberation and individual freedom, makes transgression a positive act and diffuses the negative charge of spectral paternal prohibition. Transgression becomes just another permitted social activity. p.286\n\n[in The bloody Chamber] the Gothic coincides with postmodernism's &amp;quot;Incredulity towards metanarratives.&amp;quot; Figures of authoirty are rendered suspect. With its ghostly power demystified, the space of a single, credible, paternal figure is left vacant, to be filled with a host of fleeting specters of delgetimized (governmental, conspirational, military, corporate, criminal, or alien) Power. p.286\n\nGothic Times present a double bind: invited to choose, the subject is overhwlemed by the choices available; with the subject unable to choose, the matter of choice becomes all the more pressing. The deregulation of subjective desire and the confrontation with an sunsurmountably sublime excess of choice signals a shift towards &amp;quot;postmodern capitalism.&amp;quot; The collapse of distinctions between useful production and wasteful consumption means there is no regulative figure or ideal other than accelerated circuits of production, consumption and expenditure. p.294\n\nThe black hole opened up by the decline of the paternal figure and the loss of beleif in metanarratives marks out a final limit, then substitutes a plunge into limitlessness, an ultimate meaning as meaninglessness. This is the black hole of postmodern culture and the ultimate horror of postmodern Gothic. Nothing escapes a black hole, not even light. p.296\n\nIn cultural terms, such a powerful consuming void forms the ultimate figure: postmodernity's impending collapse of all laws and distinctions. The light of enlightened modernity no longer has the speed to overcome the dead weight of its own history or advance in glorious progress. it is pulled back to the black hole of its uncertain, postmodern present and recycles Gothic images in an attempt to give form to anxiety and horror. P.296\n\na sense of cultural bexhaustion haunts the present. an inhuman future is shrouded in old Gothic trappings emptied of any strong charge; past images and forms are worn too thin to veil the gaping hole of objectless anxiety.Gothic fiction, which served as earlier moderntiy's black hole and has served up a range of objects and figures crystalizing anxiety into fear, has become too familiar after two centuries of repetative mutation and seems incapable of shocking anew. p.298\n\nInured to Gothic shocks and terrors, contemporary culture recycles its images in the hope of finding a charge intense enough to stave off the black hole within and without, the one opened up by postmodern plurality. p.298\n\nGothic figures, once giving form to the anxieties surrounding the transition from aristocratic to bourgeoiis culture, now disclose only the formlessness, the consuming void, underlying the flickering thrills of contemporary western simulations. Since they seem unable to envisage a future that is not fully cloaked in darkness, the only projections to be made offer us a weary and ominously doom-laden view. p.298", "page" : "277-300", "publisher" : "Cambridge University Press", "publisher-place" : "Cambridge", "title" : "Aftergothic: Consumption, Machines and Black Holes", "type" : "chapter" }, "locator" : "296", "uris" : [ "http://www.mendeley.com/documents/?uuid=919da31c-7e85-42a6-8701-baecad781db4" ] } ], "mendeley" : { "formattedCitation" : "Botting, p. 296.", "plainTextFormattedCitation" : "Botting, p. 296.", "previouslyFormattedCitation" : "Botting, p. 296."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Botting, p. 296.</w:t>
      </w:r>
      <w:r w:rsidRPr="00505CF0">
        <w:rPr>
          <w:rFonts w:asciiTheme="majorBidi" w:hAnsiTheme="majorBidi" w:cstheme="majorBidi"/>
        </w:rPr>
        <w:fldChar w:fldCharType="end"/>
      </w:r>
    </w:p>
  </w:footnote>
  <w:footnote w:id="467">
    <w:p w14:paraId="2F21A878" w14:textId="114CE53F" w:rsidR="00054009" w:rsidRPr="00FE7EAF" w:rsidRDefault="00054009">
      <w:pPr>
        <w:pStyle w:val="FootnoteText"/>
        <w:rPr>
          <w:i/>
        </w:rPr>
      </w:pPr>
      <w:r>
        <w:rPr>
          <w:rStyle w:val="FootnoteReference"/>
        </w:rPr>
        <w:footnoteRef/>
      </w:r>
      <w:r>
        <w:t xml:space="preserve"> </w:t>
      </w:r>
      <w:r>
        <w:rPr>
          <w:i/>
        </w:rPr>
        <w:t xml:space="preserve">ACO: A tad poetic here, one freely admits. </w:t>
      </w:r>
    </w:p>
  </w:footnote>
  <w:footnote w:id="468">
    <w:p w14:paraId="057156A6" w14:textId="63A3EAA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"Bruhm", "given" : "Steven", "non-dropping-particle" : "", "parse-names" : false, "suffix" : "" } ], "chapter-number" : "13", "container-title" : "The Cambridge Companion to Gothic Fiction", "editor" : [ { "dropping-particle" : "", "family" : "Hogle", "given" : "Jerrold E.", "non-dropping-particle" : "", "parse-names" : false, "suffix" : "" } ], "id" : "ITEM-1", "issued" : { "date-parts" : [ [ "2002" ] ] }, "note" : "The gothic has always been a barometer of the anxieties plaguing a certain culture at a particular moment in history[\u2026] p.260\n\nWe can best place this question of audience need by placing the contemporary Gothic within a number of current anxieties- the ones we need it both to arouse and assuage. p.260\n\nWhat becomes most marked in the contemporary Gothic \u2013and what distinguishes it from its ancestors- is the protagonists\u2019 and the viewers\u2019 compulsive return to certain fixations, obsessions and blockages. p.261\n\nA major theme in the Gothic has always been interior life, as in the paranoid Gothic of William Godwin\u2019s Caleb Williams (1794) or James Hogg\u2019s The Private Memoirs and Confessions of a Justified Sinner \u00a0(1824), but the rise of psychoanalysis in the twentieth century has afforded Gothic Writers a very particular configuration of this internal life. To the degree that the contemporary Gothic subject is the psychoanalytic subject (and vice versa), she/he becomes a/the field on which national, racial, and gender anxieties configured like Freudian drives get played out and symbolized over and over again. p.262\n\nWhat makes the contemporary Gothic particularly contemporary in both its themes and reception, however, is that these [Freudian] unconscious desires center on the problem of a lost object, the most overriding basis of our need for the Gothic and almost everything else. That loss is usually material (Parents, money, property, freedom to move around, a lover, or family member), but the materiality of that loss always has a psychological and symbolic dimension to it. p.263\n\nWhen the desire for an object butts up against the prohibition against the fulfilling of that desire, the result is the contemporary human subject.\u00a0 p.263\n\nTime and again the contemporary Gothic provides us with traumatized heroes who have lost the very psychic structures that allow them to access to their own experiences p.269 \n\nAll of this together fashions a contemporary Gothic phenomenon. Words, the building blocks of stories, rise and fall in consciousness, constituting horrifying returns and traumatic suggestions. The very act of storytelling itself has the resonance of multiple traumas that we\u00a0 [\u2026] cannot integrate into a coherent whole. What gets left in this blank space where our narratives cannot be is, paradoxically, a massive production of other Gothic narratives. In the process of trauma shattering us from one into a \u201cstunning little multitude,\u201d we are forced to confront our demons, our worst fears about the agents and influences that might control and create us. p.270 \n\nThe Gothic\u2019s basic investment in ravaging history and fragmenting the past meshes with our own investments now as we attempt to reinvent history as a way of healing the perpetual loss in modern existence.\u00a0 \u201cWe\u201d do this, moreover, as a western civilization shattered by personal and social traumas, yet \u201cwe\u201d do not exist except as a collection of individual psyches whose personal histories are inflected by social history, but not completely determined by it.\u00a0p.274\n\nAs we confront this underlying terror of our times, after all, the Gothic provides us a guarantee of life even in the face of so much death. [...] But the pleasantly terrifying thing may be that this life, this consciousness of being alive, is constantly shadowed by previous and immanent breakage and dissolution. Contemporary life constantly reminds us that we are moving toward death, or at least osolescence, and that life we must continually strive to hold together. Patadoxically, we need the sconsistent consciousness of deah provided by the gothic in otder to understand and want that life. [...see above...] We want our life and our death, and in that vacillation between wanting life and capitulating to destruction, we keep needing the Gothic to give shape to our contradiction. By now we have become like an Anne Rice vampire, or a Stephen King family man: we crave presence, we crave departure, we crave. p. 274", "page" : "259-76", "publisher" : "Cambridge University Press", "publisher-place" : "Cambridge", "title" : "Contemporary Gothic: Why We Need It", "type" : "chapter" }, "locator" : "261", "uris" : [ "http://www.mendeley.com/documents/?uuid=e931b48c-c5c4-4e75-ac56-e8cafd597083" ] } ], "mendeley" : { "formattedCitation" : "Bruhm, p. 261.", "plainTextFormattedCitation" : "Bruhm, p. 261.", "previouslyFormattedCitation" : "Bruhm, p. 261."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Bruhm, p. 261.</w:t>
      </w:r>
      <w:r w:rsidRPr="00505CF0">
        <w:rPr>
          <w:rFonts w:asciiTheme="majorBidi" w:hAnsiTheme="majorBidi" w:cstheme="majorBidi"/>
        </w:rPr>
        <w:fldChar w:fldCharType="end"/>
      </w:r>
    </w:p>
  </w:footnote>
  <w:footnote w:id="469">
    <w:p w14:paraId="6815DF6A" w14:textId="6CEB354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"ISBN" : "9789042026643 (pbk.)\\r9042026642 (pbk.)\\r9789042026650 (e-book)\\r9042026650 (e-book)", "author" : [ { "dropping-particle" : "", "family" : "Beville", "given" : "Maria", "non-dropping-particle" : "", "parse-names" : false, "suffix" : "" } ], "editor" : [ { "dropping-particle" : "", "family" : "D'haen", "given" : "Theo", "non-dropping-particle" : "", "parse-names" : false, "suffix" : "" }, { "dropping-particle" : "", "family" : "Bertens", "given" : "Hans", "non-dropping-particle" : "", "parse-names" : false, "suffix" : "" } ], "id" : "ITEM-1", "issued" : { "date-parts" : [ [ "2009" ] ] }, "note" : "Auster's narrator/author relationship [in City of Glass] presents a perfect parallel with Lunar Park, and both novels quite effectively relate a murky existentialism that refers to ideas of multiple subjectivity and a postmodern rejection of concepts of wholeness. p.186\n\nReinforcing this Gothic aesthetic, references to Poe are scattered throughout Lunar Park, most remarkably in the case when Bret\u2019s hair, after his climactic night of terror at the house, turns completely white, echoing Poe\u2019s \u2018A Descent into the Maelstrom\u2019:\u2018When I was found in the Range Rover, my hair had turned completely white\u2019 (Easton Ellis 2005, 440). On other occasions, Ellis playfully throws in suggestive words in his narrative such as in the case of \u2018a writer\u2019s life is a maelstrom of lying\u2019 (Easton Ellis 2005, 218). The most resonant connection, however, remains to be seen in \u2018The Fall of the House of Usher\u2019. The return of the ghost of Lady Madeleine Usher in Poe\u2019s short story coincides with the reappearance of Robert Ellis. The most striking similarity between the two is the part that the house plays in triggering madness in the character. p.188-9\n\n\n[Quoting Burke]\nwhatever is fitted in any sort to excite the ideas of pain and danger, that is to say, whatever is in any sort terrible, or is conversant about terrible objects, or operates in a manner analogous to terror, is a source of the sublime; that is, it is productive of the strongest emotion which the mind is capable of feeling (Burke 1998, 86). p.25\n\nPerhaps [9/11] is so far beyond our simulated frames of reference, so awesome and unquantifiable and so \u2018real\u2019, that it can be regarded as a postmodern sublime encounter that is truly unrepresentable.\nIn a similar way, the sublime aspects of terror explored in Gothic-postmodernist texts have the effect of giving us as readers a sense of our own reality through the creation of the symbolic event of terror; a sense also of the reality of self, or \u2018being\u2019 and by extension of the infinite. p.32\n\nWe can thus conclude that terror, from the very earliest stages of philosophical and literary analysis, was regarded as sublime: as a unique, timeless and unquantifiable emotion. It was regarded as a totalising experience, in which one could potentially encounter self in its most basic of \u2018knowable\u2019 forms through imagination, and the most profound subject matter for avante garde literature. p.26\n\nJean Francois Lyotard\u2019s theory of \u2018the unrepresentable\u2019 is central to this idea, as it establishes the concept that an encounter with the unrepresentable, or unimaginable, results in the interruption of subjective action and a split between rationality and imagination (Lyotard 1991, 210). The condition according to Lyotard is one of exultation/ terror, or in terms of Kantian philosophy: \u2018pleasure displeasure\u2019. Kant\u2019s analytic of the sublime is the basis for Lyotard\u2019s theory and accounts for the situation in terms of \u2018negative pleasure\u2019. When the subject has this sublime experience, it is one of simultaneous \u2018terror\u2019 at the loss of \u2018time moving\u2019 and \u2018exultation\u2019 at the comprehension of the \u2018finite\u2019. The feelings are the result of a conflict of reason as it comprehends the sublime, and imagination as it fails to \u2018re-present it\u2019 (Kant 2001, 24-26). p.24\n\nLiterary history has revealed that Burke\u2019s perspective on the sublime is one of the most fundamental philosophies underpinning Gothic aesthetics. It therefore had a remarkable impact on the \u2018original\u2019 Gothic, and its orientation toward the dark side of human subjective experience. Significantly, the Gothic, as it evolved, retained this preoccupation with the sublime and the power of terror as an overwhelming experience for the subject, and an intensification of this focus is evident as the genre moves toward postmodernism. p.26\n\nNotably, there is one other factor that Burke deems as essential to the experience of sublimity and that is obscurity, noting how experiences of terror are more intense during the night-time hours and when veiled by darkness. This suggests that the sublime experience of terror is one of heightened experience and imagination, one in which cognitive reason and objectivity is neglected in favour of fantasy and desire. p.26\n\nWhat distinguishes this text, however, is that in a typically Gothic- postmodernist manner, it works on the distortion and perversion of particular realities that can only be considered as sublime or unrepresentable instances of terror; namely: genocide, loss of self, and death p.109\n\nIn Slaughterhouse 5, Vonnegut performs a \u2018duty dance with death\u2019 and imagines the unimaginable, which can only be achieved from a defamiliarised perspective that is absurd and terrifying, so much so, that Billy commits himself to a mental asylum because he is too alarmed by the implications. p.110\n\nIt is probable that we do not need the paraphernalia of the Gothic as much today, firstly, as it is all around us, and secondly, as our fascination with the Gothic is entirely narcissistic. It is to do with explorations of self and reality and the terror of the end, with issues that we cannot know or directly represent. Possibly, for this reason, Gothic-postmodernist works can generate intense fear as they touch on those terrors and anxieties that we cannot expel, that are intrinsic to our being. 106-7", "publisher" : "Rodopi", "publisher-place" : "Amsterdam", "title" : "Gothic-Postmodernism : Voicing the Terrors of Postmodernity", "type" : "book" }, "locator" : "186", "uris" : [ "http://www.mendeley.com/documents/?uuid=7bdd32d5-56c3-49d0-a309-4237758e90bb" ] } ], "mendeley" : { "formattedCitation" : "Beville, p. 186.", "plainTextFormattedCitation" : "Beville, p. 186.", "previouslyFormattedCitation" : "Beville, p. 186."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Beville, p. 186.</w:t>
      </w:r>
      <w:r w:rsidRPr="00505CF0">
        <w:rPr>
          <w:rFonts w:asciiTheme="majorBidi" w:hAnsiTheme="majorBidi" w:cstheme="majorBidi"/>
        </w:rPr>
        <w:fldChar w:fldCharType="end"/>
      </w:r>
    </w:p>
  </w:footnote>
  <w:footnote w:id="470">
    <w:p w14:paraId="2A28DFCB"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Julius is born in 1835 and the events within the text follow him as a ‘youth’ though his age is never specifically stated. </w:t>
      </w:r>
    </w:p>
  </w:footnote>
  <w:footnote w:id="471">
    <w:p w14:paraId="53845C46" w14:textId="6F674B9C" w:rsidR="00054009" w:rsidRDefault="00054009">
      <w:pPr>
        <w:pStyle w:val="FootnoteText"/>
      </w:pPr>
      <w:r>
        <w:rPr>
          <w:rStyle w:val="FootnoteReference"/>
        </w:rPr>
        <w:footnoteRef/>
      </w:r>
      <w:r>
        <w:t xml:space="preserve"> </w:t>
      </w:r>
      <w:r w:rsidRPr="00A452B5">
        <w:rPr>
          <w:i/>
          <w:iCs/>
        </w:rPr>
        <w:t>ACO: Timmy Vermeulen, the sole survivor found about the Meghan, reported to authorities that his ship the Maya – a small pleasure yacht – was blown off course by an unusual and malignant storm. They eventually found clear waters, but were there attacked by the heavily-armoured crew of the Meghan. Vermeulen and crew fought the other crew for their lives, boarding the other ship and repelling their attackers, though losing the Maya in the process. Commandeering the Meghan, the crew discovered an uncharted archipelago of islands in the vicinity of co-ordinates of 47°9′S 126°43′W.   With the exception of Vermeulen and another man, everyone else died upon the island, though Vermeulen was unable (or refused) to tell authorities or the press how he came to be in the situation he was found in.</w:t>
      </w:r>
    </w:p>
  </w:footnote>
  <w:footnote w:id="472">
    <w:p w14:paraId="7D1E3301" w14:textId="1F6557D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"65", "uris" : [ "http://www.mendeley.com/documents/?uuid=84dbd51f-e0b1-4dda-b391-f9000adf3c9b" ] } ], "mendeley" : { "formattedCitation" : "Patrick McGrath, &lt;i&gt;Ghost Town&lt;/i&gt; (London: Bloomsbury Publishing Plc, 2005), p. 65.", "plainTextFormattedCitation" : "Patrick McGrath, Ghost Town (London: Bloomsbury Publishing Plc, 2005), p. 65.", "previouslyFormattedCitation" : "Patrick McGrath, &lt;i&gt;Ghost Town&lt;/i&gt; (London: Bloomsbury Publishing Plc, 2005), p. 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Patrick McGrath, </w:t>
      </w:r>
      <w:r w:rsidRPr="00505CF0">
        <w:rPr>
          <w:rFonts w:asciiTheme="majorBidi" w:hAnsiTheme="majorBidi" w:cstheme="majorBidi"/>
          <w:i/>
          <w:noProof/>
        </w:rPr>
        <w:t>Ghost Town</w:t>
      </w:r>
      <w:r w:rsidRPr="00505CF0">
        <w:rPr>
          <w:rFonts w:asciiTheme="majorBidi" w:hAnsiTheme="majorBidi" w:cstheme="majorBidi"/>
          <w:noProof/>
        </w:rPr>
        <w:t xml:space="preserve"> (London: Bloomsbury Publishing Plc, 2005), p. 65.</w:t>
      </w:r>
      <w:r w:rsidRPr="00505CF0">
        <w:rPr>
          <w:rFonts w:asciiTheme="majorBidi" w:hAnsiTheme="majorBidi" w:cstheme="majorBidi"/>
        </w:rPr>
        <w:fldChar w:fldCharType="end"/>
      </w:r>
    </w:p>
  </w:footnote>
  <w:footnote w:id="473">
    <w:p w14:paraId="0A97996A" w14:textId="0E40685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"177", "uris" : [ "http://www.mendeley.com/documents/?uuid=84dbd51f-e0b1-4dda-b391-f9000adf3c9b" ] } ], "mendeley" : { "formattedCitation" : "McGrath, &lt;i&gt;Ghost Town&lt;/i&gt;, p. 177.", "plainTextFormattedCitation" : "McGrath, Ghost Town, p. 177.", "previouslyFormattedCitation" : "McGrath, &lt;i&gt;Ghost Town&lt;/i&gt;, p. 177."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 177.</w:t>
      </w:r>
      <w:r w:rsidRPr="00505CF0">
        <w:rPr>
          <w:rFonts w:asciiTheme="majorBidi" w:hAnsiTheme="majorBidi" w:cstheme="majorBidi"/>
        </w:rPr>
        <w:fldChar w:fldCharType="end"/>
      </w:r>
    </w:p>
  </w:footnote>
  <w:footnote w:id="474">
    <w:p w14:paraId="74E52849" w14:textId="4F16AF3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"177", "uris" : [ "http://www.mendeley.com/documents/?uuid=84dbd51f-e0b1-4dda-b391-f9000adf3c9b" ] } ], "mendeley" : { "formattedCitation" : "McGrath, &lt;i&gt;Ghost Town&lt;/i&gt;, p. 177.", "plainTextFormattedCitation" : "McGrath, Ghost Town, p. 177.", "previouslyFormattedCitation" : "McGrath, &lt;i&gt;Ghost Town&lt;/i&gt;, p. 177."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 177.</w:t>
      </w:r>
      <w:r w:rsidRPr="00505CF0">
        <w:rPr>
          <w:rFonts w:asciiTheme="majorBidi" w:hAnsiTheme="majorBidi" w:cstheme="majorBidi"/>
        </w:rPr>
        <w:fldChar w:fldCharType="end"/>
      </w:r>
    </w:p>
  </w:footnote>
  <w:footnote w:id="475">
    <w:p w14:paraId="16475BE1" w14:textId="3A187C6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"185, 186, 234", "uris" : [ "http://www.mendeley.com/documents/?uuid=84dbd51f-e0b1-4dda-b391-f9000adf3c9b" ] } ], "mendeley" : { "formattedCitation" : "McGrath, &lt;i&gt;Ghost Town&lt;/i&gt;, pp. 185, 186, 234.", "plainTextFormattedCitation" : "McGrath, Ghost Town, pp. 185, 186, 234.", "previouslyFormattedCitation" : "McGrath, &lt;i&gt;Ghost Town&lt;/i&gt;, pp. 185, 186, 234."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pp. 185, 186, 234.</w:t>
      </w:r>
      <w:r w:rsidRPr="00505CF0">
        <w:rPr>
          <w:rFonts w:asciiTheme="majorBidi" w:hAnsiTheme="majorBidi" w:cstheme="majorBidi"/>
        </w:rPr>
        <w:fldChar w:fldCharType="end"/>
      </w:r>
    </w:p>
  </w:footnote>
  <w:footnote w:id="476">
    <w:p w14:paraId="4A9C74D2" w14:textId="2591C2C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"204-5", "uris" : [ "http://www.mendeley.com/documents/?uuid=84dbd51f-e0b1-4dda-b391-f9000adf3c9b" ] } ], "mendeley" : { "formattedCitation" : "McGrath, &lt;i&gt;Ghost Town&lt;/i&gt;, pp. 204\u20135.", "plainTextFormattedCitation" : "McGrath, Ghost Town, pp. 204\u20135.", "previouslyFormattedCitation" : "McGrath, &lt;i&gt;Ghost Town&lt;/i&gt;, pp. 204\u20135."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pp. 204–5.</w:t>
      </w:r>
      <w:r w:rsidRPr="00505CF0">
        <w:rPr>
          <w:rFonts w:asciiTheme="majorBidi" w:hAnsiTheme="majorBidi" w:cstheme="majorBidi"/>
        </w:rPr>
        <w:fldChar w:fldCharType="end"/>
      </w:r>
    </w:p>
  </w:footnote>
  <w:footnote w:id="477">
    <w:p w14:paraId="6F3A6AF6" w14:textId="16F8F3B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"225", "uris" : [ "http://www.mendeley.com/documents/?uuid=84dbd51f-e0b1-4dda-b391-f9000adf3c9b" ] } ], "mendeley" : { "formattedCitation" : "McGrath, &lt;i&gt;Ghost Town&lt;/i&gt;, p. 225.", "plainTextFormattedCitation" : "McGrath, Ghost Town, p. 225.", "previouslyFormattedCitation" : "McGrath, &lt;i&gt;Ghost Town&lt;/i&gt;, p. 225."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 225.</w:t>
      </w:r>
      <w:r w:rsidRPr="00505CF0">
        <w:rPr>
          <w:rFonts w:asciiTheme="majorBidi" w:hAnsiTheme="majorBidi" w:cstheme="majorBidi"/>
        </w:rPr>
        <w:fldChar w:fldCharType="end"/>
      </w:r>
    </w:p>
  </w:footnote>
  <w:footnote w:id="478">
    <w:p w14:paraId="2F2654EE" w14:textId="56302CF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"206", "uris" : [ "http://www.mendeley.com/documents/?uuid=84dbd51f-e0b1-4dda-b391-f9000adf3c9b" ] } ], "mendeley" : { "formattedCitation" : "McGrath, &lt;i&gt;Ghost Town&lt;/i&gt;, p. 206.", "plainTextFormattedCitation" : "McGrath, Ghost Town, p. 206.", "previouslyFormattedCitation" : "McGrath, &lt;i&gt;Ghost Town&lt;/i&gt;, p. 206."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 206.</w:t>
      </w:r>
      <w:r w:rsidRPr="00505CF0">
        <w:rPr>
          <w:rFonts w:asciiTheme="majorBidi" w:hAnsiTheme="majorBidi" w:cstheme="majorBidi"/>
        </w:rPr>
        <w:fldChar w:fldCharType="end"/>
      </w:r>
    </w:p>
  </w:footnote>
  <w:footnote w:id="479">
    <w:p w14:paraId="6C950826" w14:textId="51D7CDA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"2005" ] ] }, "publisher" : "Bloomsbury Publishing Plc", "publisher-place" : "London", "title" : "Ghost Town", "type" : "book" }, "locator" : "209", "uris" : [ "http://www.mendeley.com/documents/?uuid=84dbd51f-e0b1-4dda-b391-f9000adf3c9b" ] } ], "mendeley" : { "formattedCitation" : "McGrath, &lt;i&gt;Ghost Town&lt;/i&gt;, p. 209.", "plainTextFormattedCitation" : "McGrath, Ghost Town, p. 209.", "previouslyFormattedCitation" : "McGrath, &lt;i&gt;Ghost Town&lt;/i&gt;, p. 209."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Ghost Town</w:t>
      </w:r>
      <w:r w:rsidRPr="00505CF0">
        <w:rPr>
          <w:rFonts w:asciiTheme="majorBidi" w:hAnsiTheme="majorBidi" w:cstheme="majorBidi"/>
          <w:noProof/>
        </w:rPr>
        <w:t>, p. 209.</w:t>
      </w:r>
      <w:r w:rsidRPr="00505CF0">
        <w:rPr>
          <w:rFonts w:asciiTheme="majorBidi" w:hAnsiTheme="majorBidi" w:cstheme="majorBidi"/>
        </w:rPr>
        <w:fldChar w:fldCharType="end"/>
      </w:r>
    </w:p>
  </w:footnote>
  <w:footnote w:id="480">
    <w:p w14:paraId="2C6683E8" w14:textId="17A70EC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"Zlosnik", "given" : "Sue", "non-dropping-particle" : "", "parse-names" : false, "suffix" : "" } ], "id" : "ITEM-1", "issued" : { "date-parts" : [ [ "2011" ] ] }, "publisher" : "University of Wales Press", "publisher-place" : "Cardiff", "title" : "Patrick McGrath", "type" : "book" }, "locator" : "115", "uris" : [ "http://www.mendeley.com/documents/?uuid=708625ea-e3e3-4d76-af11-65cb9b71e87a" ] } ], "mendeley" : { "formattedCitation" : "Sue Zlosnik, &lt;i&gt;Patrick McGrath&lt;/i&gt; (Cardiff: University of Wales Press, 2011), p. 115.", "plainTextFormattedCitation" : "Sue Zlosnik, Patrick McGrath (Cardiff: University of Wales Press, 2011), p. 115.", "previouslyFormattedCitation" : "Sue Zlosnik, &lt;i&gt;Patrick McGrath&lt;/i&gt; (Cardiff: University of Wales Press, 2011), p. 115."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Sue Zlosnik, </w:t>
      </w:r>
      <w:r w:rsidRPr="00505CF0">
        <w:rPr>
          <w:rFonts w:asciiTheme="majorBidi" w:hAnsiTheme="majorBidi" w:cstheme="majorBidi"/>
          <w:i/>
          <w:noProof/>
        </w:rPr>
        <w:t>Patrick McGrath</w:t>
      </w:r>
      <w:r w:rsidRPr="00505CF0">
        <w:rPr>
          <w:rFonts w:asciiTheme="majorBidi" w:hAnsiTheme="majorBidi" w:cstheme="majorBidi"/>
          <w:noProof/>
        </w:rPr>
        <w:t xml:space="preserve"> (Cardiff: University of Wales Press, 2011), p. 115.</w:t>
      </w:r>
      <w:r w:rsidRPr="00505CF0">
        <w:rPr>
          <w:rFonts w:asciiTheme="majorBidi" w:hAnsiTheme="majorBidi" w:cstheme="majorBidi"/>
        </w:rPr>
        <w:fldChar w:fldCharType="end"/>
      </w:r>
    </w:p>
  </w:footnote>
  <w:footnote w:id="481">
    <w:p w14:paraId="73DF168C" w14:textId="5473409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"Palahniuk", "given" : "Chuck", "non-dropping-particle" : "", "parse-names" : false, "suffix" : "" } ], "id" : "ITEM-1", "issued" : { "date-parts" : [ [ "2006" ] ] }, "publisher" : "Vintage Books", "publisher-place" : "London", "title" : "Haunted", "type" : "book" }, "locator" : "102", "uris" : [ "http://www.mendeley.com/documents/?uuid=26534371-5ee4-4305-a013-1f7d7124cb9a" ] } ], "mendeley" : { "formattedCitation" : "Chuck Palahniuk, &lt;i&gt;Haunted&lt;/i&gt; (London: Vintage Books, 2006), p. 102.", "plainTextFormattedCitation" : "Chuck Palahniuk, Haunted (London: Vintage Books, 2006), p. 102.", "previouslyFormattedCitation" : "Chuck Palahniuk, &lt;i&gt;Haunted&lt;/i&gt; (London: Vintage Books, 2006), p. 102."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Chuck Palahniuk, </w:t>
      </w:r>
      <w:r w:rsidRPr="00505CF0">
        <w:rPr>
          <w:rFonts w:asciiTheme="majorBidi" w:hAnsiTheme="majorBidi" w:cstheme="majorBidi"/>
          <w:i/>
          <w:noProof/>
        </w:rPr>
        <w:t>Haunted</w:t>
      </w:r>
      <w:r w:rsidRPr="00505CF0">
        <w:rPr>
          <w:rFonts w:asciiTheme="majorBidi" w:hAnsiTheme="majorBidi" w:cstheme="majorBidi"/>
          <w:noProof/>
        </w:rPr>
        <w:t xml:space="preserve"> (London: Vintage Books, 2006), p. 102.</w:t>
      </w:r>
      <w:r w:rsidRPr="00505CF0">
        <w:rPr>
          <w:rFonts w:asciiTheme="majorBidi" w:hAnsiTheme="majorBidi" w:cstheme="majorBidi"/>
        </w:rPr>
        <w:fldChar w:fldCharType="end"/>
      </w:r>
    </w:p>
  </w:footnote>
  <w:footnote w:id="482">
    <w:p w14:paraId="5070ECB3" w14:textId="0884991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"Palahniuk", "given" : "Chuck", "non-dropping-particle" : "", "parse-names" : false, "suffix" : "" } ], "id" : "ITEM-1", "issued" : { "date-parts" : [ [ "2006" ] ] }, "publisher" : "Vintage Books", "publisher-place" : "London", "title" : "Haunted", "type" : "book" }, "locator" : "103", "uris" : [ "http://www.mendeley.com/documents/?uuid=26534371-5ee4-4305-a013-1f7d7124cb9a" ] } ], "mendeley" : { "formattedCitation" : "Palahniuk, p. 103.", "plainTextFormattedCitation" : "Palahniuk, p. 103.", "previouslyFormattedCitation" : "Palahniuk, p. 103."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Palahniuk, p. 103.</w:t>
      </w:r>
      <w:r w:rsidRPr="00505CF0">
        <w:rPr>
          <w:rFonts w:asciiTheme="majorBidi" w:hAnsiTheme="majorBidi" w:cstheme="majorBidi"/>
        </w:rPr>
        <w:fldChar w:fldCharType="end"/>
      </w:r>
    </w:p>
  </w:footnote>
  <w:footnote w:id="483">
    <w:p w14:paraId="173561FA" w14:textId="7FE7F6D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"Palahniuk", "given" : "Chuck", "non-dropping-particle" : "", "parse-names" : false, "suffix" : "" } ], "id" : "ITEM-1", "issued" : { "date-parts" : [ [ "2006" ] ] }, "publisher" : "Vintage Books", "publisher-place" : "London", "title" : "Haunted", "type" : "book" }, "locator" : "120", "uris" : [ "http://www.mendeley.com/documents/?uuid=26534371-5ee4-4305-a013-1f7d7124cb9a" ] } ], "mendeley" : { "formattedCitation" : "Palahniuk, p. 120.", "plainTextFormattedCitation" : "Palahniuk, p. 120.", "previouslyFormattedCitation" : "Palahniuk, p. 120."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Palahniuk, p. 120.</w:t>
      </w:r>
      <w:r w:rsidRPr="00505CF0">
        <w:rPr>
          <w:rFonts w:asciiTheme="majorBidi" w:hAnsiTheme="majorBidi" w:cstheme="majorBidi"/>
        </w:rPr>
        <w:fldChar w:fldCharType="end"/>
      </w:r>
    </w:p>
  </w:footnote>
  <w:footnote w:id="484">
    <w:p w14:paraId="75FC6A37" w14:textId="279C635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"8-9", "uris" : [ "http://www.mendeley.com/documents/?uuid=f63b9f5d-3864-4c8a-a803-d7b88a369d0e" ] } ], "mendeley" : { "formattedCitation" : "Richard Flanagan, &lt;i&gt;Gould\u2019s Book of Fish&lt;/i&gt; (London: Atlantic Books, 2014), pp. 8\u20139.", "plainTextFormattedCitation" : "Richard Flanagan, Gould\u2019s Book of Fish (London: Atlantic Books, 2014), pp. 8\u20139.", "previouslyFormattedCitation" : "Richard Flanagan, &lt;i&gt;Gould\u2019s Book of Fish&lt;/i&gt; (London: Atlantic Books, 2014), pp. 8\u20139."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Richard Flanagan, </w:t>
      </w:r>
      <w:r w:rsidRPr="00505CF0">
        <w:rPr>
          <w:rFonts w:asciiTheme="majorBidi" w:hAnsiTheme="majorBidi" w:cstheme="majorBidi"/>
          <w:i/>
          <w:noProof/>
        </w:rPr>
        <w:t>Gould’s Book of Fish</w:t>
      </w:r>
      <w:r w:rsidRPr="00505CF0">
        <w:rPr>
          <w:rFonts w:asciiTheme="majorBidi" w:hAnsiTheme="majorBidi" w:cstheme="majorBidi"/>
          <w:noProof/>
        </w:rPr>
        <w:t xml:space="preserve"> (London: Atlantic Books, 2014), pp. 8–9.</w:t>
      </w:r>
      <w:r w:rsidRPr="00505CF0">
        <w:rPr>
          <w:rFonts w:asciiTheme="majorBidi" w:hAnsiTheme="majorBidi" w:cstheme="majorBidi"/>
        </w:rPr>
        <w:fldChar w:fldCharType="end"/>
      </w:r>
    </w:p>
  </w:footnote>
  <w:footnote w:id="485">
    <w:p w14:paraId="6F83BB3C"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The criticism of postmodern produced by Flanagan’s representation of Hammet and the tourists is one not entirely novel to the Gothic. Famously, Bret Easton Ellis’s Patrick Bateman, protagonist of </w:t>
      </w:r>
      <w:r w:rsidRPr="00505CF0">
        <w:rPr>
          <w:rFonts w:asciiTheme="majorBidi" w:hAnsiTheme="majorBidi" w:cstheme="majorBidi"/>
          <w:i/>
        </w:rPr>
        <w:t>American Psycho</w:t>
      </w:r>
      <w:r w:rsidRPr="00505CF0">
        <w:rPr>
          <w:rFonts w:asciiTheme="majorBidi" w:hAnsiTheme="majorBidi" w:cstheme="majorBidi"/>
        </w:rPr>
        <w:t xml:space="preserve">, revels in materialism in a way encoding the character with the postmodern moment, and so subtly links Bateman’s psychopathy with the postmodern mode. His appearance in Ellis’s </w:t>
      </w:r>
      <w:r w:rsidRPr="00505CF0">
        <w:rPr>
          <w:rFonts w:asciiTheme="majorBidi" w:hAnsiTheme="majorBidi" w:cstheme="majorBidi"/>
          <w:i/>
        </w:rPr>
        <w:t>Lunar Park</w:t>
      </w:r>
      <w:r w:rsidRPr="00505CF0">
        <w:rPr>
          <w:rFonts w:asciiTheme="majorBidi" w:hAnsiTheme="majorBidi" w:cstheme="majorBidi"/>
        </w:rPr>
        <w:t>, then, becomes that of a postmodern haunting as the prodigal emblem of postmodern Gothic returns to haunt the contemporary.</w:t>
      </w:r>
    </w:p>
  </w:footnote>
  <w:footnote w:id="486">
    <w:p w14:paraId="2BB2E55C" w14:textId="2CB868D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It should be noted here that Southward’s original manusc</w:t>
      </w:r>
      <w:r>
        <w:rPr>
          <w:rFonts w:asciiTheme="majorBidi" w:hAnsiTheme="majorBidi" w:cstheme="majorBidi"/>
          <w:i/>
        </w:rPr>
        <w:t>ript has been heavily damaged and defaced by vandals who broke into my home at this point, and so your</w:t>
      </w:r>
      <w:r w:rsidRPr="00505CF0">
        <w:rPr>
          <w:rFonts w:asciiTheme="majorBidi" w:hAnsiTheme="majorBidi" w:cstheme="majorBidi"/>
          <w:i/>
        </w:rPr>
        <w:t xml:space="preserve"> editor has taken the bold decision here to splice in a section of a still-intact Southwardian MS, (The Scunthorpe Missif). The elongated section here detailing the use of framing in Gould’s Book of fish was previously published in The Dark Arts Journal Vol.1 Issue 1, and since spliced into here as the argument was, reportedly, much the same, though apparently made with the excessive vim, vigour and passion that defined his latter writings. </w:t>
      </w:r>
    </w:p>
  </w:footnote>
  <w:footnote w:id="487">
    <w:p w14:paraId="0915B7F1" w14:textId="357970D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"4", "uris" : [ "http://www.mendeley.com/documents/?uuid=f63b9f5d-3864-4c8a-a803-d7b88a369d0e" ] } ], "mendeley" : { "formattedCitation" : "Flanagan, p. 4.", "plainTextFormattedCitation" : "Flanagan, p. 4.", "previouslyFormattedCitation" : "Flanagan,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4.</w:t>
      </w:r>
      <w:r w:rsidRPr="00505CF0">
        <w:rPr>
          <w:rFonts w:asciiTheme="majorBidi" w:hAnsiTheme="majorBidi" w:cstheme="majorBidi"/>
        </w:rPr>
        <w:fldChar w:fldCharType="end"/>
      </w:r>
    </w:p>
  </w:footnote>
  <w:footnote w:id="488">
    <w:p w14:paraId="213E50E6" w14:textId="3F7A8B2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"5", "uris" : [ "http://www.mendeley.com/documents/?uuid=f63b9f5d-3864-4c8a-a803-d7b88a369d0e" ] } ], "mendeley" : { "formattedCitation" : "Flanagan, p. 5.", "plainTextFormattedCitation" : "Flanagan, p. 5.", "previouslyFormattedCitation" : "Flanagan,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5.</w:t>
      </w:r>
      <w:r w:rsidRPr="00505CF0">
        <w:rPr>
          <w:rFonts w:asciiTheme="majorBidi" w:hAnsiTheme="majorBidi" w:cstheme="majorBidi"/>
        </w:rPr>
        <w:fldChar w:fldCharType="end"/>
      </w:r>
    </w:p>
  </w:footnote>
  <w:footnote w:id="489">
    <w:p w14:paraId="6EB251CE" w14:textId="5B2EEA1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 "uris" : [ "http://www.mendeley.com/documents/?uuid=f63b9f5d-3864-4c8a-a803-d7b88a369d0e" ] } ], "mendeley" : { "formattedCitation" : "Flanagan, p. 1.", "plainTextFormattedCitation" : "Flanagan, p. 1.", "previouslyFormattedCitation" : "Flanagan, p. 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w:t>
      </w:r>
      <w:r w:rsidRPr="00505CF0">
        <w:rPr>
          <w:rFonts w:asciiTheme="majorBidi" w:hAnsiTheme="majorBidi" w:cstheme="majorBidi"/>
        </w:rPr>
        <w:fldChar w:fldCharType="end"/>
      </w:r>
    </w:p>
  </w:footnote>
  <w:footnote w:id="490">
    <w:p w14:paraId="49F94C43" w14:textId="6DB637E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"3", "uris" : [ "http://www.mendeley.com/documents/?uuid=f63b9f5d-3864-4c8a-a803-d7b88a369d0e" ] } ], "mendeley" : { "formattedCitation" : "Flanagan, p. 3.", "plainTextFormattedCitation" : "Flanagan, p. 3.", "previouslyFormattedCitation" : "Flanagan,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3.</w:t>
      </w:r>
      <w:r w:rsidRPr="00505CF0">
        <w:rPr>
          <w:rFonts w:asciiTheme="majorBidi" w:hAnsiTheme="majorBidi" w:cstheme="majorBidi"/>
        </w:rPr>
        <w:fldChar w:fldCharType="end"/>
      </w:r>
    </w:p>
  </w:footnote>
  <w:footnote w:id="491">
    <w:p w14:paraId="7BEF8D10" w14:textId="1B42EBF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"19", "uris" : [ "http://www.mendeley.com/documents/?uuid=f63b9f5d-3864-4c8a-a803-d7b88a369d0e" ] } ], "mendeley" : { "formattedCitation" : "Flanagan, p. 19.", "plainTextFormattedCitation" : "Flanagan, p. 19.", "previouslyFormattedCitation" : "Flanagan, p. 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19.</w:t>
      </w:r>
      <w:r w:rsidRPr="00505CF0">
        <w:rPr>
          <w:rFonts w:asciiTheme="majorBidi" w:hAnsiTheme="majorBidi" w:cstheme="majorBidi"/>
        </w:rPr>
        <w:fldChar w:fldCharType="end"/>
      </w:r>
    </w:p>
  </w:footnote>
  <w:footnote w:id="492">
    <w:p w14:paraId="3003A024" w14:textId="6B33A19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"19", "uris" : [ "http://www.mendeley.com/documents/?uuid=f63b9f5d-3864-4c8a-a803-d7b88a369d0e" ] } ], "mendeley" : { "formattedCitation" : "Flanagan, p. 19.", "plainTextFormattedCitation" : "Flanagan, p. 19.", "previouslyFormattedCitation" : "Flanagan, p. 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19.</w:t>
      </w:r>
      <w:r w:rsidRPr="00505CF0">
        <w:rPr>
          <w:rFonts w:asciiTheme="majorBidi" w:hAnsiTheme="majorBidi" w:cstheme="majorBidi"/>
        </w:rPr>
        <w:fldChar w:fldCharType="end"/>
      </w:r>
    </w:p>
  </w:footnote>
  <w:footnote w:id="493">
    <w:p w14:paraId="16234C56" w14:textId="07710E6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"20", "uris" : [ "http://www.mendeley.com/documents/?uuid=f63b9f5d-3864-4c8a-a803-d7b88a369d0e" ] } ], "mendeley" : { "formattedCitation" : "Flanagan, p. 20.", "plainTextFormattedCitation" : "Flanagan, p. 20.", "previouslyFormattedCitation" : "Flanagan, p. 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20.</w:t>
      </w:r>
      <w:r w:rsidRPr="00505CF0">
        <w:rPr>
          <w:rFonts w:asciiTheme="majorBidi" w:hAnsiTheme="majorBidi" w:cstheme="majorBidi"/>
        </w:rPr>
        <w:fldChar w:fldCharType="end"/>
      </w:r>
    </w:p>
  </w:footnote>
  <w:footnote w:id="494">
    <w:p w14:paraId="63344F1D" w14:textId="4ADD2F6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"24", "uris" : [ "http://www.mendeley.com/documents/?uuid=f63b9f5d-3864-4c8a-a803-d7b88a369d0e" ] } ], "mendeley" : { "formattedCitation" : "Flanagan, p. 24.", "plainTextFormattedCitation" : "Flanagan, p. 24.", "previouslyFormattedCitation" : "Flanagan, p. 24."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24.</w:t>
      </w:r>
      <w:r w:rsidRPr="00505CF0">
        <w:rPr>
          <w:rFonts w:asciiTheme="majorBidi" w:hAnsiTheme="majorBidi" w:cstheme="majorBidi"/>
        </w:rPr>
        <w:fldChar w:fldCharType="end"/>
      </w:r>
    </w:p>
  </w:footnote>
  <w:footnote w:id="495">
    <w:p w14:paraId="5B459F05" w14:textId="35A28262" w:rsidR="00054009" w:rsidRDefault="00054009">
      <w:pPr>
        <w:pStyle w:val="FootnoteText"/>
      </w:pPr>
      <w:r>
        <w:rPr>
          <w:rStyle w:val="FootnoteReference"/>
        </w:rPr>
        <w:footnoteRef/>
      </w:r>
      <w:r>
        <w:t xml:space="preserve"> </w:t>
      </w:r>
      <w:r w:rsidRPr="00051A01">
        <w:rPr>
          <w:i/>
          <w:iCs/>
        </w:rPr>
        <w:t>ACO:</w:t>
      </w:r>
    </w:p>
  </w:footnote>
  <w:footnote w:id="496">
    <w:p w14:paraId="68CBFD80" w14:textId="718919B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"88, 130, 445-6", "uris" : [ "http://www.mendeley.com/documents/?uuid=f63b9f5d-3864-4c8a-a803-d7b88a369d0e" ] } ], "mendeley" : { "formattedCitation" : "Flanagan, pp. 88, 130, 445\u20136.", "plainTextFormattedCitation" : "Flanagan, pp. 88, 130, 445\u20136.", "previouslyFormattedCitation" : "Flanagan, pp. 88, 130, 445\u20136."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Flanagan, pp. 88, 130, 445–6.</w:t>
      </w:r>
      <w:r w:rsidRPr="00505CF0">
        <w:rPr>
          <w:rFonts w:asciiTheme="majorBidi" w:hAnsiTheme="majorBidi" w:cstheme="majorBidi"/>
        </w:rPr>
        <w:fldChar w:fldCharType="end"/>
      </w:r>
    </w:p>
  </w:footnote>
  <w:footnote w:id="497">
    <w:p w14:paraId="41D50F0F" w14:textId="2FEA5145" w:rsidR="00054009" w:rsidRPr="00701E5C" w:rsidRDefault="00054009" w:rsidP="00701E5C">
      <w:pPr>
        <w:pStyle w:val="FootnoteText"/>
        <w:rPr>
          <w:i/>
          <w:iCs/>
        </w:rPr>
      </w:pPr>
      <w:r>
        <w:rPr>
          <w:rStyle w:val="FootnoteReference"/>
        </w:rPr>
        <w:footnoteRef/>
      </w:r>
      <w:r>
        <w:t xml:space="preserve"> </w:t>
      </w:r>
      <w:r>
        <w:rPr>
          <w:i/>
          <w:iCs/>
        </w:rPr>
        <w:t xml:space="preserve">ACO: My contemporaries may be wondering why I have yet to mention the ‘highly influential’ works of Wade Arapaima , fellow Southward scholar and writer of such ‘great’ works as ‘Southward Against History: a detailed recount of the Southward Atrocities,’ ‘Southward and Me: an interview with the one,’ and ‘Southward made me a better lover.’ Such works, if the intrepid reader is interested, are still available, I’m sure, in all good discount shops, second-hand stores and from other ‘reputable’ publishers. </w:t>
      </w:r>
    </w:p>
  </w:footnote>
  <w:footnote w:id="498">
    <w:p w14:paraId="74C8FBE7" w14:textId="5C34B6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"104", "uris" : [ "http://www.mendeley.com/documents/?uuid=f63b9f5d-3864-4c8a-a803-d7b88a369d0e" ] } ], "mendeley" : { "formattedCitation" : "Flanagan, p. 104.", "plainTextFormattedCitation" : "Flanagan, p. 104.", "previouslyFormattedCitation" : "Flanagan, p. 104."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104.</w:t>
      </w:r>
      <w:r w:rsidRPr="00505CF0">
        <w:rPr>
          <w:rFonts w:asciiTheme="majorBidi" w:hAnsiTheme="majorBidi" w:cstheme="majorBidi"/>
        </w:rPr>
        <w:fldChar w:fldCharType="end"/>
      </w:r>
    </w:p>
  </w:footnote>
  <w:footnote w:id="499">
    <w:p w14:paraId="5D74B60A" w14:textId="394C646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"286", "uris" : [ "http://www.mendeley.com/documents/?uuid=f63b9f5d-3864-4c8a-a803-d7b88a369d0e" ] } ], "mendeley" : { "formattedCitation" : "Flanagan, p. 286.", "plainTextFormattedCitation" : "Flanagan, p. 286.", "previouslyFormattedCitation" : "Flanagan, p. 286."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286.</w:t>
      </w:r>
      <w:r w:rsidRPr="00505CF0">
        <w:rPr>
          <w:rFonts w:asciiTheme="majorBidi" w:hAnsiTheme="majorBidi" w:cstheme="majorBidi"/>
        </w:rPr>
        <w:fldChar w:fldCharType="end"/>
      </w:r>
    </w:p>
  </w:footnote>
  <w:footnote w:id="500">
    <w:p w14:paraId="617897D7" w14:textId="38C8085D"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"Hood", "given" : "Robert", "non-dropping-particle" : "", "parse-names" : false, "suffix" : "" } ], "chapter-number" : "24", "container-title" : "21st-century Gothic: Great Gothic Novels since 2000", "editor" : [ { "dropping-particle" : "", "family" : "Olson", "given" : "Daniel", "non-dropping-particle" : "", "parse-names" : false, "suffix" : "" } ], "id" : "ITEM-1", "issued" : { "date-parts" : [ [ "2011" ] ] }, "note" : "in its labyrinthine way, Gould's Book of Fish is about mutability of narrative, indeed of reality itself. Words, as the couriers of imaginative power and desire, take the world and turn it into something else - convict to artist, fiction to history, man to fish. This transmogrification takes place at the level of Flanagan's writing and questions its relationship with history itself. Flanagan's use of Gothic imagery and themes allows him to gorge a complex vision of the present's relationship with the past and to meditate on the dark passions and cruelties that are the result of the will to dominate and control. p.267\n\nFlanagan has used these Gothic qualities to powerfully retell history, to force it to reveal the truths that &amp;quot;authority&amp;quot; has clouded and hidden from view. In the end, the novel meditates on the cost of the human desire to control, to manipulate history, that governments - and perhaps all of us - are prone to. perhaps it is best, then, to transform oneself, casting off the oppressive human form to live as a fish, free to swim the depths and watch the endless procession of human history as it goes its fraudulant, cruel, and controlling way. p.267", "page" : "258-269", "publisher" : "The Scarecrow Press, inc.", "publisher-place" : "Plymouth", "title" : "Making Fish Out of Men: Gothic Uncertainty in Gould's Book of Fish by Richard Flanagan", "type" : "chapter" }, "locator" : "267", "uris" : [ "http://www.mendeley.com/documents/?uuid=3c1a2e2f-5dc5-4e85-a332-44f841b3ce55" ] } ], "mendeley" : { "formattedCitation" : "Robert Hood, \u2018Making Fish Out of Men: Gothic Uncertainty in Gould\u2019s Book of Fish by Richard Flanagan\u2019, in &lt;i&gt;21st-century Gothic: Great Gothic Novels since 2000&lt;/i&gt;, ed. by Daniel Olson (Plymouth: The Scarecrow Press, inc., 2011), pp. 258\u2013269 (p. 267).", "plainTextFormattedCitation" : "Robert Hood, \u2018Making Fish Out of Men: Gothic Uncertainty in Gould\u2019s Book of Fish by Richard Flanagan\u2019, in 21st-century Gothic: Great Gothic Novels since 2000, ed. by Daniel Olson (Plymouth: The Scarecrow Press, inc., 2011), pp. 258\u2013269 (p. 267).", "previouslyFormattedCitation" : "Robert Hood, \u2018Making Fish Out of Men: Gothic Uncertainty in Gould\u2019s Book of Fish by Richard Flanagan\u2019, in &lt;i&gt;21st-century Gothic: Great Gothic Novels since 2000&lt;/i&gt;, ed. by Daniel Olson (Plymouth: The Scarecrow Press, inc., 2011), pp. 258\u2013269 (p. 267)."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Robert Hood, ‘Making Fish Out of Men: Gothic Uncertainty in Gould’s Book of Fish by Richard Flanagan’, in </w:t>
      </w:r>
      <w:r w:rsidRPr="0025171E">
        <w:rPr>
          <w:rFonts w:asciiTheme="majorBidi" w:hAnsiTheme="majorBidi" w:cstheme="majorBidi"/>
          <w:i/>
          <w:noProof/>
        </w:rPr>
        <w:t>21st-century Gothic: Great Gothic Novels since 2000</w:t>
      </w:r>
      <w:r w:rsidRPr="0025171E">
        <w:rPr>
          <w:rFonts w:asciiTheme="majorBidi" w:hAnsiTheme="majorBidi" w:cstheme="majorBidi"/>
          <w:noProof/>
        </w:rPr>
        <w:t>, ed. by Daniel Olson (Plymouth: The Scarecrow Press, inc., 2011), pp. 258–269 (p. 267).</w:t>
      </w:r>
      <w:r w:rsidRPr="00505CF0">
        <w:rPr>
          <w:rFonts w:asciiTheme="majorBidi" w:hAnsiTheme="majorBidi" w:cstheme="majorBidi"/>
        </w:rPr>
        <w:fldChar w:fldCharType="end"/>
      </w:r>
    </w:p>
  </w:footnote>
  <w:footnote w:id="501">
    <w:p w14:paraId="6A65F6C2" w14:textId="26BE045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"Hood", "given" : "Robert", "non-dropping-particle" : "", "parse-names" : false, "suffix" : "" } ], "chapter-number" : "24", "container-title" : "21st-century Gothic: Great Gothic Novels since 2000", "editor" : [ { "dropping-particle" : "", "family" : "Olson", "given" : "Daniel", "non-dropping-particle" : "", "parse-names" : false, "suffix" : "" } ], "id" : "ITEM-1", "issued" : { "date-parts" : [ [ "2011" ] ] }, "note" : "in its labyrinthine way, Gould's Book of Fish is about mutability of narrative, indeed of reality itself. Words, as the couriers of imaginative power and desire, take the world and turn it into something else - convict to artist, fiction to history, man to fish. This transmogrification takes place at the level of Flanagan's writing and questions its relationship with history itself. Flanagan's use of Gothic imagery and themes allows him to gorge a complex vision of the present's relationship with the past and to meditate on the dark passions and cruelties that are the result of the will to dominate and control. p.267\n\nFlanagan has used these Gothic qualities to powerfully retell history, to force it to reveal the truths that &amp;quot;authority&amp;quot; has clouded and hidden from view. In the end, the novel meditates on the cost of the human desire to control, to manipulate history, that governments - and perhaps all of us - are prone to. perhaps it is best, then, to transform oneself, casting off the oppressive human form to live as a fish, free to swim the depths and watch the endless procession of human history as it goes its fraudulant, cruel, and controlling way. p.267", "page" : "258-269", "publisher" : "The Scarecrow Press, inc.", "publisher-place" : "Plymouth", "title" : "Making Fish Out of Men: Gothic Uncertainty in Gould's Book of Fish by Richard Flanagan", "type" : "chapter" }, "locator" : "267", "uris" : [ "http://www.mendeley.com/documents/?uuid=3c1a2e2f-5dc5-4e85-a332-44f841b3ce55" ] } ], "mendeley" : { "formattedCitation" : "Hood, p. 267.", "plainTextFormattedCitation" : "Hood, p. 267.", "previouslyFormattedCitation" : "Hood, p. 267."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Hood, p. 267.</w:t>
      </w:r>
      <w:r w:rsidRPr="00505CF0">
        <w:rPr>
          <w:rFonts w:asciiTheme="majorBidi" w:hAnsiTheme="majorBidi" w:cstheme="majorBidi"/>
        </w:rPr>
        <w:fldChar w:fldCharType="end"/>
      </w:r>
    </w:p>
  </w:footnote>
  <w:footnote w:id="502">
    <w:p w14:paraId="64B860A4" w14:textId="5714BFE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"18", "uris" : [ "http://www.mendeley.com/documents/?uuid=f63b9f5d-3864-4c8a-a803-d7b88a369d0e" ] } ], "mendeley" : { "formattedCitation" : "Flanagan, p. 18.", "plainTextFormattedCitation" : "Flanagan, p. 18.", "previouslyFormattedCitation" : "Flanagan, p. 18."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18.</w:t>
      </w:r>
      <w:r w:rsidRPr="00505CF0">
        <w:rPr>
          <w:rFonts w:asciiTheme="majorBidi" w:hAnsiTheme="majorBidi" w:cstheme="majorBidi"/>
        </w:rPr>
        <w:fldChar w:fldCharType="end"/>
      </w:r>
    </w:p>
  </w:footnote>
  <w:footnote w:id="503">
    <w:p w14:paraId="10607090"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This being the original intention of the book as seen in the 1st edition, 2002, and subsequent hardback edition published the same year, though the 2014 re-print curiously decides to remove these replicas.</w:t>
      </w:r>
    </w:p>
  </w:footnote>
  <w:footnote w:id="504">
    <w:p w14:paraId="5ECAF6E3" w14:textId="3EE7A51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"45", "uris" : [ "http://www.mendeley.com/documents/?uuid=f63b9f5d-3864-4c8a-a803-d7b88a369d0e" ] } ], "mendeley" : { "formattedCitation" : "Flanagan, p. 45.", "plainTextFormattedCitation" : "Flanagan, p. 45.", "previouslyFormattedCitation" : "Flanagan, p. 45."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45.</w:t>
      </w:r>
      <w:r w:rsidRPr="00505CF0">
        <w:rPr>
          <w:rFonts w:asciiTheme="majorBidi" w:hAnsiTheme="majorBidi" w:cstheme="majorBidi"/>
        </w:rPr>
        <w:fldChar w:fldCharType="end"/>
      </w:r>
    </w:p>
  </w:footnote>
  <w:footnote w:id="505">
    <w:p w14:paraId="2B6E539C" w14:textId="2366CE7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"125-6", "uris" : [ "http://www.mendeley.com/documents/?uuid=f63b9f5d-3864-4c8a-a803-d7b88a369d0e" ] } ], "mendeley" : { "formattedCitation" : "Flanagan, pp. 125\u20136.", "plainTextFormattedCitation" : "Flanagan, pp. 125\u20136.", "previouslyFormattedCitation" : "Flanagan, pp. 125\u20136."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Flanagan, pp. 125–6.</w:t>
      </w:r>
      <w:r w:rsidRPr="00505CF0">
        <w:rPr>
          <w:rFonts w:asciiTheme="majorBidi" w:hAnsiTheme="majorBidi" w:cstheme="majorBidi"/>
        </w:rPr>
        <w:fldChar w:fldCharType="end"/>
      </w:r>
    </w:p>
  </w:footnote>
  <w:footnote w:id="506">
    <w:p w14:paraId="723B4651" w14:textId="7814C814" w:rsidR="00054009" w:rsidRDefault="00054009">
      <w:pPr>
        <w:pStyle w:val="FootnoteText"/>
      </w:pPr>
      <w:r>
        <w:rPr>
          <w:rStyle w:val="FootnoteReference"/>
        </w:rPr>
        <w:footnoteRef/>
      </w:r>
      <w:r>
        <w:t xml:space="preserve"> </w:t>
      </w:r>
      <w:r w:rsidRPr="00AE6788">
        <w:rPr>
          <w:i/>
          <w:iCs/>
        </w:rPr>
        <w:t>ACO: Southward’s notes too mention the sailor of the Meghan and the Maya, Timmy Vermeulen, though it seems he became obsessed with chasing the man down, even going so far as to stalk the man to his native Sweden and there discover that he was too late. In the time it took Southward to track the second mate down, it seems Vermeulen had taken to drink and, at a local bar, find himself at a disadvantage against two Esquimaux seeming sailors, who dispatched of the poor man most horribly with meat hooks.</w:t>
      </w:r>
    </w:p>
  </w:footnote>
  <w:footnote w:id="507">
    <w:p w14:paraId="428A45CA" w14:textId="7B56216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"10", "uris" : [ "http://www.mendeley.com/documents/?uuid=f63b9f5d-3864-4c8a-a803-d7b88a369d0e" ] } ], "mendeley" : { "formattedCitation" : "Flanagan, p. 10.", "plainTextFormattedCitation" : "Flanagan, p. 10.", "previouslyFormattedCitation" : "Flanagan, p. 10."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10.</w:t>
      </w:r>
      <w:r w:rsidRPr="00505CF0">
        <w:rPr>
          <w:rFonts w:asciiTheme="majorBidi" w:hAnsiTheme="majorBidi" w:cstheme="majorBidi"/>
        </w:rPr>
        <w:fldChar w:fldCharType="end"/>
      </w:r>
    </w:p>
  </w:footnote>
  <w:footnote w:id="508">
    <w:p w14:paraId="4DA4201D" w14:textId="2B18DAB3"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xml:space="preserve">: End of transcript splice. </w:t>
      </w:r>
    </w:p>
  </w:footnote>
  <w:footnote w:id="509">
    <w:p w14:paraId="2C70C82F" w14:textId="5FD19B7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"402-3", "uris" : [ "http://www.mendeley.com/documents/?uuid=f63b9f5d-3864-4c8a-a803-d7b88a369d0e" ] } ], "mendeley" : { "formattedCitation" : "Flanagan, pp. 402\u20133.", "plainTextFormattedCitation" : "Flanagan, pp. 402\u20133.", "previouslyFormattedCitation" : "Flanagan, pp. 402\u20133."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pp. 402–3.</w:t>
      </w:r>
      <w:r w:rsidRPr="00505CF0">
        <w:rPr>
          <w:rFonts w:asciiTheme="majorBidi" w:hAnsiTheme="majorBidi" w:cstheme="majorBidi"/>
        </w:rPr>
        <w:fldChar w:fldCharType="end"/>
      </w:r>
    </w:p>
  </w:footnote>
  <w:footnote w:id="510">
    <w:p w14:paraId="7DBC9022" w14:textId="19C13DC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"1, 255", "uris" : [ "http://www.mendeley.com/documents/?uuid=21e82338-afa8-49a1-9514-6fb4d9d73e3b" ] } ], "mendeley" : { "formattedCitation" : "John Burnside, &lt;i&gt;Glister&lt;/i&gt; (London: Vintage Books, 2009), pp. 1, 255.", "plainTextFormattedCitation" : "John Burnside, Glister (London: Vintage Books, 2009), pp. 1, 255.", "previouslyFormattedCitation" : "John Burnside, &lt;i&gt;Glister&lt;/i&gt; (London: Vintage Books, 2009), pp. 1, 255."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John Burnside, </w:t>
      </w:r>
      <w:r w:rsidRPr="00505CF0">
        <w:rPr>
          <w:rFonts w:asciiTheme="majorBidi" w:hAnsiTheme="majorBidi" w:cstheme="majorBidi"/>
          <w:i/>
          <w:noProof/>
        </w:rPr>
        <w:t>Glister</w:t>
      </w:r>
      <w:r w:rsidRPr="00505CF0">
        <w:rPr>
          <w:rFonts w:asciiTheme="majorBidi" w:hAnsiTheme="majorBidi" w:cstheme="majorBidi"/>
          <w:noProof/>
        </w:rPr>
        <w:t xml:space="preserve"> (London: Vintage Books, 2009), pp. 1, 255.</w:t>
      </w:r>
      <w:r w:rsidRPr="00505CF0">
        <w:rPr>
          <w:rFonts w:asciiTheme="majorBidi" w:hAnsiTheme="majorBidi" w:cstheme="majorBidi"/>
        </w:rPr>
        <w:fldChar w:fldCharType="end"/>
      </w:r>
    </w:p>
  </w:footnote>
  <w:footnote w:id="511">
    <w:p w14:paraId="45F2591E" w14:textId="6A743CB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"27", "uris" : [ "http://www.mendeley.com/documents/?uuid=21e82338-afa8-49a1-9514-6fb4d9d73e3b" ] } ], "mendeley" : { "formattedCitation" : "Burnside, p. 27.", "plainTextFormattedCitation" : "Burnside, p. 27.", "previouslyFormattedCitation" : "Burnside, p. 27."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27.</w:t>
      </w:r>
      <w:r w:rsidRPr="00505CF0">
        <w:rPr>
          <w:rFonts w:asciiTheme="majorBidi" w:hAnsiTheme="majorBidi" w:cstheme="majorBidi"/>
        </w:rPr>
        <w:fldChar w:fldCharType="end"/>
      </w:r>
    </w:p>
  </w:footnote>
  <w:footnote w:id="512">
    <w:p w14:paraId="7D51BBF8" w14:textId="2DDB6E1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"29-30", "uris" : [ "http://www.mendeley.com/documents/?uuid=21e82338-afa8-49a1-9514-6fb4d9d73e3b" ] } ], "mendeley" : { "formattedCitation" : "Burnside, pp. 29\u201330.", "plainTextFormattedCitation" : "Burnside, pp. 29\u201330.", "previouslyFormattedCitation" : "Burnside, pp. 29\u201330."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pp. 29–30.</w:t>
      </w:r>
      <w:r w:rsidRPr="00505CF0">
        <w:rPr>
          <w:rFonts w:asciiTheme="majorBidi" w:hAnsiTheme="majorBidi" w:cstheme="majorBidi"/>
        </w:rPr>
        <w:fldChar w:fldCharType="end"/>
      </w:r>
    </w:p>
  </w:footnote>
  <w:footnote w:id="513">
    <w:p w14:paraId="43A524C3" w14:textId="22BCE56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"209", "uris" : [ "http://www.mendeley.com/documents/?uuid=21e82338-afa8-49a1-9514-6fb4d9d73e3b" ] } ], "mendeley" : { "formattedCitation" : "Burnside, p. 209.", "plainTextFormattedCitation" : "Burnside, p. 209.", "previouslyFormattedCitation" : "Burnside, p. 209."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209.</w:t>
      </w:r>
      <w:r w:rsidRPr="00505CF0">
        <w:rPr>
          <w:rFonts w:asciiTheme="majorBidi" w:hAnsiTheme="majorBidi" w:cstheme="majorBidi"/>
        </w:rPr>
        <w:fldChar w:fldCharType="end"/>
      </w:r>
    </w:p>
  </w:footnote>
  <w:footnote w:id="514">
    <w:p w14:paraId="3180167F" w14:textId="772E6ED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 "uris" : [ "http://www.mendeley.com/documents/?uuid=21e82338-afa8-49a1-9514-6fb4d9d73e3b" ] } ], "mendeley" : { "formattedCitation" : "Burnside, p. 2.", "plainTextFormattedCitation" : "Burnside, p. 2.", "previouslyFormattedCitation" : "Burnside,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w:t>
      </w:r>
      <w:r w:rsidRPr="00505CF0">
        <w:rPr>
          <w:rFonts w:asciiTheme="majorBidi" w:hAnsiTheme="majorBidi" w:cstheme="majorBidi"/>
        </w:rPr>
        <w:fldChar w:fldCharType="end"/>
      </w:r>
    </w:p>
  </w:footnote>
  <w:footnote w:id="515">
    <w:p w14:paraId="19EBCED2" w14:textId="15C0CDB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"254", "uris" : [ "http://www.mendeley.com/documents/?uuid=21e82338-afa8-49a1-9514-6fb4d9d73e3b" ] } ], "mendeley" : { "formattedCitation" : "Burnside, p. 254.", "plainTextFormattedCitation" : "Burnside, p. 254.", "previouslyFormattedCitation" : "Burnside, p. 254."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254.</w:t>
      </w:r>
      <w:r w:rsidRPr="00505CF0">
        <w:rPr>
          <w:rFonts w:asciiTheme="majorBidi" w:hAnsiTheme="majorBidi" w:cstheme="majorBidi"/>
        </w:rPr>
        <w:fldChar w:fldCharType="end"/>
      </w:r>
    </w:p>
  </w:footnote>
  <w:footnote w:id="516">
    <w:p w14:paraId="066A091D" w14:textId="7B338FC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"1,3", "uris" : [ "http://www.mendeley.com/documents/?uuid=21e82338-afa8-49a1-9514-6fb4d9d73e3b" ] } ], "mendeley" : { "formattedCitation" : "Burnside, p. 1,3.", "plainTextFormattedCitation" : "Burnside, p. 1,3.", "previouslyFormattedCitation" : "Burnside, p. 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1,3.</w:t>
      </w:r>
      <w:r w:rsidRPr="00505CF0">
        <w:rPr>
          <w:rFonts w:asciiTheme="majorBidi" w:hAnsiTheme="majorBidi" w:cstheme="majorBidi"/>
        </w:rPr>
        <w:fldChar w:fldCharType="end"/>
      </w:r>
    </w:p>
  </w:footnote>
  <w:footnote w:id="517">
    <w:p w14:paraId="2CEC4134" w14:textId="5B33A19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"243", "uris" : [ "http://www.mendeley.com/documents/?uuid=21e82338-afa8-49a1-9514-6fb4d9d73e3b" ] } ], "mendeley" : { "formattedCitation" : "Burnside, p. 243.", "plainTextFormattedCitation" : "Burnside, p. 243.", "previouslyFormattedCitation" : "Burnside, p. 243."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243.</w:t>
      </w:r>
      <w:r w:rsidRPr="00505CF0">
        <w:rPr>
          <w:rFonts w:asciiTheme="majorBidi" w:hAnsiTheme="majorBidi" w:cstheme="majorBidi"/>
        </w:rPr>
        <w:fldChar w:fldCharType="end"/>
      </w:r>
    </w:p>
  </w:footnote>
  <w:footnote w:id="518">
    <w:p w14:paraId="7E8E2D0C" w14:textId="0DC02DB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"Simmons", "given" : "Dan", "non-dropping-particle" : "", "parse-names" : false, "suffix" : "" } ], "id" : "ITEM-1", "issued" : { "date-parts" : [ [ "2007" ] ] }, "publisher" : "Bantam Press", "publisher-place" : "Reading", "title" : "The Terror", "type" : "book" }, "locator" : "866", "uris" : [ "http://www.mendeley.com/documents/?uuid=b5f2cbbb-d919-4f09-9a7b-48741396ac26" ] } ], "mendeley" : { "formattedCitation" : "Dan Simmons, &lt;i&gt;The Terror&lt;/i&gt; (Reading: Bantam Press, 2007), p. 866.", "plainTextFormattedCitation" : "Dan Simmons, The Terror (Reading: Bantam Press, 2007), p. 866.", "previouslyFormattedCitation" : "Dan Simmons, &lt;i&gt;The Terror&lt;/i&gt; (Reading: Bantam Press, 2007), p. 866."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 Simmons, </w:t>
      </w:r>
      <w:r w:rsidRPr="00505CF0">
        <w:rPr>
          <w:rFonts w:asciiTheme="majorBidi" w:hAnsiTheme="majorBidi" w:cstheme="majorBidi"/>
          <w:i/>
          <w:noProof/>
        </w:rPr>
        <w:t>The Terror</w:t>
      </w:r>
      <w:r w:rsidRPr="00505CF0">
        <w:rPr>
          <w:rFonts w:asciiTheme="majorBidi" w:hAnsiTheme="majorBidi" w:cstheme="majorBidi"/>
          <w:noProof/>
        </w:rPr>
        <w:t xml:space="preserve"> (Reading: Bantam Press, 2007), p. 866.</w:t>
      </w:r>
      <w:r w:rsidRPr="00505CF0">
        <w:rPr>
          <w:rFonts w:asciiTheme="majorBidi" w:hAnsiTheme="majorBidi" w:cstheme="majorBidi"/>
        </w:rPr>
        <w:fldChar w:fldCharType="end"/>
      </w:r>
    </w:p>
  </w:footnote>
  <w:footnote w:id="519">
    <w:p w14:paraId="2F63184D"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Creature of the spirit world designed to do a specific purpose as ordained by the creator-god</w:t>
      </w:r>
    </w:p>
  </w:footnote>
  <w:footnote w:id="520">
    <w:p w14:paraId="07A80E07"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Inuat peoples. </w:t>
      </w:r>
    </w:p>
  </w:footnote>
  <w:footnote w:id="521">
    <w:p w14:paraId="552EE408" w14:textId="6F53268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"Simmons", "given" : "Dan", "non-dropping-particle" : "", "parse-names" : false, "suffix" : "" } ], "id" : "ITEM-1", "issued" : { "date-parts" : [ [ "2007" ] ] }, "publisher" : "Bantam Press", "publisher-place" : "Reading", "title" : "The Terror", "type" : "book" }, "locator" : "868-9", "uris" : [ "http://www.mendeley.com/documents/?uuid=b5f2cbbb-d919-4f09-9a7b-48741396ac26" ] } ], "mendeley" : { "formattedCitation" : "Simmons, pp. 868\u20139.", "plainTextFormattedCitation" : "Simmons, pp. 868\u20139.", "previouslyFormattedCitation" : "Simmons, pp. 868\u20139."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Simmons, pp. 868–9.</w:t>
      </w:r>
      <w:r w:rsidRPr="00505CF0">
        <w:rPr>
          <w:rFonts w:asciiTheme="majorBidi" w:hAnsiTheme="majorBidi" w:cstheme="majorBidi"/>
        </w:rPr>
        <w:fldChar w:fldCharType="end"/>
      </w:r>
    </w:p>
  </w:footnote>
  <w:footnote w:id="522">
    <w:p w14:paraId="02EED74F" w14:textId="3ADC48A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"Simmons", "given" : "Dan", "non-dropping-particle" : "", "parse-names" : false, "suffix" : "" } ], "id" : "ITEM-1", "issued" : { "date-parts" : [ [ "2007" ] ] }, "publisher" : "Bantam Press", "publisher-place" : "Reading", "title" : "The Terror", "type" : "book" }, "locator" : "865", "uris" : [ "http://www.mendeley.com/documents/?uuid=b5f2cbbb-d919-4f09-9a7b-48741396ac26" ] } ], "mendeley" : { "formattedCitation" : "Simmons, p. 865.", "plainTextFormattedCitation" : "Simmons, p. 865.", "previouslyFormattedCitation" : "Simmons, p. 865."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Simmons, p. 865.</w:t>
      </w:r>
      <w:r w:rsidRPr="00505CF0">
        <w:rPr>
          <w:rFonts w:asciiTheme="majorBidi" w:hAnsiTheme="majorBidi" w:cstheme="majorBidi"/>
        </w:rPr>
        <w:fldChar w:fldCharType="end"/>
      </w:r>
    </w:p>
  </w:footnote>
  <w:footnote w:id="523">
    <w:p w14:paraId="1FC6A15B" w14:textId="74FAA7B1" w:rsidR="00054009" w:rsidRPr="006568AC"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proofErr w:type="gramStart"/>
      <w:r w:rsidRPr="00505CF0">
        <w:rPr>
          <w:rFonts w:asciiTheme="majorBidi" w:hAnsiTheme="majorBidi" w:cstheme="majorBidi"/>
          <w:i/>
        </w:rPr>
        <w:t>Ph'nglui mglw'nafh Cthulhu R'lyeh wgah'nagl fhtagn</w:t>
      </w:r>
      <w:r>
        <w:rPr>
          <w:rFonts w:asciiTheme="majorBidi" w:hAnsiTheme="majorBidi" w:cstheme="majorBidi"/>
          <w:i/>
        </w:rPr>
        <w:t xml:space="preserve"> </w:t>
      </w:r>
      <w:r w:rsidRPr="006568AC">
        <w:rPr>
          <w:rFonts w:asciiTheme="majorBidi" w:hAnsiTheme="majorBidi" w:cstheme="majorBidi"/>
        </w:rPr>
        <w:t>(</w:t>
      </w:r>
      <w:r>
        <w:rPr>
          <w:rFonts w:asciiTheme="majorBidi" w:hAnsiTheme="majorBidi" w:cstheme="majorBidi"/>
        </w:rPr>
        <w:t>and other clichéd references).</w:t>
      </w:r>
      <w:proofErr w:type="gramEnd"/>
      <w:r>
        <w:rPr>
          <w:rFonts w:asciiTheme="majorBidi" w:hAnsiTheme="majorBidi" w:cstheme="majorBidi"/>
        </w:rPr>
        <w:t xml:space="preserve">  </w:t>
      </w:r>
    </w:p>
  </w:footnote>
  <w:footnote w:id="524">
    <w:p w14:paraId="2228E79F" w14:textId="65752983"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‘Whilst on the masonry of that charnel shore that was not of earth the titan Thing from the stars slavered and gibbered like Polypheme cursing the fleeing ship of Odysseus. Then, bolder than the storied Cyclops, great Cthulhu slid greasily into the water and began to pursue with vast wave-raising strokes of cosmic potency. Briden looked back and went mad.’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"http://www.hplovecraft.com/writings/texts/fiction/cc.aspx", "accessed" : { "date-parts" : [ [ "2017", "12", "29" ] ] }, "author" : [ { "dropping-particle" : "", "family" : "Lovecraft", "given" : "H.P.", "non-dropping-particle" : "", "parse-names" : false, "suffix" : "" } ], "container-title" : "HPLovecraft.com", "id" : "ITEM-1", "issued" : { "date-parts" : [ [ "0" ] ] }, "title" : "The Call of Cthulhu", "type" : "webpage" }, "uris" : [ "http://www.mendeley.com/documents/?uuid=09393084-49d4-4086-86ef-cbc95367e057" ] } ], "mendeley" : { "formattedCitation" : "H.P. Lovecraft, \u2018The Call of Cthulhu\u2019, &lt;i&gt;HPLovecraft.com&lt;/i&gt; &lt;http://www.hplovecraft.com/writings/texts/fiction/cc.aspx&gt; [accessed 29 December 2017].", "plainTextFormattedCitation" : "H.P. Lovecraft, \u2018The Call of Cthulhu\u2019, HPLovecraft.com  [accessed 29 December 2017].", "previouslyFormattedCitation" : "H.P. Lovecraft, \u2018The Call of Cthulhu\u2019, &lt;i&gt;HPLovecraft.com&lt;/i&gt; &lt;http://www.hplovecraft.com/writings/texts/fiction/cc.aspx&gt; [accessed 29 December 2017]."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H.P. Lovecraft, ‘The Call of Cthulhu’, </w:t>
      </w:r>
      <w:r w:rsidRPr="0025171E">
        <w:rPr>
          <w:rFonts w:asciiTheme="majorBidi" w:hAnsiTheme="majorBidi" w:cstheme="majorBidi"/>
          <w:i/>
          <w:noProof/>
        </w:rPr>
        <w:t>HPLovecraft.com</w:t>
      </w:r>
      <w:r w:rsidRPr="0025171E">
        <w:rPr>
          <w:rFonts w:asciiTheme="majorBidi" w:hAnsiTheme="majorBidi" w:cstheme="majorBidi"/>
          <w:noProof/>
        </w:rPr>
        <w:t xml:space="preserve"> &lt;http://www.hplovecraft.com/writings/texts/fiction/cc.aspx&gt; [accessed 29 December 2017].</w:t>
      </w:r>
      <w:r w:rsidRPr="00505CF0">
        <w:rPr>
          <w:rFonts w:asciiTheme="majorBidi" w:hAnsiTheme="majorBidi" w:cstheme="majorBidi"/>
        </w:rPr>
        <w:fldChar w:fldCharType="end"/>
      </w:r>
    </w:p>
  </w:footnote>
  <w:footnote w:id="525">
    <w:p w14:paraId="164A74CA" w14:textId="10C6E39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In which Lovecraftian heritage is discussed, pastiched, parodied and made light of, all from a position of affection</w:t>
      </w:r>
      <w:r>
        <w:rPr>
          <w:rFonts w:asciiTheme="majorBidi" w:hAnsiTheme="majorBidi" w:cstheme="majorBidi"/>
        </w:rPr>
        <w:t>.</w:t>
      </w:r>
    </w:p>
  </w:footnote>
  <w:footnote w:id="526">
    <w:p w14:paraId="416F1B6F" w14:textId="50A2435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"Simmons", "given" : "Dan", "non-dropping-particle" : "", "parse-names" : false, "suffix" : "" } ], "id" : "ITEM-1", "issued" : { "date-parts" : [ [ "2007" ] ] }, "publisher" : "Bantam Press", "publisher-place" : "Reading", "title" : "The Terror", "type" : "book" }, "locator" : "917", "uris" : [ "http://www.mendeley.com/documents/?uuid=b5f2cbbb-d919-4f09-9a7b-48741396ac26" ] } ], "mendeley" : { "formattedCitation" : "Simmons, p. 917.", "plainTextFormattedCitation" : "Simmons, p. 917.", "previouslyFormattedCitation" : "Simmons, p. 917."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Simmons, p. 917.</w:t>
      </w:r>
      <w:r w:rsidRPr="00505CF0">
        <w:rPr>
          <w:rFonts w:asciiTheme="majorBidi" w:hAnsiTheme="majorBidi" w:cstheme="majorBidi"/>
        </w:rPr>
        <w:fldChar w:fldCharType="end"/>
      </w:r>
    </w:p>
  </w:footnote>
  <w:footnote w:id="527">
    <w:p w14:paraId="5E7C580D"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Soul</w:t>
      </w:r>
    </w:p>
  </w:footnote>
  <w:footnote w:id="528">
    <w:p w14:paraId="634AC5AF" w14:textId="6B534BF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"Simmons", "given" : "Dan", "non-dropping-particle" : "", "parse-names" : false, "suffix" : "" } ], "id" : "ITEM-1", "issued" : { "date-parts" : [ [ "2007" ] ] }, "publisher" : "Bantam Press", "publisher-place" : "Reading", "title" : "The Terror", "type" : "book" }, "locator" : "935-6", "uris" : [ "http://www.mendeley.com/documents/?uuid=b5f2cbbb-d919-4f09-9a7b-48741396ac26" ] } ], "mendeley" : { "formattedCitation" : "Simmons, pp. 935\u20136.", "plainTextFormattedCitation" : "Simmons, pp. 935\u20136.", "previouslyFormattedCitation" : "Simmons, pp. 935\u20136."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Simmons, pp. 935–6.</w:t>
      </w:r>
      <w:r w:rsidRPr="00505CF0">
        <w:rPr>
          <w:rFonts w:asciiTheme="majorBidi" w:hAnsiTheme="majorBidi" w:cstheme="majorBidi"/>
        </w:rPr>
        <w:fldChar w:fldCharType="end"/>
      </w:r>
    </w:p>
  </w:footnote>
  <w:footnote w:id="529">
    <w:p w14:paraId="251DF6A9" w14:textId="689A8C31" w:rsidR="00054009" w:rsidRDefault="00054009">
      <w:pPr>
        <w:pStyle w:val="FootnoteText"/>
      </w:pPr>
      <w:r>
        <w:rPr>
          <w:rStyle w:val="FootnoteReference"/>
        </w:rPr>
        <w:footnoteRef/>
      </w:r>
      <w:r>
        <w:t xml:space="preserve"> </w:t>
      </w:r>
      <w:r w:rsidRPr="00AE6788">
        <w:rPr>
          <w:i/>
          <w:iCs/>
        </w:rPr>
        <w:t>ACO: Southward’s notes on Vermeulen are more diary form at this point and his information on the man’s death come straight from Vermeulen’s widow, a woman described as strangely knowing, but somehow repulsive and ocean-smelling, though this may have been Vermeulen’s house itself – by the sea as it was and, Southward takes pains to note, perpetually chilled inside, though the widow wrapped up warm in some form of seal furs.. Southward notes her eyes, in particular, as a very light and strange shade of green, bordering on the yellow. Vermeulen’s wife gives Southward a manuscript left to her by her late husband, another artefact contained within Eyestan’s cache.</w:t>
      </w:r>
    </w:p>
  </w:footnote>
  <w:footnote w:id="530">
    <w:p w14:paraId="468EB80B" w14:textId="08DA879B"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 xml:space="preserve">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w:instrText>
      </w:r>
      <w:r w:rsidRPr="00FE7EAF">
        <w:rPr>
          <w:rFonts w:asciiTheme="majorBidi" w:hAnsiTheme="majorBidi" w:cstheme="majorBidi"/>
          <w:lang w:val="nl-NL"/>
        </w:rPr>
        <w:instrText>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Vermeulen and van den Akker, ‘Notes on Metamodernism’, p. 2.</w:t>
      </w:r>
      <w:r w:rsidRPr="00505CF0">
        <w:rPr>
          <w:rFonts w:asciiTheme="majorBidi" w:hAnsiTheme="majorBidi" w:cstheme="majorBidi"/>
        </w:rPr>
        <w:fldChar w:fldCharType="end"/>
      </w:r>
    </w:p>
  </w:footnote>
  <w:footnote w:id="531">
    <w:p w14:paraId="6C37664B" w14:textId="67ADEBD3"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"author" : [ { "dropping-particle" : "", "family" : "Olsen", "given" : "Daniel", "non-dropping-particle" : "", "parse-names" : false, "suffix" : "" } ], "container-title" : "21st-century Gothic: Great Gothic Novels since 2000", "editor" : [ { "dropping-particle" : "", "family" : "Olson", "given" : "Daniel", "non-dropping-particle" : "", "parse-names" : false, "suffix" : "" } ], "id" : "ITEM-1", "issued" : { "date-parts" : [ [ "2011" ] ] }, "note" : "Dry academic discussion implies that these works are mostly intellectual puzzles, or some chaos to put in order. I sense they are more. They intend to chill and astonish, and they mean to be felt. p.xxii", "page" : "xxi-xxxiii", "publisher" : "The Scarecrow Press, inc.", "publisher-place" : "Plymouth", "title" : "Introduction", "type" : "chapter" }, "locator" : "xxii", "uris" : [ "http://www.mendeley.com/documents/?uuid=6e27ab69-dbd3-4ff7-bdf5-ccdace3a31c7" ] } ], "mendeley" : { "formattedCitation" : "Olsen, p. xxii.", "plainTextFormattedCitation" : "Olsen, p. xxii.", "previouslyFormattedCitation" : "Olsen, p. xxii."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Olsen, p. xxii.</w:t>
      </w:r>
      <w:r w:rsidRPr="00505CF0">
        <w:rPr>
          <w:rFonts w:asciiTheme="majorBidi" w:hAnsiTheme="majorBidi" w:cstheme="majorBidi"/>
        </w:rPr>
        <w:fldChar w:fldCharType="end"/>
      </w:r>
    </w:p>
  </w:footnote>
  <w:footnote w:id="532">
    <w:p w14:paraId="245C4575" w14:textId="374AA207"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"author" : [ { "dropping-particle" : "", "family" : "Olsen", "given" : "Daniel", "non-dropping-particle" : "", "parse-names" : false, "suffix" : "" } ], "container-title" : "21st-century Gothic: Great Gothic Novels since 2000", "editor" : [ { "dropping-particle" : "", "family" : "Olson", "given" : "Daniel", "non-dropping-particle" : "", "parse-names" : false, "suffix" : "" } ], "id" : "ITEM-1", "issued" : { "date-parts" : [ [ "2011" ] ] }, "note" : "Dry academic discussion implies that these works are mostly intellectual puzzles, or some chaos to put in order. I sense they are more. They intend to chill and astonish, and they mean to be felt. p.xxii", "page" : "xxi-xxxiii", "publisher" : "The Scarecrow Press, inc.", "publisher-place" : "Plymouth", "title" : "Introduction", "type" : "chapter" }, "locator" : "xxii", "uris" : [ "http://www.mendeley.com/documents/?uuid=6e27ab69-dbd3-4ff7-bdf5-ccdace3a31c7" ] } ], "mendeley" : { "formattedCitation" : "Olsen, p. xxii.", "plainTextFormattedCitation" : "Olsen, p. xxii.", "previouslyFormattedCitation" : "Olsen, p. xxii."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Olsen, p. xxii.</w:t>
      </w:r>
      <w:r w:rsidRPr="00505CF0">
        <w:rPr>
          <w:rFonts w:asciiTheme="majorBidi" w:hAnsiTheme="majorBidi" w:cstheme="majorBidi"/>
        </w:rPr>
        <w:fldChar w:fldCharType="end"/>
      </w:r>
    </w:p>
  </w:footnote>
  <w:footnote w:id="533">
    <w:p w14:paraId="02E156E0" w14:textId="1243D8CC" w:rsidR="00054009" w:rsidRPr="00505CF0" w:rsidRDefault="00054009" w:rsidP="00C111D3">
      <w:pPr>
        <w:pStyle w:val="FootnoteText"/>
        <w:rPr>
          <w:rFonts w:asciiTheme="majorBidi" w:hAnsiTheme="majorBidi" w:cstheme="majorBidi"/>
          <w:lang w:val="nl-NL"/>
        </w:rPr>
      </w:pPr>
      <w:r w:rsidRPr="00505CF0">
        <w:rPr>
          <w:rStyle w:val="FootnoteReference"/>
          <w:rFonts w:asciiTheme="majorBidi" w:hAnsiTheme="majorBidi" w:cstheme="majorBidi"/>
        </w:rPr>
        <w:footnoteRef/>
      </w:r>
      <w:r w:rsidRPr="00505CF0">
        <w:rPr>
          <w:rFonts w:asciiTheme="majorBidi" w:hAnsiTheme="majorBidi" w:cstheme="majorBidi"/>
          <w:lang w:val="nl-NL"/>
        </w:rPr>
        <w:t xml:space="preserve"> </w:t>
      </w:r>
      <w:r w:rsidRPr="00505CF0">
        <w:rPr>
          <w:rFonts w:asciiTheme="majorBidi" w:hAnsiTheme="majorBidi" w:cstheme="majorBidi"/>
        </w:rPr>
        <w:fldChar w:fldCharType="begin" w:fldLock="1"/>
      </w:r>
      <w:r>
        <w:rPr>
          <w:rFonts w:asciiTheme="majorBidi" w:hAnsiTheme="majorBidi" w:cstheme="majorBidi"/>
          <w:lang w:val="nl-NL"/>
        </w:rPr>
        <w:instrText>ADDIN CSL_CITATION { "citationItems" : [ { "id" : "ITEM-1", "itemData" : { "author" : [ { "dropping-particle" : "", "family" : "Pi\u00f1ol", "given" : "Albert S\u00e1nchez", "non-dropping-particle" : "", "parse-names" : false, "suffix" : "" } ], "id" : "ITEM-1", "issued" : { "date-parts" : [ [ "2006" ] ] }, "publisher" : "Canongate Books", "publisher-place" : "Edinburgh", "title" : "Cold Skin", "translator" : [ { "dropping-particle" : "", "family" : "Morgan", "given" : "Cheryl Leah", "non-dropping-particle" : "", "parse-names" : false, "suffix" : "" } ], "type" : "book" }, "locator" : "3", "uris" : [ "http://www.mendeley.com/documents/?uuid=b0b1b3fa-88c2-49ac-857d-e6fafe3d0ab0" ] } ], "mendeley" : { "formattedCitation" : "Albert S\u00e1nchez Pi\u00f1ol, &lt;i&gt;Cold Skin&lt;/i&gt;, trans. by Cheryl Leah Morgan (Edinburgh: Canongate Books, 2006), p. 3.", "plainTextFormattedCitation" : "Albert S\u00e1nchez Pi\u00f1ol, Cold Skin, trans. by Cheryl Leah Morgan (Edinburgh: Canongate Books, 2006), p. 3.", "previouslyFormattedCitation" : "Albert S\u00e1nchez Pi\u00f1ol, &lt;i&gt;Cold Skin&lt;/i&gt;, trans. by Cheryl Leah Morgan (Edinburgh: Canongate Books, 2006),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nl-NL"/>
        </w:rPr>
        <w:t xml:space="preserve">Albert Sánchez Piñol, </w:t>
      </w:r>
      <w:r w:rsidRPr="00505CF0">
        <w:rPr>
          <w:rFonts w:asciiTheme="majorBidi" w:hAnsiTheme="majorBidi" w:cstheme="majorBidi"/>
          <w:i/>
          <w:noProof/>
          <w:lang w:val="nl-NL"/>
        </w:rPr>
        <w:t>Cold Skin</w:t>
      </w:r>
      <w:r w:rsidRPr="00505CF0">
        <w:rPr>
          <w:rFonts w:asciiTheme="majorBidi" w:hAnsiTheme="majorBidi" w:cstheme="majorBidi"/>
          <w:noProof/>
          <w:lang w:val="nl-NL"/>
        </w:rPr>
        <w:t>, trans. by Cheryl Leah Morgan (Edinburgh: Canongate Books, 2006), p. 3.</w:t>
      </w:r>
      <w:r w:rsidRPr="00505CF0">
        <w:rPr>
          <w:rFonts w:asciiTheme="majorBidi" w:hAnsiTheme="majorBidi" w:cstheme="majorBidi"/>
        </w:rPr>
        <w:fldChar w:fldCharType="end"/>
      </w:r>
    </w:p>
  </w:footnote>
  <w:footnote w:id="534">
    <w:p w14:paraId="19CE79C9" w14:textId="3737895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"Pi\u00f1ol", "given" : "Albert S\u00e1nchez", "non-dropping-particle" : "", "parse-names" : false, "suffix" : "" } ], "id" : "ITEM-1", "issued" : { "date-parts" : [ [ "2006" ] ] }, "publisher" : "Canongate Books", "publisher-place" : "Edinburgh", "title" : "Cold Skin", "translator" : [ { "dropping-particle" : "", "family" : "Morgan", "given" : "Cheryl Leah", "non-dropping-particle" : "", "parse-names" : false, "suffix" : "" } ], "type" : "book" }, "locator" : "3", "uris" : [ "http://www.mendeley.com/documents/?uuid=b0b1b3fa-88c2-49ac-857d-e6fafe3d0ab0" ] } ], "mendeley" : { "formattedCitation" : "Pi\u00f1ol, p. 3.", "plainTextFormattedCitation" : "Pi\u00f1ol, p. 3.", "previouslyFormattedCitation" : "Pi\u00f1ol,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Piñol, p. 3.</w:t>
      </w:r>
      <w:r w:rsidRPr="00505CF0">
        <w:rPr>
          <w:rFonts w:asciiTheme="majorBidi" w:hAnsiTheme="majorBidi" w:cstheme="majorBidi"/>
        </w:rPr>
        <w:fldChar w:fldCharType="end"/>
      </w:r>
    </w:p>
  </w:footnote>
  <w:footnote w:id="535">
    <w:p w14:paraId="2122E685" w14:textId="20490FF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"Pi\u00f1ol", "given" : "Albert S\u00e1nchez", "non-dropping-particle" : "", "parse-names" : false, "suffix" : "" } ], "id" : "ITEM-1", "issued" : { "date-parts" : [ [ "2006" ] ] }, "publisher" : "Canongate Books", "publisher-place" : "Edinburgh", "title" : "Cold Skin", "translator" : [ { "dropping-particle" : "", "family" : "Morgan", "given" : "Cheryl Leah", "non-dropping-particle" : "", "parse-names" : false, "suffix" : "" } ], "type" : "book" }, "locator" : "27-8", "uris" : [ "http://www.mendeley.com/documents/?uuid=b0b1b3fa-88c2-49ac-857d-e6fafe3d0ab0" ] } ], "mendeley" : { "formattedCitation" : "Pi\u00f1ol, pp. 27\u20138.", "plainTextFormattedCitation" : "Pi\u00f1ol, pp. 27\u20138.", "previouslyFormattedCitation" : "Pi\u00f1ol, pp. 27\u20138."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Piñol, pp. 27–8.</w:t>
      </w:r>
      <w:r w:rsidRPr="00505CF0">
        <w:rPr>
          <w:rFonts w:asciiTheme="majorBidi" w:hAnsiTheme="majorBidi" w:cstheme="majorBidi"/>
        </w:rPr>
        <w:fldChar w:fldCharType="end"/>
      </w:r>
    </w:p>
  </w:footnote>
  <w:footnote w:id="536">
    <w:p w14:paraId="52F24645"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Perhaps the epitome of postmodern parody of Lovecraft comes from Terry Pratchett’s Discworld series, in particular the ‘Young Men's Reformed Cultists of the Ichor God Bel-Shamharoth Association’ from </w:t>
      </w:r>
      <w:r w:rsidRPr="00505CF0">
        <w:rPr>
          <w:rFonts w:asciiTheme="majorBidi" w:hAnsiTheme="majorBidi" w:cstheme="majorBidi"/>
          <w:i/>
        </w:rPr>
        <w:t>The Colour of Magic</w:t>
      </w:r>
      <w:r w:rsidRPr="00505CF0">
        <w:rPr>
          <w:rFonts w:asciiTheme="majorBidi" w:hAnsiTheme="majorBidi" w:cstheme="majorBidi"/>
        </w:rPr>
        <w:t xml:space="preserve"> (1983)</w:t>
      </w:r>
    </w:p>
  </w:footnote>
  <w:footnote w:id="537">
    <w:p w14:paraId="337EA99F" w14:textId="40B5587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"Pi\u00f1ol", "given" : "Albert S\u00e1nchez", "non-dropping-particle" : "", "parse-names" : false, "suffix" : "" } ], "id" : "ITEM-1", "issued" : { "date-parts" : [ [ "2006" ] ] }, "publisher" : "Canongate Books", "publisher-place" : "Edinburgh", "title" : "Cold Skin", "translator" : [ { "dropping-particle" : "", "family" : "Morgan", "given" : "Cheryl Leah", "non-dropping-particle" : "", "parse-names" : false, "suffix" : "" } ], "type" : "book" }, "locator" : "211", "uris" : [ "http://www.mendeley.com/documents/?uuid=b0b1b3fa-88c2-49ac-857d-e6fafe3d0ab0" ] } ], "mendeley" : { "formattedCitation" : "Pi\u00f1ol, p. 211.", "plainTextFormattedCitation" : "Pi\u00f1ol, p. 211.", "previouslyFormattedCitation" : "Pi\u00f1ol, p. 211."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Piñol, p. 211.</w:t>
      </w:r>
      <w:r w:rsidRPr="00505CF0">
        <w:rPr>
          <w:rFonts w:asciiTheme="majorBidi" w:hAnsiTheme="majorBidi" w:cstheme="majorBidi"/>
        </w:rPr>
        <w:fldChar w:fldCharType="end"/>
      </w:r>
    </w:p>
  </w:footnote>
  <w:footnote w:id="538">
    <w:p w14:paraId="23A54E03" w14:textId="5883015E" w:rsidR="00054009" w:rsidRDefault="00054009">
      <w:pPr>
        <w:pStyle w:val="FootnoteText"/>
      </w:pPr>
      <w:r>
        <w:rPr>
          <w:rStyle w:val="FootnoteReference"/>
        </w:rPr>
        <w:footnoteRef/>
      </w:r>
      <w:r>
        <w:t xml:space="preserve"> </w:t>
      </w:r>
      <w:r w:rsidRPr="00AE6788">
        <w:rPr>
          <w:i/>
          <w:iCs/>
        </w:rPr>
        <w:t>ACO: They won’t let me sleep! Every time I do I hear those wet footsteps approach my porch again, that terrible knocking at my front door, but nobody ever there… nobody.</w:t>
      </w:r>
    </w:p>
  </w:footnote>
  <w:footnote w:id="539">
    <w:p w14:paraId="1D3E0976"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Notably, Robertson also picks up on Hogg’s use of left to denote evil, as seen in most descriptions of Robert’s position in the text, though, here, Robertson writes of Mack’s left arm ‘toying with’ him for many years (255) before it, ultimately, delivers the ‘coup de grace’ of collapsing under him and forcing him to fall into the gorge in which he meets the devil. </w:t>
      </w:r>
    </w:p>
  </w:footnote>
  <w:footnote w:id="540">
    <w:p w14:paraId="6FFDBF64" w14:textId="7F2226A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"Murchison", "given" : "Sarah", "non-dropping-particle" : "", "parse-names" : false, "suffix" : "" } ], "container-title" : "C21 Literature: Journal of 21st-Century Writings", "id" : "ITEM-1", "issue" : "2", "issued" : { "date-parts" : [ [ "2017" ] ] }, "note" : "Though Gideon, unlike his father, was free to admit his unbelief to himself and his close friends despite his role as a minister, his personal relationship to religion is no different to that of his father. This reveals a new way of understanding Confessions of a Justified Sinner. Despite Confessions being mired in early nineteenth century Calvinism and Gideon Mack engaging with the rise of secularism in the late twentieth century, both novels are dealing with a universally human subject: that of the tension between certainty and uncertainty, doubt and faith. p.16", "page" : "1-20", "title" : "Echoes, Connections, Continuities: Bill Winnyford, James Robertson, and James Hogg in The Testament of Gideon Mack", "type" : "article-journal", "volume" : "5" }, "locator" : "1", "uris" : [ "http://www.mendeley.com/documents/?uuid=2681b6b5-7424-4617-9c4d-8724699955e3" ] } ], "mendeley" : { "formattedCitation" : "Sarah Murchison, \u2018Echoes, Connections, Continuities: Bill Winnyford, James Robertson, and James Hogg in The Testament of Gideon Mack\u2019, &lt;i&gt;C21 Literature: Journal of 21st-Century Writings&lt;/i&gt;, 5 (2017), 1\u201320 (p. 1).", "plainTextFormattedCitation" : "Sarah Murchison, \u2018Echoes, Connections, Continuities: Bill Winnyford, James Robertson, and James Hogg in The Testament of Gideon Mack\u2019, C21 Literature: Journal of 21st-Century Writings, 5 (2017), 1\u201320 (p. 1).", "previouslyFormattedCitation" : "Sarah Murchison, \u2018Echoes, Connections, Continuities: Bill Winnyford, James Robertson, and James Hogg in The Testament of Gideon Mack\u2019, &lt;i&gt;C21 Literature: Journal of 21st-Century Writings&lt;/i&gt;, 5 (2017), 1\u201320 (p. 1) &lt;https://c21.openlibhums.org/articles/10.16995/c21.24/&gt;."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Sarah Murchison, ‘Echoes, Connections, Continuities: Bill Winnyford, James Robertson, and James Hogg in The Testament of Gideon Mack’, </w:t>
      </w:r>
      <w:r w:rsidRPr="0025171E">
        <w:rPr>
          <w:rFonts w:asciiTheme="majorBidi" w:hAnsiTheme="majorBidi" w:cstheme="majorBidi"/>
          <w:i/>
          <w:noProof/>
        </w:rPr>
        <w:t>C21 Literature: Journal of 21st-Century Writings</w:t>
      </w:r>
      <w:r w:rsidRPr="0025171E">
        <w:rPr>
          <w:rFonts w:asciiTheme="majorBidi" w:hAnsiTheme="majorBidi" w:cstheme="majorBidi"/>
          <w:noProof/>
        </w:rPr>
        <w:t>, 5 (2017), 1–20 (p. 1).</w:t>
      </w:r>
      <w:r w:rsidRPr="00505CF0">
        <w:rPr>
          <w:rFonts w:asciiTheme="majorBidi" w:hAnsiTheme="majorBidi" w:cstheme="majorBidi"/>
        </w:rPr>
        <w:fldChar w:fldCharType="end"/>
      </w:r>
    </w:p>
  </w:footnote>
  <w:footnote w:id="541">
    <w:p w14:paraId="74A46320" w14:textId="5C3DF5A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"Murchison", "given" : "Sarah", "non-dropping-particle" : "", "parse-names" : false, "suffix" : "" } ], "container-title" : "C21 Literature: Journal of 21st-Century Writings", "id" : "ITEM-1", "issue" : "2", "issued" : { "date-parts" : [ [ "2017" ] ] }, "note" : "Though Gideon, unlike his father, was free to admit his unbelief to himself and his close friends despite his role as a minister, his personal relationship to religion is no different to that of his father. This reveals a new way of understanding Confessions of a Justified Sinner. Despite Confessions being mired in early nineteenth century Calvinism and Gideon Mack engaging with the rise of secularism in the late twentieth century, both novels are dealing with a universally human subject: that of the tension between certainty and uncertainty, doubt and faith. p.16", "page" : "1-20", "title" : "Echoes, Connections, Continuities: Bill Winnyford, James Robertson, and James Hogg in The Testament of Gideon Mack", "type" : "article-journal", "volume" : "5" }, "locator" : "16", "uris" : [ "http://www.mendeley.com/documents/?uuid=2681b6b5-7424-4617-9c4d-8724699955e3" ] } ], "mendeley" : { "formattedCitation" : "Murchison, p. 16.", "plainTextFormattedCitation" : "Murchison, p. 16.", "previouslyFormattedCitation" : "Murchison, p. 16."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Murchison, p. 16.</w:t>
      </w:r>
      <w:r w:rsidRPr="00505CF0">
        <w:rPr>
          <w:rFonts w:asciiTheme="majorBidi" w:hAnsiTheme="majorBidi" w:cstheme="majorBidi"/>
        </w:rPr>
        <w:fldChar w:fldCharType="end"/>
      </w:r>
    </w:p>
  </w:footnote>
  <w:footnote w:id="542">
    <w:p w14:paraId="617BAFF2" w14:textId="305EF91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"Robertson", "given" : "James", "non-dropping-particle" : "", "parse-names" : false, "suffix" : "" } ], "id" : "ITEM-1", "issued" : { "date-parts" : [ [ "2006" ] ] }, "publisher" : "Penguin Books", "publisher-place" : "London", "title" : "The Testament of Gideon Mack", "type" : "book" }, "locator" : "340", "uris" : [ "http://www.mendeley.com/documents/?uuid=7ad7eb4e-e265-4e46-8370-38ede3ba542c" ] } ], "mendeley" : { "formattedCitation" : "James Robertson, &lt;i&gt;The Testament of Gideon Mack&lt;/i&gt; (London: Penguin Books, 2006), p. 340.", "plainTextFormattedCitation" : "James Robertson, The Testament of Gideon Mack (London: Penguin Books, 2006), p. 340.", "previouslyFormattedCitation" : "James Robertson, &lt;i&gt;The Testament of Gideon Mack&lt;/i&gt; (London: Penguin Books, 2006), p. 340."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James Robertson, </w:t>
      </w:r>
      <w:r w:rsidRPr="00505CF0">
        <w:rPr>
          <w:rFonts w:asciiTheme="majorBidi" w:hAnsiTheme="majorBidi" w:cstheme="majorBidi"/>
          <w:i/>
          <w:noProof/>
        </w:rPr>
        <w:t>The Testament of Gideon Mack</w:t>
      </w:r>
      <w:r w:rsidRPr="00505CF0">
        <w:rPr>
          <w:rFonts w:asciiTheme="majorBidi" w:hAnsiTheme="majorBidi" w:cstheme="majorBidi"/>
          <w:noProof/>
        </w:rPr>
        <w:t xml:space="preserve"> (London: Penguin Books, 2006), p. 340.</w:t>
      </w:r>
      <w:r w:rsidRPr="00505CF0">
        <w:rPr>
          <w:rFonts w:asciiTheme="majorBidi" w:hAnsiTheme="majorBidi" w:cstheme="majorBidi"/>
        </w:rPr>
        <w:fldChar w:fldCharType="end"/>
      </w:r>
    </w:p>
  </w:footnote>
  <w:footnote w:id="543">
    <w:p w14:paraId="6119B15A" w14:textId="7168A74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"Hume", "given" : "Robert D.", "non-dropping-particle" : "", "parse-names" : false, "suffix" : "" } ], "container-title" : "PMLA", "id" : "ITEM-1", "issued" : { "date-parts" : [ [ "1969" ] ] }, "note" : "That Gothicism is closely related to Romanticism is perfectly clear, but it is erasier to state the fact than to prove it tidily and convincingly. P.282", "page" : "282-90", "title" : "Gothic Versus Romantic: A Revaluation of the Gothic Novel", "type" : "article-journal", "volume" : "84" }, "locator" : "282", "uris" : [ "http://www.mendeley.com/documents/?uuid=856b01f2-c4ae-48f3-abb5-a4af55590c36" ] } ], "mendeley" : { "formattedCitation" : "Robert D. Hume, \u2018Gothic Versus Romantic: A Revaluation of the Gothic Novel\u2019, &lt;i&gt;PMLA&lt;/i&gt;, 84 (1969), 282\u201390 (p. 282).", "plainTextFormattedCitation" : "Robert D. Hume, \u2018Gothic Versus Romantic: A Revaluation of the Gothic Novel\u2019, PMLA, 84 (1969), 282\u201390 (p. 282).", "previouslyFormattedCitation" : "Robert D. Hume, \u2018Gothic Versus Romantic: A Revaluation of the Gothic Novel\u2019, &lt;i&gt;PMLA&lt;/i&gt;, 84 (1969), 282\u201390 (p. 282)."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Robert D. Hume, ‘Gothic Versus Romantic: A Revaluation of the Gothic Novel’, </w:t>
      </w:r>
      <w:r w:rsidRPr="00505CF0">
        <w:rPr>
          <w:rFonts w:asciiTheme="majorBidi" w:hAnsiTheme="majorBidi" w:cstheme="majorBidi"/>
          <w:i/>
          <w:noProof/>
        </w:rPr>
        <w:t>PMLA</w:t>
      </w:r>
      <w:r w:rsidRPr="00505CF0">
        <w:rPr>
          <w:rFonts w:asciiTheme="majorBidi" w:hAnsiTheme="majorBidi" w:cstheme="majorBidi"/>
          <w:noProof/>
        </w:rPr>
        <w:t>, 84 (1969), 282–90 (p. 282).</w:t>
      </w:r>
      <w:r w:rsidRPr="00505CF0">
        <w:rPr>
          <w:rFonts w:asciiTheme="majorBidi" w:hAnsiTheme="majorBidi" w:cstheme="majorBidi"/>
        </w:rPr>
        <w:fldChar w:fldCharType="end"/>
      </w:r>
    </w:p>
  </w:footnote>
  <w:footnote w:id="544">
    <w:p w14:paraId="31B5ACC0" w14:textId="660D879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"MacAndew", "given" : "Elizabeth", "non-dropping-particle" : "", "parse-names" : false, "suffix" : "" } ], "id" : "ITEM-1", "issued" : { "date-parts" : [ [ "1979" ] ] }, "publisher" : "Columbia University Press", "publisher-place" : "New York", "title" : "The Gothic Tradition in Fiction", "type" : "book" }, "locator" : "19", "uris" : [ "http://www.mendeley.com/documents/?uuid=c2cf2abd-6442-492e-9d43-e7c4a9d11f57" ] } ], "mendeley" : { "formattedCitation" : "MacAndew, p. 19.", "plainTextFormattedCitation" : "MacAndew, p. 19.", "previouslyFormattedCitation" : "MacAndew, p. 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MacAndew, p. 19.</w:t>
      </w:r>
      <w:r w:rsidRPr="00505CF0">
        <w:rPr>
          <w:rFonts w:asciiTheme="majorBidi" w:hAnsiTheme="majorBidi" w:cstheme="majorBidi"/>
        </w:rPr>
        <w:fldChar w:fldCharType="end"/>
      </w:r>
    </w:p>
  </w:footnote>
  <w:footnote w:id="545">
    <w:p w14:paraId="21B12089" w14:textId="632D50F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ECO</w:t>
      </w:r>
      <w:r w:rsidRPr="00505CF0">
        <w:rPr>
          <w:rFonts w:asciiTheme="majorBidi" w:hAnsiTheme="majorBidi" w:cstheme="majorBidi"/>
          <w:i/>
        </w:rPr>
        <w:t>: See</w:t>
      </w:r>
      <w:r>
        <w:rPr>
          <w:rFonts w:asciiTheme="majorBidi" w:hAnsiTheme="majorBidi" w:cstheme="majorBidi"/>
          <w:i/>
        </w:rPr>
        <w:t xml:space="preserve"> Chapter 2:</w:t>
      </w:r>
      <w:r w:rsidRPr="00505CF0">
        <w:rPr>
          <w:rFonts w:asciiTheme="majorBidi" w:hAnsiTheme="majorBidi" w:cstheme="majorBidi"/>
          <w:i/>
        </w:rPr>
        <w:t xml:space="preserve"> Southward vs Sincerity in this collection</w:t>
      </w:r>
      <w:r w:rsidRPr="00505CF0">
        <w:rPr>
          <w:rFonts w:asciiTheme="majorBidi" w:hAnsiTheme="majorBidi" w:cstheme="majorBidi"/>
        </w:rPr>
        <w:t xml:space="preserve">. </w:t>
      </w:r>
    </w:p>
  </w:footnote>
  <w:footnote w:id="546">
    <w:p w14:paraId="2339F8FE" w14:textId="3F82833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"8", "uris" : [ "http://www.mendeley.com/documents/?uuid=9cfe2cdc-de7e-4a7d-bc9d-282fba435583" ] } ], "mendeley" : { "formattedCitation" : "Vermeulen and van den Akker, \u2018Notes on Metamodernism\u2019, p. 8.", "plainTextFormattedCitation" : "Vermeulen and van den Akker, \u2018Notes on Metamodernism\u2019, p. 8.", "previouslyFormattedCitation" : "Vermeulen and van den Akker, \u2018Notes on Metamodernism\u2019,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8.</w:t>
      </w:r>
      <w:r w:rsidRPr="00505CF0">
        <w:rPr>
          <w:rFonts w:asciiTheme="majorBidi" w:hAnsiTheme="majorBidi" w:cstheme="majorBidi"/>
        </w:rPr>
        <w:fldChar w:fldCharType="end"/>
      </w:r>
    </w:p>
  </w:footnote>
  <w:footnote w:id="547">
    <w:p w14:paraId="0211FE38" w14:textId="5928CAD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"8", "uris" : [ "http://www.mendeley.com/documents/?uuid=9cfe2cdc-de7e-4a7d-bc9d-282fba435583" ] } ], "mendeley" : { "formattedCitation" : "Vermeulen and van den Akker, \u2018Notes on Metamodernism\u2019, p. 8.", "plainTextFormattedCitation" : "Vermeulen and van den Akker, \u2018Notes on Metamodernism\u2019, p. 8.", "previouslyFormattedCitation" : "Vermeulen and van den Akker, \u2018Notes on Metamodernism\u2019,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8.</w:t>
      </w:r>
      <w:r w:rsidRPr="00505CF0">
        <w:rPr>
          <w:rFonts w:asciiTheme="majorBidi" w:hAnsiTheme="majorBidi" w:cstheme="majorBidi"/>
        </w:rPr>
        <w:fldChar w:fldCharType="end"/>
      </w:r>
    </w:p>
  </w:footnote>
  <w:footnote w:id="548">
    <w:p w14:paraId="07526AF0" w14:textId="4A67F06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"id" : "ITEM-1", "issued" : { "date-parts" : [ [ "1985" ] ] }, "publisher" : "Routledge &amp; Kegan Paul Plc", "publisher-place" : "London", "title" : "The Hidden Script: Writing and the Unconscious", "title-short" : "The Hidden Script", "type" : "book" }, "locator" : "118", "uris" : [ "http://www.mendeley.com/documents/?uuid=029604cd-f912-4abf-abed-ed5122e72468" ] } ], "mendeley" : { "formattedCitation" : "David Punter, &lt;i&gt;The Hidden Script: Writing and the Unconscious&lt;/i&gt; (London: Routledge &amp; Kegan Paul Plc, 1985), p. 118.", "plainTextFormattedCitation" : "David Punter, The Hidden Script: Writing and the Unconscious (London: Routledge &amp; Kegan Paul Plc, 1985), p. 118.", "previouslyFormattedCitation" : "David Punter, &lt;i&gt;The Hidden Script: Writing and the Unconscious&lt;/i&gt; (London: Routledge &amp; Kegan Paul Plc, 1985), p. 118."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David Punter, </w:t>
      </w:r>
      <w:r w:rsidRPr="00505CF0">
        <w:rPr>
          <w:rFonts w:asciiTheme="majorBidi" w:hAnsiTheme="majorBidi" w:cstheme="majorBidi"/>
          <w:i/>
          <w:noProof/>
        </w:rPr>
        <w:t>The Hidden Script: Writing and the Unconscious</w:t>
      </w:r>
      <w:r w:rsidRPr="00505CF0">
        <w:rPr>
          <w:rFonts w:asciiTheme="majorBidi" w:hAnsiTheme="majorBidi" w:cstheme="majorBidi"/>
          <w:noProof/>
        </w:rPr>
        <w:t xml:space="preserve"> (London: Routledge &amp; Kegan Paul Plc, 1985), p. 118.</w:t>
      </w:r>
      <w:r w:rsidRPr="00505CF0">
        <w:rPr>
          <w:rFonts w:asciiTheme="majorBidi" w:hAnsiTheme="majorBidi" w:cstheme="majorBidi"/>
        </w:rPr>
        <w:fldChar w:fldCharType="end"/>
      </w:r>
    </w:p>
  </w:footnote>
  <w:footnote w:id="549">
    <w:p w14:paraId="7FDD1C54" w14:textId="6E6FB97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"Bruhm", "given" : "Steven", "non-dropping-particle" : "", "parse-names" : false, "suffix" : "" } ], "chapter-number" : "13", "container-title" : "The Cambridge Companion to Gothic Fiction", "editor" : [ { "dropping-particle" : "", "family" : "Hogle", "given" : "Jerrold E.", "non-dropping-particle" : "", "parse-names" : false, "suffix" : "" } ], "id" : "ITEM-1", "issued" : { "date-parts" : [ [ "2002" ] ] }, "note" : "The gothic has always been a barometer of the anxieties plaguing a certain culture at a particular moment in history[\u2026] p.260\n\nWe can best place this question of audience need by placing the contemporary Gothic within a number of current anxieties- the ones we need it both to arouse and assuage. p.260\n\nWhat becomes most marked in the contemporary Gothic \u2013and what distinguishes it from its ancestors- is the protagonists\u2019 and the viewers\u2019 compulsive return to certain fixations, obsessions and blockages. p.261\n\nA major theme in the Gothic has always been interior life, as in the paranoid Gothic of William Godwin\u2019s Caleb Williams (1794) or James Hogg\u2019s The Private Memoirs and Confessions of a Justified Sinner \u00a0(1824), but the rise of psychoanalysis in the twentieth century has afforded Gothic Writers a very particular configuration of this internal life. To the degree that the contemporary Gothic subject is the psychoanalytic subject (and vice versa), she/he becomes a/the field on which national, racial, and gender anxieties configured like Freudian drives get played out and symbolized over and over again. p.262\n\nWhat makes the contemporary Gothic particularly contemporary in both its themes and reception, however, is that these [Freudian] unconscious desires center on the problem of a lost object, the most overriding basis of our need for the Gothic and almost everything else. That loss is usually material (Parents, money, property, freedom to move around, a lover, or family member), but the materiality of that loss always has a psychological and symbolic dimension to it. p.263\n\nWhen the desire for an object butts up against the prohibition against the fulfilling of that desire, the result is the contemporary human subject.\u00a0 p.263\n\nTime and again the contemporary Gothic provides us with traumatized heroes who have lost the very psychic structures that allow them to access to their own experiences p.269 \n\nAll of this together fashions a contemporary Gothic phenomenon. Words, the building blocks of stories, rise and fall in consciousness, constituting horrifying returns and traumatic suggestions. The very act of storytelling itself has the resonance of multiple traumas that we\u00a0 [\u2026] cannot integrate into a coherent whole. What gets left in this blank space where our narratives cannot be is, paradoxically, a massive production of other Gothic narratives. In the process of trauma shattering us from one into a \u201cstunning little multitude,\u201d we are forced to confront our demons, our worst fears about the agents and influences that might control and create us. p.270 \n\nThe Gothic\u2019s basic investment in ravaging history and fragmenting the past meshes with our own investments now as we attempt to reinvent history as a way of healing the perpetual loss in modern existence.\u00a0 \u201cWe\u201d do this, moreover, as a western civilization shattered by personal and social traumas, yet \u201cwe\u201d do not exist except as a collection of individual psyches whose personal histories are inflected by social history, but not completely determined by it.\u00a0p.274\n\nAs we confront this underlying terror of our times, after all, the Gothic provides us a guarantee of life even in the face of so much death. [...] But the pleasantly terrifying thing may be that this life, this consciousness of being alive, is constantly shadowed by previous and immanent breakage and dissolution. Contemporary life constantly reminds us that we are moving toward death, or at least osolescence, and that life we must continually strive to hold together. Patadoxically, we need the sconsistent consciousness of deah provided by the gothic in otder to understand and want that life. [...see above...] We want our life and our death, and in that vacillation between wanting life and capitulating to destruction, we keep needing the Gothic to give shape to our contradiction. By now we have become like an Anne Rice vampire, or a Stephen King family man: we crave presence, we crave departure, we crave. p. 274", "page" : "259-76", "publisher" : "Cambridge University Press", "publisher-place" : "Cambridge", "title" : "Contemporary Gothic: Why We Need It", "type" : "chapter" }, "locator" : "263", "uris" : [ "http://www.mendeley.com/documents/?uuid=e931b48c-c5c4-4e75-ac56-e8cafd597083" ] } ], "mendeley" : { "formattedCitation" : "Bruhm, p. 263.", "plainTextFormattedCitation" : "Bruhm, p. 263.", "previouslyFormattedCitation" : "Bruhm, p. 263."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Bruhm, p. 263.</w:t>
      </w:r>
      <w:r w:rsidRPr="00505CF0">
        <w:rPr>
          <w:rFonts w:asciiTheme="majorBidi" w:hAnsiTheme="majorBidi" w:cstheme="majorBidi"/>
        </w:rPr>
        <w:fldChar w:fldCharType="end"/>
      </w:r>
    </w:p>
  </w:footnote>
  <w:footnote w:id="550">
    <w:p w14:paraId="6094BA9D" w14:textId="47C8B70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"Aspinall", "given" : "J.B.", "non-dropping-particle" : "", "parse-names" : false, "suffix" : "" } ], "id" : "ITEM-1", "issued" : { "date-parts" : [ [ "2006" ] ] }, "publisher" : "Peter Own Publishers", "publisher-place" : "London", "title" : "Sycorax", "type" : "book" }, "locator" : "74", "uris" : [ "http://www.mendeley.com/documents/?uuid=a6f689ab-38ce-433a-85f3-d031c0398c2e" ] } ], "mendeley" : { "formattedCitation" : "J.B. Aspinall, &lt;i&gt;Sycorax&lt;/i&gt; (London: Peter Own Publishers, 2006), p. 74.", "plainTextFormattedCitation" : "J.B. Aspinall, Sycorax (London: Peter Own Publishers, 2006), p. 74.", "previouslyFormattedCitation" : "J.B. Aspinall, &lt;i&gt;Sycorax&lt;/i&gt; (London: Peter Own Publishers, 2006), p. 74."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J.B. Aspinall, </w:t>
      </w:r>
      <w:r w:rsidRPr="00505CF0">
        <w:rPr>
          <w:rFonts w:asciiTheme="majorBidi" w:hAnsiTheme="majorBidi" w:cstheme="majorBidi"/>
          <w:i/>
          <w:noProof/>
        </w:rPr>
        <w:t>Sycorax</w:t>
      </w:r>
      <w:r w:rsidRPr="00505CF0">
        <w:rPr>
          <w:rFonts w:asciiTheme="majorBidi" w:hAnsiTheme="majorBidi" w:cstheme="majorBidi"/>
          <w:noProof/>
        </w:rPr>
        <w:t xml:space="preserve"> (London: Peter Own Publishers, 2006), p. 74.</w:t>
      </w:r>
      <w:r w:rsidRPr="00505CF0">
        <w:rPr>
          <w:rFonts w:asciiTheme="majorBidi" w:hAnsiTheme="majorBidi" w:cstheme="majorBidi"/>
        </w:rPr>
        <w:fldChar w:fldCharType="end"/>
      </w:r>
    </w:p>
  </w:footnote>
  <w:footnote w:id="551">
    <w:p w14:paraId="44C8108C" w14:textId="30807C6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"Aspinall", "given" : "J.B.", "non-dropping-particle" : "", "parse-names" : false, "suffix" : "" } ], "id" : "ITEM-1", "issued" : { "date-parts" : [ [ "2006" ] ] }, "publisher" : "Peter Own Publishers", "publisher-place" : "London", "title" : "Sycorax", "type" : "book" }, "locator" : "65", "uris" : [ "http://www.mendeley.com/documents/?uuid=a6f689ab-38ce-433a-85f3-d031c0398c2e" ] } ], "mendeley" : { "formattedCitation" : "Aspinall, p. 65.", "plainTextFormattedCitation" : "Aspinall, p. 65.", "previouslyFormattedCitation" : "Aspinall, p. 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Aspinall, p. 65.</w:t>
      </w:r>
      <w:r w:rsidRPr="00505CF0">
        <w:rPr>
          <w:rFonts w:asciiTheme="majorBidi" w:hAnsiTheme="majorBidi" w:cstheme="majorBidi"/>
        </w:rPr>
        <w:fldChar w:fldCharType="end"/>
      </w:r>
    </w:p>
  </w:footnote>
  <w:footnote w:id="552">
    <w:p w14:paraId="4A2F99D5" w14:textId="4F252A2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"Thompson", "given" : "Alice", "non-dropping-particle" : "", "parse-names" : false, "suffix" : "" } ], "id" : "ITEM-1", "issued" : { "date-parts" : [ [ "2002" ] ] }, "publisher" : "Virago Press", "publisher-place" : "London", "title" : "Pharos", "type" : "book" }, "locator" : "130", "uris" : [ "http://www.mendeley.com/documents/?uuid=8126e871-3ef8-43a6-9f62-e95ed68b6fc2" ] } ], "mendeley" : { "formattedCitation" : "Alice Thompson, &lt;i&gt;Pharos&lt;/i&gt; (London: Virago Press, 2002), p. 130.", "plainTextFormattedCitation" : "Alice Thompson, Pharos (London: Virago Press, 2002), p. 130.", "previouslyFormattedCitation" : "Alice Thompson, &lt;i&gt;Pharos&lt;/i&gt; (London: Virago Press, 2002), p. 130."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Alice Thompson, </w:t>
      </w:r>
      <w:r w:rsidRPr="00505CF0">
        <w:rPr>
          <w:rFonts w:asciiTheme="majorBidi" w:hAnsiTheme="majorBidi" w:cstheme="majorBidi"/>
          <w:i/>
          <w:noProof/>
        </w:rPr>
        <w:t>Pharos</w:t>
      </w:r>
      <w:r w:rsidRPr="00505CF0">
        <w:rPr>
          <w:rFonts w:asciiTheme="majorBidi" w:hAnsiTheme="majorBidi" w:cstheme="majorBidi"/>
          <w:noProof/>
        </w:rPr>
        <w:t xml:space="preserve"> (London: Virago Press, 2002), p. 130.</w:t>
      </w:r>
      <w:r w:rsidRPr="00505CF0">
        <w:rPr>
          <w:rFonts w:asciiTheme="majorBidi" w:hAnsiTheme="majorBidi" w:cstheme="majorBidi"/>
        </w:rPr>
        <w:fldChar w:fldCharType="end"/>
      </w:r>
    </w:p>
  </w:footnote>
  <w:footnote w:id="553">
    <w:p w14:paraId="1F2D6B74" w14:textId="29AE896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"Thompson", "given" : "Alice", "non-dropping-particle" : "", "parse-names" : false, "suffix" : "" } ], "id" : "ITEM-1", "issued" : { "date-parts" : [ [ "2002" ] ] }, "publisher" : "Virago Press", "publisher-place" : "London", "title" : "Pharos", "type" : "book" }, "locator" : "131", "uris" : [ "http://www.mendeley.com/documents/?uuid=8126e871-3ef8-43a6-9f62-e95ed68b6fc2" ] } ], "mendeley" : { "formattedCitation" : "Thompson, p. 131.", "plainTextFormattedCitation" : "Thompson, p. 131.", "previouslyFormattedCitation" : "Thompson, p. 131."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Thompson, p. 131.</w:t>
      </w:r>
      <w:r w:rsidRPr="00505CF0">
        <w:rPr>
          <w:rFonts w:asciiTheme="majorBidi" w:hAnsiTheme="majorBidi" w:cstheme="majorBidi"/>
        </w:rPr>
        <w:fldChar w:fldCharType="end"/>
      </w:r>
    </w:p>
  </w:footnote>
  <w:footnote w:id="554">
    <w:p w14:paraId="2C800A46" w14:textId="62DC5C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"Hurley", "given" : "Andrew Michael", "non-dropping-particle" : "", "parse-names" : false, "suffix" : "" } ], "id" : "ITEM-1", "issued" : { "date-parts" : [ [ "2015" ] ] }, "publisher" : "John Murray", "publisher-place" : "London", "title" : "The Loney", "type" : "book" }, "locator" : "340", "uris" : [ "http://www.mendeley.com/documents/?uuid=d2213b79-0bd3-46e4-8268-19a0d60950df" ] } ], "mendeley" : { "formattedCitation" : "Andrew Michael Hurley, &lt;i&gt;The Loney&lt;/i&gt; (London: John Murray, 2015), p. 340.", "plainTextFormattedCitation" : "Andrew Michael Hurley, The Loney (London: John Murray, 2015), p. 340.", "previouslyFormattedCitation" : "Andrew Michael Hurley, &lt;i&gt;The Loney&lt;/i&gt; (London: John Murray, 2015), p. 340."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Andrew Michael Hurley, </w:t>
      </w:r>
      <w:r w:rsidRPr="00505CF0">
        <w:rPr>
          <w:rFonts w:asciiTheme="majorBidi" w:hAnsiTheme="majorBidi" w:cstheme="majorBidi"/>
          <w:i/>
          <w:noProof/>
        </w:rPr>
        <w:t>The Loney</w:t>
      </w:r>
      <w:r w:rsidRPr="00505CF0">
        <w:rPr>
          <w:rFonts w:asciiTheme="majorBidi" w:hAnsiTheme="majorBidi" w:cstheme="majorBidi"/>
          <w:noProof/>
        </w:rPr>
        <w:t xml:space="preserve"> (London: John Murray, 2015), p. 340.</w:t>
      </w:r>
      <w:r w:rsidRPr="00505CF0">
        <w:rPr>
          <w:rFonts w:asciiTheme="majorBidi" w:hAnsiTheme="majorBidi" w:cstheme="majorBidi"/>
        </w:rPr>
        <w:fldChar w:fldCharType="end"/>
      </w:r>
    </w:p>
  </w:footnote>
  <w:footnote w:id="555">
    <w:p w14:paraId="4716DDB2" w14:textId="59B787A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"Hurley", "given" : "Andrew Michael", "non-dropping-particle" : "", "parse-names" : false, "suffix" : "" } ], "id" : "ITEM-1", "issued" : { "date-parts" : [ [ "2015" ] ] }, "publisher" : "John Murray", "publisher-place" : "London", "title" : "The Loney", "type" : "book" }, "locator" : "329", "uris" : [ "http://www.mendeley.com/documents/?uuid=d2213b79-0bd3-46e4-8268-19a0d60950df" ] } ], "mendeley" : { "formattedCitation" : "Hurley, p. 329.", "plainTextFormattedCitation" : "Hurley, p. 329.", "previouslyFormattedCitation" : "Hurley, p. 329."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Hurley, p. 329.</w:t>
      </w:r>
      <w:r w:rsidRPr="00505CF0">
        <w:rPr>
          <w:rFonts w:asciiTheme="majorBidi" w:hAnsiTheme="majorBidi" w:cstheme="majorBidi"/>
        </w:rPr>
        <w:fldChar w:fldCharType="end"/>
      </w:r>
    </w:p>
  </w:footnote>
  <w:footnote w:id="556">
    <w:p w14:paraId="5343CD54" w14:textId="263E1C0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"Hurley", "given" : "Andrew Michael", "non-dropping-particle" : "", "parse-names" : false, "suffix" : "" } ], "id" : "ITEM-1", "issued" : { "date-parts" : [ [ "2015" ] ] }, "publisher" : "John Murray", "publisher-place" : "London", "title" : "The Loney", "type" : "book" }, "locator" : "334", "uris" : [ "http://www.mendeley.com/documents/?uuid=d2213b79-0bd3-46e4-8268-19a0d60950df" ] } ], "mendeley" : { "formattedCitation" : "Hurley, p. 334.", "plainTextFormattedCitation" : "Hurley, p. 334.", "previouslyFormattedCitation" : "Hurley, p. 334."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Hurley, p. 334.</w:t>
      </w:r>
      <w:r w:rsidRPr="00505CF0">
        <w:rPr>
          <w:rFonts w:asciiTheme="majorBidi" w:hAnsiTheme="majorBidi" w:cstheme="majorBidi"/>
        </w:rPr>
        <w:fldChar w:fldCharType="end"/>
      </w:r>
    </w:p>
  </w:footnote>
  <w:footnote w:id="557">
    <w:p w14:paraId="6B28FD49" w14:textId="288B099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"id" : "ITEM-1", "issued" : { "date-parts" : [ [ "1985" ] ] }, "publisher" : "Routledge &amp; Kegan Paul Plc", "publisher-place" : "London", "title" : "The Hidden Script: Writing and the Unconscious", "title-short" : "The Hidden Script", "type" : "book" }, "locator" : "43", "uris" : [ "http://www.mendeley.com/documents/?uuid=029604cd-f912-4abf-abed-ed5122e72468" ] } ], "mendeley" : { "formattedCitation" : "Punter, &lt;i&gt;The Hidden Script&lt;/i&gt;, p. 43.", "plainTextFormattedCitation" : "Punter, The Hidden Script, p. 43.", "previouslyFormattedCitation" : "Punter, &lt;i&gt;The Hidden Script&lt;/i&gt;, p. 43."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Punter, </w:t>
      </w:r>
      <w:r w:rsidRPr="00505CF0">
        <w:rPr>
          <w:rFonts w:asciiTheme="majorBidi" w:hAnsiTheme="majorBidi" w:cstheme="majorBidi"/>
          <w:i/>
          <w:noProof/>
        </w:rPr>
        <w:t>The Hidden Script</w:t>
      </w:r>
      <w:r w:rsidRPr="00505CF0">
        <w:rPr>
          <w:rFonts w:asciiTheme="majorBidi" w:hAnsiTheme="majorBidi" w:cstheme="majorBidi"/>
          <w:noProof/>
        </w:rPr>
        <w:t>, p. 43.</w:t>
      </w:r>
      <w:r w:rsidRPr="00505CF0">
        <w:rPr>
          <w:rFonts w:asciiTheme="majorBidi" w:hAnsiTheme="majorBidi" w:cstheme="majorBidi"/>
        </w:rPr>
        <w:fldChar w:fldCharType="end"/>
      </w:r>
    </w:p>
  </w:footnote>
  <w:footnote w:id="558">
    <w:p w14:paraId="1E89B755" w14:textId="43D18BE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"Zlosnik", "given" : "Sue", "non-dropping-particle" : "", "parse-names" : false, "suffix" : "" } ], "id" : "ITEM-1", "issued" : { "date-parts" : [ [ "2011" ] ] }, "publisher" : "University of Wales Press", "publisher-place" : "Cardiff", "title" : "Patrick McGrath", "type" : "book" }, "locator" : "12", "uris" : [ "http://www.mendeley.com/documents/?uuid=708625ea-e3e3-4d76-af11-65cb9b71e87a" ] } ], "mendeley" : { "formattedCitation" : "Zlosnik, p. 12.", "plainTextFormattedCitation" : "Zlosnik, p. 12.", "previouslyFormattedCitation" : "Zlosnik, p. 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Zlosnik, p. 12.</w:t>
      </w:r>
      <w:r w:rsidRPr="00505CF0">
        <w:rPr>
          <w:rFonts w:asciiTheme="majorBidi" w:hAnsiTheme="majorBidi" w:cstheme="majorBidi"/>
        </w:rPr>
        <w:fldChar w:fldCharType="end"/>
      </w:r>
    </w:p>
  </w:footnote>
  <w:footnote w:id="559">
    <w:p w14:paraId="244AFB3E" w14:textId="59864CB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"id" : "ITEM-1", "issued" : { "date-parts" : [ [ "1985" ] ] }, "publisher" : "Routledge &amp; Kegan Paul Plc", "publisher-place" : "London", "title" : "The Hidden Script: Writing and the Unconscious", "title-short" : "The Hidden Script", "type" : "book" }, "locator" : "111", "uris" : [ "http://www.mendeley.com/documents/?uuid=029604cd-f912-4abf-abed-ed5122e72468" ] } ], "mendeley" : { "formattedCitation" : "Punter, &lt;i&gt;The Hidden Script&lt;/i&gt;, p. 111.", "plainTextFormattedCitation" : "Punter, The Hidden Script, p. 111.", "previouslyFormattedCitation" : "Punter, &lt;i&gt;The Hidden Script&lt;/i&gt;, p. 111."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Punter, </w:t>
      </w:r>
      <w:r w:rsidRPr="00505CF0">
        <w:rPr>
          <w:rFonts w:asciiTheme="majorBidi" w:hAnsiTheme="majorBidi" w:cstheme="majorBidi"/>
          <w:i/>
          <w:noProof/>
        </w:rPr>
        <w:t>The Hidden Script</w:t>
      </w:r>
      <w:r w:rsidRPr="00505CF0">
        <w:rPr>
          <w:rFonts w:asciiTheme="majorBidi" w:hAnsiTheme="majorBidi" w:cstheme="majorBidi"/>
          <w:noProof/>
        </w:rPr>
        <w:t>, p. 111.</w:t>
      </w:r>
      <w:r w:rsidRPr="00505CF0">
        <w:rPr>
          <w:rFonts w:asciiTheme="majorBidi" w:hAnsiTheme="majorBidi" w:cstheme="majorBidi"/>
        </w:rPr>
        <w:fldChar w:fldCharType="end"/>
      </w:r>
    </w:p>
  </w:footnote>
  <w:footnote w:id="560">
    <w:p w14:paraId="6B953850" w14:textId="0B6A8D6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"2017" ] ] }, "publisher" : "Random House", "publisher-place" : "London", "title" : "The Wardrobe Mistress", "type" : "book" }, "locator" : "1", "uris" : [ "http://www.mendeley.com/documents/?uuid=fd1bfa20-a022-4c96-97ef-2409da67bf85" ] } ], "mendeley" : { "formattedCitation" : "Patrick McGrath, &lt;i&gt;The Wardrobe Mistress&lt;/i&gt; (London: Random House, 2017), p. 1.", "plainTextFormattedCitation" : "Patrick McGrath, The Wardrobe Mistress (London: Random House, 2017), p. 1.", "previouslyFormattedCitation" : "Patrick McGrath, &lt;i&gt;The Wardrobe Mistress&lt;/i&gt; (London: Random House, 2017), p. 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Patrick McGrath, </w:t>
      </w:r>
      <w:r w:rsidRPr="00505CF0">
        <w:rPr>
          <w:rFonts w:asciiTheme="majorBidi" w:hAnsiTheme="majorBidi" w:cstheme="majorBidi"/>
          <w:i/>
          <w:noProof/>
        </w:rPr>
        <w:t>The Wardrobe Mistress</w:t>
      </w:r>
      <w:r w:rsidRPr="00505CF0">
        <w:rPr>
          <w:rFonts w:asciiTheme="majorBidi" w:hAnsiTheme="majorBidi" w:cstheme="majorBidi"/>
          <w:noProof/>
        </w:rPr>
        <w:t xml:space="preserve"> (London: Random House, 2017), p. 1.</w:t>
      </w:r>
      <w:r w:rsidRPr="00505CF0">
        <w:rPr>
          <w:rFonts w:asciiTheme="majorBidi" w:hAnsiTheme="majorBidi" w:cstheme="majorBidi"/>
        </w:rPr>
        <w:fldChar w:fldCharType="end"/>
      </w:r>
    </w:p>
  </w:footnote>
  <w:footnote w:id="561">
    <w:p w14:paraId="569E3725" w14:textId="6F3F95A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"McGrath", "given" : "Patrick", "non-dropping-particle" : "", "parse-names" : false, "suffix" : "" } ], "id" : "ITEM-1", "issued" : { "date-parts" : [ [ "2017" ] ] }, "publisher" : "Random House", "publisher-place" : "London", "title" : "The Wardrobe Mistress", "type" : "book" }, "locator" : "187", "uris" : [ "http://www.mendeley.com/documents/?uuid=fd1bfa20-a022-4c96-97ef-2409da67bf85" ] } ], "mendeley" : { "formattedCitation" : "McGrath, &lt;i&gt;The Wardrobe Mistress&lt;/i&gt;, p. 187.", "plainTextFormattedCitation" : "McGrath, The Wardrobe Mistress, p. 187.", "previouslyFormattedCitation" : "McGrath, &lt;i&gt;The Wardrobe Mistress&lt;/i&gt;, p. 187."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McGrath, </w:t>
      </w:r>
      <w:r w:rsidRPr="00505CF0">
        <w:rPr>
          <w:rFonts w:asciiTheme="majorBidi" w:hAnsiTheme="majorBidi" w:cstheme="majorBidi"/>
          <w:i/>
          <w:noProof/>
        </w:rPr>
        <w:t>The Wardrobe Mistress</w:t>
      </w:r>
      <w:r w:rsidRPr="00505CF0">
        <w:rPr>
          <w:rFonts w:asciiTheme="majorBidi" w:hAnsiTheme="majorBidi" w:cstheme="majorBidi"/>
          <w:noProof/>
        </w:rPr>
        <w:t>, p. 187.</w:t>
      </w:r>
      <w:r w:rsidRPr="00505CF0">
        <w:rPr>
          <w:rFonts w:asciiTheme="majorBidi" w:hAnsiTheme="majorBidi" w:cstheme="majorBidi"/>
        </w:rPr>
        <w:fldChar w:fldCharType="end"/>
      </w:r>
    </w:p>
  </w:footnote>
  <w:footnote w:id="562">
    <w:p w14:paraId="0EB65771" w14:textId="0649815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"Punter", "given" : "David", "non-dropping-particle" : "", "parse-names" : false, "suffix" : "" } ], "id" : "ITEM-1", "issued" : { "date-parts" : [ [ "1985" ] ] }, "publisher" : "Routledge &amp; Kegan Paul Plc", "publisher-place" : "London", "title" : "The Hidden Script: Writing and the Unconscious", "title-short" : "The Hidden Script", "type" : "book" }, "locator" : "153", "uris" : [ "http://www.mendeley.com/documents/?uuid=029604cd-f912-4abf-abed-ed5122e72468" ] } ], "mendeley" : { "formattedCitation" : "Punter, &lt;i&gt;The Hidden Script&lt;/i&gt;, p. 153.", "plainTextFormattedCitation" : "Punter, The Hidden Script, p. 153.", "previouslyFormattedCitation" : "Punter, &lt;i&gt;The Hidden Script&lt;/i&gt;, p. 153."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Punter, </w:t>
      </w:r>
      <w:r w:rsidRPr="00505CF0">
        <w:rPr>
          <w:rFonts w:asciiTheme="majorBidi" w:hAnsiTheme="majorBidi" w:cstheme="majorBidi"/>
          <w:i/>
          <w:noProof/>
        </w:rPr>
        <w:t>The Hidden Script</w:t>
      </w:r>
      <w:r w:rsidRPr="00505CF0">
        <w:rPr>
          <w:rFonts w:asciiTheme="majorBidi" w:hAnsiTheme="majorBidi" w:cstheme="majorBidi"/>
          <w:noProof/>
        </w:rPr>
        <w:t>, p. 153.</w:t>
      </w:r>
      <w:r w:rsidRPr="00505CF0">
        <w:rPr>
          <w:rFonts w:asciiTheme="majorBidi" w:hAnsiTheme="majorBidi" w:cstheme="majorBidi"/>
        </w:rPr>
        <w:fldChar w:fldCharType="end"/>
      </w:r>
    </w:p>
  </w:footnote>
  <w:footnote w:id="563">
    <w:p w14:paraId="04454B18" w14:textId="5B2488C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"9", "uris" : [ "http://www.mendeley.com/documents/?uuid=9cfe2cdc-de7e-4a7d-bc9d-282fba435583" ] } ], "mendeley" : { "formattedCitation" : "Vermeulen and van den Akker, \u2018Notes on Metamodernism\u2019, p. 9.", "plainTextFormattedCitation" : "Vermeulen and van den Akker, \u2018Notes on Metamodernism\u2019, p. 9.", "previouslyFormattedCitation" : "Vermeulen and van den Akker, \u2018Notes on Metamodernism\u2019,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9.</w:t>
      </w:r>
      <w:r w:rsidRPr="00505CF0">
        <w:rPr>
          <w:rFonts w:asciiTheme="majorBidi" w:hAnsiTheme="majorBidi" w:cstheme="majorBidi"/>
        </w:rPr>
        <w:fldChar w:fldCharType="end"/>
      </w:r>
    </w:p>
  </w:footnote>
  <w:footnote w:id="564">
    <w:p w14:paraId="715E7E4E" w14:textId="164E7E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"8", "uris" : [ "http://www.mendeley.com/documents/?uuid=9cfe2cdc-de7e-4a7d-bc9d-282fba435583" ] } ], "mendeley" : { "formattedCitation" : "Vermeulen and van den Akker, \u2018Notes on Metamodernism\u2019, p. 8.", "plainTextFormattedCitation" : "Vermeulen and van den Akker, \u2018Notes on Metamodernism\u2019, p. 8.", "previouslyFormattedCitation" : "Vermeulen and van den Akker, \u2018Notes on Metamodernism\u2019,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8.</w:t>
      </w:r>
      <w:r w:rsidRPr="00505CF0">
        <w:rPr>
          <w:rFonts w:asciiTheme="majorBidi" w:hAnsiTheme="majorBidi" w:cstheme="majorBidi"/>
        </w:rPr>
        <w:fldChar w:fldCharType="end"/>
      </w:r>
    </w:p>
  </w:footnote>
  <w:footnote w:id="565">
    <w:p w14:paraId="51206514" w14:textId="35EF8B2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"5", "uris" : [ "http://www.mendeley.com/documents/?uuid=9cfe2cdc-de7e-4a7d-bc9d-282fba435583" ] } ], "mendeley" : { "formattedCitation" : "Vermeulen and van den Akker, \u2018Notes on Metamodernism\u2019, p. 5.", "plainTextFormattedCitation" : "Vermeulen and van den Akker, \u2018Notes on Metamodernism\u2019, p. 5.", "previouslyFormattedCitation" : "Vermeulen and van den Akker, \u2018Notes on Metamodernism\u2019, p. 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5.</w:t>
      </w:r>
      <w:r w:rsidRPr="00505CF0">
        <w:rPr>
          <w:rFonts w:asciiTheme="majorBidi" w:hAnsiTheme="majorBidi" w:cstheme="majorBidi"/>
        </w:rPr>
        <w:fldChar w:fldCharType="end"/>
      </w:r>
    </w:p>
  </w:footnote>
  <w:footnote w:id="566">
    <w:p w14:paraId="62D29C16"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And further emphasised by the production of a ‘re-mastered, full colour edition.’</w:t>
      </w:r>
    </w:p>
  </w:footnote>
  <w:footnote w:id="567">
    <w:p w14:paraId="44BAE071" w14:textId="231F527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"147", "uris" : [ "http://www.mendeley.com/documents/?uuid=6048050d-c4cb-4e09-ba59-7ab64d965f45" ] } ], "mendeley" : { "formattedCitation" : "Bret Easton Ellis, &lt;i&gt;Lunar Park&lt;/i&gt; (London: Picador, 2005), p. 147.", "plainTextFormattedCitation" : "Bret Easton Ellis, Lunar Park (London: Picador, 2005), p. 147.", "previouslyFormattedCitation" : "Bret Easton Ellis, &lt;i&gt;Lunar Park&lt;/i&gt; (London: Picador, 2005), p. 147."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Bret Easton Ellis, </w:t>
      </w:r>
      <w:r w:rsidRPr="00505CF0">
        <w:rPr>
          <w:rFonts w:asciiTheme="majorBidi" w:hAnsiTheme="majorBidi" w:cstheme="majorBidi"/>
          <w:i/>
          <w:noProof/>
        </w:rPr>
        <w:t>Lunar Park</w:t>
      </w:r>
      <w:r w:rsidRPr="00505CF0">
        <w:rPr>
          <w:rFonts w:asciiTheme="majorBidi" w:hAnsiTheme="majorBidi" w:cstheme="majorBidi"/>
          <w:noProof/>
        </w:rPr>
        <w:t xml:space="preserve"> (London: Picador, 2005), p. 147.</w:t>
      </w:r>
      <w:r w:rsidRPr="00505CF0">
        <w:rPr>
          <w:rFonts w:asciiTheme="majorBidi" w:hAnsiTheme="majorBidi" w:cstheme="majorBidi"/>
        </w:rPr>
        <w:fldChar w:fldCharType="end"/>
      </w:r>
    </w:p>
  </w:footnote>
  <w:footnote w:id="568">
    <w:p w14:paraId="504130D5" w14:textId="625DD05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"9", "uris" : [ "http://www.mendeley.com/documents/?uuid=9cfe2cdc-de7e-4a7d-bc9d-282fba435583" ] } ], "mendeley" : { "formattedCitation" : "Vermeulen and van den Akker, \u2018Notes on Metamodernism\u2019, p. 9.", "plainTextFormattedCitation" : "Vermeulen and van den Akker, \u2018Notes on Metamodernism\u2019, p. 9.", "previouslyFormattedCitation" : "Vermeulen and van den Akker, \u2018Notes on Metamodernism\u2019,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9.</w:t>
      </w:r>
      <w:r w:rsidRPr="00505CF0">
        <w:rPr>
          <w:rFonts w:asciiTheme="majorBidi" w:hAnsiTheme="majorBidi" w:cstheme="majorBidi"/>
        </w:rPr>
        <w:fldChar w:fldCharType="end"/>
      </w:r>
    </w:p>
  </w:footnote>
  <w:footnote w:id="569">
    <w:p w14:paraId="6FFB36CA" w14:textId="706D6EF2"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"http://www.acidlogic.com/bret_easton_ellis.htm", "accessed" : { "date-parts" : [ [ "2015", "7", "15" ] ] }, "author" : [ { "dropping-particle" : "", "family" : "Waters", "given" : "Tom", "non-dropping-particle" : "", "parse-names" : false, "suffix" : "" } ], "container-title" : "Acid Logic", "id" : "ITEM-1", "issued" : { "date-parts" : [ [ "2005" ] ] }, "title" : "Interview with Bret Easton Ellis", "type" : "webpage" }, "uris" : [ "http://www.mendeley.com/documents/?uuid=a71bcf66-7516-4e55-8744-7a965fa601d0" ] } ], "mendeley" : { "formattedCitation" : "Tom Waters, \u2018Interview with Bret Easton Ellis\u2019, &lt;i&gt;Acid Logic&lt;/i&gt;, 2005 &lt;http://www.acidlogic.com/bret_easton_ellis.htm&gt; [accessed 15 July 2015].", "plainTextFormattedCitation" : "Tom Waters, \u2018Interview with Bret Easton Ellis\u2019, Acid Logic, 2005  [accessed 15 July 2015].", "previouslyFormattedCitation" : "Tom Waters, \u2018Interview with Bret Easton Ellis\u2019, &lt;i&gt;Acid Logic&lt;/i&gt;, 2005 &lt;http://www.acidlogic.com/bret_easton_ellis.htm&gt; [accessed 15 July 2015]."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Tom Waters, ‘Interview with Bret Easton Ellis’, </w:t>
      </w:r>
      <w:r w:rsidRPr="0025171E">
        <w:rPr>
          <w:rFonts w:asciiTheme="majorBidi" w:hAnsiTheme="majorBidi" w:cstheme="majorBidi"/>
          <w:i/>
          <w:noProof/>
        </w:rPr>
        <w:t>Acid Logic</w:t>
      </w:r>
      <w:r w:rsidRPr="0025171E">
        <w:rPr>
          <w:rFonts w:asciiTheme="majorBidi" w:hAnsiTheme="majorBidi" w:cstheme="majorBidi"/>
          <w:noProof/>
        </w:rPr>
        <w:t>, 2005 &lt;http://www.acidlogic.com/bret_easton_ellis.htm&gt; [accessed 15 July 2015].</w:t>
      </w:r>
      <w:r w:rsidRPr="00505CF0">
        <w:rPr>
          <w:rFonts w:asciiTheme="majorBidi" w:hAnsiTheme="majorBidi" w:cstheme="majorBidi"/>
        </w:rPr>
        <w:fldChar w:fldCharType="end"/>
      </w:r>
    </w:p>
  </w:footnote>
  <w:footnote w:id="570">
    <w:p w14:paraId="1371D44E" w14:textId="026805F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"308", "uris" : [ "http://www.mendeley.com/documents/?uuid=6048050d-c4cb-4e09-ba59-7ab64d965f45" ] } ], "mendeley" : { "formattedCitation" : "Ellis, p. 308.", "plainTextFormattedCitation" : "Ellis, p. 308.", "previouslyFormattedCitation" : "Ellis, p. 308."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Ellis, p. 308.</w:t>
      </w:r>
      <w:r w:rsidRPr="00505CF0">
        <w:rPr>
          <w:rFonts w:asciiTheme="majorBidi" w:hAnsiTheme="majorBidi" w:cstheme="majorBidi"/>
        </w:rPr>
        <w:fldChar w:fldCharType="end"/>
      </w:r>
    </w:p>
  </w:footnote>
  <w:footnote w:id="571">
    <w:p w14:paraId="10EA5DA0" w14:textId="061BDE4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"Blot-Labarr\u00e8re", "given" : "Christiane", "non-dropping-particle" : "", "parse-names" : false, "suffix" : "" } ], "container-title" : "Take Care of Yourself", "editor" : [ { "dropping-particle" : "", "family" : "Calle", "given" : "Sophie", "non-dropping-particle" : "", "parse-names" : false, "suffix" : "" } ], "id" : "ITEM-1", "issued" : { "date-parts" : [ [ "2007" ] ] }, "note" : "In literary and artistic creation, expenditure of energy always has an ego-centric quality. An elementary truth: the self is transfigured by putting itself on stage. Without a doubt. But that it should dissolve itself there, that is a more chimerical conjecture. Writing delivers us from nothing, cures nothing, because by projecting one\u2019s suffering, one freezes it and encloses it, one consecrates it rather than obliterating it.", "publisher" : "Actes Sud", "publisher-place" : "France", "title" : "A Letter Ending the Affair", "type" : "chapter" }, "uris" : [ "http://www.mendeley.com/documents/?uuid=a1cdd7bf-3035-441b-8a09-a8d8e10c9553" ] } ], "mendeley" : { "formattedCitation" : "Christiane Blot-Labarr\u00e8re, \u2018A Letter Ending the Affair\u2019, in &lt;i&gt;Take Care of Yourself&lt;/i&gt;, ed. by Sophie Calle (France: Actes Sud, 2007).", "plainTextFormattedCitation" : "Christiane Blot-Labarr\u00e8re, \u2018A Letter Ending the Affair\u2019, in Take Care of Yourself, ed. by Sophie Calle (France: Actes Sud, 2007).", "previouslyFormattedCitation" : "Christiane Blot-Labarr\u00e8re, \u2018A Letter Ending the Affair\u2019, in &lt;i&gt;Take Care of Yourself&lt;/i&gt;, ed. by Sophie Calle (France: Actes Sud, 2007)."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Christiane Blot-Labarrère, ‘A Letter Ending the Affair’, in </w:t>
      </w:r>
      <w:r w:rsidRPr="00505CF0">
        <w:rPr>
          <w:rFonts w:asciiTheme="majorBidi" w:hAnsiTheme="majorBidi" w:cstheme="majorBidi"/>
          <w:i/>
          <w:noProof/>
        </w:rPr>
        <w:t>Take Care of Yourself</w:t>
      </w:r>
      <w:r w:rsidRPr="00505CF0">
        <w:rPr>
          <w:rFonts w:asciiTheme="majorBidi" w:hAnsiTheme="majorBidi" w:cstheme="majorBidi"/>
          <w:noProof/>
        </w:rPr>
        <w:t>, ed. by Sophie Calle (France: Actes Sud, 2007).</w:t>
      </w:r>
      <w:r w:rsidRPr="00505CF0">
        <w:rPr>
          <w:rFonts w:asciiTheme="majorBidi" w:hAnsiTheme="majorBidi" w:cstheme="majorBidi"/>
        </w:rPr>
        <w:fldChar w:fldCharType="end"/>
      </w:r>
    </w:p>
  </w:footnote>
  <w:footnote w:id="572">
    <w:p w14:paraId="0A1679D4" w14:textId="6D45BFF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"http://www.metamodernism.com/2010/08/09/new-romanticism/", "accessed" : { "date-parts" : [ [ "2017", "11", "2" ] ] }, "author" : [ { "dropping-particle" : "", "family" : "Editorial", "given" : "", "non-dropping-particle" : "", "parse-names" : false, "suffix" : "" } ], "container-title" : "Notes on Metamodernism", "id" : "ITEM-1", "issued" : { "date-parts" : [ [ "2010" ] ] }, "note" : "Indeed, concentrating on the tragic and the sublime, the uncanny and the mystical, often figurative representation and what appears to be beyond the figurative categories, these artists present the commonplace with significance, the quotidian with mystery, the familiar with the aura of the unfamiliar and the finite with the appearance of the infinite. But theirs is a presentation which inevitably \u2013 and necessarily \u2013 fails.\n\nThe key is to understand Romanticism as a\u00a0sens\u00a0rather than as a system of thought, a sensibility rather than a paradigm, an attitude more than an aesthetic regime\n\nBut why now? Why have artists taken to these Romantic sentiments all of a sudden? Our answer is that Romanticism provides them with the vocabulary and iconography to express a dissatisfaction about a present that is increasingly uninhabitable, and a desire for a future whose blueprint has yet to be drawn. New Romanticism expresses the transition from a place not yet left behind, to another space it has not yet entered, and probably never will. Ominous ruins as symbols for the cliffs of the past. Mysterious sects in situ the shores of the future.\n\nThe Romantic art work deconstructs the modern piece by emphasizing what it cannot present, what it cannot signify: that which is beyond reason; the postmodern work deconstructs it by emphasizing exactly what it presents, by exposing precisely what it signifies.", "title" : "New Romanticism", "type" : "webpage" }, "uris" : [ "http://www.mendeley.com/documents/?uuid=8c269efc-381c-440d-b62a-997dc0ad3584" ] } ], "mendeley" : { "formattedCitation" : "Editorial.", "plainTextFormattedCitation" : "Editorial.", "previouslyFormattedCitation" : "Editorial."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Editorial.</w:t>
      </w:r>
      <w:r w:rsidRPr="00505CF0">
        <w:rPr>
          <w:rFonts w:asciiTheme="majorBidi" w:hAnsiTheme="majorBidi" w:cstheme="majorBidi"/>
        </w:rPr>
        <w:fldChar w:fldCharType="end"/>
      </w:r>
    </w:p>
  </w:footnote>
  <w:footnote w:id="573">
    <w:p w14:paraId="68CC3A8E" w14:textId="2FB3E459" w:rsidR="00054009" w:rsidRDefault="00054009" w:rsidP="00AE6788">
      <w:pPr>
        <w:pStyle w:val="FootnoteText"/>
      </w:pPr>
      <w:r>
        <w:rPr>
          <w:rStyle w:val="FootnoteReference"/>
        </w:rPr>
        <w:footnoteRef/>
      </w:r>
      <w:r>
        <w:t xml:space="preserve"> </w:t>
      </w:r>
      <w:r w:rsidRPr="00AE6788">
        <w:rPr>
          <w:i/>
          <w:iCs/>
        </w:rPr>
        <w:t>ACO:</w:t>
      </w:r>
      <w:r>
        <w:rPr>
          <w:i/>
          <w:iCs/>
        </w:rPr>
        <w:t xml:space="preserve"> </w:t>
      </w:r>
      <w:r w:rsidRPr="00AE6788">
        <w:rPr>
          <w:i/>
          <w:iCs/>
        </w:rPr>
        <w:t>Vermeulen’s manuscript speaks of the journey of the Maya crew aboard the commandeered Meghan, and their journey towards the nearest land-mass, which turned out to be a small circle-shaped archipelago of islands. D’Rearj, I know you must be thinking, m</w:t>
      </w:r>
      <w:r>
        <w:rPr>
          <w:i/>
          <w:iCs/>
        </w:rPr>
        <w:t>y fellow academics, did Vermeul</w:t>
      </w:r>
      <w:r w:rsidRPr="00AE6788">
        <w:rPr>
          <w:i/>
          <w:iCs/>
        </w:rPr>
        <w:t>en turn back, did he see the terrible stare of those yellow eyes, from mirrors, from water, from windows, peering at hi</w:t>
      </w:r>
      <w:r>
        <w:rPr>
          <w:i/>
          <w:iCs/>
        </w:rPr>
        <w:t>m constantly? No? No. Little di</w:t>
      </w:r>
      <w:r w:rsidRPr="00AE6788">
        <w:rPr>
          <w:i/>
          <w:iCs/>
        </w:rPr>
        <w:t>d they know the waters they sailed, unable to choose an island. Vermeulen’s account becomes somewhat obscure at this point (and so annotated by Southward that it becomes difficult to read).</w:t>
      </w:r>
    </w:p>
  </w:footnote>
  <w:footnote w:id="574">
    <w:p w14:paraId="1B4C5E0F" w14:textId="7619BE94" w:rsidR="00054009" w:rsidRPr="00505CF0" w:rsidRDefault="00054009" w:rsidP="0025171E">
      <w:pPr>
        <w:pStyle w:val="FootnoteText"/>
        <w:rPr>
          <w:rFonts w:asciiTheme="majorBidi" w:hAnsiTheme="majorBidi" w:cstheme="majorBidi"/>
          <w:vertAlign w:val="superscript"/>
        </w:rPr>
      </w:pPr>
      <w:r w:rsidRPr="00505CF0">
        <w:rPr>
          <w:rStyle w:val="FootnoteReference"/>
          <w:rFonts w:asciiTheme="majorBidi" w:hAnsiTheme="majorBidi" w:cstheme="majorBidi"/>
        </w:rPr>
        <w:footnoteRef/>
      </w:r>
      <w:r w:rsidRPr="00505CF0">
        <w:rPr>
          <w:rFonts w:asciiTheme="majorBidi" w:hAnsiTheme="majorBidi" w:cstheme="majorBidi"/>
        </w:rPr>
        <w:t xml:space="preserve"> As an aside, it is worth noting, too, an important contemporary formulation as proposed by Sianne Ngai – the Stuplime. The Stuplime, very roughly speaking, occurs when the self comes into contact with the extreme boredom or tedium involved with an ‘encounter not with the infinite but with finite bits and scraps of material in repetition:’</w:t>
      </w:r>
      <w:r w:rsidRPr="00505CF0">
        <w:rPr>
          <w:rFonts w:asciiTheme="majorBidi" w:hAnsiTheme="majorBidi" w:cstheme="majorBidi"/>
          <w:vertAlign w:val="superscript"/>
        </w:rPr>
        <w:t xml:space="preserve">a </w:t>
      </w:r>
      <w:r w:rsidRPr="00505CF0">
        <w:rPr>
          <w:rFonts w:asciiTheme="majorBidi" w:hAnsiTheme="majorBidi" w:cstheme="majorBidi"/>
        </w:rPr>
        <w:t>‘the accumulation of visual "data" induces a similar strain on the observer's capacities for conceptually synthesizing or metabolizing information. The fatigue of the viewer's responsivity approaches the kind of exhaustion involved in the attempt to read a dictionary,’ and a sublime response occurs in response to the self’s inability to process such massive, boring amounts of information.</w:t>
      </w:r>
      <w:r w:rsidRPr="00505CF0">
        <w:rPr>
          <w:rFonts w:asciiTheme="majorBidi" w:hAnsiTheme="majorBidi" w:cstheme="majorBidi"/>
          <w:vertAlign w:val="superscript"/>
        </w:rPr>
        <w:t xml:space="preserve">b </w:t>
      </w:r>
      <w:r w:rsidRPr="00505CF0">
        <w:rPr>
          <w:rFonts w:asciiTheme="majorBidi" w:hAnsiTheme="majorBidi" w:cstheme="majorBidi"/>
          <w:vertAlign w:val="superscript"/>
        </w:rPr>
        <w:fldChar w:fldCharType="begin" w:fldLock="1"/>
      </w:r>
      <w:r>
        <w:rPr>
          <w:rFonts w:asciiTheme="majorBidi" w:hAnsiTheme="majorBidi" w:cstheme="majorBidi"/>
          <w:vertAlign w:val="superscript"/>
        </w:rPr>
        <w:instrText>ADDIN CSL_CITATION { "citationItems" : [ { "id" : "ITEM-1", "itemData" : { "author" : [ { "dropping-particle" : "", "family" : "Ngai", "given" : "Sianne", "non-dropping-particle" : "", "parse-names" : false, "suffix" : "" } ], "id" : "ITEM-1", "issued" : { "date-parts" : [ [ "2007" ] ] }, "note" : "the accumulation of visual &amp;quot;data&amp;quot; induces a similar strain on the observer's capacities for concepturally synthesizing or metabolizing information. The fatigue of the viewer's responsivity approaches the kind of exhaustion involved in the attempt to read a dictionary. p.263 \n\n[Kantian sublime] involve[s] an initial experience of being overwhelmed in confrontation with totality that makes the observer painfully aware of her limitations - or at least at first. p.265 \n\n[In Kant's defintion] the original revelations of &amp;quot;the inadequacy of the imaginion for presenting the ideas fo a whole&amp;quot; or in that of the impotence the self feels when confronted with natural power and magnificence, ultimately refer the self back to its capacity for reason as a superior faculty - once capable of grasping the totality or infinity that the imaginiaon could not in the form of a noumenal or supersensibile idea, and also of revealing the self's final superiority ro nature, inasmuch as its rational faculty is revealed as lying outside nature and in fact encompasing it. p.266\n\nfor Kat subilmity applies onyl to a quality or state of the subject's mind, and not to the obect that excites that state of mind [...] what is properly sublime for Kant is not the object of great magnitude or power that awes the self, but rather the self's pleasurable and emotionally satisfying estimation of itself. p.266\n\nOne strategy for calling attention to the difference between the mixture of shock and exhaustion produced and sustained by a text like [Gertrude Stein's Making of Americans], and the &amp;quot;dread&amp;quot; and &amp;quot;holy awe&amp;quot; eventually superseded by disinterested pleasure that are particular to the sublime, is to refer to the asethetic experience in which astonishment is paradoxically united with boredom as stuplimity. p.271\n\nStuplimity reveals the limits of our ability ro compregend a vastly extended form as a totality, as does Kant's mathmatical sublime, yet not through an encounter with the infinite but with finite bits and scraps of material in repetition. p.271", "publisher" : "Harvard University Press", "publisher-place" : "Cambridge", "title" : "Ugly Feelings", "type" : "book" }, "locator" : "(a)271, (b)263", "uris" : [ "http://www.mendeley.com/documents/?uuid=a5eaff33-9834-47e2-984a-f10e4362e771" ] } ], "mendeley" : { "formattedCitation" : "Sianne Ngai, &lt;i&gt;Ugly Feelings&lt;/i&gt; (Cambridge: Harvard University Press, 2007), pp. (a)271, (b)263.", "plainTextFormattedCitation" : "Sianne Ngai, Ugly Feelings (Cambridge: Harvard University Press, 2007), pp. (a)271, (b)263.", "previouslyFormattedCitation" : "Sianne Ngai, &lt;i&gt;Ugly Feelings&lt;/i&gt; (Cambridge: Harvard University Press, 2007), pp. (a)271, (b)263." }, "properties" : { "noteIndex" : 0 }, "schema" : "https://github.com/citation-style-language/schema/raw/master/csl-citation.json" }</w:instrText>
      </w:r>
      <w:r w:rsidRPr="00505CF0">
        <w:rPr>
          <w:rFonts w:asciiTheme="majorBidi" w:hAnsiTheme="majorBidi" w:cstheme="majorBidi"/>
          <w:vertAlign w:val="superscript"/>
        </w:rPr>
        <w:fldChar w:fldCharType="separate"/>
      </w:r>
      <w:r w:rsidRPr="0025171E">
        <w:rPr>
          <w:rFonts w:asciiTheme="majorBidi" w:hAnsiTheme="majorBidi" w:cstheme="majorBidi"/>
          <w:noProof/>
        </w:rPr>
        <w:t xml:space="preserve">Sianne Ngai, </w:t>
      </w:r>
      <w:r w:rsidRPr="0025171E">
        <w:rPr>
          <w:rFonts w:asciiTheme="majorBidi" w:hAnsiTheme="majorBidi" w:cstheme="majorBidi"/>
          <w:i/>
          <w:noProof/>
        </w:rPr>
        <w:t>Ugly Feelings</w:t>
      </w:r>
      <w:r w:rsidRPr="0025171E">
        <w:rPr>
          <w:rFonts w:asciiTheme="majorBidi" w:hAnsiTheme="majorBidi" w:cstheme="majorBidi"/>
          <w:noProof/>
        </w:rPr>
        <w:t xml:space="preserve"> (Cambridge: Harvard University Press, 2007), pp. (a)271, (b)263.</w:t>
      </w:r>
      <w:r w:rsidRPr="00505CF0">
        <w:rPr>
          <w:rFonts w:asciiTheme="majorBidi" w:hAnsiTheme="majorBidi" w:cstheme="majorBidi"/>
          <w:vertAlign w:val="superscript"/>
        </w:rPr>
        <w:fldChar w:fldCharType="end"/>
      </w:r>
    </w:p>
  </w:footnote>
  <w:footnote w:id="575">
    <w:p w14:paraId="5BC12716" w14:textId="460E223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"Dennis", "given" : "Helen M", "non-dropping-particle" : "", "parse-names" : false, "suffix" : "" } ], "chapter-number" : "5", "container-title" : "Poetry and the Sense of Panic. Critical Essays on Elizabeth Bishop and John Ashbery", "editor" : [ { "dropping-particle" : "", "family" : "Kelly", "given" : "Lionel", "non-dropping-particle" : "", "parse-names" : false, "suffix" : "" } ], "id" : "ITEM-1", "issued" : { "date-parts" : [ [ "2000" ] ] }, "note" : "[The sublime is a site] where the human imagination meets the vast, the overwhelming, the incomprehensible in nature and feels a sense of elevation as the human powers rise to perceive the sublime. p.55 \n\nIn edmund Burke's account of the sublime the subject encounters the external cause of terror, the subjects' imagination &amp;quot;swells&amp;quot; and rises to meet it and feels a triumphant pleasure at having expanded the human facilities to join with it. In Kant, the sublime permits the imagination a merely futile attempt at this union before collapsing, and this failure produces not exaltation in the subject but obidient &amp;quot;Respect&amp;quot;. p.55\n\nAfter Burke, the sublime is no longer identified with the godhead, so it tends to become a focues of the abyss between subject and object, self and other, poet and world. We cannot help but experience and perceive the sublime but the notion of the incomprehensible, the ungraspable, the infinitiudinal no longer shores up the human identity. Instead, it leads to yet more hyperbolic attempts to make the connection, to construct a metaphysical bridge over the abyss. p.55-6 When confronted with his sublime narcissim, Ellis's self shatters and a text is created from the fragments, a story built around a reconstruction of the self/selves centring around a Gothic anxiety of lineage; which self will emerge- one determined by his father, his role as fictional father his role as son, or his inability to fulful any of these roles?\n\nThus the romantic and post-romantic attraction towards the sublime which might appear in theory to contribute to the process of definition of an individual self (either through the transcendent powers of the imagination or the awful power of reasson to contain the world in a grain of sand) in practice contributes to an experience of the negative sublime, which subverts the romantic aesthetic of connection between subject and object, self and other, the poet and the world. The self comprehends the vastness but is inadequate in the face of it. Hence the formation of a stable individual self is undermined and a more tenuous and provisional construction of autonomy supercedes it. p.56", "page" : "53-63", "publisher" : "Rodopi", "publisher-place" : "Amsterdam", "title" : "\"Questions of Travel\"; Elizabeth Bishop and The Negative Sublime", "type" : "chapter" }, "locator" : "55", "uris" : [ "http://www.mendeley.com/documents/?uuid=b4ee13b3-1189-4fb0-b8e6-bb72cded74f5" ] } ], "mendeley" : { "formattedCitation" : "Helen M Dennis, \u2018\u201cQuestions of Travel\u201d; Elizabeth Bishop and The Negative Sublime\u2019, in &lt;i&gt;Poetry and the Sense of Panic. Critical Essays on Elizabeth Bishop and John Ashbery&lt;/i&gt;, ed. by Lionel Kelly (Amsterdam: Rodopi, 2000), pp. 53\u201363 (p. 55).", "plainTextFormattedCitation" : "Helen M Dennis, \u2018\u201cQuestions of Travel\u201d; Elizabeth Bishop and The Negative Sublime\u2019, in Poetry and the Sense of Panic. Critical Essays on Elizabeth Bishop and John Ashbery, ed. by Lionel Kelly (Amsterdam: Rodopi, 2000), pp. 53\u201363 (p. 55).", "previouslyFormattedCitation" : "Helen M Dennis, \u2018\u201cQuestions of Travel\u201d; Elizabeth Bishop and The Negative Sublime\u2019, in &lt;i&gt;Poetry and the Sense of Panic. Critical Essays on Elizabeth Bishop and John Ashbery&lt;/i&gt;, ed. by Lionel Kelly (Amsterdam: Rodopi, 2000), pp. 53\u201363 (p. 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Helen M Dennis, ‘“Questions of Travel”; Elizabeth Bishop and The Negative Sublime’, in </w:t>
      </w:r>
      <w:r w:rsidRPr="00505CF0">
        <w:rPr>
          <w:rFonts w:asciiTheme="majorBidi" w:hAnsiTheme="majorBidi" w:cstheme="majorBidi"/>
          <w:i/>
          <w:noProof/>
        </w:rPr>
        <w:t>Poetry and the Sense of Panic. Critical Essays on Elizabeth Bishop and John Ashbery</w:t>
      </w:r>
      <w:r w:rsidRPr="00505CF0">
        <w:rPr>
          <w:rFonts w:asciiTheme="majorBidi" w:hAnsiTheme="majorBidi" w:cstheme="majorBidi"/>
          <w:noProof/>
        </w:rPr>
        <w:t>, ed. by Lionel Kelly (Amsterdam: Rodopi, 2000), pp. 53–63 (p. 55).</w:t>
      </w:r>
      <w:r w:rsidRPr="00505CF0">
        <w:rPr>
          <w:rFonts w:asciiTheme="majorBidi" w:hAnsiTheme="majorBidi" w:cstheme="majorBidi"/>
        </w:rPr>
        <w:fldChar w:fldCharType="end"/>
      </w:r>
    </w:p>
  </w:footnote>
  <w:footnote w:id="576">
    <w:p w14:paraId="1C055554" w14:textId="0414251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 am vastly simplifying a complicated philosophical theory here. For a proper, full scholarly analysis, please see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"uris" : [ "http://www.mendeley.com/documents/?uuid=accda2e9-6220-410d-ae47-ebabdff6163f" ] } ], "mendeley" : { "formattedCitation" : "Mishra.", "plainTextFormattedCitation" : "Mishra.", "previouslyFormattedCitation" : "Mishra."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Mishra.</w:t>
      </w:r>
      <w:r w:rsidRPr="00505CF0">
        <w:rPr>
          <w:rFonts w:asciiTheme="majorBidi" w:hAnsiTheme="majorBidi" w:cstheme="majorBidi"/>
        </w:rPr>
        <w:fldChar w:fldCharType="end"/>
      </w:r>
    </w:p>
  </w:footnote>
  <w:footnote w:id="577">
    <w:p w14:paraId="13A7454B" w14:textId="5B565D9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"23", "uris" : [ "http://www.mendeley.com/documents/?uuid=accda2e9-6220-410d-ae47-ebabdff6163f" ] } ], "mendeley" : { "formattedCitation" : "Mishra, p. 23.", "plainTextFormattedCitation" : "Mishra, p. 23.", "previouslyFormattedCitation" : "Mishra, p. 23."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Mishra, p. 23.</w:t>
      </w:r>
      <w:r w:rsidRPr="00505CF0">
        <w:rPr>
          <w:rFonts w:asciiTheme="majorBidi" w:hAnsiTheme="majorBidi" w:cstheme="majorBidi"/>
        </w:rPr>
        <w:fldChar w:fldCharType="end"/>
      </w:r>
    </w:p>
  </w:footnote>
  <w:footnote w:id="578">
    <w:p w14:paraId="131A168E" w14:textId="50278AD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"39", "uris" : [ "http://www.mendeley.com/documents/?uuid=accda2e9-6220-410d-ae47-ebabdff6163f" ] } ], "mendeley" : { "formattedCitation" : "Mishra, p. 39.", "plainTextFormattedCitation" : "Mishra, p. 39.", "previouslyFormattedCitation" : "Mishra, p. 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Mishra, p. 39.</w:t>
      </w:r>
      <w:r w:rsidRPr="00505CF0">
        <w:rPr>
          <w:rFonts w:asciiTheme="majorBidi" w:hAnsiTheme="majorBidi" w:cstheme="majorBidi"/>
        </w:rPr>
        <w:fldChar w:fldCharType="end"/>
      </w:r>
    </w:p>
  </w:footnote>
  <w:footnote w:id="579">
    <w:p w14:paraId="6AE003ED" w14:textId="4653E09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"ISBN" : "9789042026643 (pbk.)\\r9042026642 (pbk.)\\r9789042026650 (e-book)\\r9042026650 (e-book)", "author" : [ { "dropping-particle" : "", "family" : "Beville", "given" : "Maria", "non-dropping-particle" : "", "parse-names" : false, "suffix" : "" } ], "editor" : [ { "dropping-particle" : "", "family" : "D'haen", "given" : "Theo", "non-dropping-particle" : "", "parse-names" : false, "suffix" : "" }, { "dropping-particle" : "", "family" : "Bertens", "given" : "Hans", "non-dropping-particle" : "", "parse-names" : false, "suffix" : "" } ], "id" : "ITEM-1", "issued" : { "date-parts" : [ [ "2009" ] ] }, "note" : "Auster's narrator/author relationship [in City of Glass] presents a perfect parallel with Lunar Park, and both novels quite effectively relate a murky existentialism that refers to ideas of multiple subjectivity and a postmodern rejection of concepts of wholeness. p.186\n\nReinforcing this Gothic aesthetic, references to Poe are scattered throughout Lunar Park, most remarkably in the case when Bret\u2019s hair, after his climactic night of terror at the house, turns completely white, echoing Poe\u2019s \u2018A Descent into the Maelstrom\u2019:\u2018When I was found in the Range Rover, my hair had turned completely white\u2019 (Easton Ellis 2005, 440). On other occasions, Ellis playfully throws in suggestive words in his narrative such as in the case of \u2018a writer\u2019s life is a maelstrom of lying\u2019 (Easton Ellis 2005, 218). The most resonant connection, however, remains to be seen in \u2018The Fall of the House of Usher\u2019. The return of the ghost of Lady Madeleine Usher in Poe\u2019s short story coincides with the reappearance of Robert Ellis. The most striking similarity between the two is the part that the house plays in triggering madness in the character. p.188-9\n\n\n[Quoting Burke]\nwhatever is fitted in any sort to excite the ideas of pain and danger, that is to say, whatever is in any sort terrible, or is conversant about terrible objects, or operates in a manner analogous to terror, is a source of the sublime; that is, it is productive of the strongest emotion which the mind is capable of feeling (Burke 1998, 86). p.25\n\nPerhaps [9/11] is so far beyond our simulated frames of reference, so awesome and unquantifiable and so \u2018real\u2019, that it can be regarded as a postmodern sublime encounter that is truly unrepresentable.\nIn a similar way, the sublime aspects of terror explored in Gothic-postmodernist texts have the effect of giving us as readers a sense of our own reality through the creation of the symbolic event of terror; a sense also of the reality of self, or \u2018being\u2019 and by extension of the infinite. p.32\n\nWe can thus conclude that terror, from the very earliest stages of philosophical and literary analysis, was regarded as sublime: as a unique, timeless and unquantifiable emotion. It was regarded as a totalising experience, in which one could potentially encounter self in its most basic of \u2018knowable\u2019 forms through imagination, and the most profound subject matter for avante garde literature. p.26\n\nJean Francois Lyotard\u2019s theory of \u2018the unrepresentable\u2019 is central to this idea, as it establishes the concept that an encounter with the unrepresentable, or unimaginable, results in the interruption of subjective action and a split between rationality and imagination (Lyotard 1991, 210). The condition according to Lyotard is one of exultation/ terror, or in terms of Kantian philosophy: \u2018pleasure displeasure\u2019. Kant\u2019s analytic of the sublime is the basis for Lyotard\u2019s theory and accounts for the situation in terms of \u2018negative pleasure\u2019. When the subject has this sublime experience, it is one of simultaneous \u2018terror\u2019 at the loss of \u2018time moving\u2019 and \u2018exultation\u2019 at the comprehension of the \u2018finite\u2019. The feelings are the result of a conflict of reason as it comprehends the sublime, and imagination as it fails to \u2018re-present it\u2019 (Kant 2001, 24-26). p.24\n\nLiterary history has revealed that Burke\u2019s perspective on the sublime is one of the most fundamental philosophies underpinning Gothic aesthetics. It therefore had a remarkable impact on the \u2018original\u2019 Gothic, and its orientation toward the dark side of human subjective experience. Significantly, the Gothic, as it evolved, retained this preoccupation with the sublime and the power of terror as an overwhelming experience for the subject, and an intensification of this focus is evident as the genre moves toward postmodernism. p.26\n\nNotably, there is one other factor that Burke deems as essential to the experience of sublimity and that is obscurity, noting how experiences of terror are more intense during the night-time hours and when veiled by darkness. This suggests that the sublime experience of terror is one of heightened experience and imagination, one in which cognitive reason and objectivity is neglected in favour of fantasy and desire. p.26\n\nWhat distinguishes this text, however, is that in a typically Gothic- postmodernist manner, it works on the distortion and perversion of particular realities that can only be considered as sublime or unrepresentable instances of terror; namely: genocide, loss of self, and death p.109\n\nIn Slaughterhouse 5, Vonnegut performs a \u2018duty dance with death\u2019 and imagines the unimaginable, which can only be achieved from a defamiliarised perspective that is absurd and terrifying, so much so, that Billy commits himself to a mental asylum because he is too alarmed by the implications. p.110\n\nIt is probable that we do not need the paraphernalia of the Gothic as much today, firstly, as it is all around us, and secondly, as our fascination with the Gothic is entirely narcissistic. It is to do with explorations of self and reality and the terror of the end, with issues that we cannot know or directly represent. Possibly, for this reason, Gothic-postmodernist works can generate intense fear as they touch on those terrors and anxieties that we cannot expel, that are intrinsic to our being. 106-7", "publisher" : "Rodopi", "publisher-place" : "Amsterdam", "title" : "Gothic-Postmodernism : Voicing the Terrors of Postmodernity", "type" : "book" }, "locator" : "26", "uris" : [ "http://www.mendeley.com/documents/?uuid=7bdd32d5-56c3-49d0-a309-4237758e90bb" ] } ], "mendeley" : { "formattedCitation" : "Beville, p. 26.", "plainTextFormattedCitation" : "Beville, p. 26.", "previouslyFormattedCitation" : "Beville, p. 26."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Beville, p. 26.</w:t>
      </w:r>
      <w:r w:rsidRPr="00505CF0">
        <w:rPr>
          <w:rFonts w:asciiTheme="majorBidi" w:hAnsiTheme="majorBidi" w:cstheme="majorBidi"/>
        </w:rPr>
        <w:fldChar w:fldCharType="end"/>
      </w:r>
    </w:p>
  </w:footnote>
  <w:footnote w:id="580">
    <w:p w14:paraId="2F0379BC" w14:textId="0E2E6368"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xml:space="preserve">: Again, I hope the intrepid reader will forgive me for splicing in more of Southward’s previous works here in an effort to replicate the original argument. Of course, I have taken the liberty of somewhat altering, augmenting, and amending his published argument to make it more palatable for the contemporary audience. </w:t>
      </w:r>
    </w:p>
  </w:footnote>
  <w:footnote w:id="581">
    <w:p w14:paraId="3361E4A9" w14:textId="7F31889E"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"Lyotard's treatise on the postmodern condition discusses a crisis in legitimation in the sciences in the computerized age, where there is a drive towards performance instead of truth. The former narratives of Spirit and Emancipation are losing their credibility, and Lyotard argues that science needs to be local and restricted in time. There are problems with systems because they are inherently unstable, despite what science wants them to be. He argues that the mini-narrative remains the imaginative invention, especially in science. He points out the science is essentially a language game with its own rules. The public should be given free access to data in order that they can also find ways to use it and construct new rules.", "author" : [ { "dropping-particle" : "", "family" : "Lyotard", "given" : "J F", "non-dropping-particle" : "", "parse-names" : false, "suffix" : "" } ], "container-title" : "Theory and History of Literature", "id" : "ITEM-1", "issued" : { "date-parts" : [ [ "1984" ] ] }, "note" : "The objects and the thoughts which originate in scientific knowledge and the capitalist economy convey with them one of the rules which supports their possibility: the rule is that there is no reality unless testified to by a concensus between partners over a certain knowledge and certain commitments.\nThis rule is of no little consequence. It is the imprint left on the politics of the scientist and the trustee of capital by a kind of flight of reality out of the metaphysical, religious, and political certainties that the mind beleived it held. p.77\n\nModernity, in whatever age it appears, cannot exist without a shattering of beleif and without discovery of the &amp;quot;lack of reality&amp;quot; of reality altogether, together with the invention of other realities.\np.77\n\nI think in particular that it is in the aesthetic of the sublime that modern art (including literature) finds its impetus and the logic of the avant-gardes finds its axioms. p.77\n\nThe sublime sentiment, which is also the sentiment of the sublime, is, according to Kant, a strong and ecquivocal emotion: it carries with it both pleasure and pain. Better still, in it pleasure derives from pain [...] this contradiction, which some would call neurosis or masochism, develops as a conflict between the faculties of a subject, the faculty to conceive of something, and the faculty to &amp;quot;present&amp;quot; something. p.77\n\nTaste, therefore, testifies that between the capacity to conceive and the capacity to present an object corresponding to the concept, an undetermined agreement, without rules, giving rise to a judgement which Kant calls reflective, may be experienced as pleasure. The sublime is different to to this statement. It takes place, on the contrary, when the imagination fails to present an object which might, if only in principle, come to match a concept. We have the Idea of the world (the totality of what it is) but we do not have the capacity to show an example of it. We have the Idea of the simple (that which cannot be broken down, decomposed), but we cannot illustrate it with a sensible object which would be a &amp;quot;case&amp;quot; of it. We can conceive the inifinitely great, the infinitely powerful, but every presentation of an object destined to &amp;quot;make visible&amp;quot; this absolute greatness of power appears to us painfully inadequate.Those are ideas of which no presentation is possible. pp.77-8\n\nIf it is true that modernity takes place in the the withdrawl of the real and according to the sublime representation between the presentable and the conceivable [...] p.77\n\nHere, then, lies the difference: modern aesthetics is an aesthetic of the sublime, though a nostalgic one. It allows the unrepresentable to be put forward only as the missing contents; but the form, because of its recognizable consistency, continues to offer the reader or veiwer matter for solace and pleasure. Yet these sentiments do not consitute the real sublime sentiment, which is in an intrinsic combination of p[leasure and pain: the pleasure that reason should exceed all presentation, the pain that imagination or sensiblity should be equal to the concept.\nThe postmodern would be that which, in the modern, puts forwards the unpresentable in presentation itself; what which denies itself the solace of good forms, the consensus of a taste which would make it possible to sharre collectively the nostalgia for the unattainable; that which searches for new presentations, not in order to enjoy them but in order to impart a stronger sense of the unrepresentable. p.81\n\nA postmodern artist or writer is in the position of a philosopher: the text he writers, the work he produces are not in principle governed by preestablished rules, and they cannot be judged according to a determining judgement, by applying familiar categories to the text or to the work. Those rules and categories are what the work of art or art itself is looking for. p.81\n\nFinally, it must be made clear that it is out business not to supply reality but to invent allusions to the conceivable which cannot be presented. p.81\n\nUnder the general demand for slackening and appeasement, we can hear the mutterings of the desire for a teturn of terror, the realization of the fantasy to seize reality. The answer is; Let us wage a war on totality; let us be witnesses to the unpresentable; let us activate the differences and save the honor of the name. p.82", "number-of-pages" : "111", "publisher" : "University of Minnesota Press", "publisher-place" : "Minneapolis", "title" : "The Postmodern Condition", "type" : "book", "volume" : "10" }, "locator" : "77-8", "uris" : [ "http://www.mendeley.com/documents/?uuid=1a118ff9-2a71-4c22-8a9c-e58189ebc60d" ] } ], "mendeley" : { "formattedCitation" : "J F Lyotard, &lt;i&gt;The Postmodern Condition&lt;/i&gt;, &lt;i&gt;Theory and History of Literature&lt;/i&gt; (Minneapolis: University of Minnesota Press, 1984), &lt;span style=\"font-variant:small-caps;\"&gt;x&lt;/span&gt;, pp. 77\u20138.", "plainTextFormattedCitation" : "J F Lyotard, The Postmodern Condition, Theory and History of Literature (Minneapolis: University of Minnesota Press, 1984), x, pp. 77\u20138.", "previouslyFormattedCitation" : "J F Lyotard, &lt;i&gt;The Postmodern Condition&lt;/i&gt;, &lt;i&gt;Theory and History of Literature&lt;/i&gt; (Minneapolis: University of Minnesota Press, 1984), &lt;span style=\"font-variant:small-caps;\"&gt;x&lt;/span&gt;, pp. 77\u20138."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bCs/>
          <w:noProof/>
          <w:lang w:val="en-US"/>
        </w:rPr>
        <w:t xml:space="preserve">J F Lyotard, </w:t>
      </w:r>
      <w:r w:rsidRPr="0025171E">
        <w:rPr>
          <w:rFonts w:asciiTheme="majorBidi" w:hAnsiTheme="majorBidi" w:cstheme="majorBidi"/>
          <w:bCs/>
          <w:i/>
          <w:noProof/>
          <w:lang w:val="en-US"/>
        </w:rPr>
        <w:t>The Postmodern Condition</w:t>
      </w:r>
      <w:r w:rsidRPr="0025171E">
        <w:rPr>
          <w:rFonts w:asciiTheme="majorBidi" w:hAnsiTheme="majorBidi" w:cstheme="majorBidi"/>
          <w:bCs/>
          <w:noProof/>
          <w:lang w:val="en-US"/>
        </w:rPr>
        <w:t xml:space="preserve">, </w:t>
      </w:r>
      <w:r w:rsidRPr="0025171E">
        <w:rPr>
          <w:rFonts w:asciiTheme="majorBidi" w:hAnsiTheme="majorBidi" w:cstheme="majorBidi"/>
          <w:bCs/>
          <w:i/>
          <w:noProof/>
          <w:lang w:val="en-US"/>
        </w:rPr>
        <w:t>Theory and History of Literature</w:t>
      </w:r>
      <w:r w:rsidRPr="0025171E">
        <w:rPr>
          <w:rFonts w:asciiTheme="majorBidi" w:hAnsiTheme="majorBidi" w:cstheme="majorBidi"/>
          <w:bCs/>
          <w:noProof/>
          <w:lang w:val="en-US"/>
        </w:rPr>
        <w:t xml:space="preserve"> (Minneapolis: University of Minnesota Press, 1984), </w:t>
      </w:r>
      <w:r w:rsidRPr="0025171E">
        <w:rPr>
          <w:rFonts w:asciiTheme="majorBidi" w:hAnsiTheme="majorBidi" w:cstheme="majorBidi"/>
          <w:bCs/>
          <w:smallCaps/>
          <w:noProof/>
          <w:lang w:val="en-US"/>
        </w:rPr>
        <w:t>x</w:t>
      </w:r>
      <w:r w:rsidRPr="0025171E">
        <w:rPr>
          <w:rFonts w:asciiTheme="majorBidi" w:hAnsiTheme="majorBidi" w:cstheme="majorBidi"/>
          <w:bCs/>
          <w:noProof/>
          <w:lang w:val="en-US"/>
        </w:rPr>
        <w:t>, pp. 77–8.</w:t>
      </w:r>
      <w:r w:rsidRPr="00505CF0">
        <w:rPr>
          <w:rFonts w:asciiTheme="majorBidi" w:hAnsiTheme="majorBidi" w:cstheme="majorBidi"/>
        </w:rPr>
        <w:fldChar w:fldCharType="end"/>
      </w:r>
    </w:p>
  </w:footnote>
  <w:footnote w:id="582">
    <w:p w14:paraId="4D8DE62F" w14:textId="739077F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"95-6", "uris" : [ "http://www.mendeley.com/documents/?uuid=6048050d-c4cb-4e09-ba59-7ab64d965f45" ] } ], "mendeley" : { "formattedCitation" : "Ellis, pp. 95\u20136.", "plainTextFormattedCitation" : "Ellis, pp. 95\u20136.", "previouslyFormattedCitation" : "Ellis, pp. 95\u20136."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bCs/>
          <w:noProof/>
          <w:lang w:val="en-US"/>
        </w:rPr>
        <w:t>Ellis, pp. 95–6.</w:t>
      </w:r>
      <w:r w:rsidRPr="00505CF0">
        <w:rPr>
          <w:rFonts w:asciiTheme="majorBidi" w:hAnsiTheme="majorBidi" w:cstheme="majorBidi"/>
        </w:rPr>
        <w:fldChar w:fldCharType="end"/>
      </w:r>
    </w:p>
  </w:footnote>
  <w:footnote w:id="583">
    <w:p w14:paraId="57C47B27" w14:textId="0E2DA1F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At several points in the text Ellis laments society’s impact on his son and the fact that Robby’s life seems to lack any ‘poetry and romance’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"113", "uris" : [ "http://www.mendeley.com/documents/?uuid=6048050d-c4cb-4e09-ba59-7ab64d965f45" ] } ], "mendeley" : { "formattedCitation" : "Ellis, p. 113.", "plainTextFormattedCitation" : "Ellis, p. 113.", "previouslyFormattedCitation" : "Ellis, p. 113."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Ellis, p. 113.</w:t>
      </w:r>
      <w:r w:rsidRPr="00505CF0">
        <w:rPr>
          <w:rFonts w:asciiTheme="majorBidi" w:hAnsiTheme="majorBidi" w:cstheme="majorBidi"/>
        </w:rPr>
        <w:fldChar w:fldCharType="end"/>
      </w:r>
      <w:r w:rsidRPr="00505CF0">
        <w:rPr>
          <w:rFonts w:asciiTheme="majorBidi" w:hAnsiTheme="majorBidi" w:cstheme="majorBidi"/>
        </w:rPr>
        <w:t xml:space="preserve">) Robby too is desperate to escape the Postmodern structures that Bret imposes, but seems unable to do so. We see Robby struggling under the tyranny of his father’s Postmodern affectation, his obsession with materiality, his inherent irony, his depthlessness, all of which cause Robby and other boys of the next generation to flee. Though not specifically commenting on the sublime here, </w:t>
      </w:r>
      <w:r w:rsidRPr="00505CF0">
        <w:rPr>
          <w:rFonts w:asciiTheme="majorBidi" w:hAnsiTheme="majorBidi" w:cstheme="majorBidi"/>
          <w:i/>
          <w:iCs/>
        </w:rPr>
        <w:t>Lunar Park</w:t>
      </w:r>
      <w:r w:rsidRPr="00505CF0">
        <w:rPr>
          <w:rFonts w:asciiTheme="majorBidi" w:hAnsiTheme="majorBidi" w:cstheme="majorBidi"/>
        </w:rPr>
        <w:t xml:space="preserve"> does align itself with a desire for post-Postmodernity, seeming to ascribe to the ‘structure of feeling’ described by metamodernism in its yearning for a movement away from Postmodernity, for post-ironic forms and a subsequent return to sincerity.</w:t>
      </w:r>
    </w:p>
  </w:footnote>
  <w:footnote w:id="584">
    <w:p w14:paraId="27B57E75" w14:textId="54CE4F5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"ISBN" : "9789042026643 (pbk.)\\r9042026642 (pbk.)\\r9789042026650 (e-book)\\r9042026650 (e-book)", "author" : [ { "dropping-particle" : "", "family" : "Beville", "given" : "Maria", "non-dropping-particle" : "", "parse-names" : false, "suffix" : "" } ], "editor" : [ { "dropping-particle" : "", "family" : "D'haen", "given" : "Theo", "non-dropping-particle" : "", "parse-names" : false, "suffix" : "" }, { "dropping-particle" : "", "family" : "Bertens", "given" : "Hans", "non-dropping-particle" : "", "parse-names" : false, "suffix" : "" } ], "id" : "ITEM-1", "issued" : { "date-parts" : [ [ "2009" ] ] }, "note" : "Auster's narrator/author relationship [in City of Glass] presents a perfect parallel with Lunar Park, and both novels quite effectively relate a murky existentialism that refers to ideas of multiple subjectivity and a postmodern rejection of concepts of wholeness. p.186\n\nReinforcing this Gothic aesthetic, references to Poe are scattered throughout Lunar Park, most remarkably in the case when Bret\u2019s hair, after his climactic night of terror at the house, turns completely white, echoing Poe\u2019s \u2018A Descent into the Maelstrom\u2019:\u2018When I was found in the Range Rover, my hair had turned completely white\u2019 (Easton Ellis 2005, 440). On other occasions, Ellis playfully throws in suggestive words in his narrative such as in the case of \u2018a writer\u2019s life is a maelstrom of lying\u2019 (Easton Ellis 2005, 218). The most resonant connection, however, remains to be seen in \u2018The Fall of the House of Usher\u2019. The return of the ghost of Lady Madeleine Usher in Poe\u2019s short story coincides with the reappearance of Robert Ellis. The most striking similarity between the two is the part that the house plays in triggering madness in the character. p.188-9\n\n\n[Quoting Burke]\nwhatever is fitted in any sort to excite the ideas of pain and danger, that is to say, whatever is in any sort terrible, or is conversant about terrible objects, or operates in a manner analogous to terror, is a source of the sublime; that is, it is productive of the strongest emotion which the mind is capable of feeling (Burke 1998, 86). p.25\n\nPerhaps [9/11] is so far beyond our simulated frames of reference, so awesome and unquantifiable and so \u2018real\u2019, that it can be regarded as a postmodern sublime encounter that is truly unrepresentable.\nIn a similar way, the sublime aspects of terror explored in Gothic-postmodernist texts have the effect of giving us as readers a sense of our own reality through the creation of the symbolic event of terror; a sense also of the reality of self, or \u2018being\u2019 and by extension of the infinite. p.32\n\nWe can thus conclude that terror, from the very earliest stages of philosophical and literary analysis, was regarded as sublime: as a unique, timeless and unquantifiable emotion. It was regarded as a totalising experience, in which one could potentially encounter self in its most basic of \u2018knowable\u2019 forms through imagination, and the most profound subject matter for avante garde literature. p.26\n\nJean Francois Lyotard\u2019s theory of \u2018the unrepresentable\u2019 is central to this idea, as it establishes the concept that an encounter with the unrepresentable, or unimaginable, results in the interruption of subjective action and a split between rationality and imagination (Lyotard 1991, 210). The condition according to Lyotard is one of exultation/ terror, or in terms of Kantian philosophy: \u2018pleasure displeasure\u2019. Kant\u2019s analytic of the sublime is the basis for Lyotard\u2019s theory and accounts for the situation in terms of \u2018negative pleasure\u2019. When the subject has this sublime experience, it is one of simultaneous \u2018terror\u2019 at the loss of \u2018time moving\u2019 and \u2018exultation\u2019 at the comprehension of the \u2018finite\u2019. The feelings are the result of a conflict of reason as it comprehends the sublime, and imagination as it fails to \u2018re-present it\u2019 (Kant 2001, 24-26). p.24\n\nLiterary history has revealed that Burke\u2019s perspective on the sublime is one of the most fundamental philosophies underpinning Gothic aesthetics. It therefore had a remarkable impact on the \u2018original\u2019 Gothic, and its orientation toward the dark side of human subjective experience. Significantly, the Gothic, as it evolved, retained this preoccupation with the sublime and the power of terror as an overwhelming experience for the subject, and an intensification of this focus is evident as the genre moves toward postmodernism. p.26\n\nNotably, there is one other factor that Burke deems as essential to the experience of sublimity and that is obscurity, noting how experiences of terror are more intense during the night-time hours and when veiled by darkness. This suggests that the sublime experience of terror is one of heightened experience and imagination, one in which cognitive reason and objectivity is neglected in favour of fantasy and desire. p.26\n\nWhat distinguishes this text, however, is that in a typically Gothic- postmodernist manner, it works on the distortion and perversion of particular realities that can only be considered as sublime or unrepresentable instances of terror; namely: genocide, loss of self, and death p.109\n\nIn Slaughterhouse 5, Vonnegut performs a \u2018duty dance with death\u2019 and imagines the unimaginable, which can only be achieved from a defamiliarised perspective that is absurd and terrifying, so much so, that Billy commits himself to a mental asylum because he is too alarmed by the implications. p.110\n\nIt is probable that we do not need the paraphernalia of the Gothic as much today, firstly, as it is all around us, and secondly, as our fascination with the Gothic is entirely narcissistic. It is to do with explorations of self and reality and the terror of the end, with issues that we cannot know or directly represent. Possibly, for this reason, Gothic-postmodernist works can generate intense fear as they touch on those terrors and anxieties that we cannot expel, that are intrinsic to our being. 106-7", "publisher" : "Rodopi", "publisher-place" : "Amsterdam", "title" : "Gothic-Postmodernism : Voicing the Terrors of Postmodernity", "type" : "book" }, "locator" : "106", "uris" : [ "http://www.mendeley.com/documents/?uuid=7bdd32d5-56c3-49d0-a309-4237758e90bb" ] } ], "mendeley" : { "formattedCitation" : "Beville, p. 106.", "plainTextFormattedCitation" : "Beville, p. 106.", "previouslyFormattedCitation" : "Beville, p. 106."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Beville, p. 106.</w:t>
      </w:r>
      <w:r w:rsidRPr="00505CF0">
        <w:rPr>
          <w:rFonts w:asciiTheme="majorBidi" w:hAnsiTheme="majorBidi" w:cstheme="majorBidi"/>
        </w:rPr>
        <w:fldChar w:fldCharType="end"/>
      </w:r>
    </w:p>
  </w:footnote>
  <w:footnote w:id="585">
    <w:p w14:paraId="78C10892" w14:textId="341FD80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"20", "uris" : [ "http://www.mendeley.com/documents/?uuid=accda2e9-6220-410d-ae47-ebabdff6163f" ] } ], "mendeley" : { "formattedCitation" : "Mishra, p. 20.", "plainTextFormattedCitation" : "Mishra, p. 20.", "previouslyFormattedCitation" : "Mishra, p. 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bCs/>
          <w:noProof/>
          <w:lang w:val="en-US"/>
        </w:rPr>
        <w:t>Mishra, p. 20.</w:t>
      </w:r>
      <w:r w:rsidRPr="00505CF0">
        <w:rPr>
          <w:rFonts w:asciiTheme="majorBidi" w:hAnsiTheme="majorBidi" w:cstheme="majorBidi"/>
        </w:rPr>
        <w:fldChar w:fldCharType="end"/>
      </w:r>
    </w:p>
  </w:footnote>
  <w:footnote w:id="586">
    <w:p w14:paraId="2072C07A" w14:textId="2B4A209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"36", "uris" : [ "http://www.mendeley.com/documents/?uuid=6048050d-c4cb-4e09-ba59-7ab64d965f45" ] } ], "mendeley" : { "formattedCitation" : "Ellis, p. 36.", "plainTextFormattedCitation" : "Ellis, p. 36.", "previouslyFormattedCitation" : "Ellis, p. 36."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Ellis, p. 36.</w:t>
      </w:r>
      <w:r w:rsidRPr="00505CF0">
        <w:rPr>
          <w:rFonts w:asciiTheme="majorBidi" w:hAnsiTheme="majorBidi" w:cstheme="majorBidi"/>
        </w:rPr>
        <w:fldChar w:fldCharType="end"/>
      </w:r>
    </w:p>
  </w:footnote>
  <w:footnote w:id="587">
    <w:p w14:paraId="6D4ED079" w14:textId="04C689C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"86", "uris" : [ "http://www.mendeley.com/documents/?uuid=6048050d-c4cb-4e09-ba59-7ab64d965f45" ] } ], "mendeley" : { "formattedCitation" : "Ellis, p. 86.", "plainTextFormattedCitation" : "Ellis, p. 86.", "previouslyFormattedCitation" : "Ellis, p. 86."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Ellis, p. 86.</w:t>
      </w:r>
      <w:r w:rsidRPr="00505CF0">
        <w:rPr>
          <w:rFonts w:asciiTheme="majorBidi" w:hAnsiTheme="majorBidi" w:cstheme="majorBidi"/>
        </w:rPr>
        <w:fldChar w:fldCharType="end"/>
      </w:r>
    </w:p>
  </w:footnote>
  <w:footnote w:id="588">
    <w:p w14:paraId="03A0AF17" w14:textId="0170E4C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"Ellis", "given" : "Bret Easton", "non-dropping-particle" : "", "parse-names" : false, "suffix" : "" } ], "id" : "ITEM-1", "issued" : { "date-parts" : [ [ "2005" ] ] }, "publisher" : "Picador", "publisher-place" : "London", "title" : "Lunar Park", "type" : "book" }, "locator" : "146", "uris" : [ "http://www.mendeley.com/documents/?uuid=6048050d-c4cb-4e09-ba59-7ab64d965f45" ] } ], "mendeley" : { "formattedCitation" : "Ellis, p. 146.", "plainTextFormattedCitation" : "Ellis, p. 146.", "previouslyFormattedCitation" : "Ellis, p. 146."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Ellis, p. 146.</w:t>
      </w:r>
      <w:r w:rsidRPr="00505CF0">
        <w:rPr>
          <w:rFonts w:asciiTheme="majorBidi" w:hAnsiTheme="majorBidi" w:cstheme="majorBidi"/>
        </w:rPr>
        <w:fldChar w:fldCharType="end"/>
      </w:r>
    </w:p>
  </w:footnote>
  <w:footnote w:id="589">
    <w:p w14:paraId="6E5A8C45" w14:textId="4229344E" w:rsidR="00054009" w:rsidRPr="00701E5C" w:rsidRDefault="00054009" w:rsidP="00701E5C">
      <w:pPr>
        <w:pStyle w:val="FootnoteText"/>
        <w:rPr>
          <w:i/>
          <w:iCs/>
        </w:rPr>
      </w:pPr>
      <w:r>
        <w:rPr>
          <w:rStyle w:val="FootnoteReference"/>
        </w:rPr>
        <w:footnoteRef/>
      </w:r>
      <w:r>
        <w:t xml:space="preserve"> </w:t>
      </w:r>
      <w:r>
        <w:rPr>
          <w:i/>
          <w:iCs/>
        </w:rPr>
        <w:t>ACO</w:t>
      </w:r>
      <w:proofErr w:type="gramStart"/>
      <w:r>
        <w:rPr>
          <w:i/>
          <w:iCs/>
        </w:rPr>
        <w:t>:My</w:t>
      </w:r>
      <w:proofErr w:type="gramEnd"/>
      <w:r>
        <w:rPr>
          <w:i/>
          <w:iCs/>
        </w:rPr>
        <w:t xml:space="preserve"> publishers have asked me to suggest that anyone seeking more information on thissSee ‘Fishy Failings and Missed Hooks, by Wade Arapaima. Though for a more in depth analysis, stay here with me.</w:t>
      </w:r>
    </w:p>
  </w:footnote>
  <w:footnote w:id="590">
    <w:p w14:paraId="4669C605" w14:textId="2A32C73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"291", "uris" : [ "http://www.mendeley.com/documents/?uuid=d3d8ab8b-d459-44b9-bfb2-9a8df455f5f8" ] } ], "mendeley" : { "formattedCitation" : "J.J. Abrams and Doug Dorst, &lt;i&gt;S&lt;/i&gt; (New York: Hachette Book Group, 2013), p. 291.", "plainTextFormattedCitation" : "J.J. Abrams and Doug Dorst, S (New York: Hachette Book Group, 2013), p. 291.", "previouslyFormattedCitation" : "J.J. Abrams and Doug Dorst, &lt;i&gt;S&lt;/i&gt; (New York: Hachette Book Group, 2013), p. 291."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J.J. Abrams and Doug Dorst, </w:t>
      </w:r>
      <w:r w:rsidRPr="00505CF0">
        <w:rPr>
          <w:rFonts w:asciiTheme="majorBidi" w:hAnsiTheme="majorBidi" w:cstheme="majorBidi"/>
          <w:i/>
          <w:noProof/>
        </w:rPr>
        <w:t>S</w:t>
      </w:r>
      <w:r w:rsidRPr="00505CF0">
        <w:rPr>
          <w:rFonts w:asciiTheme="majorBidi" w:hAnsiTheme="majorBidi" w:cstheme="majorBidi"/>
          <w:noProof/>
        </w:rPr>
        <w:t xml:space="preserve"> (New York: Hachette Book Group, 2013), p. 291.</w:t>
      </w:r>
      <w:r w:rsidRPr="00505CF0">
        <w:rPr>
          <w:rFonts w:asciiTheme="majorBidi" w:hAnsiTheme="majorBidi" w:cstheme="majorBidi"/>
        </w:rPr>
        <w:fldChar w:fldCharType="end"/>
      </w:r>
    </w:p>
  </w:footnote>
  <w:footnote w:id="591">
    <w:p w14:paraId="62DE7E4A" w14:textId="60EA1CB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"291", "uris" : [ "http://www.mendeley.com/documents/?uuid=d3d8ab8b-d459-44b9-bfb2-9a8df455f5f8" ] } ], "mendeley" : { "formattedCitation" : "Abrams and Dorst, p. 291.", "plainTextFormattedCitation" : "Abrams and Dorst, p. 291.", "previouslyFormattedCitation" : "Abrams and Dorst, p. 291."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291.</w:t>
      </w:r>
      <w:r w:rsidRPr="00505CF0">
        <w:rPr>
          <w:rFonts w:asciiTheme="majorBidi" w:hAnsiTheme="majorBidi" w:cstheme="majorBidi"/>
        </w:rPr>
        <w:fldChar w:fldCharType="end"/>
      </w:r>
    </w:p>
  </w:footnote>
  <w:footnote w:id="592">
    <w:p w14:paraId="0C9FB9DF" w14:textId="4DFB110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"57", "uris" : [ "http://www.mendeley.com/documents/?uuid=d3d8ab8b-d459-44b9-bfb2-9a8df455f5f8" ] } ], "mendeley" : { "formattedCitation" : "Abrams and Dorst, p. 57.", "plainTextFormattedCitation" : "Abrams and Dorst, p. 57.", "previouslyFormattedCitation" : "Abrams and Dorst, p. 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57.</w:t>
      </w:r>
      <w:r w:rsidRPr="00505CF0">
        <w:rPr>
          <w:rFonts w:asciiTheme="majorBidi" w:hAnsiTheme="majorBidi" w:cstheme="majorBidi"/>
        </w:rPr>
        <w:fldChar w:fldCharType="end"/>
      </w:r>
    </w:p>
  </w:footnote>
  <w:footnote w:id="593">
    <w:p w14:paraId="66AA6372" w14:textId="51C4746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"338-9", "uris" : [ "http://www.mendeley.com/documents/?uuid=d3d8ab8b-d459-44b9-bfb2-9a8df455f5f8" ] } ], "mendeley" : { "formattedCitation" : "Abrams and Dorst, pp. 338\u20139.", "plainTextFormattedCitation" : "Abrams and Dorst, pp. 338\u20139.", "previouslyFormattedCitation" : "Abrams and Dorst, pp. 338\u20139."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Abrams and Dorst, pp. 338–9.</w:t>
      </w:r>
      <w:r w:rsidRPr="00505CF0">
        <w:rPr>
          <w:rFonts w:asciiTheme="majorBidi" w:hAnsiTheme="majorBidi" w:cstheme="majorBidi"/>
        </w:rPr>
        <w:fldChar w:fldCharType="end"/>
      </w:r>
    </w:p>
  </w:footnote>
  <w:footnote w:id="594">
    <w:p w14:paraId="31B5F889" w14:textId="46CBD25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"316", "uris" : [ "http://www.mendeley.com/documents/?uuid=d3d8ab8b-d459-44b9-bfb2-9a8df455f5f8" ] } ], "mendeley" : { "formattedCitation" : "Abrams and Dorst, p. 316.", "plainTextFormattedCitation" : "Abrams and Dorst, p. 316.", "previouslyFormattedCitation" : "Abrams and Dorst, p. 316."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316.</w:t>
      </w:r>
      <w:r w:rsidRPr="00505CF0">
        <w:rPr>
          <w:rFonts w:asciiTheme="majorBidi" w:hAnsiTheme="majorBidi" w:cstheme="majorBidi"/>
        </w:rPr>
        <w:fldChar w:fldCharType="end"/>
      </w:r>
    </w:p>
  </w:footnote>
  <w:footnote w:id="595">
    <w:p w14:paraId="015CC164" w14:textId="19825739" w:rsidR="00054009" w:rsidRPr="006568AC" w:rsidRDefault="00054009">
      <w:pPr>
        <w:pStyle w:val="FootnoteText"/>
        <w:rPr>
          <w:i/>
        </w:rPr>
      </w:pPr>
      <w:r>
        <w:rPr>
          <w:rStyle w:val="FootnoteReference"/>
        </w:rPr>
        <w:footnoteRef/>
      </w:r>
      <w:r>
        <w:t xml:space="preserve"> </w:t>
      </w:r>
      <w:r>
        <w:rPr>
          <w:i/>
        </w:rPr>
        <w:t xml:space="preserve">ACO: I will concede that Arapaima does have several good points to make about the Southwardian desire for vengeance, though the reader may attempt to discover them amongst the absolute dross of the man’s oeuvre by themselves if they so desire. </w:t>
      </w:r>
    </w:p>
  </w:footnote>
  <w:footnote w:id="596">
    <w:p w14:paraId="2D0C7DBB" w14:textId="713295B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"313", "uris" : [ "http://www.mendeley.com/documents/?uuid=d3d8ab8b-d459-44b9-bfb2-9a8df455f5f8" ] } ], "mendeley" : { "formattedCitation" : "Abrams and Dorst, p. 313.", "plainTextFormattedCitation" : "Abrams and Dorst, p. 313.", "previouslyFormattedCitation" : "Abrams and Dorst, p. 313."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313.</w:t>
      </w:r>
      <w:r w:rsidRPr="00505CF0">
        <w:rPr>
          <w:rFonts w:asciiTheme="majorBidi" w:hAnsiTheme="majorBidi" w:cstheme="majorBidi"/>
        </w:rPr>
        <w:fldChar w:fldCharType="end"/>
      </w:r>
    </w:p>
  </w:footnote>
  <w:footnote w:id="597">
    <w:p w14:paraId="5340403B" w14:textId="1CBF2F8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"157", "uris" : [ "http://www.mendeley.com/documents/?uuid=d3d8ab8b-d459-44b9-bfb2-9a8df455f5f8" ] } ], "mendeley" : { "formattedCitation" : "Abrams and Dorst, p. 157.", "plainTextFormattedCitation" : "Abrams and Dorst, p. 157.", "previouslyFormattedCitation" : "Abrams and Dorst, p. 157."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157.</w:t>
      </w:r>
      <w:r w:rsidRPr="00505CF0">
        <w:rPr>
          <w:rFonts w:asciiTheme="majorBidi" w:hAnsiTheme="majorBidi" w:cstheme="majorBidi"/>
        </w:rPr>
        <w:fldChar w:fldCharType="end"/>
      </w:r>
    </w:p>
  </w:footnote>
  <w:footnote w:id="598">
    <w:p w14:paraId="62ECF458" w14:textId="079F299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"347", "uris" : [ "http://www.mendeley.com/documents/?uuid=d3d8ab8b-d459-44b9-bfb2-9a8df455f5f8" ] } ], "mendeley" : { "formattedCitation" : "Abrams and Dorst, p. 347.", "plainTextFormattedCitation" : "Abrams and Dorst, p. 347.", "previouslyFormattedCitation" : "Abrams and Dorst, p. 347."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 347.</w:t>
      </w:r>
      <w:r w:rsidRPr="00505CF0">
        <w:rPr>
          <w:rFonts w:asciiTheme="majorBidi" w:hAnsiTheme="majorBidi" w:cstheme="majorBidi"/>
        </w:rPr>
        <w:fldChar w:fldCharType="end"/>
      </w:r>
    </w:p>
  </w:footnote>
  <w:footnote w:id="599">
    <w:p w14:paraId="3766B6CD" w14:textId="1411BC8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"Abrams", "given" : "J.J.", "non-dropping-particle" : "", "parse-names" : false, "suffix" : "" }, { "dropping-particle" : "", "family" : "Dorst", "given" : "Doug", "non-dropping-particle" : "", "parse-names" : false, "suffix" : "" } ], "id" : "ITEM-1", "issued" : { "date-parts" : [ [ "2013" ] ] }, "note" : "\u201c[\u2026]recently a person, not a freakish salt-crusted mute.&amp;quot; p.267, on the sailors. \n\n&amp;quot;[S is] a man whose physical presence is intangible, but whose influence on the world \u2013 on its boundaries and its resources, its agonies and aspirations \u2013 is anything but.\u201d p.316\n\n\u201cIndividuals and communities [are] wiped clean. Traditions and histories, myths [\u2026] all gone. \n\u00a0 To drink the black stuff is to drink what has been lost. \n\u00a0 To hold it in a barrel, S. imagines, is to imprison the vital; to cellar that bottle is to warehouse the sublime. \u00a0 To launch a Black Vine is to take all the churning fury of the lost and use to render other people, in some other place, equally lost.\u201d p.449-50", "publisher" : "Hachette Book Group", "publisher-place" : "New York", "title" : "S", "type" : "book" }, "locator" : "449-50", "uris" : [ "http://www.mendeley.com/documents/?uuid=d3d8ab8b-d459-44b9-bfb2-9a8df455f5f8" ] } ], "mendeley" : { "formattedCitation" : "Abrams and Dorst, pp. 449\u201350.", "plainTextFormattedCitation" : "Abrams and Dorst, pp. 449\u201350.", "previouslyFormattedCitation" : "Abrams and Dorst, pp. 449\u201350."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Abrams and Dorst, pp. 449–50.</w:t>
      </w:r>
      <w:r w:rsidRPr="00505CF0">
        <w:rPr>
          <w:rFonts w:asciiTheme="majorBidi" w:hAnsiTheme="majorBidi" w:cstheme="majorBidi"/>
        </w:rPr>
        <w:fldChar w:fldCharType="end"/>
      </w:r>
    </w:p>
  </w:footnote>
  <w:footnote w:id="600">
    <w:p w14:paraId="7A7FA059" w14:textId="322A758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"8", "uris" : [ "http://www.mendeley.com/documents/?uuid=9cfe2cdc-de7e-4a7d-bc9d-282fba435583" ] } ], "mendeley" : { "formattedCitation" : "Vermeulen and van den Akker, \u2018Notes on Metamodernism\u2019, p. 8.", "plainTextFormattedCitation" : "Vermeulen and van den Akker, \u2018Notes on Metamodernism\u2019, p. 8.", "previouslyFormattedCitation" : "Vermeulen and van den Akker, \u2018Notes on Metamodernism\u2019,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8.</w:t>
      </w:r>
      <w:r w:rsidRPr="00505CF0">
        <w:rPr>
          <w:rFonts w:asciiTheme="majorBidi" w:hAnsiTheme="majorBidi" w:cstheme="majorBidi"/>
        </w:rPr>
        <w:fldChar w:fldCharType="end"/>
      </w:r>
    </w:p>
  </w:footnote>
  <w:footnote w:id="601">
    <w:p w14:paraId="0D377A49" w14:textId="348FA52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"9", "uris" : [ "http://www.mendeley.com/documents/?uuid=9cfe2cdc-de7e-4a7d-bc9d-282fba435583" ] } ], "mendeley" : { "formattedCitation" : "Vermeulen and van den Akker, \u2018Notes on Metamodernism\u2019, p. 9.", "plainTextFormattedCitation" : "Vermeulen and van den Akker, \u2018Notes on Metamodernism\u2019, p. 9.", "previouslyFormattedCitation" : "Vermeulen and van den Akker, \u2018Notes on Metamodernism\u2019,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9.</w:t>
      </w:r>
      <w:r w:rsidRPr="00505CF0">
        <w:rPr>
          <w:rFonts w:asciiTheme="majorBidi" w:hAnsiTheme="majorBidi" w:cstheme="majorBidi"/>
        </w:rPr>
        <w:fldChar w:fldCharType="end"/>
      </w:r>
    </w:p>
  </w:footnote>
  <w:footnote w:id="602">
    <w:p w14:paraId="245AF10D" w14:textId="524F1BC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"abstract" : "The postmodern years of plenty, pastiche, and parataxis are over. In fact, if we are to believe the many academics, critics, and pundits whose books and essays describe the decline and demise of the postmodern, they have been over for quite a while now. But if these commentators agree the postmodern condition has been abandoned, they appear less in accord as to what to make of the state it has been abandoned for. In this essay, we will outline the contours of this discourse by looking at recent developments in architecture, art, and film. We will call this discourse, oscillating between a modern enthusiasm and a postmo- dern irony, metamodernism. We argue that the metamo- dern is most clearly, yet not exclusively, expressed by the neoromantic turn of late associated with the architecture of Herzog &amp; de Meuron, the installations of Bas Jan Ader, the collages of David Thorpe, the paintings of Kaye Donachie, and the films of Michel Gondry", "author" : [ { "dropping-particle" : "", "family" : "Vermeulen", "given" : "Timotheus", "non-dropping-particle" : "", "parse-names" : false, "suffix" : "" }, { "dropping-particle" : "", "family" : "Akker", "given" : "Robin", "non-dropping-particle" : "van den", "parse-names" : false, "suffix" : "" } ], "container-title" : "Journal of Aesthetics &amp; Culture", "id" : "ITEM-1", "issue" : "0", "issued" : { "date-parts" : [ [ "2010" ] ] }, "note" : "The Postmodern years of plenty, pastiche and parataxis are over. In fact [\u2026] they have been over for quite a while now.\u201d \n\n[Current cultural] trends and tendencies can no longer be explained in terms of the postmodern. They express a (often guarded) hopefulness and (at times feigned) sincerity that hint at another structure of feeling, intimating another discourse.\n\nHowever, what these distinct phenomena share is an opposition to \u2018\u2018the\u2019\u2019 modern to utopism, to (linear) progress, to grand narratives, to Reason, to functionalism and formal purism, and so on. 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Reason).\n\nConsequently, the metamodern art work (or rather, at least as the metamodern art work has so far expressed itself by means of neoromanticism) redirects the modern piece by drawing attention to what it cannot present in its language, what it cannot signify in its own terms (that what is often called the sublime, the uncanny, the ethereal, the mysterious, and so forth).\n\nThis [emerging] Romantic sensibility has been expressed in a wide variety of art forms and a broad diversity of styles [\u2026] what these strategies and styles have in common with one another is their use of tropes of mysticism, estrangement, and alienation to signify potential alternatives; and their conscious decision to attempt, in spite of those alternatives\u2019, untenableness.\n\nWe will argue that this modernism is characterized by the oscillation between a typically modern commitment and a markedly postmodern detatchment.\n\n[Metamodernism] should be read as an invitation for debate rather than an extending of a dogma.\n\nThese positions can most appropriately be summarized, perhaps, by Jos de Mul\u2019s distinction between postmodern irony (encompassing nihilism, sarcasm, and the distrust and deconstruction of grand narratives, the singular and the truth) and modern enthu- siasm (encompassing everything from utopism to the unconditional belief in Reason).\n\nCEOs and politicians, architects, and artists\nalike are formulating anew a narrative of longing structured by and conditioned on a belief (\u2018\u2018yes we can\u2019\u2019, \u2018\u2018change we can believe in\u2019\u2019) that was long repressed, for a possibility (a \u2018\u2018better\u2019\u2019 future) that was long forgotten. Indeed, if, simplistically put, the modern outlook vis-a-vis idealism and ideals\ncould be characterized as fanatic and/or naive, and the postmodern mindset as apathetic and/or skeptic, the current generation\u2019s attitude*for it is, and very much so, an attitude tied to a generation*can be conceived of as a kind of informed naivety, a pragmatic idealism.\n\nWe would like to make it absolutely clear that this new shape, meaning, and direction do not directly stem from some kind of post-9/11 sentiment. Terrorism neither infused doubt about the supposed superiority of neoliberalism, nor did it inspire reflection about the basic assumptions of Western economics, politics, and culture*quite the contrary. The conservative reflex of the \u2018\u2018war on terror\u2019\u2019 might even be taken to symbolize a reaffirmation of postmodern values.16 The threefold \u2018\u2018threat\u2019\u2019 of the credit crunch, a collapsed center, and climate change has the opposite effect, as it infuses doubt, inspires reflection, and incites a move forward out of the postmodern and into the metamodern.\n\nSo, history is moving beyond its much- proclaimed end. To be sure, history never ended. When postmodernist thinkers declared it to have come to a conclusion, they were referring to a very particular conception of history*Hegel\u2019s\nNotes on metamodernism\n\u2018\u2018positive\u2019\u2019 idealism. Some argued that this notion of history dialectically progressing toward some predetermined Telos had ended because human- kind had realized that this Telos had been achieved (with the \u2018\u2018universalization of Western liberal democracy\u2019\u2019). Others suggested that it had come to a conclusion because people realized its purpose could never be fulfilled*indeed, because it does not exist. The current, metamo- dern discourse also acknowledges that history\u2019s purpose will never be fulfilled because it does not exist. Critically,\n\nThat is to say, humankind, a people, are not really going toward a natural but unknown goal, but they pretend they do so that they progress morally as well as politically. Metamodernism moves for the sake of moving, attempts in spite of its inevitable failure; it seeks forever for a truth that it never expects to find. If you will forgive us for the banality of the metaphor for a moment, the metamodern thus willfully adopts a kind of don- key-and-carrot double-bind. Like a donkey it chases a carrot that it never manages to eat because the carrot is always just beyond its reach. But precisely because it never manages to eat the carrot, it never ends its chase, setting foot in moral realms the modern donkey (having eaten its carrot elsewhere) will never encounter, entering political domains the postmodern donkey (having aban- doned the chase) will never come across. \n\nOntologically, metamodernism oscillates between the modern and the postmodern. It oscillates between a modern enthusiasm and a postmodern irony, between hope and melancholy, between na\u0131vete and knowingness, empathy and apathy,\nunity and plurality, totality and fragmentation, purity and ambiguity. Indeed, by oscillating to and fro or back and forth, the metamodern negotiates between the modern and the postmodern. One should be careful not to think of this oscillation as a balance however; rather, it is a pendulum swinging between 2, 3, 5, 10, innumerable poles. Each time the metamodern enthusiasm swings toward fanaticism, gravity pulls it back toward irony; the moment its irony sways toward apathy, gravity pulls it back toward enthusiasm.\n\nThe metamodern is constituted by the tension, no, the double-bind, of a modern desire for sens and a postmodern doubt about the sense of it all.\n\nOne of the most poignant metamodern practices is what the German theorist Raoul Eshelman has termed \u2018\u2018performatism\u2019\u2019. Eshelman describes performa- tism as the willful self-deceit to believe in*or identify with, or solve*something in spite of itself. He points, for example, to a revival of theism in the arts, and the reinvention of transparency, kinesis and impendency in architecture.\n\nAt the time of writing, metamodernism appears to find its clearest expression in an emergent neoromantic sensibility\n\nThat is to say, metamodern irony is intrinsically bound to desire, whereas postmodern irony is inherently tied to apathy. Consequently, the metamodern art work (or rather, at least as the metamodern art work has so far expressed itself by means of neoromanticism) redirects the mod- ern piece by drawing attention to what it cannot present in its language, what it cannot signify in its own terms (that what is often called the sublime, the uncanny, the ethereal, the mysterious, and so forth). The postmodern work deconstructs it by pointing exactly to what it presents, by exposing precisely what it signifies. \n\nMetamodernism displaces the parameters of the present with those of a future presence that is futureless; and it displaces the boundaries of our place with those of a surreal place that is placeless. For indeed, that is the \u2018\u2018destiny\u2019\u2019 of the metamodern wo/man: to pursue a horizon that is forever receding.", "page" : "1-14", "title" : "Notes on Metamodernism", "type" : "article-journal", "volume" : "2" }, "locator" : "2", "uris" : [ "http://www.mendeley.com/documents/?uuid=9cfe2cdc-de7e-4a7d-bc9d-282fba435583" ] } ], "mendeley" : { "formattedCitation" : "Vermeulen and van den Akker, \u2018Notes on Metamodernism\u2019, p. 2.", "plainTextFormattedCitation" : "Vermeulen and van den Akker, \u2018Notes on Metamodernism\u2019, p. 2.", "previouslyFormattedCitation" : "Vermeulen and van den Akker, \u2018Notes on Metamodernism\u2019,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Vermeulen and van den Akker, ‘Notes on Metamodernism’, p. 2.</w:t>
      </w:r>
      <w:r w:rsidRPr="00505CF0">
        <w:rPr>
          <w:rFonts w:asciiTheme="majorBidi" w:hAnsiTheme="majorBidi" w:cstheme="majorBidi"/>
        </w:rPr>
        <w:fldChar w:fldCharType="end"/>
      </w:r>
    </w:p>
  </w:footnote>
  <w:footnote w:id="603">
    <w:p w14:paraId="4FDE51D8"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Full title: Mark Z Danielewski’s House of Leaves by Zampanò with introduction and notes by Johnny Truant</w:t>
      </w:r>
    </w:p>
  </w:footnote>
  <w:footnote w:id="604">
    <w:p w14:paraId="1EF6A84F" w14:textId="6F1BF35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"4", "uris" : [ "http://www.mendeley.com/documents/?uuid=fe430075-4972-4693-820b-98487d336224" ] } ], "mendeley" : { "formattedCitation" : "Mark Z. Danielewski, &lt;i&gt;House of Leaves by Zampan\u00f2 with Introduction and Notes by Johnny Truant&lt;/i&gt;, Color 2nd (New York: Random House, 2000), p. 4.", "plainTextFormattedCitation" : "Mark Z. Danielewski, House of Leaves by Zampan\u00f2 with Introduction and Notes by Johnny Truant, Color 2nd (New York: Random House, 2000), p. 4.", "previouslyFormattedCitation" : "Mark Z. Danielewski, &lt;i&gt;House of Leaves by Zampan\u00f2 with Introduction and Notes by Johnny Truant&lt;/i&gt;, Color 2nd (New York: Random House, 2000),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Mark Z. Danielewski, </w:t>
      </w:r>
      <w:r w:rsidRPr="00505CF0">
        <w:rPr>
          <w:rFonts w:asciiTheme="majorBidi" w:hAnsiTheme="majorBidi" w:cstheme="majorBidi"/>
          <w:i/>
          <w:noProof/>
        </w:rPr>
        <w:t>House of Leaves by Zampanò with Introduction and Notes by Johnny Truant</w:t>
      </w:r>
      <w:r w:rsidRPr="00505CF0">
        <w:rPr>
          <w:rFonts w:asciiTheme="majorBidi" w:hAnsiTheme="majorBidi" w:cstheme="majorBidi"/>
          <w:noProof/>
        </w:rPr>
        <w:t>, Color 2nd (New York: Random House, 2000), p. 4.</w:t>
      </w:r>
      <w:r w:rsidRPr="00505CF0">
        <w:rPr>
          <w:rFonts w:asciiTheme="majorBidi" w:hAnsiTheme="majorBidi" w:cstheme="majorBidi"/>
        </w:rPr>
        <w:fldChar w:fldCharType="end"/>
      </w:r>
    </w:p>
  </w:footnote>
  <w:footnote w:id="605">
    <w:p w14:paraId="77A39432" w14:textId="354B6F5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"4", "uris" : [ "http://www.mendeley.com/documents/?uuid=fe430075-4972-4693-820b-98487d336224" ] } ], "mendeley" : { "formattedCitation" : "Danielewski, &lt;i&gt;House of Leaves&lt;/i&gt;, p. 4.", "plainTextFormattedCitation" : "Danielewski, House of Leaves, p. 4.", "previouslyFormattedCitation" : "Danielewski, &lt;i&gt;House of Leaves&lt;/i&gt;,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4.</w:t>
      </w:r>
      <w:r w:rsidRPr="00505CF0">
        <w:rPr>
          <w:rFonts w:asciiTheme="majorBidi" w:hAnsiTheme="majorBidi" w:cstheme="majorBidi"/>
        </w:rPr>
        <w:fldChar w:fldCharType="end"/>
      </w:r>
    </w:p>
  </w:footnote>
  <w:footnote w:id="606">
    <w:p w14:paraId="59793687" w14:textId="3D35081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"67", "uris" : [ "http://www.mendeley.com/documents/?uuid=fe430075-4972-4693-820b-98487d336224" ] } ], "mendeley" : { "formattedCitation" : "Danielewski, &lt;i&gt;House of Leaves&lt;/i&gt;, p. 67.", "plainTextFormattedCitation" : "Danielewski, House of Leaves, p. 67.", "previouslyFormattedCitation" : "Danielewski, &lt;i&gt;House of Leaves&lt;/i&gt;, p. 67."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67.</w:t>
      </w:r>
      <w:r w:rsidRPr="00505CF0">
        <w:rPr>
          <w:rFonts w:asciiTheme="majorBidi" w:hAnsiTheme="majorBidi" w:cstheme="majorBidi"/>
        </w:rPr>
        <w:fldChar w:fldCharType="end"/>
      </w:r>
      <w:r w:rsidRPr="00505CF0">
        <w:rPr>
          <w:rFonts w:asciiTheme="majorBidi" w:hAnsiTheme="majorBidi" w:cstheme="majorBidi"/>
        </w:rPr>
        <w:t xml:space="preserve"> For further evidence, see p.660 in the ‘Remastered Full-Color second edition for the painting ‘Another Great Hall on Ash Tree Lane’, in which the distant horizon, seen as a wall to the great hall, could equally represent an enormous, calamitous wave or a mountain range.</w:t>
      </w:r>
    </w:p>
  </w:footnote>
  <w:footnote w:id="607">
    <w:p w14:paraId="1A2DB655" w14:textId="5D1A265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"68", "uris" : [ "http://www.mendeley.com/documents/?uuid=fe430075-4972-4693-820b-98487d336224" ] } ], "mendeley" : { "formattedCitation" : "Danielewski, &lt;i&gt;House of Leaves&lt;/i&gt;, p. 68.", "plainTextFormattedCitation" : "Danielewski, House of Leaves, p. 68.", "previouslyFormattedCitation" : "Danielewski, &lt;i&gt;House of Leaves&lt;/i&gt;, p. 68."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68.</w:t>
      </w:r>
      <w:r w:rsidRPr="00505CF0">
        <w:rPr>
          <w:rFonts w:asciiTheme="majorBidi" w:hAnsiTheme="majorBidi" w:cstheme="majorBidi"/>
        </w:rPr>
        <w:fldChar w:fldCharType="end"/>
      </w:r>
    </w:p>
  </w:footnote>
  <w:footnote w:id="608">
    <w:p w14:paraId="66B893D3"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As </w:t>
      </w:r>
      <w:r w:rsidRPr="00505CF0">
        <w:rPr>
          <w:rFonts w:asciiTheme="majorBidi" w:hAnsiTheme="majorBidi" w:cstheme="majorBidi"/>
          <w:i/>
        </w:rPr>
        <w:t>House of Leaves</w:t>
      </w:r>
      <w:r w:rsidRPr="00505CF0">
        <w:rPr>
          <w:rFonts w:asciiTheme="majorBidi" w:hAnsiTheme="majorBidi" w:cstheme="majorBidi"/>
        </w:rPr>
        <w:t xml:space="preserve"> presents a space which seemingly ‘feeds’ from the fear of those who explore it – the unnerving attempts growing stronger in direct proportion to the fear of the explorers – the ship in </w:t>
      </w:r>
      <w:r w:rsidRPr="00505CF0">
        <w:rPr>
          <w:rFonts w:asciiTheme="majorBidi" w:hAnsiTheme="majorBidi" w:cstheme="majorBidi"/>
          <w:i/>
        </w:rPr>
        <w:t>S</w:t>
      </w:r>
      <w:r w:rsidRPr="00505CF0">
        <w:rPr>
          <w:rFonts w:asciiTheme="majorBidi" w:hAnsiTheme="majorBidi" w:cstheme="majorBidi"/>
        </w:rPr>
        <w:t xml:space="preserve"> initially seems to feed on the laboured efforts of its crew: ‘Every three hours or so, by S.’s crude estimation, an exhausted and slack-jawed sailor struggles through the hatchway onto the main deck, blows his whistle, and replaces another sailor […] who then disappears through the hatch to that deepest portion of the ship. […] Now that S. has seen the entire crew cycle through, he realizes they all seem bluer around the gills when they emerge. And if he’s not mistaken, he’s hearing muted expressions of pain from all about the ship (Abrams and Dorst 57).’ This, coupled with the brief annotation of ‘It’s draining them’ by Eric suggests a vampiric nature to this floating Gothic ruin, that it feeds from the lives which give themselves willingly to the ship. It is an undying vampiric ruin, though one that is not rooted by location. </w:t>
      </w:r>
    </w:p>
  </w:footnote>
  <w:footnote w:id="609">
    <w:p w14:paraId="520BE14A" w14:textId="4E57ACC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eastAsia="SimSun" w:hAnsiTheme="majorBidi" w:cstheme="majorBidi"/>
        </w:rPr>
        <w:fldChar w:fldCharType="begin" w:fldLock="1"/>
      </w:r>
      <w:r>
        <w:rPr>
          <w:rFonts w:asciiTheme="majorBidi" w:eastAsia="SimSun"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"87", "uris" : [ "http://www.mendeley.com/documents/?uuid=fe430075-4972-4693-820b-98487d336224" ] } ], "mendeley" : { "formattedCitation" : "Danielewski, &lt;i&gt;House of Leaves&lt;/i&gt;, p. 87.", "manualFormatting" : "Mark Z. Danielewski, House of Leaves by Zampan\u00f2 with Introduction and Notes by Johnny Truant, Color 2nd (New York: Random House, 2000), p. 87.", "plainTextFormattedCitation" : "Danielewski, House of Leaves, p. 87.", "previouslyFormattedCitation" : "Danielewski, &lt;i&gt;House of Leaves&lt;/i&gt;, p. 87." }, "properties" : { "noteIndex" : 0 }, "schema" : "https://github.com/citation-style-language/schema/raw/master/csl-citation.json" }</w:instrText>
      </w:r>
      <w:r w:rsidRPr="00505CF0">
        <w:rPr>
          <w:rFonts w:asciiTheme="majorBidi" w:eastAsia="SimSun" w:hAnsiTheme="majorBidi" w:cstheme="majorBidi"/>
        </w:rPr>
        <w:fldChar w:fldCharType="separate"/>
      </w:r>
      <w:r w:rsidRPr="00505CF0">
        <w:rPr>
          <w:rFonts w:asciiTheme="majorBidi" w:eastAsia="SimSun" w:hAnsiTheme="majorBidi" w:cstheme="majorBidi"/>
          <w:noProof/>
        </w:rPr>
        <w:t xml:space="preserve">Mark Z. Danielewski, </w:t>
      </w:r>
      <w:r w:rsidRPr="00505CF0">
        <w:rPr>
          <w:rFonts w:asciiTheme="majorBidi" w:eastAsia="SimSun" w:hAnsiTheme="majorBidi" w:cstheme="majorBidi"/>
          <w:i/>
          <w:noProof/>
        </w:rPr>
        <w:t>House of Leaves by Zampan</w:t>
      </w:r>
      <w:r w:rsidRPr="00505CF0">
        <w:rPr>
          <w:rFonts w:asciiTheme="majorBidi" w:hAnsiTheme="majorBidi" w:cstheme="majorBidi"/>
          <w:i/>
          <w:noProof/>
        </w:rPr>
        <w:t>ò</w:t>
      </w:r>
      <w:r w:rsidRPr="00505CF0">
        <w:rPr>
          <w:rFonts w:asciiTheme="majorBidi" w:eastAsia="SimSun" w:hAnsiTheme="majorBidi" w:cstheme="majorBidi"/>
          <w:i/>
          <w:noProof/>
        </w:rPr>
        <w:t xml:space="preserve"> with Introduction and Notes by Johnny Truant</w:t>
      </w:r>
      <w:r w:rsidRPr="00505CF0">
        <w:rPr>
          <w:rFonts w:asciiTheme="majorBidi" w:eastAsia="SimSun" w:hAnsiTheme="majorBidi" w:cstheme="majorBidi"/>
          <w:noProof/>
        </w:rPr>
        <w:t>, Color 2nd (New York: Random House, 2000), p. 87.</w:t>
      </w:r>
      <w:r w:rsidRPr="00505CF0">
        <w:rPr>
          <w:rFonts w:asciiTheme="majorBidi" w:eastAsia="SimSun" w:hAnsiTheme="majorBidi" w:cstheme="majorBidi"/>
        </w:rPr>
        <w:fldChar w:fldCharType="end"/>
      </w:r>
    </w:p>
  </w:footnote>
  <w:footnote w:id="610">
    <w:p w14:paraId="2CCEB358" w14:textId="7EEB758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See Zampanò’s description of the ‘Five-and-a-half-minute Hallway’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"4", "uris" : [ "http://www.mendeley.com/documents/?uuid=fe430075-4972-4693-820b-98487d336224" ] } ], "mendeley" : { "formattedCitation" : "Danielewski, &lt;i&gt;House of Leaves&lt;/i&gt;, p. 4.", "plainTextFormattedCitation" : "Danielewski, House of Leaves, p. 4.", "previouslyFormattedCitation" : "Danielewski, &lt;i&gt;House of Leaves&lt;/i&gt;,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4.</w:t>
      </w:r>
      <w:r w:rsidRPr="00505CF0">
        <w:rPr>
          <w:rFonts w:asciiTheme="majorBidi" w:hAnsiTheme="majorBidi" w:cstheme="majorBidi"/>
        </w:rPr>
        <w:fldChar w:fldCharType="end"/>
      </w:r>
    </w:p>
  </w:footnote>
  <w:footnote w:id="611">
    <w:p w14:paraId="10C2FA2F" w14:textId="5721CFD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"85", "uris" : [ "http://www.mendeley.com/documents/?uuid=fe430075-4972-4693-820b-98487d336224" ] } ], "mendeley" : { "formattedCitation" : "Danielewski, &lt;i&gt;House of Leaves&lt;/i&gt;, p. 85.", "plainTextFormattedCitation" : "Danielewski, House of Leaves, p. 85.", "previouslyFormattedCitation" : "Danielewski, &lt;i&gt;House of Leaves&lt;/i&gt;, p. 85."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85.</w:t>
      </w:r>
      <w:r w:rsidRPr="00505CF0">
        <w:rPr>
          <w:rFonts w:asciiTheme="majorBidi" w:hAnsiTheme="majorBidi" w:cstheme="majorBidi"/>
        </w:rPr>
        <w:fldChar w:fldCharType="end"/>
      </w:r>
    </w:p>
  </w:footnote>
  <w:footnote w:id="612">
    <w:p w14:paraId="23048DEE" w14:textId="08C9BA1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"87", "uris" : [ "http://www.mendeley.com/documents/?uuid=fe430075-4972-4693-820b-98487d336224" ] } ], "mendeley" : { "formattedCitation" : "Danielewski, &lt;i&gt;House of Leaves&lt;/i&gt;, p. 87.", "plainTextFormattedCitation" : "Danielewski, House of Leaves, p. 87.", "previouslyFormattedCitation" : "Danielewski, &lt;i&gt;House of Leaves&lt;/i&gt;, p. 87."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87.</w:t>
      </w:r>
      <w:r w:rsidRPr="00505CF0">
        <w:rPr>
          <w:rFonts w:asciiTheme="majorBidi" w:hAnsiTheme="majorBidi" w:cstheme="majorBidi"/>
        </w:rPr>
        <w:fldChar w:fldCharType="end"/>
      </w:r>
    </w:p>
  </w:footnote>
  <w:footnote w:id="613">
    <w:p w14:paraId="00C5A76D" w14:textId="2180C61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"288-95 (for example)", "uris" : [ "http://www.mendeley.com/documents/?uuid=fe430075-4972-4693-820b-98487d336224" ] } ], "mendeley" : { "formattedCitation" : "Danielewski, &lt;i&gt;House of Leaves&lt;/i&gt;, pp. 288\u201395 (for example).", "plainTextFormattedCitation" : "Danielewski, House of Leaves, pp. 288\u201395 (for example).", "previouslyFormattedCitation" : "Danielewski, &lt;i&gt;House of Leaves&lt;/i&gt;, pp. 288\u201395 (for example)."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Danielewski, </w:t>
      </w:r>
      <w:r w:rsidRPr="0025171E">
        <w:rPr>
          <w:rFonts w:asciiTheme="majorBidi" w:hAnsiTheme="majorBidi" w:cstheme="majorBidi"/>
          <w:i/>
          <w:noProof/>
        </w:rPr>
        <w:t>House of Leaves</w:t>
      </w:r>
      <w:r w:rsidRPr="0025171E">
        <w:rPr>
          <w:rFonts w:asciiTheme="majorBidi" w:hAnsiTheme="majorBidi" w:cstheme="majorBidi"/>
          <w:noProof/>
        </w:rPr>
        <w:t>, pp. 288–95 (for example).</w:t>
      </w:r>
      <w:r w:rsidRPr="00505CF0">
        <w:rPr>
          <w:rFonts w:asciiTheme="majorBidi" w:hAnsiTheme="majorBidi" w:cstheme="majorBidi"/>
        </w:rPr>
        <w:fldChar w:fldCharType="end"/>
      </w:r>
    </w:p>
  </w:footnote>
  <w:footnote w:id="614">
    <w:p w14:paraId="39B4AA69" w14:textId="4C6FC66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"20", "uris" : [ "http://www.mendeley.com/documents/?uuid=accda2e9-6220-410d-ae47-ebabdff6163f" ] } ], "mendeley" : { "formattedCitation" : "Mishra, p. 20.", "plainTextFormattedCitation" : "Mishra, p. 20.", "previouslyFormattedCitation" : "Mishra, p. 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Mishra, p. 20.</w:t>
      </w:r>
      <w:r w:rsidRPr="00505CF0">
        <w:rPr>
          <w:rFonts w:asciiTheme="majorBidi" w:hAnsiTheme="majorBidi" w:cstheme="majorBidi"/>
        </w:rPr>
        <w:fldChar w:fldCharType="end"/>
      </w:r>
    </w:p>
  </w:footnote>
  <w:footnote w:id="615">
    <w:p w14:paraId="62FA3F42" w14:textId="34012D6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"edition" : "Color 2nd", "id" : "ITEM-1", "issued" : { "date-parts" : [ [ "2000" ] ] }, "note" : "&amp;quot;Only knowledge illuminates that bottomless place[\u2026]\u201d p.87\non the labyrinth", "publisher" : "Random House", "publisher-place" : "New York", "title" : "House of Leaves by Zampan\u00f2 with Introduction and Notes by Johnny Truant", "title-short" : "House of Leaves", "type" : "book" }, "locator" : "179", "uris" : [ "http://www.mendeley.com/documents/?uuid=fe430075-4972-4693-820b-98487d336224" ] } ], "mendeley" : { "formattedCitation" : "Danielewski, &lt;i&gt;House of Leaves&lt;/i&gt;, p. 179.", "plainTextFormattedCitation" : "Danielewski, House of Leaves, p. 179.", "previouslyFormattedCitation" : "Danielewski, &lt;i&gt;House of Leaves&lt;/i&gt;, p. 179."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Danielewski, </w:t>
      </w:r>
      <w:r w:rsidRPr="00505CF0">
        <w:rPr>
          <w:rFonts w:asciiTheme="majorBidi" w:hAnsiTheme="majorBidi" w:cstheme="majorBidi"/>
          <w:i/>
          <w:noProof/>
        </w:rPr>
        <w:t>House of Leaves</w:t>
      </w:r>
      <w:r w:rsidRPr="00505CF0">
        <w:rPr>
          <w:rFonts w:asciiTheme="majorBidi" w:hAnsiTheme="majorBidi" w:cstheme="majorBidi"/>
          <w:noProof/>
        </w:rPr>
        <w:t>, p. 179.</w:t>
      </w:r>
      <w:r w:rsidRPr="00505CF0">
        <w:rPr>
          <w:rFonts w:asciiTheme="majorBidi" w:hAnsiTheme="majorBidi" w:cstheme="majorBidi"/>
        </w:rPr>
        <w:fldChar w:fldCharType="end"/>
      </w:r>
    </w:p>
  </w:footnote>
  <w:footnote w:id="616">
    <w:p w14:paraId="2EF2B36A" w14:textId="34538CAC" w:rsidR="00054009" w:rsidRPr="00DD5BBD" w:rsidRDefault="00054009">
      <w:pPr>
        <w:pStyle w:val="FootnoteText"/>
        <w:rPr>
          <w:i/>
          <w:iCs/>
        </w:rPr>
      </w:pPr>
      <w:r>
        <w:rPr>
          <w:rStyle w:val="FootnoteReference"/>
        </w:rPr>
        <w:footnoteRef/>
      </w:r>
      <w:r>
        <w:t xml:space="preserve"> </w:t>
      </w:r>
      <w:r>
        <w:rPr>
          <w:i/>
          <w:iCs/>
        </w:rPr>
        <w:t xml:space="preserve">ACO: </w:t>
      </w:r>
      <w:r w:rsidRPr="00DD5BBD">
        <w:rPr>
          <w:i/>
          <w:iCs/>
        </w:rPr>
        <w:t>Sailing between the islands, Vermeulen and the others aboard the Meghan seem to have become rather confused, as we all do from time to time. Each time they approach an island it transforms before them into an inhospitable land, with several becoming lava-spewing volcanoes as they near. Or, worse, as they approach one they see bounteous treasures upon nearby island – fresh water, fruit, signs of civilization – yet when they approach these seemingly better islands, they are struck by either better islands nearby, or the apparent mirage-like-nature of the visions they saw. Fools. Fools.</w:t>
      </w:r>
    </w:p>
  </w:footnote>
  <w:footnote w:id="617">
    <w:p w14:paraId="3559A65C" w14:textId="1FA0946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"16", "uris" : [ "http://www.mendeley.com/documents/?uuid=21e82338-afa8-49a1-9514-6fb4d9d73e3b" ] } ], "mendeley" : { "formattedCitation" : "Burnside, p. 16.", "plainTextFormattedCitation" : "Burnside, p. 16.", "previouslyFormattedCitation" : "Burnside, p. 16."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16.</w:t>
      </w:r>
      <w:r w:rsidRPr="00505CF0">
        <w:rPr>
          <w:rFonts w:asciiTheme="majorBidi" w:hAnsiTheme="majorBidi" w:cstheme="majorBidi"/>
        </w:rPr>
        <w:fldChar w:fldCharType="end"/>
      </w:r>
    </w:p>
  </w:footnote>
  <w:footnote w:id="618">
    <w:p w14:paraId="4B4FFA07" w14:textId="7362E4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"112", "uris" : [ "http://www.mendeley.com/documents/?uuid=21e82338-afa8-49a1-9514-6fb4d9d73e3b" ] } ], "mendeley" : { "formattedCitation" : "Burnside, p. 112.", "plainTextFormattedCitation" : "Burnside, p. 112.", "previouslyFormattedCitation" : "Burnside, p. 112."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112.</w:t>
      </w:r>
      <w:r w:rsidRPr="00505CF0">
        <w:rPr>
          <w:rFonts w:asciiTheme="majorBidi" w:hAnsiTheme="majorBidi" w:cstheme="majorBidi"/>
        </w:rPr>
        <w:fldChar w:fldCharType="end"/>
      </w:r>
    </w:p>
  </w:footnote>
  <w:footnote w:id="619">
    <w:p w14:paraId="5637B9E1" w14:textId="1DA1B00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"8", "uris" : [ "http://www.mendeley.com/documents/?uuid=21e82338-afa8-49a1-9514-6fb4d9d73e3b" ] } ], "mendeley" : { "formattedCitation" : "Burnside, p. 8.", "plainTextFormattedCitation" : "Burnside, p. 8.", "previouslyFormattedCitation" : "Burnside, p. 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8.</w:t>
      </w:r>
      <w:r w:rsidRPr="00505CF0">
        <w:rPr>
          <w:rFonts w:asciiTheme="majorBidi" w:hAnsiTheme="majorBidi" w:cstheme="majorBidi"/>
        </w:rPr>
        <w:fldChar w:fldCharType="end"/>
      </w:r>
    </w:p>
  </w:footnote>
  <w:footnote w:id="620">
    <w:p w14:paraId="32E2D6B0" w14:textId="0672B9C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"27", "uris" : [ "http://www.mendeley.com/documents/?uuid=21e82338-afa8-49a1-9514-6fb4d9d73e3b" ] } ], "mendeley" : { "formattedCitation" : "Burnside, p. 27.", "plainTextFormattedCitation" : "Burnside, p. 27.", "previouslyFormattedCitation" : "Burnside, p. 27."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27.</w:t>
      </w:r>
      <w:r w:rsidRPr="00505CF0">
        <w:rPr>
          <w:rFonts w:asciiTheme="majorBidi" w:hAnsiTheme="majorBidi" w:cstheme="majorBidi"/>
        </w:rPr>
        <w:fldChar w:fldCharType="end"/>
      </w:r>
    </w:p>
  </w:footnote>
  <w:footnote w:id="621">
    <w:p w14:paraId="4352F1A2" w14:textId="6328E7A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"27", "uris" : [ "http://www.mendeley.com/documents/?uuid=21e82338-afa8-49a1-9514-6fb4d9d73e3b" ] } ], "mendeley" : { "formattedCitation" : "Burnside, p. 27.", "plainTextFormattedCitation" : "Burnside, p. 27.", "previouslyFormattedCitation" : "Burnside, p. 27."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 27.</w:t>
      </w:r>
      <w:r w:rsidRPr="00505CF0">
        <w:rPr>
          <w:rFonts w:asciiTheme="majorBidi" w:hAnsiTheme="majorBidi" w:cstheme="majorBidi"/>
        </w:rPr>
        <w:fldChar w:fldCharType="end"/>
      </w:r>
    </w:p>
  </w:footnote>
  <w:footnote w:id="622">
    <w:p w14:paraId="600CA991" w14:textId="7B31AD8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"Burnside", "given" : "John", "non-dropping-particle" : "", "parse-names" : false, "suffix" : "" } ], "id" : "ITEM-1", "issued" : { "date-parts" : [ [ "2009" ] ] }, "publisher" : "Vintage Books", "publisher-place" : "London", "title" : "Glister", "type" : "book" }, "locator" : "29-31", "uris" : [ "http://www.mendeley.com/documents/?uuid=21e82338-afa8-49a1-9514-6fb4d9d73e3b" ] } ], "mendeley" : { "formattedCitation" : "Burnside, pp. 29\u201331.", "plainTextFormattedCitation" : "Burnside, pp. 29\u201331.", "previouslyFormattedCitation" : "Burnside, pp. 29\u201331."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Burnside, pp. 29–31.</w:t>
      </w:r>
      <w:r w:rsidRPr="00505CF0">
        <w:rPr>
          <w:rFonts w:asciiTheme="majorBidi" w:hAnsiTheme="majorBidi" w:cstheme="majorBidi"/>
        </w:rPr>
        <w:fldChar w:fldCharType="end"/>
      </w:r>
    </w:p>
  </w:footnote>
  <w:footnote w:id="623">
    <w:p w14:paraId="60D21815" w14:textId="4171C53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"Mishra", "given" : "Vijay", "non-dropping-particle" : "", "parse-names" : false, "suffix" : "" } ], "id" : "ITEM-1", "issued" : { "date-parts" : [ [ "1994" ] ] }, "note" : "The literary reception of the Gothic is thus a field of knowledge that periodically repeats itself and, in doing so echoes a familiar postmodern conception of textuality - that in fact texts &amp;quot;Deconstruct themselves by themselves.&amp;quot; p.3\n\nUp until now the Gothic had been represented as an alternative novelistic genre, a kind of degenerate literary form that should best be treated as a minor diversion, or [...] defiantly connected to a version of the sublime as positivie, confirmable desire. p.7\n\nThe first major critic to use this strategy was Robert D. Hume [...] Slightly amended, the argument goes something like this: unlike Romantic writing, which imaginatively reconciled &amp;quot;discordant elements,&amp;quot; &amp;quot;Gothic writing&amp;quot; functioned within &amp;quot;opposites&amp;quot; without any desire toward reconcilliation. In short, wheras &amp;quot;Romantic writing&amp;quot; affirmed &amp;quot;Imagination,&amp;quot; &amp;quot;Gothic writing&amp;quot; was a product of &amp;quot;Fancy.&amp;quot; p.8\n\nThe sublime as its obverse, as powerlessness, leads William Patrick Day to read Gothic anxieties in terms of an essentially modern dilemma of the failure of self-definition. There is a central monomyth that underlies the Gothic, and this is expressed through a single &amp;quot;reference&amp;quot; text that the gothic tales repeat with minor variations. The central monomyth is a composite, agrogynous, Faustian figure who in one his sexual roles (as strong Faustian male, or as passive female) is dragged into a Gothic underworld from which escape, theortetically at any rate, is impossible. If release does take place, as in The Castle of Otranto or in Radcliffe's romances, or if the outcome is tragic, it has little effect upon society, since the character's life has not been able to transform the world. p.9-10\n\nThe idea of changing the world is not countenenced because human will cannot alter a world drawn up as a dream landscape. In other words, since the world is all maya in the first instance and cannot be intepreted, the issue of the self transcending human limitations and claiming to change the world does not arise. p.10\n\n[Gothic texts anticipate] the sublime as a moment of entry into the unconscious, the &amp;quot;unplumable,&amp;quot;the tangled depth of the dream-text that surfaces in life only as certain effects like that of the &amp;quot;uncanny.&amp;quot; p.19\n\nIn the classic formulation of Kant (to which all theorizations of the sublime return) the effects are the consequence of the mind's confrontation with an idea too large for expression, too self-consuming to be contained in any adequate form of representation, but which idea, as representation, in a momentary surrnder of the law of reason the mind nevertheless grasps. The desire to present that which is unrepresentable, that which is sublime [...] p.19\n\nThe sublime empowerment of the Gothic [...] constructs an unnameable dread (das Uniform), a kind of symbolic blockage, that threatens subjectivity itself. p.20\n\nFor we know tgat in Kant's moment of the sublime, and especially in the negative sublime, discourse itself breaks down as reason struggles with imagination for ascendency: what can be grasped is not equivolent to what is meaningful. p.20\n\nWhat [A Kantian sublime] leads to is a failure in representation through a massive disturbance as the texts, in trying to present the unrepresentable, veer toward collapse. This is also the postmodern condition for which the Gothic, it seems, is a kind of traumatized earlier moment.[...] the rhetoric of the Gothic sublime may be seen as somehow anticipating the postmodern. p.21 \n\nThe gothic sublime is not a definitive form in its won right; it is a symbolic swtructure, historically determined though not rigidly constrained by the dawn of capitalism, around which a host of other sublimes intersect. The Gothic tropes the sublime as the unthinkable, the unnameable, and the unspeakable, always making it, the sublime, and its basic forms (the rhetorical and the natural) both incommensurable with each other and in excess of language. The Phantasmagoria of the Gothic sublime, as the projection of a psychic terror, ginally leads to the unpresntability of death itself. It is not what the gothic sublime is that is crucial, it is what it effects that is its essence. p.23\n\nIn their emphasis on emotions and feelings, the Gothic texts, like parasites, release a poison that consumes the host and confronts it with its own self-evident though inferior logic. A profane daemonization of space (sacred or otherwise) takes place as the castles, for instance, undergo remarkable degress of sexual and social contamination. p.24", "publisher" : "State University of New York Press", "publisher-place" : "Albany", "title" : "The Gothic Sublime", "type" : "book" }, "locator" : "39", "uris" : [ "http://www.mendeley.com/documents/?uuid=accda2e9-6220-410d-ae47-ebabdff6163f" ] } ], "mendeley" : { "formattedCitation" : "Mishra, p. 39.", "plainTextFormattedCitation" : "Mishra, p. 39.", "previouslyFormattedCitation" : "Mishra, p. 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Mishra, p. 39.</w:t>
      </w:r>
      <w:r w:rsidRPr="00505CF0">
        <w:rPr>
          <w:rFonts w:asciiTheme="majorBidi" w:hAnsiTheme="majorBidi" w:cstheme="majorBidi"/>
        </w:rPr>
        <w:fldChar w:fldCharType="end"/>
      </w:r>
    </w:p>
  </w:footnote>
  <w:footnote w:id="624">
    <w:p w14:paraId="3EED2067" w14:textId="5EBEC6C5" w:rsidR="00054009" w:rsidRPr="00701E5C" w:rsidRDefault="00054009">
      <w:pPr>
        <w:pStyle w:val="FootnoteText"/>
        <w:rPr>
          <w:i/>
          <w:iCs/>
        </w:rPr>
      </w:pPr>
      <w:r>
        <w:rPr>
          <w:rStyle w:val="FootnoteReference"/>
        </w:rPr>
        <w:footnoteRef/>
      </w:r>
      <w:r>
        <w:t xml:space="preserve"> </w:t>
      </w:r>
      <w:r>
        <w:rPr>
          <w:i/>
          <w:iCs/>
        </w:rPr>
        <w:t>ACO: As an aside, it may be worth noting that our esteemed colleague Wade Arapiama still lives in his childhood home and has been reported to suck his thumb during meetings with certain senior members of staff who deserve to be respected, not called Arcot C. Os-boring to their face!</w:t>
      </w:r>
    </w:p>
  </w:footnote>
  <w:footnote w:id="625">
    <w:p w14:paraId="76F2D9DB" w14:textId="7659A38F"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So ends Southward’s initial, fleeting journey into sublime experimentation. It is easy to see some of the mistakes made here, some of the poor sentence structure and extended metaphors that fall entirely flat. One must remember his current mental and emotional states as he wrote this rather inchoate piece, as spotty and patchy an argument as an adolescent’s skin.</w:t>
      </w:r>
    </w:p>
  </w:footnote>
  <w:footnote w:id="626">
    <w:p w14:paraId="5D9CACE7" w14:textId="51094775" w:rsidR="00054009" w:rsidRPr="00505CF0" w:rsidRDefault="00054009" w:rsidP="0094764F">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xml:space="preserve">: Once more the original MS of Southward’s argument has been lost and thus I take great pains to splice in some small recovered slivers, much augmented by my own conclusions drawn on by this argument alongside others presented. </w:t>
      </w:r>
    </w:p>
  </w:footnote>
  <w:footnote w:id="627">
    <w:p w14:paraId="5EA20DFB" w14:textId="6F719A4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"Bruhm", "given" : "Steven", "non-dropping-particle" : "", "parse-names" : false, "suffix" : "" } ], "chapter-number" : "13", "container-title" : "The Cambridge Companion to Gothic Fiction", "editor" : [ { "dropping-particle" : "", "family" : "Hogle", "given" : "Jerrold E.", "non-dropping-particle" : "", "parse-names" : false, "suffix" : "" } ], "id" : "ITEM-1", "issued" : { "date-parts" : [ [ "2002" ] ] }, "note" : "The gothic has always been a barometer of the anxieties plaguing a certain culture at a particular moment in history[\u2026] p.260\n\nWe can best place this question of audience need by placing the contemporary Gothic within a number of current anxieties- the ones we need it both to arouse and assuage. p.260\n\nWhat becomes most marked in the contemporary Gothic \u2013and what distinguishes it from its ancestors- is the protagonists\u2019 and the viewers\u2019 compulsive return to certain fixations, obsessions and blockages. p.261\n\nA major theme in the Gothic has always been interior life, as in the paranoid Gothic of William Godwin\u2019s Caleb Williams (1794) or James Hogg\u2019s The Private Memoirs and Confessions of a Justified Sinner \u00a0(1824), but the rise of psychoanalysis in the twentieth century has afforded Gothic Writers a very particular configuration of this internal life. To the degree that the contemporary Gothic subject is the psychoanalytic subject (and vice versa), she/he becomes a/the field on which national, racial, and gender anxieties configured like Freudian drives get played out and symbolized over and over again. p.262\n\nWhat makes the contemporary Gothic particularly contemporary in both its themes and reception, however, is that these [Freudian] unconscious desires center on the problem of a lost object, the most overriding basis of our need for the Gothic and almost everything else. That loss is usually material (Parents, money, property, freedom to move around, a lover, or family member), but the materiality of that loss always has a psychological and symbolic dimension to it. p.263\n\nWhen the desire for an object butts up against the prohibition against the fulfilling of that desire, the result is the contemporary human subject.\u00a0 p.263\n\nTime and again the contemporary Gothic provides us with traumatized heroes who have lost the very psychic structures that allow them to access to their own experiences p.269 \n\nAll of this together fashions a contemporary Gothic phenomenon. Words, the building blocks of stories, rise and fall in consciousness, constituting horrifying returns and traumatic suggestions. The very act of storytelling itself has the resonance of multiple traumas that we\u00a0 [\u2026] cannot integrate into a coherent whole. What gets left in this blank space where our narratives cannot be is, paradoxically, a massive production of other Gothic narratives. In the process of trauma shattering us from one into a \u201cstunning little multitude,\u201d we are forced to confront our demons, our worst fears about the agents and influences that might control and create us. p.270 \n\nThe Gothic\u2019s basic investment in ravaging history and fragmenting the past meshes with our own investments now as we attempt to reinvent history as a way of healing the perpetual loss in modern existence.\u00a0 \u201cWe\u201d do this, moreover, as a western civilization shattered by personal and social traumas, yet \u201cwe\u201d do not exist except as a collection of individual psyches whose personal histories are inflected by social history, but not completely determined by it.\u00a0p.274\n\nAs we confront this underlying terror of our times, after all, the Gothic provides us a guarantee of life even in the face of so much death. [...] But the pleasantly terrifying thing may be that this life, this consciousness of being alive, is constantly shadowed by previous and immanent breakage and dissolution. Contemporary life constantly reminds us that we are moving toward death, or at least osolescence, and that life we must continually strive to hold together. Patadoxically, we need the sconsistent consciousness of deah provided by the gothic in otder to understand and want that life. [...see above...] We want our life and our death, and in that vacillation between wanting life and capitulating to destruction, we keep needing the Gothic to give shape to our contradiction. By now we have become like an Anne Rice vampire, or a Stephen King family man: we crave presence, we crave departure, we crave. p. 274", "page" : "259-76", "publisher" : "Cambridge University Press", "publisher-place" : "Cambridge", "title" : "Contemporary Gothic: Why We Need It", "type" : "chapter" }, "locator" : "260", "uris" : [ "http://www.mendeley.com/documents/?uuid=e931b48c-c5c4-4e75-ac56-e8cafd597083" ] } ], "mendeley" : { "formattedCitation" : "Bruhm, p. 260.", "plainTextFormattedCitation" : "Bruhm, p. 260.", "previouslyFormattedCitation" : "Bruhm, p. 260."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Bruhm, p. 260.</w:t>
      </w:r>
      <w:r w:rsidRPr="00505CF0">
        <w:rPr>
          <w:rFonts w:asciiTheme="majorBidi" w:hAnsiTheme="majorBidi" w:cstheme="majorBidi"/>
        </w:rPr>
        <w:fldChar w:fldCharType="end"/>
      </w:r>
    </w:p>
  </w:footnote>
  <w:footnote w:id="628">
    <w:p w14:paraId="5B978704" w14:textId="551BAA6C" w:rsidR="00054009" w:rsidRPr="00505CF0" w:rsidRDefault="00054009" w:rsidP="00E37E3E">
      <w:pPr>
        <w:pStyle w:val="FootnoteText"/>
        <w:rPr>
          <w:rFonts w:asciiTheme="majorBidi" w:hAnsiTheme="majorBidi" w:cstheme="majorBidi"/>
          <w:i/>
          <w:iCs/>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iCs/>
        </w:rPr>
        <w:t xml:space="preserve">ACO: </w:t>
      </w:r>
      <w:r w:rsidRPr="00505CF0">
        <w:rPr>
          <w:rFonts w:asciiTheme="majorBidi" w:hAnsiTheme="majorBidi" w:cstheme="majorBidi"/>
          <w:i/>
          <w:iCs/>
        </w:rPr>
        <w:t xml:space="preserve"> Southward, in a rather human touch, had the following dedication appended to th</w:t>
      </w:r>
      <w:r>
        <w:rPr>
          <w:rFonts w:asciiTheme="majorBidi" w:hAnsiTheme="majorBidi" w:cstheme="majorBidi"/>
          <w:i/>
          <w:iCs/>
        </w:rPr>
        <w:t>is essay in its original print:</w:t>
      </w:r>
      <w:r w:rsidRPr="00505CF0">
        <w:rPr>
          <w:rFonts w:asciiTheme="majorBidi" w:hAnsiTheme="majorBidi" w:cstheme="majorBidi"/>
          <w:i/>
          <w:iCs/>
        </w:rPr>
        <w:t xml:space="preserve"> </w:t>
      </w:r>
      <w:r>
        <w:rPr>
          <w:rFonts w:asciiTheme="majorBidi" w:hAnsiTheme="majorBidi" w:cstheme="majorBidi"/>
          <w:i/>
          <w:iCs/>
        </w:rPr>
        <w:t>“a</w:t>
      </w:r>
      <w:r w:rsidRPr="00505CF0">
        <w:rPr>
          <w:rFonts w:asciiTheme="majorBidi" w:hAnsiTheme="majorBidi" w:cstheme="majorBidi"/>
          <w:i/>
          <w:iCs/>
        </w:rPr>
        <w:t xml:space="preserve"> special dedication to William H.</w:t>
      </w:r>
      <w:r>
        <w:rPr>
          <w:rFonts w:asciiTheme="majorBidi" w:hAnsiTheme="majorBidi" w:cstheme="majorBidi"/>
          <w:i/>
          <w:iCs/>
        </w:rPr>
        <w:t xml:space="preserve"> </w:t>
      </w:r>
      <w:r w:rsidRPr="00505CF0">
        <w:rPr>
          <w:rFonts w:asciiTheme="majorBidi" w:hAnsiTheme="majorBidi" w:cstheme="majorBidi"/>
          <w:i/>
          <w:iCs/>
        </w:rPr>
        <w:t xml:space="preserve">Gass, the father of my field and without whose work I would still be foundering in the darkness and loneliness of a life without the fabulous form he gave name to.” </w:t>
      </w:r>
    </w:p>
  </w:footnote>
  <w:footnote w:id="629">
    <w:p w14:paraId="5F237CB8" w14:textId="59B0445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"Wallace", "given" : "David Foster", "non-dropping-particle" : "", "parse-names" : false, "suffix" : "" } ], "container-title" : "Review of Contemporary Fiction", "id" : "ITEM-1", "issue" : "2", "issued" : { "date-parts" : [ [ "1993" ] ] }, "note" : "Though not related to the genre theme I was looking at these weeks, this essay caught my attention as I flicked through A Supposedly Fun Thing That I\u2019ll Never Do Again. Wallace\u2019s analysis of the medium of television, often very cheerless for the most part, but the section that is most relevant is a small section in which he discusses Metafiction. Wallace links metafiction to Realism, stating: \n\u201c[Metafiction] was nothing more than a single order expansion of its own great theoretical nemesis, realism: If Realism called it like it saw it, Metafiction simply called it as it saw itself seeing itself see it.\u201d \nWallace here suggests that the two are meant for the same effect, seemingly to describe the real, though metafiction seems to go through a more elaborate process for the same effect. This is contrary to my own views about metafiction, apart from the almost nemesis relationship with realism, as I believe it to be merely a literary tool for the destruction of pretensions, not an off-shoot of realism. Realism aims to show the world, an impossible task, to suggest that this printed word may mean this exact object in reality. Metafiction aims to point a lens at the literary and remove it from the world, in terms of realism, say that no printed word may mean this exact object in reality. Otherwise, an enjoyable essay, particularly the section describing the use of the television as a writers tool for peering into worlds otherwise inaccessible.", "page" : "151-194", "title" : "E. Unibus Plurum", "type" : "article-journal", "volume" : "13" }, "locator" : "161", "uris" : [ "http://www.mendeley.com/documents/?uuid=1327a28a-bebc-427f-a76b-69e4781bf597" ] } ], "mendeley" : { "formattedCitation" : "Wallace, p. 161.", "plainTextFormattedCitation" : "Wallace, p. 161.", "previouslyFormattedCitation" : "Wallace, p. 161."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Wallace, p. 161.</w:t>
      </w:r>
      <w:r w:rsidRPr="00505CF0">
        <w:rPr>
          <w:rFonts w:asciiTheme="majorBidi" w:hAnsiTheme="majorBidi" w:cstheme="majorBidi"/>
        </w:rPr>
        <w:fldChar w:fldCharType="end"/>
      </w:r>
    </w:p>
  </w:footnote>
  <w:footnote w:id="630">
    <w:p w14:paraId="6F7477A2" w14:textId="3B0D598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"Mitchell", "given" : "David", "non-dropping-particle" : "", "parse-names" : false, "suffix" : "" } ], "id" : "ITEM-1", "issued" : { "date-parts" : [ [ "2001" ] ] }, "publisher" : "Hodder and Stoughton", "publisher-place" : "Kent", "title" : "Number9Dream", "type" : "book" }, "locator" : "187", "uris" : [ "http://www.mendeley.com/documents/?uuid=784d0501-aabd-4669-bf09-c25475474b2e" ] } ], "mendeley" : { "formattedCitation" : "David Mitchell, &lt;i&gt;Number9Dream&lt;/i&gt; (Kent: Hodder and Stoughton, 2001), p. 187.", "plainTextFormattedCitation" : "David Mitchell, Number9Dream (Kent: Hodder and Stoughton, 2001), p. 187.", "previouslyFormattedCitation" : "David Mitchell, &lt;i&gt;Number9Dream&lt;/i&gt; (Kent: Hodder and Stoughton, 2001), p. 187."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David Mitchell, </w:t>
      </w:r>
      <w:r w:rsidRPr="00505CF0">
        <w:rPr>
          <w:rFonts w:asciiTheme="majorBidi" w:hAnsiTheme="majorBidi" w:cstheme="majorBidi"/>
          <w:i/>
          <w:noProof/>
        </w:rPr>
        <w:t>Number9Dream</w:t>
      </w:r>
      <w:r w:rsidRPr="00505CF0">
        <w:rPr>
          <w:rFonts w:asciiTheme="majorBidi" w:hAnsiTheme="majorBidi" w:cstheme="majorBidi"/>
          <w:noProof/>
        </w:rPr>
        <w:t xml:space="preserve"> (Kent: Hodder and Stoughton, 2001), p. 187.</w:t>
      </w:r>
      <w:r w:rsidRPr="00505CF0">
        <w:rPr>
          <w:rFonts w:asciiTheme="majorBidi" w:hAnsiTheme="majorBidi" w:cstheme="majorBidi"/>
        </w:rPr>
        <w:fldChar w:fldCharType="end"/>
      </w:r>
    </w:p>
  </w:footnote>
  <w:footnote w:id="631">
    <w:p w14:paraId="621E650E" w14:textId="520FCDC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"prefix" : "Taken from the subtitle of ", "uris" : [ "http://www.mendeley.com/documents/?uuid=eae08ef5-f988-4315-ab15-b3f1da5496d8" ] } ], "mendeley" : { "formattedCitation" : "Taken from the subtitle of Patricia Waugh, &lt;i&gt;Metafiction&lt;/i&gt; (London: Routledge, 1984).", "plainTextFormattedCitation" : "Taken from the subtitle of Patricia Waugh, Metafiction (London: Routledge, 1984).", "previouslyFormattedCitation" : "Taken from the subtitle of Patricia Waugh, &lt;i&gt;Metafiction&lt;/i&gt; (London: Routledge, 1984)."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Taken from the subtitle of Patricia Waugh, </w:t>
      </w:r>
      <w:r w:rsidRPr="00505CF0">
        <w:rPr>
          <w:rFonts w:asciiTheme="majorBidi" w:hAnsiTheme="majorBidi" w:cstheme="majorBidi"/>
          <w:i/>
          <w:noProof/>
        </w:rPr>
        <w:t>Metafiction</w:t>
      </w:r>
      <w:r w:rsidRPr="00505CF0">
        <w:rPr>
          <w:rFonts w:asciiTheme="majorBidi" w:hAnsiTheme="majorBidi" w:cstheme="majorBidi"/>
          <w:noProof/>
        </w:rPr>
        <w:t xml:space="preserve"> (London: Routledge, 1984).</w:t>
      </w:r>
      <w:r w:rsidRPr="00505CF0">
        <w:rPr>
          <w:rFonts w:asciiTheme="majorBidi" w:hAnsiTheme="majorBidi" w:cstheme="majorBidi"/>
        </w:rPr>
        <w:fldChar w:fldCharType="end"/>
      </w:r>
    </w:p>
  </w:footnote>
  <w:footnote w:id="632">
    <w:p w14:paraId="4317B6CF" w14:textId="7AC195D1" w:rsidR="00054009" w:rsidRPr="00505CF0" w:rsidRDefault="00054009" w:rsidP="00756A48">
      <w:pPr>
        <w:pStyle w:val="FootnoteText"/>
        <w:rPr>
          <w:rFonts w:asciiTheme="majorBidi" w:hAnsiTheme="majorBidi" w:cstheme="majorBidi"/>
        </w:rPr>
      </w:pPr>
      <w:r w:rsidRPr="00505CF0">
        <w:rPr>
          <w:rStyle w:val="FootnoteReference"/>
          <w:rFonts w:asciiTheme="majorBidi" w:hAnsiTheme="majorBidi" w:cstheme="majorBidi"/>
        </w:rPr>
        <w:footnoteRef/>
      </w:r>
      <w:r>
        <w:rPr>
          <w:rFonts w:asciiTheme="majorBidi" w:hAnsiTheme="majorBidi" w:cstheme="majorBidi"/>
        </w:rPr>
        <w:t xml:space="preserve"> T</w:t>
      </w:r>
      <w:r w:rsidRPr="00505CF0">
        <w:rPr>
          <w:rFonts w:asciiTheme="majorBidi" w:hAnsiTheme="majorBidi" w:cstheme="majorBidi"/>
        </w:rPr>
        <w:t xml:space="preserve">he </w:t>
      </w:r>
      <w:r w:rsidRPr="00505CF0">
        <w:rPr>
          <w:rFonts w:asciiTheme="majorBidi" w:hAnsiTheme="majorBidi" w:cstheme="majorBidi"/>
          <w:i/>
        </w:rPr>
        <w:t>Scream</w:t>
      </w:r>
      <w:r w:rsidRPr="00505CF0">
        <w:rPr>
          <w:rFonts w:asciiTheme="majorBidi" w:hAnsiTheme="majorBidi" w:cstheme="majorBidi"/>
        </w:rPr>
        <w:t xml:space="preserve"> film series’ (always somewhat ‘meta’ in the popular usage) most recent a</w:t>
      </w:r>
      <w:r>
        <w:rPr>
          <w:rFonts w:asciiTheme="majorBidi" w:hAnsiTheme="majorBidi" w:cstheme="majorBidi"/>
        </w:rPr>
        <w:t>daptation overtly referenced its meta nature,</w:t>
      </w:r>
      <w:r w:rsidRPr="00505CF0">
        <w:rPr>
          <w:rFonts w:asciiTheme="majorBidi" w:hAnsiTheme="majorBidi" w:cstheme="majorBidi"/>
        </w:rPr>
        <w:t xml:space="preserve">  a thematic concern also taken over into the recent Netflix adaptation of the series in which teenagers repeatedly reference the rules and difficulties of the horror genre. </w:t>
      </w:r>
      <w:r w:rsidRPr="00505CF0">
        <w:rPr>
          <w:rFonts w:asciiTheme="majorBidi" w:hAnsiTheme="majorBidi" w:cstheme="majorBidi"/>
          <w:i/>
        </w:rPr>
        <w:t>The League of Gentleman’s Apocalypse</w:t>
      </w:r>
      <w:r w:rsidRPr="00505CF0">
        <w:rPr>
          <w:rFonts w:asciiTheme="majorBidi" w:hAnsiTheme="majorBidi" w:cstheme="majorBidi"/>
        </w:rPr>
        <w:t xml:space="preserve"> too overtly fictionalises the creative process</w:t>
      </w:r>
      <w:r>
        <w:rPr>
          <w:rFonts w:asciiTheme="majorBidi" w:hAnsiTheme="majorBidi" w:cstheme="majorBidi"/>
        </w:rPr>
        <w:t>, while</w:t>
      </w:r>
      <w:r w:rsidRPr="00505CF0">
        <w:rPr>
          <w:rFonts w:asciiTheme="majorBidi" w:hAnsiTheme="majorBidi" w:cstheme="majorBidi"/>
        </w:rPr>
        <w:t xml:space="preserve"> </w:t>
      </w:r>
      <w:r w:rsidRPr="00505CF0">
        <w:rPr>
          <w:rFonts w:asciiTheme="majorBidi" w:hAnsiTheme="majorBidi" w:cstheme="majorBidi"/>
          <w:i/>
        </w:rPr>
        <w:t>Tropic Thunder</w:t>
      </w:r>
      <w:r>
        <w:rPr>
          <w:rFonts w:asciiTheme="majorBidi" w:hAnsiTheme="majorBidi" w:cstheme="majorBidi"/>
        </w:rPr>
        <w:t xml:space="preserve"> </w:t>
      </w:r>
      <w:r w:rsidRPr="00505CF0">
        <w:rPr>
          <w:rFonts w:asciiTheme="majorBidi" w:hAnsiTheme="majorBidi" w:cstheme="majorBidi"/>
        </w:rPr>
        <w:t xml:space="preserve"> presents as a movie about the making of a movie about a fictional account of a Vietnam experience, even going so far as to create fictional adverts that preface the film. </w:t>
      </w:r>
      <w:r w:rsidRPr="00505CF0">
        <w:rPr>
          <w:rFonts w:asciiTheme="majorBidi" w:hAnsiTheme="majorBidi" w:cstheme="majorBidi"/>
          <w:i/>
        </w:rPr>
        <w:t>Stranger than Fiction</w:t>
      </w:r>
      <w:r w:rsidRPr="00505CF0">
        <w:rPr>
          <w:rFonts w:asciiTheme="majorBidi" w:hAnsiTheme="majorBidi" w:cstheme="majorBidi"/>
        </w:rPr>
        <w:t xml:space="preserve"> is perhaps the most overtly metafictional of the film examples given, though, focusing as it does on a character becoming self-aware while his ‘author’ struggles with writer’s block before meeting her character in person.</w:t>
      </w:r>
    </w:p>
  </w:footnote>
  <w:footnote w:id="633">
    <w:p w14:paraId="7FCCEC2D" w14:textId="7BED415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"Wallace", "given" : "David Foster", "non-dropping-particle" : "", "parse-names" : false, "suffix" : "" } ], "container-title" : "Review of Contemporary Fiction", "id" : "ITEM-1", "issue" : "2", "issued" : { "date-parts" : [ [ "1993" ] ] }, "note" : "Though not related to the genre theme I was looking at these weeks, this essay caught my attention as I flicked through A Supposedly Fun Thing That I\u2019ll Never Do Again. Wallace\u2019s analysis of the medium of television, often very cheerless for the most part, but the section that is most relevant is a small section in which he discusses Metafiction. Wallace links metafiction to Realism, stating: \n\u201c[Metafiction] was nothing more than a single order expansion of its own great theoretical nemesis, realism: If Realism called it like it saw it, Metafiction simply called it as it saw itself seeing itself see it.\u201d \nWallace here suggests that the two are meant for the same effect, seemingly to describe the real, though metafiction seems to go through a more elaborate process for the same effect. This is contrary to my own views about metafiction, apart from the almost nemesis relationship with realism, as I believe it to be merely a literary tool for the destruction of pretensions, not an off-shoot of realism. Realism aims to show the world, an impossible task, to suggest that this printed word may mean this exact object in reality. Metafiction aims to point a lens at the literary and remove it from the world, in terms of realism, say that no printed word may mean this exact object in reality. Otherwise, an enjoyable essay, particularly the section describing the use of the television as a writers tool for peering into worlds otherwise inaccessible.", "page" : "151-194", "title" : "E. Unibus Plurum", "type" : "article-journal", "volume" : "13" }, "locator" : "161", "uris" : [ "http://www.mendeley.com/documents/?uuid=1327a28a-bebc-427f-a76b-69e4781bf597" ] } ], "mendeley" : { "formattedCitation" : "Wallace, p. 161.", "plainTextFormattedCitation" : "Wallace, p. 161.", "previouslyFormattedCitation" : "Wallace, p. 161."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Wallace, p. 161.</w:t>
      </w:r>
      <w:r w:rsidRPr="00505CF0">
        <w:rPr>
          <w:rFonts w:asciiTheme="majorBidi" w:hAnsiTheme="majorBidi" w:cstheme="majorBidi"/>
        </w:rPr>
        <w:fldChar w:fldCharType="end"/>
      </w:r>
    </w:p>
  </w:footnote>
  <w:footnote w:id="634">
    <w:p w14:paraId="738D7766" w14:textId="5FE332D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"9", "uris" : [ "http://www.mendeley.com/documents/?uuid=eae08ef5-f988-4315-ab15-b3f1da5496d8" ] } ], "mendeley" : { "formattedCitation" : "Waugh, p. 9.", "plainTextFormattedCitation" : "Waugh, p. 9.", "previouslyFormattedCitation" : "Waugh, p. 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9.</w:t>
      </w:r>
      <w:r w:rsidRPr="00505CF0">
        <w:rPr>
          <w:rFonts w:asciiTheme="majorBidi" w:hAnsiTheme="majorBidi" w:cstheme="majorBidi"/>
        </w:rPr>
        <w:fldChar w:fldCharType="end"/>
      </w:r>
    </w:p>
  </w:footnote>
  <w:footnote w:id="635">
    <w:p w14:paraId="152A8A67" w14:textId="6CB3A7F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"2", "uris" : [ "http://www.mendeley.com/documents/?uuid=eae08ef5-f988-4315-ab15-b3f1da5496d8" ] } ], "mendeley" : { "formattedCitation" : "Waugh, p. 2.", "plainTextFormattedCitation" : "Waugh, p. 2.", "previouslyFormattedCitation" : "Waugh,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2.</w:t>
      </w:r>
      <w:r w:rsidRPr="00505CF0">
        <w:rPr>
          <w:rFonts w:asciiTheme="majorBidi" w:hAnsiTheme="majorBidi" w:cstheme="majorBidi"/>
        </w:rPr>
        <w:fldChar w:fldCharType="end"/>
      </w:r>
    </w:p>
  </w:footnote>
  <w:footnote w:id="636">
    <w:p w14:paraId="547B45C0" w14:textId="0B55CA7C" w:rsidR="00054009" w:rsidRPr="00DD5BBD" w:rsidRDefault="00054009">
      <w:pPr>
        <w:pStyle w:val="FootnoteText"/>
        <w:rPr>
          <w:i/>
          <w:iCs/>
        </w:rPr>
      </w:pPr>
      <w:r>
        <w:rPr>
          <w:rStyle w:val="FootnoteReference"/>
        </w:rPr>
        <w:footnoteRef/>
      </w:r>
      <w:r>
        <w:t xml:space="preserve"> </w:t>
      </w:r>
      <w:r>
        <w:rPr>
          <w:i/>
          <w:iCs/>
        </w:rPr>
        <w:t>ACO: Fools sailing round islands, sailing sailing, unable to stop, but their cries stirring something else in the waters, something terrible. Gods I wish I could sleep! The knocking! The dreams… I do not want to dream.</w:t>
      </w:r>
    </w:p>
  </w:footnote>
  <w:footnote w:id="637">
    <w:p w14:paraId="1C0C5F1F" w14:textId="5EB420E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"2", "uris" : [ "http://www.mendeley.com/documents/?uuid=eae08ef5-f988-4315-ab15-b3f1da5496d8" ] } ], "mendeley" : { "formattedCitation" : "Waugh, p. 2.", "plainTextFormattedCitation" : "Waugh, p. 2.", "previouslyFormattedCitation" : "Waugh,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2.</w:t>
      </w:r>
      <w:r w:rsidRPr="00505CF0">
        <w:rPr>
          <w:rFonts w:asciiTheme="majorBidi" w:hAnsiTheme="majorBidi" w:cstheme="majorBidi"/>
        </w:rPr>
        <w:fldChar w:fldCharType="end"/>
      </w:r>
    </w:p>
  </w:footnote>
  <w:footnote w:id="638">
    <w:p w14:paraId="21A9E99A" w14:textId="6C845A5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"4", "uris" : [ "http://www.mendeley.com/documents/?uuid=a8705ee1-9026-451b-ba5f-4e8bbc1b26ad" ] } ], "mendeley" : { "formattedCitation" : "Mark Currie, &lt;i&gt;Metafiction&lt;/i&gt;, ed. by Mark Currie (Harlow: Longman Publishing Group, 1995), p. 4.", "plainTextFormattedCitation" : "Mark Currie, Metafiction, ed. by Mark Currie (Harlow: Longman Publishing Group, 1995), p. 4.", "previouslyFormattedCitation" : "Mark Currie, &lt;i&gt;Metafiction&lt;/i&gt;, ed. by Mark Currie (Harlow: Longman Publishing Group, 1995),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Mark Currie, </w:t>
      </w:r>
      <w:r w:rsidRPr="00505CF0">
        <w:rPr>
          <w:rFonts w:asciiTheme="majorBidi" w:hAnsiTheme="majorBidi" w:cstheme="majorBidi"/>
          <w:i/>
          <w:noProof/>
        </w:rPr>
        <w:t>Metafiction</w:t>
      </w:r>
      <w:r w:rsidRPr="00505CF0">
        <w:rPr>
          <w:rFonts w:asciiTheme="majorBidi" w:hAnsiTheme="majorBidi" w:cstheme="majorBidi"/>
          <w:noProof/>
        </w:rPr>
        <w:t>, ed. by Mark Currie (Harlow: Longman Publishing Group, 1995), p. 4.</w:t>
      </w:r>
      <w:r w:rsidRPr="00505CF0">
        <w:rPr>
          <w:rFonts w:asciiTheme="majorBidi" w:hAnsiTheme="majorBidi" w:cstheme="majorBidi"/>
        </w:rPr>
        <w:fldChar w:fldCharType="end"/>
      </w:r>
    </w:p>
  </w:footnote>
  <w:footnote w:id="639">
    <w:p w14:paraId="0E737B69" w14:textId="7D2C1E80" w:rsidR="00054009" w:rsidRPr="00505CF0" w:rsidRDefault="00054009" w:rsidP="00C111D3">
      <w:pPr>
        <w:pStyle w:val="FootnoteText"/>
        <w:rPr>
          <w:rFonts w:asciiTheme="majorBidi" w:hAnsiTheme="majorBidi" w:cstheme="majorBidi"/>
          <w:lang w:val="es-ES_tradnl"/>
        </w:rPr>
      </w:pPr>
      <w:r w:rsidRPr="00505CF0">
        <w:rPr>
          <w:rStyle w:val="FootnoteReference"/>
          <w:rFonts w:asciiTheme="majorBidi" w:hAnsiTheme="majorBidi" w:cstheme="majorBidi"/>
        </w:rPr>
        <w:footnoteRef/>
      </w:r>
      <w:r w:rsidRPr="00505CF0">
        <w:rPr>
          <w:rFonts w:asciiTheme="majorBidi" w:hAnsiTheme="majorBidi" w:cstheme="majorBidi"/>
          <w:lang w:val="es-ES_tradnl"/>
        </w:rPr>
        <w:t xml:space="preserve"> </w:t>
      </w:r>
      <w:r w:rsidRPr="00505CF0">
        <w:rPr>
          <w:rFonts w:asciiTheme="majorBidi" w:hAnsiTheme="majorBidi" w:cstheme="majorBidi"/>
        </w:rPr>
        <w:fldChar w:fldCharType="begin" w:fldLock="1"/>
      </w:r>
      <w:r>
        <w:rPr>
          <w:rFonts w:asciiTheme="majorBidi" w:hAnsiTheme="majorBidi" w:cstheme="majorBidi"/>
          <w:lang w:val="es-ES_tradnl"/>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"4", "uris" : [ "http://www.mendeley.com/documents/?uuid=a8705ee1-9026-451b-ba5f-4e8bbc1b26ad" ] } ], "mendeley" : { "formattedCitation" : "Currie, p. 4.", "plainTextFormattedCitation" : "Currie, p. 4.", "previouslyFormattedCitation" : "Currie, p. 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es-ES_tradnl"/>
        </w:rPr>
        <w:t>Currie, p. 4.</w:t>
      </w:r>
      <w:r w:rsidRPr="00505CF0">
        <w:rPr>
          <w:rFonts w:asciiTheme="majorBidi" w:hAnsiTheme="majorBidi" w:cstheme="majorBidi"/>
        </w:rPr>
        <w:fldChar w:fldCharType="end"/>
      </w:r>
    </w:p>
  </w:footnote>
  <w:footnote w:id="640">
    <w:p w14:paraId="7F52230A" w14:textId="6BBDDC16" w:rsidR="00054009" w:rsidRPr="00505CF0" w:rsidRDefault="00054009" w:rsidP="00C111D3">
      <w:pPr>
        <w:pStyle w:val="FootnoteText"/>
        <w:rPr>
          <w:rFonts w:asciiTheme="majorBidi" w:hAnsiTheme="majorBidi" w:cstheme="majorBidi"/>
          <w:lang w:val="es-ES_tradnl"/>
        </w:rPr>
      </w:pPr>
      <w:r w:rsidRPr="00505CF0">
        <w:rPr>
          <w:rStyle w:val="FootnoteReference"/>
          <w:rFonts w:asciiTheme="majorBidi" w:hAnsiTheme="majorBidi" w:cstheme="majorBidi"/>
        </w:rPr>
        <w:footnoteRef/>
      </w:r>
      <w:r w:rsidRPr="00505CF0">
        <w:rPr>
          <w:rFonts w:asciiTheme="majorBidi" w:hAnsiTheme="majorBidi" w:cstheme="majorBidi"/>
          <w:lang w:val="es-ES_tradnl"/>
        </w:rPr>
        <w:t xml:space="preserve"> </w:t>
      </w:r>
      <w:r w:rsidRPr="00505CF0">
        <w:rPr>
          <w:rFonts w:asciiTheme="majorBidi" w:hAnsiTheme="majorBidi" w:cstheme="majorBidi"/>
        </w:rPr>
        <w:fldChar w:fldCharType="begin" w:fldLock="1"/>
      </w:r>
      <w:r>
        <w:rPr>
          <w:rFonts w:asciiTheme="majorBidi" w:hAnsiTheme="majorBidi" w:cstheme="majorBidi"/>
          <w:lang w:val="es-ES_tradnl"/>
        </w:rPr>
        <w:instrText>ADDIN CSL_CITATION { "citationItems" : [ { "id" : "ITEM-1", "itemData" : { "author" : [ { "dropping-particle" : "", "family" : "Walsh", "given" : "Richard", "non-dropping-particle" : "", "parse-names" : false, "suffix" : "" } ], "id" : "ITEM-1", "issued" : { "date-parts" : [ [ "1995" ] ] }, "publisher" : "Cambridge University Press", "publisher-place" : "New York", "title" : "Novel Arguments: Reading Innovative American Fiction", "title-short" : "Novel Arguments", "type" : "book" }, "locator" : "36", "uris" : [ "http://www.mendeley.com/documents/?uuid=8be14874-b621-45da-ba87-2b769d3bb713" ] } ], "mendeley" : { "formattedCitation" : "Richard Walsh, &lt;i&gt;Novel Arguments: Reading Innovative American Fiction&lt;/i&gt; (New York: Cambridge University Press, 1995), p. 36.", "plainTextFormattedCitation" : "Richard Walsh, Novel Arguments: Reading Innovative American Fiction (New York: Cambridge University Press, 1995), p. 36.", "previouslyFormattedCitation" : "Richard Walsh, &lt;i&gt;Novel Arguments: Reading Innovative American Fiction&lt;/i&gt; (New York: Cambridge University Press, 1995), p. 36."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es-ES_tradnl"/>
        </w:rPr>
        <w:t xml:space="preserve">Richard Walsh, </w:t>
      </w:r>
      <w:r w:rsidRPr="00505CF0">
        <w:rPr>
          <w:rFonts w:asciiTheme="majorBidi" w:hAnsiTheme="majorBidi" w:cstheme="majorBidi"/>
          <w:i/>
          <w:noProof/>
          <w:lang w:val="es-ES_tradnl"/>
        </w:rPr>
        <w:t>Novel Arguments: Reading Innovative American Fiction</w:t>
      </w:r>
      <w:r w:rsidRPr="00505CF0">
        <w:rPr>
          <w:rFonts w:asciiTheme="majorBidi" w:hAnsiTheme="majorBidi" w:cstheme="majorBidi"/>
          <w:noProof/>
          <w:lang w:val="es-ES_tradnl"/>
        </w:rPr>
        <w:t xml:space="preserve"> (New York: Cambridge University Press, 1995), p. 36.</w:t>
      </w:r>
      <w:r w:rsidRPr="00505CF0">
        <w:rPr>
          <w:rFonts w:asciiTheme="majorBidi" w:hAnsiTheme="majorBidi" w:cstheme="majorBidi"/>
        </w:rPr>
        <w:fldChar w:fldCharType="end"/>
      </w:r>
    </w:p>
  </w:footnote>
  <w:footnote w:id="641">
    <w:p w14:paraId="09610C01" w14:textId="4F0024EA" w:rsidR="00054009" w:rsidRDefault="00054009">
      <w:pPr>
        <w:pStyle w:val="FootnoteText"/>
      </w:pPr>
      <w:r>
        <w:rPr>
          <w:rStyle w:val="FootnoteReference"/>
        </w:rPr>
        <w:footnoteRef/>
      </w:r>
      <w:r>
        <w:t xml:space="preserve"> </w:t>
      </w:r>
      <w:r>
        <w:rPr>
          <w:rFonts w:asciiTheme="majorBidi" w:hAnsiTheme="majorBidi" w:cstheme="majorBidi"/>
          <w:sz w:val="24"/>
          <w:szCs w:val="24"/>
        </w:rPr>
        <w:t>Before we begin, it should be noted that I am being necessarily selective here, focussing on lesser known examples and the more technically significant texts, while signposting the majority of major developments (I am human, after all, fallible, so forgive me, do, if I drop an example, as an accidental, rather than malicious, omission.</w:t>
      </w:r>
    </w:p>
  </w:footnote>
  <w:footnote w:id="642">
    <w:p w14:paraId="3BA068C9" w14:textId="70D2006C" w:rsidR="00054009" w:rsidRPr="00701E5C" w:rsidRDefault="00054009">
      <w:pPr>
        <w:pStyle w:val="FootnoteText"/>
        <w:rPr>
          <w:i/>
          <w:iCs/>
        </w:rPr>
      </w:pPr>
      <w:r>
        <w:rPr>
          <w:rStyle w:val="FootnoteReference"/>
        </w:rPr>
        <w:footnoteRef/>
      </w:r>
      <w:r>
        <w:t xml:space="preserve"> </w:t>
      </w:r>
      <w:r>
        <w:rPr>
          <w:i/>
          <w:iCs/>
        </w:rPr>
        <w:t>ACO: Round and round I go, days spent citing, nights spent dreaming – terrors on both fronts, no relief, like men stranded in a ship that must land- must land, but no shore in sight. Or – worse! – too many, too too many, and then how to choose, eh Arapaima, how do we choose then, my old friend, when the waters churn and that voice calls again to us in our sleep? The Dark History of the Novel, indeed. See, Arapaima, ‘Southward can’t be trusted.’</w:t>
      </w:r>
    </w:p>
  </w:footnote>
  <w:footnote w:id="643">
    <w:p w14:paraId="0D1723CF" w14:textId="1EB9FAF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"Prickett", "given" : "Stephen", "non-dropping-particle" : "", "parse-names" : false, "suffix" : "" }, { "dropping-particle" : "", "family" : "Barnes", "given" : "Robert", "non-dropping-particle" : "", "parse-names" : false, "suffix" : "" } ], "id" : "ITEM-1", "issued" : { "date-parts" : [ [ "1991" ] ] }, "note" : "[...] the Bible is 'metafictional.' That is, it is a book about other books. The text makes constant and repeated reference to events or sayings in previous books, either to confirm their significance, or to reinterpret them as part of a new pattern. p.80", "publisher" : "Cambridge University Press", "publisher-place" : "Cambridge", "title" : "The Bible - Landmarks of World Literature", "title-short" : "The Bible", "type" : "book" }, "locator" : "80", "uris" : [ "http://www.mendeley.com/documents/?uuid=56877427-f70b-47f7-96f7-c1cf842cdd03" ] } ], "mendeley" : { "formattedCitation" : "Stephen Prickett and Robert Barnes, &lt;i&gt;The Bible - Landmarks of World Literature&lt;/i&gt; (Cambridge: Cambridge University Press, 1991), p. 80.", "plainTextFormattedCitation" : "Stephen Prickett and Robert Barnes, The Bible - Landmarks of World Literature (Cambridge: Cambridge University Press, 1991), p. 80.", "previouslyFormattedCitation" : "Stephen Prickett and Robert Barnes, &lt;i&gt;The Bible - Landmarks of World Literature&lt;/i&gt; (Cambridge: Cambridge University Press, 1991), p. 80."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Stephen Prickett and Robert Barnes, </w:t>
      </w:r>
      <w:r w:rsidRPr="00505CF0">
        <w:rPr>
          <w:rFonts w:asciiTheme="majorBidi" w:hAnsiTheme="majorBidi" w:cstheme="majorBidi"/>
          <w:i/>
          <w:noProof/>
        </w:rPr>
        <w:t>The Bible - Landmarks of World Literature</w:t>
      </w:r>
      <w:r w:rsidRPr="00505CF0">
        <w:rPr>
          <w:rFonts w:asciiTheme="majorBidi" w:hAnsiTheme="majorBidi" w:cstheme="majorBidi"/>
          <w:noProof/>
        </w:rPr>
        <w:t xml:space="preserve"> (Cambridge: Cambridge University Press, 1991), p. 80.</w:t>
      </w:r>
      <w:r w:rsidRPr="00505CF0">
        <w:rPr>
          <w:rFonts w:asciiTheme="majorBidi" w:hAnsiTheme="majorBidi" w:cstheme="majorBidi"/>
        </w:rPr>
        <w:fldChar w:fldCharType="end"/>
      </w:r>
    </w:p>
  </w:footnote>
  <w:footnote w:id="644">
    <w:p w14:paraId="4BC56256" w14:textId="5395095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 am very aware of the potential pro</w:t>
      </w:r>
      <w:r>
        <w:rPr>
          <w:rFonts w:asciiTheme="majorBidi" w:hAnsiTheme="majorBidi" w:cstheme="majorBidi"/>
        </w:rPr>
        <w:t>verbial can of worms opened</w:t>
      </w:r>
      <w:r w:rsidRPr="00505CF0">
        <w:rPr>
          <w:rFonts w:asciiTheme="majorBidi" w:hAnsiTheme="majorBidi" w:cstheme="majorBidi"/>
        </w:rPr>
        <w:t xml:space="preserve"> in chronologically dating the </w:t>
      </w:r>
      <w:r w:rsidRPr="00505CF0">
        <w:rPr>
          <w:rFonts w:asciiTheme="majorBidi" w:hAnsiTheme="majorBidi" w:cstheme="majorBidi"/>
          <w:i/>
          <w:iCs/>
        </w:rPr>
        <w:t>Arabian Nights</w:t>
      </w:r>
      <w:r w:rsidRPr="00505CF0">
        <w:rPr>
          <w:rFonts w:asciiTheme="majorBidi" w:hAnsiTheme="majorBidi" w:cstheme="majorBidi"/>
        </w:rPr>
        <w:t xml:space="preserve"> text here, but such discussions have no place here. Feel free to correct this tentative version of the timeline to your tastes regarding this text if yo</w:t>
      </w:r>
      <w:r>
        <w:rPr>
          <w:rFonts w:asciiTheme="majorBidi" w:hAnsiTheme="majorBidi" w:cstheme="majorBidi"/>
        </w:rPr>
        <w:t>u so desire, I won’t take offenc</w:t>
      </w:r>
      <w:r w:rsidRPr="00505CF0">
        <w:rPr>
          <w:rFonts w:asciiTheme="majorBidi" w:hAnsiTheme="majorBidi" w:cstheme="majorBidi"/>
        </w:rPr>
        <w:t xml:space="preserve">e. – </w:t>
      </w:r>
      <w:r>
        <w:rPr>
          <w:rFonts w:asciiTheme="majorBidi" w:hAnsiTheme="majorBidi" w:cstheme="majorBidi"/>
          <w:i/>
          <w:iCs/>
        </w:rPr>
        <w:t>ACO:</w:t>
      </w:r>
      <w:r w:rsidRPr="00505CF0">
        <w:rPr>
          <w:rFonts w:asciiTheme="majorBidi" w:hAnsiTheme="majorBidi" w:cstheme="majorBidi"/>
          <w:i/>
          <w:iCs/>
        </w:rPr>
        <w:t xml:space="preserve"> For more on this particular footnote and more alike see James Carleriana’s ‘Sassy Southward: Salty Footnotes and other Dick Moves of the Supreme Ruler.</w:t>
      </w:r>
      <w:r>
        <w:rPr>
          <w:rFonts w:asciiTheme="majorBidi" w:hAnsiTheme="majorBidi" w:cstheme="majorBidi"/>
          <w:i/>
          <w:iCs/>
        </w:rPr>
        <w:t>’</w:t>
      </w:r>
    </w:p>
  </w:footnote>
  <w:footnote w:id="645">
    <w:p w14:paraId="6E5A6889" w14:textId="5DDDCF0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"https://www.scribd.com/document/364196665/Metafictional-Devices-and-Intertextuality-in-Tristram-Shandy", "accessed" : { "date-parts" : [ [ "2018", "1", "1" ] ] }, "author" : [ { "dropping-particle" : "", "family" : "Stoie", "given" : "Marie", "non-dropping-particle" : "", "parse-names" : false, "suffix" : "" } ], "container-title" : "Scribd.com", "id" : "ITEM-1", "issued" : { "date-parts" : [ [ "0" ] ] }, "title" : "Metafictional Devices and Intertextuality in Tristram Shandy", "type" : "webpage" }, "uris" : [ "http://www.mendeley.com/documents/?uuid=b715ce4c-c5a6-48df-a54f-3b9d8c566276" ] } ], "mendeley" : { "formattedCitation" : "Marie Stoie, \u2018Metafictional Devices and Intertextuality in Tristram Shandy\u2019, &lt;i&gt;Scribd.com&lt;/i&gt; &lt;https://www.scribd.com/document/364196665/Metafictional-Devices-and-Intertextuality-in-Tristram-Shandy&gt; [accessed 1 January 2018].", "plainTextFormattedCitation" : "Marie Stoie, \u2018Metafictional Devices and Intertextuality in Tristram Shandy\u2019, Scribd.com  [accessed 1 January 2018].", "previouslyFormattedCitation" : "Marie Stoie, \u2018Metafictional Devices and Intertextuality in Tristram Shandy\u2019, &lt;i&gt;Scribd.com&lt;/i&gt; &lt;https://www.scribd.com/document/364196665/Metafictional-Devices-and-Intertextuality-in-Tristram-Shandy&gt; [accessed 1 January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Marie Stoie, ‘Metafictional Devices and Intertextuality in Tristram Shandy’, </w:t>
      </w:r>
      <w:r w:rsidRPr="0025171E">
        <w:rPr>
          <w:rFonts w:asciiTheme="majorBidi" w:hAnsiTheme="majorBidi" w:cstheme="majorBidi"/>
          <w:i/>
          <w:noProof/>
        </w:rPr>
        <w:t>Scribd.com</w:t>
      </w:r>
      <w:r w:rsidRPr="0025171E">
        <w:rPr>
          <w:rFonts w:asciiTheme="majorBidi" w:hAnsiTheme="majorBidi" w:cstheme="majorBidi"/>
          <w:noProof/>
        </w:rPr>
        <w:t xml:space="preserve"> &lt;https://www.scribd.com/document/364196665/Metafictional-Devices-and-Intertextuality-in-Tristram-Shandy&gt; [accessed 1 January 2018].</w:t>
      </w:r>
      <w:r w:rsidRPr="00505CF0">
        <w:rPr>
          <w:rFonts w:asciiTheme="majorBidi" w:hAnsiTheme="majorBidi" w:cstheme="majorBidi"/>
        </w:rPr>
        <w:fldChar w:fldCharType="end"/>
      </w:r>
    </w:p>
  </w:footnote>
  <w:footnote w:id="646">
    <w:p w14:paraId="1D69542C" w14:textId="57968A8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"Sterne", "given" : "Laurence", "non-dropping-particle" : "", "parse-names" : false, "suffix" : "" } ], "id" : "ITEM-1", "issued" : { "date-parts" : [ [ "1960" ] ] }, "publisher" : "The New American Library of World Literature, inc.", "publisher-place" : "New York", "title" : "Tristram Shandy", "type" : "book" }, "locator" : "182", "uris" : [ "http://www.mendeley.com/documents/?uuid=4327fff1-c027-425f-99e7-595003ed3a9a" ] } ], "mendeley" : { "formattedCitation" : "Laurence Sterne, &lt;i&gt;Tristram Shandy&lt;/i&gt; (New York: The New American Library of World Literature, inc., 1960), p. 182.", "plainTextFormattedCitation" : "Laurence Sterne, Tristram Shandy (New York: The New American Library of World Literature, inc., 1960), p. 182.", "previouslyFormattedCitation" : "Laurence Sterne, &lt;i&gt;Tristram Shandy&lt;/i&gt; (New York: The New American Library of World Literature, inc., 1960), p. 182."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Laurence Sterne, </w:t>
      </w:r>
      <w:r w:rsidRPr="00505CF0">
        <w:rPr>
          <w:rFonts w:asciiTheme="majorBidi" w:hAnsiTheme="majorBidi" w:cstheme="majorBidi"/>
          <w:i/>
          <w:noProof/>
        </w:rPr>
        <w:t>Tristram Shandy</w:t>
      </w:r>
      <w:r w:rsidRPr="00505CF0">
        <w:rPr>
          <w:rFonts w:asciiTheme="majorBidi" w:hAnsiTheme="majorBidi" w:cstheme="majorBidi"/>
          <w:noProof/>
        </w:rPr>
        <w:t xml:space="preserve"> (New York: The New American Library of World Literature, inc., 1960), p. 182.</w:t>
      </w:r>
      <w:r w:rsidRPr="00505CF0">
        <w:rPr>
          <w:rFonts w:asciiTheme="majorBidi" w:hAnsiTheme="majorBidi" w:cstheme="majorBidi"/>
        </w:rPr>
        <w:fldChar w:fldCharType="end"/>
      </w:r>
    </w:p>
  </w:footnote>
  <w:footnote w:id="647">
    <w:p w14:paraId="0BD4120E" w14:textId="2DCA83D9" w:rsidR="00054009" w:rsidRDefault="00054009">
      <w:pPr>
        <w:pStyle w:val="FootnoteText"/>
      </w:pPr>
      <w:r>
        <w:rPr>
          <w:rStyle w:val="FootnoteReference"/>
        </w:rPr>
        <w:footnoteRef/>
      </w:r>
      <w:r>
        <w:t xml:space="preserve"> </w:t>
      </w:r>
      <w:r w:rsidRPr="00DD5BBD">
        <w:rPr>
          <w:i/>
          <w:iCs/>
        </w:rPr>
        <w:t xml:space="preserve">ACO: And where were they, truly, our sailors? D’Rearj! Gods be damned, D’Rearj! D’Rearj, where repulsive Xcln’Kcfrolphtulh slumbers! The sailors struggle to comprehend the islands, their non-euclidian geographies, their shifting </w:t>
      </w:r>
      <w:r>
        <w:rPr>
          <w:i/>
          <w:iCs/>
        </w:rPr>
        <w:t>massifs</w:t>
      </w:r>
      <w:r w:rsidRPr="00DD5BBD">
        <w:rPr>
          <w:i/>
          <w:iCs/>
        </w:rPr>
        <w:t>, their duplicitous phantasms! Yet – Yet, friend, I must write while the infernal banging continues – Yet, they were never safe. For terrible Xcln’Kcfrolphtulh, it seems, awoke to them! His vast form blooming like so much foetid waste from the centre of the archipelago, a rotting corpse of a creature, with a thousand strips of rancid skin sloughing from its bulbous corpse-body and into the waves, where a vast array of carrion creatures awaited to devour the remains! Xcln’Kcfrolphtulh! Seen in my dreams! Xcln’Kcfrolphtulh! Xcln’Kcfrolphtulh!</w:t>
      </w:r>
    </w:p>
  </w:footnote>
  <w:footnote w:id="648">
    <w:p w14:paraId="253A8AAF" w14:textId="5D3D9D77" w:rsidR="00054009" w:rsidRDefault="00054009">
      <w:pPr>
        <w:pStyle w:val="FootnoteText"/>
      </w:pPr>
      <w:r>
        <w:rPr>
          <w:rStyle w:val="FootnoteReference"/>
        </w:rPr>
        <w:footnoteRef/>
      </w:r>
      <w:r>
        <w:t xml:space="preserve"> </w:t>
      </w:r>
      <w:r w:rsidRPr="003860FE">
        <w:rPr>
          <w:i/>
        </w:rPr>
        <w:t>ACO: Arapaima, the scum, mocks me behind my back and assumes I don’t hear. I am significant! I am!</w:t>
      </w:r>
    </w:p>
  </w:footnote>
  <w:footnote w:id="649">
    <w:p w14:paraId="6CCECDF6" w14:textId="00C66E45"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"Botstein. Leon", "given" : "", "non-dropping-particle" : "", "parse-names" : false, "suffix" : "" } ], "container-title" : "The Music Quarterly", "id" : "ITEM-1", "issue" : "3-4", "issued" : { "date-parts" : [ [ "2008" ] ] }, "page" : "151-157", "title" : "Elliot Carter: An Appreciation", "type" : "article-journal", "volume" : "91" }, "locator" : "153", "uris" : [ "http://www.mendeley.com/documents/?uuid=93d527f0-2e9b-4f00-93c6-ec57a9a4f2ee" ] } ], "mendeley" : { "formattedCitation" : "Botstein. Leon, \u2018Elliot Carter: An Appreciation\u2019, &lt;i&gt;The Music Quarterly&lt;/i&gt;, 91 (2008), 151\u2013157 (p. 153).", "plainTextFormattedCitation" : "Botstein. Leon, \u2018Elliot Carter: An Appreciation\u2019, The Music Quarterly, 91 (2008), 151\u2013157 (p. 153).", "previouslyFormattedCitation" : "Botstein. Leon, \u2018Elliot Carter: An Appreciation\u2019, &lt;i&gt;The Music Quarterly&lt;/i&gt;, 91 (2008), 151\u2013157 (p. 153)."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Botstein. Leon, ‘Elliot Carter: An Appreciation’, </w:t>
      </w:r>
      <w:r w:rsidRPr="0025171E">
        <w:rPr>
          <w:rFonts w:asciiTheme="majorBidi" w:hAnsiTheme="majorBidi" w:cstheme="majorBidi"/>
          <w:i/>
          <w:noProof/>
        </w:rPr>
        <w:t>The Music Quarterly</w:t>
      </w:r>
      <w:r w:rsidRPr="0025171E">
        <w:rPr>
          <w:rFonts w:asciiTheme="majorBidi" w:hAnsiTheme="majorBidi" w:cstheme="majorBidi"/>
          <w:noProof/>
        </w:rPr>
        <w:t>, 91 (2008), 151–157 (p. 153).</w:t>
      </w:r>
      <w:r w:rsidRPr="00505CF0">
        <w:rPr>
          <w:rFonts w:asciiTheme="majorBidi" w:hAnsiTheme="majorBidi" w:cstheme="majorBidi"/>
        </w:rPr>
        <w:fldChar w:fldCharType="end"/>
      </w:r>
    </w:p>
  </w:footnote>
  <w:footnote w:id="650">
    <w:p w14:paraId="54C03620" w14:textId="7777777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It should be noted that this history aims to explore some of the more overlooked examples of literary history and so will not linger too long on the more famous examples of literary fiction that dot the genre’s lengthy history too much, but rather focus instead on those less famous examples wherever possible. </w:t>
      </w:r>
    </w:p>
  </w:footnote>
  <w:footnote w:id="651">
    <w:p w14:paraId="6CE948DB" w14:textId="037269E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"Levinson", "given" : "Julie", "non-dropping-particle" : "", "parse-names" : false, "suffix" : "" } ], "container-title" : "Genre LX", "id" : "ITEM-1", "issued" : { "date-parts" : [ [ "2007" ] ] }, "note" : "Metafictions hold a mirror up to their own processes and turn their gaze back on themselves, giving us a double vision of both the product of the creator's endeavors (the story told) and the processes that go into creating that product (the storytelling). these narratives add one more ingredient to the Platonic recipe of mimesis (showing) and diegesis (telling) by also containing their own exegesis (explaining or analyzing). Indeed, they conflate all three modes, as interpretation and criticism become immanent within fiction. 158-9\n\nThe creatuve process itself is their subject, as they assign themselves the double task of presenting absorbing tales and then challenging the validity of our absoption in fictional constructs. p.159\n\n(metafiction as only reflective of its nemesis- realism)- Wheras the putatively realist work strives to be as mimetic as possibole, pretending only tro describe and record, and thereby dishuising its arbitrariness and incompleteness, metafiction calls attention to these limitations, admitting that it creates and constructs experience as much as it reflects it. p.159\n\nIn a metafictive work, we are, at turns, pulled centripetally inward by the plot and centrifugally outward by the narratological musings that overlay the events being narrated and thereby acknowledge theartifice of stories. We are simultaneously caught up in the narrative experience and exposed to the ruses of that experience and its questionable correspondence to what it intends to signify p.159", "page" : "157-180", "title" : "Adaptation, Metafiction, Self-Creation", "type" : "article-journal", "volume" : "Spring/Sum" }, "locator" : "159", "uris" : [ "http://www.mendeley.com/documents/?uuid=ea4afaf5-d412-477a-a297-419d250a457f" ] } ], "mendeley" : { "formattedCitation" : "Julie Levinson, \u2018Adaptation, Metafiction, Self-Creation\u2019, &lt;i&gt;Genre LX&lt;/i&gt;, Spring/Sum (2007), 157\u2013180 (p. 159).", "plainTextFormattedCitation" : "Julie Levinson, \u2018Adaptation, Metafiction, Self-Creation\u2019, Genre LX, Spring/Sum (2007), 157\u2013180 (p. 159).", "previouslyFormattedCitation" : "Julie Levinson, \u2018Adaptation, Metafiction, Self-Creation\u2019, &lt;i&gt;Genre LX&lt;/i&gt;, Spring/Sum (2007), 157\u2013180 (p. 159)."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Julie Levinson, ‘Adaptation, Metafiction, Self-Creation’, </w:t>
      </w:r>
      <w:r w:rsidRPr="0025171E">
        <w:rPr>
          <w:rFonts w:asciiTheme="majorBidi" w:hAnsiTheme="majorBidi" w:cstheme="majorBidi"/>
          <w:i/>
          <w:noProof/>
        </w:rPr>
        <w:t>Genre LX</w:t>
      </w:r>
      <w:r w:rsidRPr="0025171E">
        <w:rPr>
          <w:rFonts w:asciiTheme="majorBidi" w:hAnsiTheme="majorBidi" w:cstheme="majorBidi"/>
          <w:noProof/>
        </w:rPr>
        <w:t>, Spring/Sum (2007), 157–180 (p. 159).</w:t>
      </w:r>
      <w:r w:rsidRPr="00505CF0">
        <w:rPr>
          <w:rFonts w:asciiTheme="majorBidi" w:hAnsiTheme="majorBidi" w:cstheme="majorBidi"/>
        </w:rPr>
        <w:fldChar w:fldCharType="end"/>
      </w:r>
    </w:p>
  </w:footnote>
  <w:footnote w:id="652">
    <w:p w14:paraId="4C9CF497" w14:textId="6D84700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"http://www.hplovecraft.com/writings/texts/fiction/u.aspx", "accessed" : { "date-parts" : [ [ "2018", "1", "2" ] ] }, "author" : [ { "dropping-particle" : "", "family" : "Lovecraft", "given" : "H.P.", "non-dropping-particle" : "", "parse-names" : false, "suffix" : "" } ], "container-title" : "The H.P. Lovecraft Archive", "id" : "ITEM-1", "issued" : { "date-parts" : [ [ "1925" ] ] }, "title" : "The Unnamable", "type" : "webpage" }, "uris" : [ "http://www.mendeley.com/documents/?uuid=acf4e33f-b212-43ff-bd76-0550f96d1a46" ] } ], "mendeley" : { "formattedCitation" : "H.P. Lovecraft, \u2018The Unnamable\u2019, &lt;i&gt;The H.P. Lovecraft Archive&lt;/i&gt;, 1925 &lt;http://www.hplovecraft.com/writings/texts/fiction/u.aspx&gt; [accessed 2 January 2018].", "plainTextFormattedCitation" : "H.P. Lovecraft, \u2018The Unnamable\u2019, The H.P. Lovecraft Archive, 1925  [accessed 2 January 2018].", "previouslyFormattedCitation" : "H.P. Lovecraft, \u2018The Unnamable\u2019, &lt;i&gt;The H.P. Lovecraft Archive&lt;/i&gt;, 1925 &lt;http://www.hplovecraft.com/writings/texts/fiction/u.aspx&gt; [accessed 2 January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H.P. Lovecraft, ‘The Unnamable’, </w:t>
      </w:r>
      <w:r w:rsidRPr="0025171E">
        <w:rPr>
          <w:rFonts w:asciiTheme="majorBidi" w:hAnsiTheme="majorBidi" w:cstheme="majorBidi"/>
          <w:i/>
          <w:noProof/>
        </w:rPr>
        <w:t>The H.P. Lovecraft Archive</w:t>
      </w:r>
      <w:r w:rsidRPr="0025171E">
        <w:rPr>
          <w:rFonts w:asciiTheme="majorBidi" w:hAnsiTheme="majorBidi" w:cstheme="majorBidi"/>
          <w:noProof/>
        </w:rPr>
        <w:t>, 1925 &lt;http://www.hplovecraft.com/writings/texts/fiction/u.aspx&gt; [accessed 2 January 2018].</w:t>
      </w:r>
      <w:r w:rsidRPr="00505CF0">
        <w:rPr>
          <w:rFonts w:asciiTheme="majorBidi" w:hAnsiTheme="majorBidi" w:cstheme="majorBidi"/>
        </w:rPr>
        <w:fldChar w:fldCharType="end"/>
      </w:r>
    </w:p>
  </w:footnote>
  <w:footnote w:id="653">
    <w:p w14:paraId="3C602896" w14:textId="28B562D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"http://www.hplovecraft.com/writings/texts/fiction/u.aspx", "accessed" : { "date-parts" : [ [ "2018", "1", "2" ] ] }, "author" : [ { "dropping-particle" : "", "family" : "Lovecraft", "given" : "H.P.", "non-dropping-particle" : "", "parse-names" : false, "suffix" : "" } ], "container-title" : "The H.P. Lovecraft Archive", "id" : "ITEM-1", "issued" : { "date-parts" : [ [ "1925" ] ] }, "title" : "The Unnamable", "type" : "webpage" }, "uris" : [ "http://www.mendeley.com/documents/?uuid=acf4e33f-b212-43ff-bd76-0550f96d1a46" ] } ], "mendeley" : { "formattedCitation" : "Lovecraft, \u2018The Unnamable\u2019.", "plainTextFormattedCitation" : "Lovecraft, \u2018The Unnamable\u2019.", "previouslyFormattedCitation" : "Lovecraft, \u2018The Unnamable\u2019."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Lovecraft, ‘The Unnamable’.</w:t>
      </w:r>
      <w:r w:rsidRPr="00505CF0">
        <w:rPr>
          <w:rFonts w:asciiTheme="majorBidi" w:hAnsiTheme="majorBidi" w:cstheme="majorBidi"/>
        </w:rPr>
        <w:fldChar w:fldCharType="end"/>
      </w:r>
    </w:p>
  </w:footnote>
  <w:footnote w:id="654">
    <w:p w14:paraId="06854E4E" w14:textId="489761C8" w:rsidR="00054009" w:rsidRDefault="00054009">
      <w:pPr>
        <w:pStyle w:val="FootnoteText"/>
      </w:pPr>
      <w:r>
        <w:rPr>
          <w:rStyle w:val="FootnoteReference"/>
        </w:rPr>
        <w:footnoteRef/>
      </w:r>
      <w:r>
        <w:t xml:space="preserve"> </w:t>
      </w:r>
      <w:r w:rsidRPr="00DD5BBD">
        <w:rPr>
          <w:i/>
          <w:iCs/>
        </w:rPr>
        <w:t xml:space="preserve">ACO: Xcln’Kcfrolphtulh attacked, enraged at their presence, its terrible chartreuse eyes gleaming as it headed towards the miniscule ship. Vermeulen turned his eyes away in time to see all his crewmates plunge into the obsidian depths of the waves, only there to be devoured by those tentacular carrion beasts swarming the waters and devouring the sailors alongside the mercurial slips of Xcln’Kcfrolphtulh’s flesh. Teeth </w:t>
      </w:r>
      <w:proofErr w:type="gramStart"/>
      <w:r w:rsidRPr="00DD5BBD">
        <w:rPr>
          <w:i/>
          <w:iCs/>
        </w:rPr>
        <w:t>and  tentacles</w:t>
      </w:r>
      <w:proofErr w:type="gramEnd"/>
      <w:r w:rsidRPr="00DD5BBD">
        <w:rPr>
          <w:i/>
          <w:iCs/>
        </w:rPr>
        <w:t>, unnameable forms which I now see nightly in my mind, and always with those terrible yellow eyes. Vermeulen’s account is maddening, though he seems somehow to have escaped the madness, finding himself and his ship outside of the archipelagos ring, which putrescent Xcln’Kcfrolphtulh could not yet escape. D’Rearj, the prison yet to be broken…but for how long?! Xcln’Kcfrolphtulh! I hear your calls! I remember the year 2011 when we all heard you! Xcln’Kcfrolphtulh! Putrid Xcln’Kcfrolphtulh! He who will burn the world, burn the books, burn the minds! Xcln’Kcfrolphtulh!</w:t>
      </w:r>
    </w:p>
  </w:footnote>
  <w:footnote w:id="655">
    <w:p w14:paraId="5001D344" w14:textId="6635688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"Borges", "given" : "Jorge Luis", "non-dropping-particle" : "", "parse-names" : false, "suffix" : "" } ], "editor" : [ { "dropping-particle" : "", "family" : "Weinberger", "given" : "Eliot", "non-dropping-particle" : "", "parse-names" : false, "suffix" : "" } ], "id" : "ITEM-1", "issued" : { "date-parts" : [ [ "1999" ] ] }, "publisher" : "Penguin Books", "publisher-place" : "New York", "title" : "Selected Nonfictions", "translator" : [ { "dropping-particle" : "", "family" : "Allen", "given" : "Esther", "non-dropping-particle" : "", "parse-names" : false, "suffix" : "" }, { "dropping-particle" : "", "family" : "Levine", "given" : "Suzanne Jill", "non-dropping-particle" : "", "parse-names" : false, "suffix" : "" }, { "dropping-particle" : "", "family" : "Weinberger", "given" : "Eliot", "non-dropping-particle" : "", "parse-names" : false, "suffix" : "" } ], "type" : "book" }, "locator" : "162", "uris" : [ "http://www.mendeley.com/documents/?uuid=c75adb37-ee1e-444d-a3f0-dadf5a24a0c6" ] } ], "mendeley" : { "formattedCitation" : "Jorge Luis Borges, &lt;i&gt;Selected Nonfictions&lt;/i&gt;, ed. by Eliot Weinberger, trans. by Esther Allen, Suzanne Jill Levine, and Eliot Weinberger (New York: Penguin Books, 1999), p. 162.", "plainTextFormattedCitation" : "Jorge Luis Borges, Selected Nonfictions, ed. by Eliot Weinberger, trans. by Esther Allen, Suzanne Jill Levine, and Eliot Weinberger (New York: Penguin Books, 1999), p. 162.", "previouslyFormattedCitation" : "Jorge Luis Borges, &lt;i&gt;Selected Nonfictions&lt;/i&gt;, ed. by Eliot Weinberger, trans. by Esther Allen, Suzanne Jill Levine, and Eliot Weinberger (New York: Penguin Books, 1999), p. 162."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Jorge Luis Borges, </w:t>
      </w:r>
      <w:r w:rsidRPr="00505CF0">
        <w:rPr>
          <w:rFonts w:asciiTheme="majorBidi" w:hAnsiTheme="majorBidi" w:cstheme="majorBidi"/>
          <w:i/>
          <w:noProof/>
        </w:rPr>
        <w:t>Selected Nonfictions</w:t>
      </w:r>
      <w:r w:rsidRPr="00505CF0">
        <w:rPr>
          <w:rFonts w:asciiTheme="majorBidi" w:hAnsiTheme="majorBidi" w:cstheme="majorBidi"/>
          <w:noProof/>
        </w:rPr>
        <w:t>, ed. by Eliot Weinberger, trans. by Esther Allen, Suzanne Jill Levine, and Eliot Weinberger (New York: Penguin Books, 1999), p. 162.</w:t>
      </w:r>
      <w:r w:rsidRPr="00505CF0">
        <w:rPr>
          <w:rFonts w:asciiTheme="majorBidi" w:hAnsiTheme="majorBidi" w:cstheme="majorBidi"/>
        </w:rPr>
        <w:fldChar w:fldCharType="end"/>
      </w:r>
    </w:p>
  </w:footnote>
  <w:footnote w:id="656">
    <w:p w14:paraId="7112AA32" w14:textId="0B5606BA"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"https://www.britannica.com/art/American-literature", "accessed" : { "date-parts" : [ [ "2018", "1", "1" ] ] }, "author" : [ { "dropping-particle" : "", "family" : "Blair", "given" : "Walter", "non-dropping-particle" : "", "parse-names" : false, "suffix" : "" }, { "dropping-particle" : "", "family" : "Dickstein", "given" : "Morris", "non-dropping-particle" : "", "parse-names" : false, "suffix" : "" }, { "dropping-particle" : "", "family" : "Giles", "given" : "James R.", "non-dropping-particle" : "", "parse-names" : false, "suffix" : "" } ], "container-title" : "Encyclopaedia Britannica", "id" : "ITEM-1", "issued" : { "date-parts" : [ [ "2017" ] ] }, "title" : "American Literature", "type" : "webpage" }, "locator" : "14", "uris" : [ "http://www.mendeley.com/documents/?uuid=307dba3b-3fda-4657-b415-ce330820a8ec" ] } ], "mendeley" : { "formattedCitation" : "Walter Blair, Morris Dickstein and James R. Giles, \u2018American Literature\u2019, &lt;i&gt;Encyclopaedia Britannica&lt;/i&gt;, 2017, p. 14 &lt;https://www.britannica.com/art/American-literature&gt; [accessed 1 January 2018].", "plainTextFormattedCitation" : "Walter Blair, Morris Dickstein and James R. Giles, \u2018American Literature\u2019, Encyclopaedia Britannica, 2017, p. 14  [accessed 1 January 2018].", "previouslyFormattedCitation" : "Walter Blair, Morris Dickstein and James R. Giles, \u2018American Literature\u2019, &lt;i&gt;Encyclopaedia Britannica&lt;/i&gt;, 2017, p. 14 &lt;https://www.britannica.com/art/American-literature&gt; [accessed 1 January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Walter Blair, Morris Dickstein and James R. Giles, ‘American Literature’, </w:t>
      </w:r>
      <w:r w:rsidRPr="0025171E">
        <w:rPr>
          <w:rFonts w:asciiTheme="majorBidi" w:hAnsiTheme="majorBidi" w:cstheme="majorBidi"/>
          <w:i/>
          <w:noProof/>
        </w:rPr>
        <w:t>Encyclopaedia Britannica</w:t>
      </w:r>
      <w:r w:rsidRPr="0025171E">
        <w:rPr>
          <w:rFonts w:asciiTheme="majorBidi" w:hAnsiTheme="majorBidi" w:cstheme="majorBidi"/>
          <w:noProof/>
        </w:rPr>
        <w:t>, 2017, p. 14 &lt;https://www.britannica.com/art/American-literature&gt; [accessed 1 January 2018].</w:t>
      </w:r>
      <w:r w:rsidRPr="00505CF0">
        <w:rPr>
          <w:rFonts w:asciiTheme="majorBidi" w:hAnsiTheme="majorBidi" w:cstheme="majorBidi"/>
        </w:rPr>
        <w:fldChar w:fldCharType="end"/>
      </w:r>
    </w:p>
  </w:footnote>
  <w:footnote w:id="657">
    <w:p w14:paraId="74183FD7" w14:textId="39FFC34C"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"Collado-Rodriguez", "given" : "Francisco", "non-dropping-particle" : "", "parse-names" : false, "suffix" : "" } ], "chapter-number" : "7", "container-title" : "Metahistorical Narratives &amp; Scientific Metafictions", "editor" : [ { "dropping-particle" : "", "family" : "Episcopo", "given" : "Guiseppe", "non-dropping-particle" : "", "parse-names" : false, "suffix" : "" } ], "id" : "ITEM-1", "issued" : { "date-parts" : [ [ "2015" ] ] }, "page" : "149-166", "publisher" : "Cronopio", "publisher-place" : "Napoli", "title" : "Historiographic Metafiction, Thermodynamics and the Middle That was Not Exlcuded in Thomas Pynchon's The Crying of Lot 49", "type" : "chapter" }, "locator" : "149", "uris" : [ "http://www.mendeley.com/documents/?uuid=8858be6f-a6cd-4647-b36f-433ec23b74ba" ] } ], "mendeley" : { "formattedCitation" : "Francisco Collado-Rodriguez, \u2018Historiographic Metafiction, Thermodynamics and the Middle That Was Not Exlcuded in Thomas Pynchon\u2019s The Crying of Lot 49\u2019, in &lt;i&gt;Metahistorical Narratives &amp; Scientific Metafictions&lt;/i&gt;, ed. by Guiseppe Episcopo (Napoli: Cronopio, 2015), pp. 149\u2013166 (p. 149).", "plainTextFormattedCitation" : "Francisco Collado-Rodriguez, \u2018Historiographic Metafiction, Thermodynamics and the Middle That Was Not Exlcuded in Thomas Pynchon\u2019s The Crying of Lot 49\u2019, in Metahistorical Narratives &amp; Scientific Metafictions, ed. by Guiseppe Episcopo (Napoli: Cronopio, 2015), pp. 149\u2013166 (p. 149).", "previouslyFormattedCitation" : "Francisco Collado-Rodriguez, \u2018Historiographic Metafiction, Thermodynamics and the Middle That Was Not Exlcuded in Thomas Pynchon\u2019s The Crying of Lot 49\u2019, in &lt;i&gt;Metahistorical Narratives &amp; Scientific Metafictions&lt;/i&gt;, ed. by Guiseppe Episcopo (Napoli: Cronopio, 2015), pp. 149\u2013166 (p. 149)."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Francisco Collado-Rodriguez, ‘Historiographic Metafiction, Thermodynamics and the Middle That Was Not Exlcuded in Thomas Pynchon’s The Crying of Lot 49’, in </w:t>
      </w:r>
      <w:r w:rsidRPr="0025171E">
        <w:rPr>
          <w:rFonts w:asciiTheme="majorBidi" w:hAnsiTheme="majorBidi" w:cstheme="majorBidi"/>
          <w:i/>
          <w:noProof/>
        </w:rPr>
        <w:t>Metahistorical Narratives &amp; Scientific Metafictions</w:t>
      </w:r>
      <w:r w:rsidRPr="0025171E">
        <w:rPr>
          <w:rFonts w:asciiTheme="majorBidi" w:hAnsiTheme="majorBidi" w:cstheme="majorBidi"/>
          <w:noProof/>
        </w:rPr>
        <w:t>, ed. by Guiseppe Episcopo (Napoli: Cronopio, 2015), pp. 149–166 (p. 149).</w:t>
      </w:r>
      <w:r w:rsidRPr="00505CF0">
        <w:rPr>
          <w:rFonts w:asciiTheme="majorBidi" w:hAnsiTheme="majorBidi" w:cstheme="majorBidi"/>
        </w:rPr>
        <w:fldChar w:fldCharType="end"/>
      </w:r>
    </w:p>
  </w:footnote>
  <w:footnote w:id="658">
    <w:p w14:paraId="615608B9" w14:textId="5E4E0CB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"R\u00f3g", "given" : "Borys", "non-dropping-particle" : "", "parse-names" : false, "suffix" : "" } ], "container-title" : "New Horizons in English Stuidies", "id" : "ITEM-1", "issue" : "2", "issued" : { "date-parts" : [ [ "2017" ] ] }, "page" : "59-67", "title" : "The Crying of Lot 49 and the Parody of Detective Fiction", "type" : "article-journal" }, "locator" : "65", "uris" : [ "http://www.mendeley.com/documents/?uuid=fabb3731-bd23-4995-815a-40ae7571fba7" ] } ], "mendeley" : { "formattedCitation" : "Borys R\u00f3g, \u2018The Crying of Lot 49 and the Parody of Detective Fiction\u2019, &lt;i&gt;New Horizons in English Stuidies&lt;/i&gt;, 2017, 59\u201367 (p. 65).", "plainTextFormattedCitation" : "Borys R\u00f3g, \u2018The Crying of Lot 49 and the Parody of Detective Fiction\u2019, New Horizons in English Stuidies, 2017, 59\u201367 (p. 65).", "previouslyFormattedCitation" : "Borys R\u00f3g, \u2018The Crying of Lot 49 and the Parody of Detective Fiction\u2019, &lt;i&gt;New Horizons in English Stuidies&lt;/i&gt;, 2017, 59\u201367 (p. 65)."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Borys Róg, ‘The Crying of Lot 49 and the Parody of Detective Fiction’, </w:t>
      </w:r>
      <w:r w:rsidRPr="00505CF0">
        <w:rPr>
          <w:rFonts w:asciiTheme="majorBidi" w:hAnsiTheme="majorBidi" w:cstheme="majorBidi"/>
          <w:i/>
          <w:noProof/>
        </w:rPr>
        <w:t>New Horizons in English Stuidies</w:t>
      </w:r>
      <w:r w:rsidRPr="00505CF0">
        <w:rPr>
          <w:rFonts w:asciiTheme="majorBidi" w:hAnsiTheme="majorBidi" w:cstheme="majorBidi"/>
          <w:noProof/>
        </w:rPr>
        <w:t>, 2017, 59–67 (p. 65).</w:t>
      </w:r>
      <w:r w:rsidRPr="00505CF0">
        <w:rPr>
          <w:rFonts w:asciiTheme="majorBidi" w:hAnsiTheme="majorBidi" w:cstheme="majorBidi"/>
        </w:rPr>
        <w:fldChar w:fldCharType="end"/>
      </w:r>
    </w:p>
  </w:footnote>
  <w:footnote w:id="659">
    <w:p w14:paraId="3C999785" w14:textId="452B348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"Barth", "given" : "John", "non-dropping-particle" : "", "parse-names" : false, "suffix" : "" } ], "container-title" : "The Friday Book: Essays and Other Non-Fiction", "id" : "ITEM-1", "issued" : { "date-parts" : [ [ "1984" ] ] }, "page" : "62-76", "publisher" : "The John Hopkins University Press", "publisher-place" : "London", "title" : "The Literature of Exhaustion", "type" : "chapter" }, "locator" : "64", "uris" : [ "http://www.mendeley.com/documents/?uuid=478674e5-1920-43e0-86b0-94966d705973" ] } ], "mendeley" : { "formattedCitation" : "John Barth, \u2018The Literature of Exhaustion\u2019, in &lt;i&gt;The Friday Book: Essays and Other Non-Fiction&lt;/i&gt; (London: The John Hopkins University Press, 1984), pp. 62\u201376 (p. 64).", "plainTextFormattedCitation" : "John Barth, \u2018The Literature of Exhaustion\u2019, in The Friday Book: Essays and Other Non-Fiction (London: The John Hopkins University Press, 1984), pp. 62\u201376 (p. 64).", "previouslyFormattedCitation" : "John Barth, \u2018The Literature of Exhaustion\u2019, in &lt;i&gt;The Friday Book: Essays and Other Non-Fiction&lt;/i&gt; (London: The John Hopkins University Press, 1984), pp. 62\u201376 (p. 64)."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John Barth, ‘The Literature of Exhaustion’, in </w:t>
      </w:r>
      <w:r w:rsidRPr="00505CF0">
        <w:rPr>
          <w:rFonts w:asciiTheme="majorBidi" w:hAnsiTheme="majorBidi" w:cstheme="majorBidi"/>
          <w:i/>
          <w:noProof/>
        </w:rPr>
        <w:t>The Friday Book: Essays and Other Non-Fiction</w:t>
      </w:r>
      <w:r w:rsidRPr="00505CF0">
        <w:rPr>
          <w:rFonts w:asciiTheme="majorBidi" w:hAnsiTheme="majorBidi" w:cstheme="majorBidi"/>
          <w:noProof/>
        </w:rPr>
        <w:t xml:space="preserve"> (London: The John Hopkins University Press, 1984), pp. 62–76 (p. 64).</w:t>
      </w:r>
      <w:r w:rsidRPr="00505CF0">
        <w:rPr>
          <w:rFonts w:asciiTheme="majorBidi" w:hAnsiTheme="majorBidi" w:cstheme="majorBidi"/>
        </w:rPr>
        <w:fldChar w:fldCharType="end"/>
      </w:r>
    </w:p>
  </w:footnote>
  <w:footnote w:id="660">
    <w:p w14:paraId="6B569BE3" w14:textId="7D3635F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"Barth", "given" : "John", "non-dropping-particle" : "", "parse-names" : false, "suffix" : "" } ], "container-title" : "The Friday Book: Essays and Other Non-Fiction", "id" : "ITEM-1", "issued" : { "date-parts" : [ [ "1984" ] ] }, "page" : "62-76", "publisher" : "The John Hopkins University Press", "publisher-place" : "London", "title" : "The Literature of Exhaustion", "type" : "chapter" }, "locator" : "69", "uris" : [ "http://www.mendeley.com/documents/?uuid=478674e5-1920-43e0-86b0-94966d705973" ] } ], "mendeley" : { "formattedCitation" : "Barth, p. 69.", "plainTextFormattedCitation" : "Barth, p. 69.", "previouslyFormattedCitation" : "Barth, p. 69."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Barth, p. 69.</w:t>
      </w:r>
      <w:r w:rsidRPr="00505CF0">
        <w:rPr>
          <w:rFonts w:asciiTheme="majorBidi" w:hAnsiTheme="majorBidi" w:cstheme="majorBidi"/>
        </w:rPr>
        <w:fldChar w:fldCharType="end"/>
      </w:r>
    </w:p>
  </w:footnote>
  <w:footnote w:id="661">
    <w:p w14:paraId="74A733BF" w14:textId="0A281C0D"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"Barth", "given" : "John", "non-dropping-particle" : "", "parse-names" : false, "suffix" : "" } ], "container-title" : "The Friday Book: Essays and Other Non-Fiction", "id" : "ITEM-1", "issued" : { "date-parts" : [ [ "1984" ] ] }, "page" : "62-76", "publisher" : "The John Hopkins University Press", "publisher-place" : "London", "title" : "The Literature of Exhaustion", "type" : "chapter" }, "locator" : "70", "uris" : [ "http://www.mendeley.com/documents/?uuid=478674e5-1920-43e0-86b0-94966d705973" ] } ], "mendeley" : { "formattedCitation" : "Barth, p. 70.", "plainTextFormattedCitation" : "Barth, p. 70.", "previouslyFormattedCitation" : "Barth, p. 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Barth, p. 70.</w:t>
      </w:r>
      <w:r w:rsidRPr="00505CF0">
        <w:rPr>
          <w:rFonts w:asciiTheme="majorBidi" w:hAnsiTheme="majorBidi" w:cstheme="majorBidi"/>
        </w:rPr>
        <w:fldChar w:fldCharType="end"/>
      </w:r>
    </w:p>
  </w:footnote>
  <w:footnote w:id="662">
    <w:p w14:paraId="4D790FF6" w14:textId="0147C55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"Barth", "given" : "John", "non-dropping-particle" : "", "parse-names" : false, "suffix" : "" } ], "container-title" : "The Friday Book: Essays and Other Non-Fiction", "id" : "ITEM-1", "issued" : { "date-parts" : [ [ "1984" ] ] }, "page" : "62-76", "publisher" : "The John Hopkins University Press", "publisher-place" : "London", "title" : "The Literature of Exhaustion", "type" : "chapter" }, "locator" : "71", "uris" : [ "http://www.mendeley.com/documents/?uuid=478674e5-1920-43e0-86b0-94966d705973" ] } ], "mendeley" : { "formattedCitation" : "Barth, p. 71.", "plainTextFormattedCitation" : "Barth, p. 71.", "previouslyFormattedCitation" : "Barth, p. 71."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Barth, p. 71.</w:t>
      </w:r>
      <w:r w:rsidRPr="00505CF0">
        <w:rPr>
          <w:rFonts w:asciiTheme="majorBidi" w:hAnsiTheme="majorBidi" w:cstheme="majorBidi"/>
        </w:rPr>
        <w:fldChar w:fldCharType="end"/>
      </w:r>
    </w:p>
  </w:footnote>
  <w:footnote w:id="663">
    <w:p w14:paraId="386627A9" w14:textId="09BFB8B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"Barth", "given" : "John", "non-dropping-particle" : "", "parse-names" : false, "suffix" : "" } ], "container-title" : "The Friday Book: Essays and Other Non-Fiction", "id" : "ITEM-1", "issued" : { "date-parts" : [ [ "1984" ] ] }, "page" : "62-76", "publisher" : "The John Hopkins University Press", "publisher-place" : "London", "title" : "The Literature of Exhaustion", "type" : "chapter" }, "locator" : "72", "uris" : [ "http://www.mendeley.com/documents/?uuid=478674e5-1920-43e0-86b0-94966d705973" ] } ], "mendeley" : { "formattedCitation" : "Barth, p. 72.", "plainTextFormattedCitation" : "Barth, p. 72.", "previouslyFormattedCitation" : "Barth, p. 72."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Barth, p. 72.</w:t>
      </w:r>
      <w:r w:rsidRPr="00505CF0">
        <w:rPr>
          <w:rFonts w:asciiTheme="majorBidi" w:hAnsiTheme="majorBidi" w:cstheme="majorBidi"/>
        </w:rPr>
        <w:fldChar w:fldCharType="end"/>
      </w:r>
    </w:p>
  </w:footnote>
  <w:footnote w:id="664">
    <w:p w14:paraId="420C4953" w14:textId="513996C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"6", "uris" : [ "http://www.mendeley.com/documents/?uuid=ab7d176f-a3f7-46a7-9290-902958ea84e1" ] } ], "mendeley" : { "formattedCitation" : "Robert Scholes, &lt;i&gt;The Fabulators&lt;/i&gt; (New York: Oxford University Press, 1967), p. 6.", "plainTextFormattedCitation" : "Robert Scholes, The Fabulators (New York: Oxford University Press, 1967), p. 6.", "previouslyFormattedCitation" : "Robert Scholes, &lt;i&gt;The Fabulators&lt;/i&gt; (New York: Oxford University Press, 1967), p. 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Robert Scholes, </w:t>
      </w:r>
      <w:r w:rsidRPr="00505CF0">
        <w:rPr>
          <w:rFonts w:asciiTheme="majorBidi" w:hAnsiTheme="majorBidi" w:cstheme="majorBidi"/>
          <w:i/>
          <w:noProof/>
        </w:rPr>
        <w:t>The Fabulators</w:t>
      </w:r>
      <w:r w:rsidRPr="00505CF0">
        <w:rPr>
          <w:rFonts w:asciiTheme="majorBidi" w:hAnsiTheme="majorBidi" w:cstheme="majorBidi"/>
          <w:noProof/>
        </w:rPr>
        <w:t xml:space="preserve"> (New York: Oxford University Press, 1967), p. 6.</w:t>
      </w:r>
      <w:r w:rsidRPr="00505CF0">
        <w:rPr>
          <w:rFonts w:asciiTheme="majorBidi" w:hAnsiTheme="majorBidi" w:cstheme="majorBidi"/>
        </w:rPr>
        <w:fldChar w:fldCharType="end"/>
      </w:r>
    </w:p>
  </w:footnote>
  <w:footnote w:id="665">
    <w:p w14:paraId="6C65C134" w14:textId="6B91388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"12-13", "uris" : [ "http://www.mendeley.com/documents/?uuid=ab7d176f-a3f7-46a7-9290-902958ea84e1" ] } ], "mendeley" : { "formattedCitation" : "Scholes, &lt;i&gt;The Fabulators&lt;/i&gt;, pp. 12\u201313.", "plainTextFormattedCitation" : "Scholes, The Fabulators, pp. 12\u201313.", "previouslyFormattedCitation" : "Scholes, &lt;i&gt;The Fabulators&lt;/i&gt;, pp. 12\u201313."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pp. 12–13.</w:t>
      </w:r>
      <w:r w:rsidRPr="00505CF0">
        <w:rPr>
          <w:rFonts w:asciiTheme="majorBidi" w:hAnsiTheme="majorBidi" w:cstheme="majorBidi"/>
        </w:rPr>
        <w:fldChar w:fldCharType="end"/>
      </w:r>
    </w:p>
  </w:footnote>
  <w:footnote w:id="666">
    <w:p w14:paraId="16B1CFBE" w14:textId="0E1FAA9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"173", "uris" : [ "http://www.mendeley.com/documents/?uuid=ab7d176f-a3f7-46a7-9290-902958ea84e1" ] } ], "mendeley" : { "formattedCitation" : "Scholes, &lt;i&gt;The Fabulators&lt;/i&gt;, p. 173.", "plainTextFormattedCitation" : "Scholes, The Fabulators, p. 173.", "previouslyFormattedCitation" : "Scholes, &lt;i&gt;The Fabulators&lt;/i&gt;, p. 173."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 173.</w:t>
      </w:r>
      <w:r w:rsidRPr="00505CF0">
        <w:rPr>
          <w:rFonts w:asciiTheme="majorBidi" w:hAnsiTheme="majorBidi" w:cstheme="majorBidi"/>
        </w:rPr>
        <w:fldChar w:fldCharType="end"/>
      </w:r>
    </w:p>
  </w:footnote>
  <w:footnote w:id="667">
    <w:p w14:paraId="3E7B7C92" w14:textId="1C05EBB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"Gass", "given" : "William H.", "non-dropping-particle" : "", "parse-names" : false, "suffix" : "" } ], "container-title" : "Fiction and the Figures of Life", "id" : "ITEM-1", "issued" : { "date-parts" : [ [ "1970" ] ] }, "note" : "If the idea of truth is firmly defined and firmly held in line; if it is not, like proteus, permitted to change its shape at every questioning, the very great difference between the theoretical formulations of the phiospher and the concrete creations of the novelist must make itself felt, The concepts of the philopsher speak, the words of the novelist are mute; the philosopher invites us to pass through his worts to his subject: man, God, nature, moral law; while the novelist, if he is any food, will keep us kindly imrpiusoned in his language- there is literally nothing beyond. p.8\n\nwriers whose grasp of esthetic principles is feeble, or whose technique is poor and unrpacticed, or whose minds are shallow and perceptions dim, give us stories which are never objects for contempration, but arguments; the give us, at best, dramatizes philosophy, not philosophivally significant drama [...] p.10\n\nAn idea must first be thought before it can be tested, but a principle encased in fiction has, most likely, not veen thought of at all. it has been used. p.11\n\nbefore us is the empty page, the deep o'er which, like God, though modestly, we brood. But that white page, what is it? perhaps it is the ideally empty consciousness of the reader - a dry wineskin or a tabula rasa. And if, as authors, we think this way, then what we want is a passive mind and, as in love, an utterly receptive woman. Thus our attitudes, before the first act of creation, make a pholosophical difference. What shall we sail upon it first? p.12.-13\n\nthere are metatheorems in mathermatics and logic, ethics has its linguistic oversoul, everywhere lingos to converse about longos are being contrived, and the case is no different in the novel. I don't mean merely those drearily predictable pieces about writers who are writing about what they are writing, but those like some of the works of Borges, Barth, and Flann O'Brien, for example, in which the forms of fiction serve as the matrial upon which further forms can be imposed. Indeed, many of the so-called antionovels are really metafictions. p.24-5", "publisher" : "Knopf", "publisher-place" : "New York", "title" : "Philosophy and the Form of Fiction", "type" : "chapter" }, "locator" : "7", "uris" : [ "http://www.mendeley.com/documents/?uuid=61955639-b97f-4d12-becf-69a07af639c0" ] } ], "mendeley" : { "formattedCitation" : "William H. Gass, \u2018Philosophy and the Form of Fiction\u2019, in &lt;i&gt;Fiction and the Figures of Life&lt;/i&gt; (New York: Knopf, 1970), p. 7.", "plainTextFormattedCitation" : "William H. Gass, \u2018Philosophy and the Form of Fiction\u2019, in Fiction and the Figures of Life (New York: Knopf, 1970), p. 7.", "previouslyFormattedCitation" : "William H. Gass, \u2018Philosophy and the Form of Fiction\u2019, in &lt;i&gt;Fiction and the Figures of Life&lt;/i&gt; (New York: Knopf, 1970), p. 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William H. Gass, ‘Philosophy and the Form of Fiction’, in </w:t>
      </w:r>
      <w:r w:rsidRPr="00505CF0">
        <w:rPr>
          <w:rFonts w:asciiTheme="majorBidi" w:hAnsiTheme="majorBidi" w:cstheme="majorBidi"/>
          <w:i/>
          <w:noProof/>
        </w:rPr>
        <w:t>Fiction and the Figures of Life</w:t>
      </w:r>
      <w:r w:rsidRPr="00505CF0">
        <w:rPr>
          <w:rFonts w:asciiTheme="majorBidi" w:hAnsiTheme="majorBidi" w:cstheme="majorBidi"/>
          <w:noProof/>
        </w:rPr>
        <w:t xml:space="preserve"> (New York: Knopf, 1970), p. 7.</w:t>
      </w:r>
      <w:r w:rsidRPr="00505CF0">
        <w:rPr>
          <w:rFonts w:asciiTheme="majorBidi" w:hAnsiTheme="majorBidi" w:cstheme="majorBidi"/>
        </w:rPr>
        <w:fldChar w:fldCharType="end"/>
      </w:r>
    </w:p>
  </w:footnote>
  <w:footnote w:id="668">
    <w:p w14:paraId="2266D0FF" w14:textId="5A16B47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"Gass", "given" : "William H.", "non-dropping-particle" : "", "parse-names" : false, "suffix" : "" } ], "container-title" : "Fiction and the Figures of Life", "id" : "ITEM-1", "issued" : { "date-parts" : [ [ "1970" ] ] }, "note" : "If the idea of truth is firmly defined and firmly held in line; if it is not, like proteus, permitted to change its shape at every questioning, the very great difference between the theoretical formulations of the phiospher and the concrete creations of the novelist must make itself felt, The concepts of the philopsher speak, the words of the novelist are mute; the philosopher invites us to pass through his worts to his subject: man, God, nature, moral law; while the novelist, if he is any food, will keep us kindly imrpiusoned in his language- there is literally nothing beyond. p.8\n\nwriers whose grasp of esthetic principles is feeble, or whose technique is poor and unrpacticed, or whose minds are shallow and perceptions dim, give us stories which are never objects for contempration, but arguments; the give us, at best, dramatizes philosophy, not philosophivally significant drama [...] p.10\n\nAn idea must first be thought before it can be tested, but a principle encased in fiction has, most likely, not veen thought of at all. it has been used. p.11\n\nbefore us is the empty page, the deep o'er which, like God, though modestly, we brood. But that white page, what is it? perhaps it is the ideally empty consciousness of the reader - a dry wineskin or a tabula rasa. And if, as authors, we think this way, then what we want is a passive mind and, as in love, an utterly receptive woman. Thus our attitudes, before the first act of creation, make a pholosophical difference. What shall we sail upon it first? p.12.-13\n\nthere are metatheorems in mathermatics and logic, ethics has its linguistic oversoul, everywhere lingos to converse about longos are being contrived, and the case is no different in the novel. I don't mean merely those drearily predictable pieces about writers who are writing about what they are writing, but those like some of the works of Borges, Barth, and Flann O'Brien, for example, in which the forms of fiction serve as the matrial upon which further forms can be imposed. Indeed, many of the so-called antionovels are really metafictions. p.24-5", "publisher" : "Knopf", "publisher-place" : "New York", "title" : "Philosophy and the Form of Fiction", "type" : "chapter" }, "locator" : "24-5", "uris" : [ "http://www.mendeley.com/documents/?uuid=61955639-b97f-4d12-becf-69a07af639c0" ] } ], "mendeley" : { "formattedCitation" : "Gass, pp. 24\u20135.", "plainTextFormattedCitation" : "Gass, pp. 24\u20135.", "previouslyFormattedCitation" : "Gass, pp. 24\u20135."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Gass, pp. 24–5.</w:t>
      </w:r>
      <w:r w:rsidRPr="00505CF0">
        <w:rPr>
          <w:rFonts w:asciiTheme="majorBidi" w:hAnsiTheme="majorBidi" w:cstheme="majorBidi"/>
        </w:rPr>
        <w:fldChar w:fldCharType="end"/>
      </w:r>
    </w:p>
  </w:footnote>
  <w:footnote w:id="669">
    <w:p w14:paraId="5D6C85F3" w14:textId="4521D058"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"container-title" : "The Iowa Review", "id" : "ITEM-1", "issue" : "4", "issued" : { "date-parts" : [ [ "1970" ] ] }, "note" : "An essay attempting to give a brief overview of the aims of metafiction. Though a disjointed style of essay, with large quotation blocks and diagrams turning the text into a series of alien disjointed shapes on the page, for the most part it was helpful in my own attempt to describe metafiction. The essay also, importantly, contains small patches of vivid imagery which I have been told to remove from my own critical works, yet find here on the page. The personal voice which comes through is almost playful, at the very least aloof, for example: \u201cto approach this inner truth is difficult, because the path through human behaviour leads into ultimate falsehood\u201d and, at the very end \u201cMagic is real. The fairy tales are true[\u2026]Barth and Barthelme are the chroniclers of our despair; despair over the exhausted forms of our thought and our existence. No wonder they laugh so much.\u201d It has always been a battle between the critic and the writer within my own style when it comes to essay style, and to find this style here, after being drilled into abandoning such imagery in favour of space for the word count, it was interesting to attempt to replicate it, or semi-assimilate it.", "page" : "100-115", "title" : "Metafiction", "type" : "article-journal", "volume" : "1" }, "locator" : "115", "uris" : [ "http://www.mendeley.com/documents/?uuid=f30cdb95-d99b-4148-98b8-7371a429430d" ] } ], "mendeley" : { "formattedCitation" : "Robert Scholes, \u2018Metafiction\u2019, &lt;i&gt;The Iowa Review&lt;/i&gt;, 1 (1970), 100\u2013115 (p. 115).", "plainTextFormattedCitation" : "Robert Scholes, \u2018Metafiction\u2019, The Iowa Review, 1 (1970), 100\u2013115 (p. 115).", "previouslyFormattedCitation" : "Robert Scholes, \u2018Metafiction\u2019, &lt;i&gt;The Iowa Review&lt;/i&gt;, 1 (1970), 100\u2013115 (p. 115) &lt;http://ir.uiowa.edu/cgi/viewcontent.cgi?article=1135&amp;context=iowareview&gt;."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Robert Scholes, ‘Metafiction’, </w:t>
      </w:r>
      <w:r w:rsidRPr="0025171E">
        <w:rPr>
          <w:rFonts w:asciiTheme="majorBidi" w:hAnsiTheme="majorBidi" w:cstheme="majorBidi"/>
          <w:i/>
          <w:noProof/>
        </w:rPr>
        <w:t>The Iowa Review</w:t>
      </w:r>
      <w:r w:rsidRPr="0025171E">
        <w:rPr>
          <w:rFonts w:asciiTheme="majorBidi" w:hAnsiTheme="majorBidi" w:cstheme="majorBidi"/>
          <w:noProof/>
        </w:rPr>
        <w:t>, 1 (1970), 100–115 (p. 115).</w:t>
      </w:r>
      <w:r w:rsidRPr="00505CF0">
        <w:rPr>
          <w:rFonts w:asciiTheme="majorBidi" w:hAnsiTheme="majorBidi" w:cstheme="majorBidi"/>
        </w:rPr>
        <w:fldChar w:fldCharType="end"/>
      </w:r>
    </w:p>
  </w:footnote>
  <w:footnote w:id="670">
    <w:p w14:paraId="275BA7C6" w14:textId="74A360A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"Spark", "given" : "Muriel", "non-dropping-particle" : "", "parse-names" : false, "suffix" : "" } ], "id" : "ITEM-1", "issued" : { "date-parts" : [ [ "1974" ] ] }, "note" : "A present tense novel about fulfilling the role that the author has set down for their characters. Lise, the main character, roams around an unnamed city for an afternoon before finding the man she first scared on the plane, instructing him precisely how to kill her. Actively seeking her death in the present, as foretold by the future interjections of the authorial narrative, the story offers hints interspersed\u00a0 with seemingly unimportant actions, throwing the reader around between possible killers before revealing the true murderer. The story pushes the question of sexuality towards the reader, or rather asks them to interpret the main heroines search for a man in a romantic way, rather than searching\u00a0 for the man to end her\u00a0 life. As such, it points to the flaws in this kind of sexist narrative; women in literature only searching for a mate, for a man to solve their problems, as Lise initially seems, before the reader is lead to the inevitable conclusion of the story and the realisation that this man-search narrative can be easily moved from finding love to death, and in some ways this stereotype, forcing women into the search for romance, does forced them to search for their death as it suggests a full dependence on the man for a complete life. Lise rebels against this, stating that she does not want the man for sex, though she is eventually forced to endure this, briefly, wishsing merely for the quick death of her character and release from this story, from her trope as a helpless woman in need of a man to make it all better. The novel demonstrates the hidden within the banal, or rather how to write subtly, hiding messages from the reader that come together in one shocking, inevitable conclusion. The use of dialogue to show the incentive of each character is a useful lesson learned also; within many of the conversations characters do not react to the previous line of dialogue, rather following their own internal script as to what needs to be said, where they wish the conversation to go.", "publisher" : "Penguin Books", "publisher-place" : "St Ives", "title" : "The Driver's Seat", "type" : "book" }, "locator" : "50", "uris" : [ "http://www.mendeley.com/documents/?uuid=de5462e7-5355-462c-b2d0-848f0e26b38e" ] } ], "mendeley" : { "formattedCitation" : "Muriel Spark, &lt;i&gt;The Driver\u2019s Seat&lt;/i&gt; (St Ives: Penguin Books, 1974), p. 50.", "plainTextFormattedCitation" : "Muriel Spark, The Driver\u2019s Seat (St Ives: Penguin Books, 1974), p. 50.", "previouslyFormattedCitation" : "Muriel Spark, &lt;i&gt;The Driver\u2019s Seat&lt;/i&gt; (St Ives: Penguin Books, 1974), p. 50."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Muriel Spark, </w:t>
      </w:r>
      <w:r w:rsidRPr="00505CF0">
        <w:rPr>
          <w:rFonts w:asciiTheme="majorBidi" w:hAnsiTheme="majorBidi" w:cstheme="majorBidi"/>
          <w:i/>
          <w:noProof/>
        </w:rPr>
        <w:t>The Driver’s Seat</w:t>
      </w:r>
      <w:r w:rsidRPr="00505CF0">
        <w:rPr>
          <w:rFonts w:asciiTheme="majorBidi" w:hAnsiTheme="majorBidi" w:cstheme="majorBidi"/>
          <w:noProof/>
        </w:rPr>
        <w:t xml:space="preserve"> (St Ives: Penguin Books, 1974), p. 50.</w:t>
      </w:r>
      <w:r w:rsidRPr="00505CF0">
        <w:rPr>
          <w:rFonts w:asciiTheme="majorBidi" w:hAnsiTheme="majorBidi" w:cstheme="majorBidi"/>
        </w:rPr>
        <w:fldChar w:fldCharType="end"/>
      </w:r>
    </w:p>
  </w:footnote>
  <w:footnote w:id="671">
    <w:p w14:paraId="0240315F" w14:textId="53759EC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As evidenced from the following description: ‘a fully self-conscious novel, however, is one in which from beginning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"xi", "uris" : [ "http://www.mendeley.com/documents/?uuid=515114e2-6c90-3c62-b09f-f0aac09ea54e" ] } ], "mendeley" : { "formattedCitation" : "Robert Alter, &lt;i&gt;Partial Magic; The Novel as a Self-Conscious Genre&lt;/i&gt; (London: University of California Press, 1975), p. xi.", "plainTextFormattedCitation" : "Robert Alter, Partial Magic; The Novel as a Self-Conscious Genre (London: University of California Press, 1975), p. xi.", "previouslyFormattedCitation" : "Robert Alter, &lt;i&gt;Partial Magic; The Novel as a Self-Conscious Genre&lt;/i&gt; (London: University of California Press, 1975), p. xi."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Robert Alter, </w:t>
      </w:r>
      <w:r w:rsidRPr="00505CF0">
        <w:rPr>
          <w:rFonts w:asciiTheme="majorBidi" w:hAnsiTheme="majorBidi" w:cstheme="majorBidi"/>
          <w:i/>
          <w:noProof/>
        </w:rPr>
        <w:t>Partial Magic; The Novel as a Self-Conscious Genre</w:t>
      </w:r>
      <w:r w:rsidRPr="00505CF0">
        <w:rPr>
          <w:rFonts w:asciiTheme="majorBidi" w:hAnsiTheme="majorBidi" w:cstheme="majorBidi"/>
          <w:noProof/>
        </w:rPr>
        <w:t xml:space="preserve"> (London: University of California Press, 1975), p. xi.</w:t>
      </w:r>
      <w:r w:rsidRPr="00505CF0">
        <w:rPr>
          <w:rFonts w:asciiTheme="majorBidi" w:hAnsiTheme="majorBidi" w:cstheme="majorBidi"/>
        </w:rPr>
        <w:fldChar w:fldCharType="end"/>
      </w:r>
    </w:p>
  </w:footnote>
  <w:footnote w:id="672">
    <w:p w14:paraId="73B2C633" w14:textId="045F6AA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"30", "uris" : [ "http://www.mendeley.com/documents/?uuid=515114e2-6c90-3c62-b09f-f0aac09ea54e" ] } ], "mendeley" : { "formattedCitation" : "Alter, p. 30.", "plainTextFormattedCitation" : "Alter, p. 30.", "previouslyFormattedCitation" : "Alter, p. 30."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30.</w:t>
      </w:r>
      <w:r w:rsidRPr="00505CF0">
        <w:rPr>
          <w:rFonts w:asciiTheme="majorBidi" w:hAnsiTheme="majorBidi" w:cstheme="majorBidi"/>
        </w:rPr>
        <w:fldChar w:fldCharType="end"/>
      </w:r>
    </w:p>
  </w:footnote>
  <w:footnote w:id="673">
    <w:p w14:paraId="2C6A97AE" w14:textId="513CA5D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"81", "uris" : [ "http://www.mendeley.com/documents/?uuid=515114e2-6c90-3c62-b09f-f0aac09ea54e" ] } ], "mendeley" : { "formattedCitation" : "Alter, p. 81.", "plainTextFormattedCitation" : "Alter, p. 81.", "previouslyFormattedCitation" : "Alter, p. 81."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81.</w:t>
      </w:r>
      <w:r w:rsidRPr="00505CF0">
        <w:rPr>
          <w:rFonts w:asciiTheme="majorBidi" w:hAnsiTheme="majorBidi" w:cstheme="majorBidi"/>
        </w:rPr>
        <w:fldChar w:fldCharType="end"/>
      </w:r>
    </w:p>
  </w:footnote>
  <w:footnote w:id="674">
    <w:p w14:paraId="1049B013" w14:textId="0865498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"220", "uris" : [ "http://www.mendeley.com/documents/?uuid=515114e2-6c90-3c62-b09f-f0aac09ea54e" ] } ], "mendeley" : { "formattedCitation" : "Alter, p. 220.", "plainTextFormattedCitation" : "Alter, p. 220.", "previouslyFormattedCitation" : "Alter, p. 220."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220.</w:t>
      </w:r>
      <w:r w:rsidRPr="00505CF0">
        <w:rPr>
          <w:rFonts w:asciiTheme="majorBidi" w:hAnsiTheme="majorBidi" w:cstheme="majorBidi"/>
        </w:rPr>
        <w:fldChar w:fldCharType="end"/>
      </w:r>
    </w:p>
  </w:footnote>
  <w:footnote w:id="675">
    <w:p w14:paraId="75F495C7" w14:textId="33427D54"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"McCaffery", "given" : "Larry", "non-dropping-particle" : "", "parse-names" : false, "suffix" : "" } ], "chapter-number" : "10", "container-title" : "Metafiction", "editor" : [ { "dropping-particle" : "", "family" : "Currie", "given" : "Mark", "non-dropping-particle" : "", "parse-names" : false, "suffix" : "" } ], "id" : "ITEM-1", "issued" : { "date-parts" : [ [ "1995" ] ] }, "page" : "181-194", "publisher" : "Longman Publishing Group", "publisher-place" : "New York", "title" : "The Art of Metafiction", "type" : "chapter" }, "locator" : "182", "uris" : [ "http://www.mendeley.com/documents/?uuid=1bfb2da9-d435-44fe-ad93-c5675986fd6b" ] } ], "mendeley" : { "formattedCitation" : "Larry McCaffery, \u2018The Art of Metafiction\u2019, in &lt;i&gt;Metafiction&lt;/i&gt;, ed. by Mark Currie (New York: Longman Publishing Group, 1995), pp. 181\u2013194 (p. 182).", "plainTextFormattedCitation" : "Larry McCaffery, \u2018The Art of Metafiction\u2019, in Metafiction, ed. by Mark Currie (New York: Longman Publishing Group, 1995), pp. 181\u2013194 (p. 182).", "previouslyFormattedCitation" : "Larry McCaffery, \u2018The Art of Metafiction\u2019, in &lt;i&gt;Metafiction&lt;/i&gt;, ed. by Mark Currie (New York: Longman Publishing Group, 1995), pp. 181\u2013194 (p. 182)."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Larry McCaffery, ‘The Art of Metafiction’, in </w:t>
      </w:r>
      <w:r w:rsidRPr="0025171E">
        <w:rPr>
          <w:rFonts w:asciiTheme="majorBidi" w:hAnsiTheme="majorBidi" w:cstheme="majorBidi"/>
          <w:i/>
          <w:noProof/>
        </w:rPr>
        <w:t>Metafiction</w:t>
      </w:r>
      <w:r w:rsidRPr="0025171E">
        <w:rPr>
          <w:rFonts w:asciiTheme="majorBidi" w:hAnsiTheme="majorBidi" w:cstheme="majorBidi"/>
          <w:noProof/>
        </w:rPr>
        <w:t>, ed. by Mark Currie (New York: Longman Publishing Group, 1995), pp. 181–194 (p. 182).</w:t>
      </w:r>
      <w:r w:rsidRPr="00505CF0">
        <w:rPr>
          <w:rFonts w:asciiTheme="majorBidi" w:hAnsiTheme="majorBidi" w:cstheme="majorBidi"/>
        </w:rPr>
        <w:fldChar w:fldCharType="end"/>
      </w:r>
    </w:p>
  </w:footnote>
  <w:footnote w:id="676">
    <w:p w14:paraId="4322DB12" w14:textId="0F8B3BA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"xii", "uris" : [ "http://www.mendeley.com/documents/?uuid=644ccc1d-bc87-4c39-b99b-12d03e60f09b" ] } ], "mendeley" : { "formattedCitation" : "Linda Hutcheon, &lt;i&gt;Narcissistic Narrative: The Metafictional Paradox&lt;/i&gt; (London: Meuthen &amp; Co. Ltd, 1980), p. xii.", "plainTextFormattedCitation" : "Linda Hutcheon, Narcissistic Narrative: The Metafictional Paradox (London: Meuthen &amp; Co. Ltd, 1980), p. xii.", "previouslyFormattedCitation" : "Linda Hutcheon, &lt;i&gt;Narcissistic Narrative: The Metafictional Paradox&lt;/i&gt; (London: Meuthen &amp; Co. Ltd, 1980), p. xii."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Linda Hutcheon, </w:t>
      </w:r>
      <w:r w:rsidRPr="00505CF0">
        <w:rPr>
          <w:rFonts w:asciiTheme="majorBidi" w:hAnsiTheme="majorBidi" w:cstheme="majorBidi"/>
          <w:i/>
          <w:noProof/>
        </w:rPr>
        <w:t>Narcissistic Narrative: The Metafictional Paradox</w:t>
      </w:r>
      <w:r w:rsidRPr="00505CF0">
        <w:rPr>
          <w:rFonts w:asciiTheme="majorBidi" w:hAnsiTheme="majorBidi" w:cstheme="majorBidi"/>
          <w:noProof/>
        </w:rPr>
        <w:t xml:space="preserve"> (London: Meuthen &amp; Co. Ltd, 1980), p. xii.</w:t>
      </w:r>
      <w:r w:rsidRPr="00505CF0">
        <w:rPr>
          <w:rFonts w:asciiTheme="majorBidi" w:hAnsiTheme="majorBidi" w:cstheme="majorBidi"/>
        </w:rPr>
        <w:fldChar w:fldCharType="end"/>
      </w:r>
    </w:p>
  </w:footnote>
  <w:footnote w:id="677">
    <w:p w14:paraId="2B3B0B0C" w14:textId="023F6E3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"xiii", "uris" : [ "http://www.mendeley.com/documents/?uuid=644ccc1d-bc87-4c39-b99b-12d03e60f09b" ] } ], "mendeley" : { "formattedCitation" : "Hutcheon, &lt;i&gt;Narcissistic Narrative&lt;/i&gt;, p. xiii.", "plainTextFormattedCitation" : "Hutcheon, Narcissistic Narrative, p. xiii.", "previouslyFormattedCitation" : "Hutcheon, &lt;i&gt;Narcissistic Narrative&lt;/i&gt;, p. xiii."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xiii.</w:t>
      </w:r>
      <w:r w:rsidRPr="00505CF0">
        <w:rPr>
          <w:rFonts w:asciiTheme="majorBidi" w:hAnsiTheme="majorBidi" w:cstheme="majorBidi"/>
        </w:rPr>
        <w:fldChar w:fldCharType="end"/>
      </w:r>
    </w:p>
  </w:footnote>
  <w:footnote w:id="678">
    <w:p w14:paraId="1323861B" w14:textId="4EA8B48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"155", "uris" : [ "http://www.mendeley.com/documents/?uuid=644ccc1d-bc87-4c39-b99b-12d03e60f09b" ] } ], "mendeley" : { "formattedCitation" : "Hutcheon, &lt;i&gt;Narcissistic Narrative&lt;/i&gt;, p. 155.", "plainTextFormattedCitation" : "Hutcheon, Narcissistic Narrative, p. 155.", "previouslyFormattedCitation" : "Hutcheon, &lt;i&gt;Narcissistic Narrative&lt;/i&gt;, p. 155."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155.</w:t>
      </w:r>
      <w:r w:rsidRPr="00505CF0">
        <w:rPr>
          <w:rFonts w:asciiTheme="majorBidi" w:hAnsiTheme="majorBidi" w:cstheme="majorBidi"/>
        </w:rPr>
        <w:fldChar w:fldCharType="end"/>
      </w:r>
    </w:p>
  </w:footnote>
  <w:footnote w:id="679">
    <w:p w14:paraId="54DC7CDE" w14:textId="7588E94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"149", "uris" : [ "http://www.mendeley.com/documents/?uuid=644ccc1d-bc87-4c39-b99b-12d03e60f09b" ] } ], "mendeley" : { "formattedCitation" : "Hutcheon, &lt;i&gt;Narcissistic Narrative&lt;/i&gt;, p. 149.", "plainTextFormattedCitation" : "Hutcheon, Narcissistic Narrative, p. 149.", "previouslyFormattedCitation" : "Hutcheon, &lt;i&gt;Narcissistic Narrative&lt;/i&gt;, p. 149."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149.</w:t>
      </w:r>
      <w:r w:rsidRPr="00505CF0">
        <w:rPr>
          <w:rFonts w:asciiTheme="majorBidi" w:hAnsiTheme="majorBidi" w:cstheme="majorBidi"/>
        </w:rPr>
        <w:fldChar w:fldCharType="end"/>
      </w:r>
    </w:p>
  </w:footnote>
  <w:footnote w:id="680">
    <w:p w14:paraId="29AF404B" w14:textId="28F6B86B"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"137", "uris" : [ "http://www.mendeley.com/documents/?uuid=644ccc1d-bc87-4c39-b99b-12d03e60f09b" ] } ], "mendeley" : { "formattedCitation" : "Hutcheon, &lt;i&gt;Narcissistic Narrative&lt;/i&gt;, p. 137.", "plainTextFormattedCitation" : "Hutcheon, Narcissistic Narrative, p. 137.", "previouslyFormattedCitation" : "Hutcheon, &lt;i&gt;Narcissistic Narrative&lt;/i&gt;, p. 137."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137.</w:t>
      </w:r>
      <w:r w:rsidRPr="00505CF0">
        <w:rPr>
          <w:rFonts w:asciiTheme="majorBidi" w:hAnsiTheme="majorBidi" w:cstheme="majorBidi"/>
        </w:rPr>
        <w:fldChar w:fldCharType="end"/>
      </w:r>
    </w:p>
  </w:footnote>
  <w:footnote w:id="681">
    <w:p w14:paraId="43424973" w14:textId="120ED84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"70", "uris" : [ "http://www.mendeley.com/documents/?uuid=644ccc1d-bc87-4c39-b99b-12d03e60f09b" ] } ], "mendeley" : { "formattedCitation" : "Hutcheon, &lt;i&gt;Narcissistic Narrative&lt;/i&gt;, p. 70.", "plainTextFormattedCitation" : "Hutcheon, Narcissistic Narrative, p. 70.", "previouslyFormattedCitation" : "Hutcheon, &lt;i&gt;Narcissistic Narrative&lt;/i&gt;, p. 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70.</w:t>
      </w:r>
      <w:r w:rsidRPr="00505CF0">
        <w:rPr>
          <w:rFonts w:asciiTheme="majorBidi" w:hAnsiTheme="majorBidi" w:cstheme="majorBidi"/>
        </w:rPr>
        <w:fldChar w:fldCharType="end"/>
      </w:r>
    </w:p>
  </w:footnote>
  <w:footnote w:id="682">
    <w:p w14:paraId="61089033" w14:textId="6955696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"39", "uris" : [ "http://www.mendeley.com/documents/?uuid=644ccc1d-bc87-4c39-b99b-12d03e60f09b" ] } ], "mendeley" : { "formattedCitation" : "Hutcheon, &lt;i&gt;Narcissistic Narrative&lt;/i&gt;, p. 39.", "plainTextFormattedCitation" : "Hutcheon, Narcissistic Narrative, p. 39.", "previouslyFormattedCitation" : "Hutcheon, &lt;i&gt;Narcissistic Narrative&lt;/i&gt;, p. 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39.</w:t>
      </w:r>
      <w:r w:rsidRPr="00505CF0">
        <w:rPr>
          <w:rFonts w:asciiTheme="majorBidi" w:hAnsiTheme="majorBidi" w:cstheme="majorBidi"/>
        </w:rPr>
        <w:fldChar w:fldCharType="end"/>
      </w:r>
    </w:p>
  </w:footnote>
  <w:footnote w:id="683">
    <w:p w14:paraId="2090E30C" w14:textId="7BC6DAE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"14", "uris" : [ "http://www.mendeley.com/documents/?uuid=eae08ef5-f988-4315-ab15-b3f1da5496d8" ] } ], "mendeley" : { "formattedCitation" : "Waugh, p. 14.", "plainTextFormattedCitation" : "Waugh, p. 14.", "previouslyFormattedCitation" : "Waugh, p. 14."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14.</w:t>
      </w:r>
      <w:r w:rsidRPr="00505CF0">
        <w:rPr>
          <w:rFonts w:asciiTheme="majorBidi" w:hAnsiTheme="majorBidi" w:cstheme="majorBidi"/>
        </w:rPr>
        <w:fldChar w:fldCharType="end"/>
      </w:r>
    </w:p>
  </w:footnote>
  <w:footnote w:id="684">
    <w:p w14:paraId="71631A20" w14:textId="2888202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"11", "uris" : [ "http://www.mendeley.com/documents/?uuid=eae08ef5-f988-4315-ab15-b3f1da5496d8" ] } ], "mendeley" : { "formattedCitation" : "Waugh, p. 11.", "plainTextFormattedCitation" : "Waugh, p. 11.", "previouslyFormattedCitation" : "Waugh, p. 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11.</w:t>
      </w:r>
      <w:r w:rsidRPr="00505CF0">
        <w:rPr>
          <w:rFonts w:asciiTheme="majorBidi" w:hAnsiTheme="majorBidi" w:cstheme="majorBidi"/>
        </w:rPr>
        <w:fldChar w:fldCharType="end"/>
      </w:r>
    </w:p>
  </w:footnote>
  <w:footnote w:id="685">
    <w:p w14:paraId="01EE2481" w14:textId="2EC3BE4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"131", "uris" : [ "http://www.mendeley.com/documents/?uuid=eae08ef5-f988-4315-ab15-b3f1da5496d8" ] } ], "mendeley" : { "formattedCitation" : "Waugh, p. 131.", "plainTextFormattedCitation" : "Waugh, p. 131.", "previouslyFormattedCitation" : "Waugh, p. 131."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131.</w:t>
      </w:r>
      <w:r w:rsidRPr="00505CF0">
        <w:rPr>
          <w:rFonts w:asciiTheme="majorBidi" w:hAnsiTheme="majorBidi" w:cstheme="majorBidi"/>
        </w:rPr>
        <w:fldChar w:fldCharType="end"/>
      </w:r>
    </w:p>
  </w:footnote>
  <w:footnote w:id="686">
    <w:p w14:paraId="0B6C4FA9" w14:textId="43671690" w:rsidR="00054009" w:rsidRDefault="00054009">
      <w:pPr>
        <w:pStyle w:val="FootnoteText"/>
      </w:pPr>
      <w:r>
        <w:rPr>
          <w:rStyle w:val="FootnoteReference"/>
        </w:rPr>
        <w:footnoteRef/>
      </w:r>
      <w:r>
        <w:t xml:space="preserve"> </w:t>
      </w:r>
      <w:r w:rsidRPr="00123DCB">
        <w:rPr>
          <w:i/>
          <w:iCs/>
        </w:rPr>
        <w:t>ACO: There was a stowaway upon the Meghan, a survivor of Vermeulen’s crew’s culling, who now emerged before Vermeulen (whose hair had, he reports, turned white). Akker, or so he called himself, the stowaway</w:t>
      </w:r>
      <w:r>
        <w:rPr>
          <w:i/>
          <w:iCs/>
        </w:rPr>
        <w:t>,</w:t>
      </w:r>
      <w:r w:rsidRPr="00123DCB">
        <w:rPr>
          <w:i/>
          <w:iCs/>
        </w:rPr>
        <w:t xml:space="preserve"> began to gibber and paw at his erstwhile saviour, claiming that rancid Xcln’Kcfrolphtulh will wake again soon and choose his champion. They had, fools, awoken him too early, and now Xcln’Kcfrolphtulh could break free from the prison of D’Rearj and terrorise us once more through his champion, he of the blood. Vermeulen reports in this same calm tone as he then describes murdering the man. Vermeulen’s manuscript ends with his murder of Akker, and without any remorse for the calamity he brought to the world. They knock, but now I know why. Now I know why. I know. I know. Southward’s own notes say the same – ‘They know, I know, they are coming!’</w:t>
      </w:r>
    </w:p>
  </w:footnote>
  <w:footnote w:id="687">
    <w:p w14:paraId="27FB2B7A" w14:textId="678EA52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"Fowler", "given" : "Alastair", "non-dropping-particle" : "", "parse-names" : false, "suffix" : "" } ], "id" : "ITEM-1", "issued" : { "date-parts" : [ [ "1987" ] ] }, "note" : "\u2018In this genre (Poioumenon) the central strand of the action purports to be the work\u2019s own composition, although it is really \u2018about\u2019 something else [\u2026] often the writing is a metaphor for constructing a world. [\u2026] the poioumenon is calculated to offer opportunities to explore the boundaries of fiction and reality \u2013 the limits of narrative truth.\u2019 p.370\n\n[The Gothic Novel] was psychologically orientated, and somtimes treated emotions quite minutely - or, at least, a particular range of them. The Gothic novel was a tale of terrors- especially the fear that rational individuality would be overwhelmed, whether by rape or death or the supernatural. p.273", "publisher" : "Basil Blackwell", "publisher-place" : "Oxford", "title" : "A History of English Literature", "type" : "book" }, "locator" : "370", "uris" : [ "http://www.mendeley.com/documents/?uuid=787c7522-6374-469b-899e-d5136aae91cd" ] } ], "mendeley" : { "formattedCitation" : "Alastair Fowler, &lt;i&gt;A History of English Literature&lt;/i&gt; (Oxford: Basil Blackwell, 1987), p. 370.", "plainTextFormattedCitation" : "Alastair Fowler, A History of English Literature (Oxford: Basil Blackwell, 1987), p. 370.", "previouslyFormattedCitation" : "Alastair Fowler, &lt;i&gt;A History of English Literature&lt;/i&gt; (Oxford: Basil Blackwell, 1987), p. 370."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Alastair Fowler, </w:t>
      </w:r>
      <w:r w:rsidRPr="00505CF0">
        <w:rPr>
          <w:rFonts w:asciiTheme="majorBidi" w:hAnsiTheme="majorBidi" w:cstheme="majorBidi"/>
          <w:i/>
          <w:noProof/>
        </w:rPr>
        <w:t>A History of English Literature</w:t>
      </w:r>
      <w:r w:rsidRPr="00505CF0">
        <w:rPr>
          <w:rFonts w:asciiTheme="majorBidi" w:hAnsiTheme="majorBidi" w:cstheme="majorBidi"/>
          <w:noProof/>
        </w:rPr>
        <w:t xml:space="preserve"> (Oxford: Basil Blackwell, 1987), p. 370.</w:t>
      </w:r>
      <w:r w:rsidRPr="00505CF0">
        <w:rPr>
          <w:rFonts w:asciiTheme="majorBidi" w:hAnsiTheme="majorBidi" w:cstheme="majorBidi"/>
        </w:rPr>
        <w:fldChar w:fldCharType="end"/>
      </w:r>
    </w:p>
  </w:footnote>
  <w:footnote w:id="688">
    <w:p w14:paraId="69BFAD27" w14:textId="545C7AC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"Fowler", "given" : "Alastair", "non-dropping-particle" : "", "parse-names" : false, "suffix" : "" } ], "id" : "ITEM-1", "issued" : { "date-parts" : [ [ "1987" ] ] }, "note" : "\u2018In this genre (Poioumenon) the central strand of the action purports to be the work\u2019s own composition, although it is really \u2018about\u2019 something else [\u2026] often the writing is a metaphor for constructing a world. [\u2026] the poioumenon is calculated to offer opportunities to explore the boundaries of fiction and reality \u2013 the limits of narrative truth.\u2019 p.370\n\n[The Gothic Novel] was psychologically orientated, and somtimes treated emotions quite minutely - or, at least, a particular range of them. The Gothic novel was a tale of terrors- especially the fear that rational individuality would be overwhelmed, whether by rape or death or the supernatural. p.273", "publisher" : "Basil Blackwell", "publisher-place" : "Oxford", "title" : "A History of English Literature", "type" : "book" }, "locator" : "370", "uris" : [ "http://www.mendeley.com/documents/?uuid=787c7522-6374-469b-899e-d5136aae91cd" ] } ], "mendeley" : { "formattedCitation" : "Fowler, p. 370.", "plainTextFormattedCitation" : "Fowler, p. 370.", "previouslyFormattedCitation" : "Fowler, p. 370."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Fowler, p. 370.</w:t>
      </w:r>
      <w:r w:rsidRPr="00505CF0">
        <w:rPr>
          <w:rFonts w:asciiTheme="majorBidi" w:hAnsiTheme="majorBidi" w:cstheme="majorBidi"/>
        </w:rPr>
        <w:fldChar w:fldCharType="end"/>
      </w:r>
    </w:p>
  </w:footnote>
  <w:footnote w:id="689">
    <w:p w14:paraId="7962AD19" w14:textId="6DE5BC6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"Fowler", "given" : "Alastair", "non-dropping-particle" : "", "parse-names" : false, "suffix" : "" } ], "id" : "ITEM-1", "issued" : { "date-parts" : [ [ "1987" ] ] }, "note" : "\u2018In this genre (Poioumenon) the central strand of the action purports to be the work\u2019s own composition, although it is really \u2018about\u2019 something else [\u2026] often the writing is a metaphor for constructing a world. [\u2026] the poioumenon is calculated to offer opportunities to explore the boundaries of fiction and reality \u2013 the limits of narrative truth.\u2019 p.370\n\n[The Gothic Novel] was psychologically orientated, and somtimes treated emotions quite minutely - or, at least, a particular range of them. The Gothic novel was a tale of terrors- especially the fear that rational individuality would be overwhelmed, whether by rape or death or the supernatural. p.273", "publisher" : "Basil Blackwell", "publisher-place" : "Oxford", "title" : "A History of English Literature", "type" : "book" }, "locator" : "370", "uris" : [ "http://www.mendeley.com/documents/?uuid=787c7522-6374-469b-899e-d5136aae91cd" ] } ], "mendeley" : { "formattedCitation" : "Fowler, p. 370.", "plainTextFormattedCitation" : "Fowler, p. 370.", "previouslyFormattedCitation" : "Fowler, p. 370."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Fowler, p. 370.</w:t>
      </w:r>
      <w:r w:rsidRPr="00505CF0">
        <w:rPr>
          <w:rFonts w:asciiTheme="majorBidi" w:hAnsiTheme="majorBidi" w:cstheme="majorBidi"/>
        </w:rPr>
        <w:fldChar w:fldCharType="end"/>
      </w:r>
    </w:p>
  </w:footnote>
  <w:footnote w:id="690">
    <w:p w14:paraId="5997828E" w14:textId="4934D229"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"71", "uris" : [ "http://www.mendeley.com/documents/?uuid=a8705ee1-9026-451b-ba5f-4e8bbc1b26ad" ] } ], "mendeley" : { "formattedCitation" : "Currie, p. 71.", "plainTextFormattedCitation" : "Currie, p. 71.", "previouslyFormattedCitation" : "Currie, p. 71."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71.</w:t>
      </w:r>
      <w:r w:rsidRPr="00505CF0">
        <w:rPr>
          <w:rFonts w:asciiTheme="majorBidi" w:hAnsiTheme="majorBidi" w:cstheme="majorBidi"/>
        </w:rPr>
        <w:fldChar w:fldCharType="end"/>
      </w:r>
    </w:p>
  </w:footnote>
  <w:footnote w:id="691">
    <w:p w14:paraId="24785FC6" w14:textId="004B03C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"15", "uris" : [ "http://www.mendeley.com/documents/?uuid=a8705ee1-9026-451b-ba5f-4e8bbc1b26ad" ] } ], "mendeley" : { "formattedCitation" : "Currie, p. 15.", "plainTextFormattedCitation" : "Currie, p. 15.", "previouslyFormattedCitation" : "Currie, p. 15."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15.</w:t>
      </w:r>
      <w:r w:rsidRPr="00505CF0">
        <w:rPr>
          <w:rFonts w:asciiTheme="majorBidi" w:hAnsiTheme="majorBidi" w:cstheme="majorBidi"/>
        </w:rPr>
        <w:fldChar w:fldCharType="end"/>
      </w:r>
    </w:p>
  </w:footnote>
  <w:footnote w:id="692">
    <w:p w14:paraId="38FEEEC5" w14:textId="7F884579" w:rsidR="00054009" w:rsidRPr="00505CF0" w:rsidRDefault="00054009" w:rsidP="00C111D3">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xml:space="preserve">: Clever word play here from Southward, or ignorant providence? A simple syntactic play – does he refer to the postmodern elements fading from the metafictional form or the metafictional mode itself beginning to fall away to ignominy, as it is historically is known to have done before the Southwardian era. </w:t>
      </w:r>
    </w:p>
  </w:footnote>
  <w:footnote w:id="693">
    <w:p w14:paraId="271ACC1E" w14:textId="1104AF2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See Southward vs Sublimity, or even (if possible to find somewhere) a copy of the ancient ‘Defeat is Good for Art’ for Southward’s argument that such a text is metamodern</w:t>
      </w:r>
      <w:r w:rsidRPr="00505CF0">
        <w:rPr>
          <w:rFonts w:asciiTheme="majorBidi" w:hAnsiTheme="majorBidi" w:cstheme="majorBidi"/>
        </w:rPr>
        <w:t>.</w:t>
      </w:r>
    </w:p>
  </w:footnote>
  <w:footnote w:id="694">
    <w:p w14:paraId="4A15587D" w14:textId="5B02615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"Danielewski", "given" : "Mark Z.", "non-dropping-particle" : "", "parse-names" : false, "suffix" : "" } ], "id" : "ITEM-1", "issued" : { "date-parts" : [ [ "2014" ] ] }, "publisher" : "Cargo Publishing", "publisher-place" : "Glasgow", "title" : "The Fifty Year Sword", "title-short" : "T50YS", "type" : "book" }, "locator" : "12", "uris" : [ "http://www.mendeley.com/documents/?uuid=a12297c0-fda7-43e2-9177-c5c5d60c60a0" ] } ], "mendeley" : { "formattedCitation" : "Mark Z. Danielewski, &lt;i&gt;The Fifty Year Sword&lt;/i&gt; (Glasgow: Cargo Publishing, 2014), p. 12.", "plainTextFormattedCitation" : "Mark Z. Danielewski, The Fifty Year Sword (Glasgow: Cargo Publishing, 2014), p. 12.", "previouslyFormattedCitation" : "Mark Z. Danielewski, &lt;i&gt;The Fifty Year Sword&lt;/i&gt; (Glasgow: Cargo Publishing, 2014), p. 12."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Mark Z. Danielewski, </w:t>
      </w:r>
      <w:r w:rsidRPr="00505CF0">
        <w:rPr>
          <w:rFonts w:asciiTheme="majorBidi" w:hAnsiTheme="majorBidi" w:cstheme="majorBidi"/>
          <w:i/>
          <w:noProof/>
        </w:rPr>
        <w:t>The Fifty Year Sword</w:t>
      </w:r>
      <w:r w:rsidRPr="00505CF0">
        <w:rPr>
          <w:rFonts w:asciiTheme="majorBidi" w:hAnsiTheme="majorBidi" w:cstheme="majorBidi"/>
          <w:noProof/>
        </w:rPr>
        <w:t xml:space="preserve"> (Glasgow: Cargo Publishing, 2014), p. 12.</w:t>
      </w:r>
      <w:r w:rsidRPr="00505CF0">
        <w:rPr>
          <w:rFonts w:asciiTheme="majorBidi" w:hAnsiTheme="majorBidi" w:cstheme="majorBidi"/>
        </w:rPr>
        <w:fldChar w:fldCharType="end"/>
      </w:r>
    </w:p>
  </w:footnote>
  <w:footnote w:id="695">
    <w:p w14:paraId="2FF09917" w14:textId="51C9B19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"Coupland", "given" : "Douglas", "non-dropping-particle" : "", "parse-names" : false, "suffix" : "" } ], "id" : "ITEM-1", "issued" : { "date-parts" : [ [ "2006" ] ] }, "publisher" : "Bloomsbury Publishing", "publisher-place" : "St Ives", "title" : "Jpod", "type" : "book" }, "locator" : "446", "uris" : [ "http://www.mendeley.com/documents/?uuid=a0140417-2ff2-4b98-b0bb-f21d984b441a" ] } ], "mendeley" : { "formattedCitation" : "Douglas Coupland, &lt;i&gt;Jpod&lt;/i&gt; (St Ives: Bloomsbury Publishing, 2006), p. 446.", "plainTextFormattedCitation" : "Douglas Coupland, Jpod (St Ives: Bloomsbury Publishing, 2006), p. 446.", "previouslyFormattedCitation" : "Douglas Coupland, &lt;i&gt;Jpod&lt;/i&gt; (St Ives: Bloomsbury Publishing, 2006), p. 446."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Douglas Coupland, </w:t>
      </w:r>
      <w:r w:rsidRPr="00505CF0">
        <w:rPr>
          <w:rFonts w:asciiTheme="majorBidi" w:hAnsiTheme="majorBidi" w:cstheme="majorBidi"/>
          <w:i/>
          <w:noProof/>
        </w:rPr>
        <w:t>Jpod</w:t>
      </w:r>
      <w:r w:rsidRPr="00505CF0">
        <w:rPr>
          <w:rFonts w:asciiTheme="majorBidi" w:hAnsiTheme="majorBidi" w:cstheme="majorBidi"/>
          <w:noProof/>
        </w:rPr>
        <w:t xml:space="preserve"> (St Ives: Bloomsbury Publishing, 2006), p. 446.</w:t>
      </w:r>
      <w:r w:rsidRPr="00505CF0">
        <w:rPr>
          <w:rFonts w:asciiTheme="majorBidi" w:hAnsiTheme="majorBidi" w:cstheme="majorBidi"/>
        </w:rPr>
        <w:fldChar w:fldCharType="end"/>
      </w:r>
    </w:p>
  </w:footnote>
  <w:footnote w:id="696">
    <w:p w14:paraId="3E0179A1" w14:textId="50162EAA" w:rsidR="00054009" w:rsidRDefault="00054009">
      <w:pPr>
        <w:pStyle w:val="FootnoteText"/>
      </w:pPr>
      <w:r>
        <w:rPr>
          <w:rStyle w:val="FootnoteReference"/>
        </w:rPr>
        <w:footnoteRef/>
      </w:r>
      <w:r>
        <w:t xml:space="preserve"> </w:t>
      </w:r>
      <w:r w:rsidRPr="00123DCB">
        <w:rPr>
          <w:i/>
          <w:iCs/>
        </w:rPr>
        <w:t xml:space="preserve">ACO: I know. I know. I know because there is one more document in Southward’s cache. Oh, great-uncle Eyestan, how could you? I know now why </w:t>
      </w:r>
      <w:proofErr w:type="gramStart"/>
      <w:r w:rsidRPr="00123DCB">
        <w:rPr>
          <w:i/>
          <w:iCs/>
        </w:rPr>
        <w:t>you  took</w:t>
      </w:r>
      <w:proofErr w:type="gramEnd"/>
      <w:r w:rsidRPr="00123DCB">
        <w:rPr>
          <w:i/>
          <w:iCs/>
        </w:rPr>
        <w:t xml:space="preserve"> your life and I will surely do the same too. Surely… surely, though the other is telling me not to, begging me and I struggle to resist. The final document is the mad-scrawlings of a clearly deranged Southward </w:t>
      </w:r>
      <w:proofErr w:type="gramStart"/>
      <w:r w:rsidRPr="00123DCB">
        <w:rPr>
          <w:i/>
          <w:iCs/>
        </w:rPr>
        <w:t>-  a</w:t>
      </w:r>
      <w:proofErr w:type="gramEnd"/>
      <w:r w:rsidRPr="00123DCB">
        <w:rPr>
          <w:i/>
          <w:iCs/>
        </w:rPr>
        <w:t xml:space="preserve"> family tree. Halfway up this tree, a series of question marks – Southward’s great, great, great- grandmother, is ringed with a series of yellow eyes. Eyes with travel down the family line, all the way down to Southward himself and further …  God help me.</w:t>
      </w:r>
    </w:p>
  </w:footnote>
  <w:footnote w:id="697">
    <w:p w14:paraId="3C2DCD7D" w14:textId="137FB0B6"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"https://www.theguardian.com/books/2002/jun/01/featuresreviews.guardianreview23", "accessed" : { "date-parts" : [ [ "2018", "12", "31" ] ] }, "author" : [ { "dropping-particle" : "", "family" : "Clark", "given" : "Alex", "non-dropping-particle" : "", "parse-names" : false, "suffix" : "" } ], "container-title" : "The Guardian", "id" : "ITEM-1", "issued" : { "date-parts" : [ [ "2002" ] ] }, "title" : "In the Hands of Madmen", "type" : "webpage" }, "uris" : [ "http://www.mendeley.com/documents/?uuid=96eefa8b-6abe-4fc9-824d-1404f5baaa8d" ] } ], "mendeley" : { "formattedCitation" : "Alex Clark, \u2018In the Hands of Madmen\u2019, &lt;i&gt;The Guardian&lt;/i&gt;, 2002 &lt;https://www.theguardian.com/books/2002/jun/01/featuresreviews.guardianreview23&gt; [accessed 31 December 2018].", "plainTextFormattedCitation" : "Alex Clark, \u2018In the Hands of Madmen\u2019, The Guardian, 2002  [accessed 31 December 2018].", "previouslyFormattedCitation" : "Alex Clark, \u2018In the Hands of Madmen\u2019, &lt;i&gt;The Guardian&lt;/i&gt;, 2002 &lt;https://www.theguardian.com/books/2002/jun/01/featuresreviews.guardianreview23&gt; [accessed 31 December 2018]."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Alex Clark, ‘In the Hands of Madmen’, </w:t>
      </w:r>
      <w:r w:rsidRPr="0025171E">
        <w:rPr>
          <w:rFonts w:asciiTheme="majorBidi" w:hAnsiTheme="majorBidi" w:cstheme="majorBidi"/>
          <w:i/>
          <w:noProof/>
        </w:rPr>
        <w:t>The Guardian</w:t>
      </w:r>
      <w:r w:rsidRPr="0025171E">
        <w:rPr>
          <w:rFonts w:asciiTheme="majorBidi" w:hAnsiTheme="majorBidi" w:cstheme="majorBidi"/>
          <w:noProof/>
        </w:rPr>
        <w:t>, 2002 &lt;https://www.theguardian.com/books/2002/jun/01/featuresreviews.guardianreview23&gt; [accessed 31 December 2018].</w:t>
      </w:r>
      <w:r w:rsidRPr="00505CF0">
        <w:rPr>
          <w:rFonts w:asciiTheme="majorBidi" w:hAnsiTheme="majorBidi" w:cstheme="majorBidi"/>
        </w:rPr>
        <w:fldChar w:fldCharType="end"/>
      </w:r>
    </w:p>
  </w:footnote>
  <w:footnote w:id="698">
    <w:p w14:paraId="6171BB31" w14:textId="582DB741" w:rsidR="00054009" w:rsidRPr="00505CF0" w:rsidRDefault="00054009" w:rsidP="00973D1A">
      <w:pPr>
        <w:pStyle w:val="FootnoteText"/>
        <w:rPr>
          <w:rFonts w:asciiTheme="majorBidi" w:hAnsiTheme="majorBidi" w:cstheme="majorBidi"/>
          <w:i/>
        </w:rPr>
      </w:pPr>
      <w:r w:rsidRPr="00505CF0">
        <w:rPr>
          <w:rStyle w:val="FootnoteReference"/>
          <w:rFonts w:asciiTheme="majorBidi" w:hAnsiTheme="majorBidi" w:cstheme="majorBidi"/>
        </w:rPr>
        <w:footnoteRef/>
      </w:r>
      <w:r w:rsidRPr="00505CF0">
        <w:rPr>
          <w:rFonts w:asciiTheme="majorBidi" w:hAnsiTheme="majorBidi" w:cstheme="majorBidi"/>
        </w:rPr>
        <w:t xml:space="preserve"> So ends the lengthy, and yet somehow also a rather whistle-stop affair, journey through the metafictional landscape leading up to the end of the Postmodern moment and beyond. Of course such a list will always have missed some major, and minor, elements yet such is the fallible nature of all human output. I am sure that there were texts worthy of inclusion here that I have missed, yet the list will surely suffice to create a detailed enough look at the progression of metafiction through the ages, I hope. I ask for your forgiveness in this, as in all things. </w:t>
      </w:r>
      <w:r>
        <w:rPr>
          <w:rFonts w:asciiTheme="majorBidi" w:hAnsiTheme="majorBidi" w:cstheme="majorBidi"/>
          <w:i/>
        </w:rPr>
        <w:t>|ACO</w:t>
      </w:r>
      <w:r w:rsidRPr="00505CF0">
        <w:rPr>
          <w:rFonts w:asciiTheme="majorBidi" w:hAnsiTheme="majorBidi" w:cstheme="majorBidi"/>
          <w:i/>
        </w:rPr>
        <w:t xml:space="preserve">: A forgiveness never given by many. </w:t>
      </w:r>
    </w:p>
  </w:footnote>
  <w:footnote w:id="699">
    <w:p w14:paraId="29137DE4" w14:textId="17940A67" w:rsidR="00054009" w:rsidRPr="00505CF0" w:rsidRDefault="00054009" w:rsidP="0094764F">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w:t>
      </w:r>
      <w:r w:rsidRPr="00505CF0">
        <w:rPr>
          <w:rFonts w:asciiTheme="majorBidi" w:hAnsiTheme="majorBidi" w:cstheme="majorBidi"/>
        </w:rPr>
        <w:t xml:space="preserve"> </w:t>
      </w:r>
      <w:r w:rsidRPr="00505CF0">
        <w:rPr>
          <w:rFonts w:asciiTheme="majorBidi" w:hAnsiTheme="majorBidi" w:cstheme="majorBidi"/>
          <w:i/>
        </w:rPr>
        <w:t xml:space="preserve">An interesting example of Southward’s restraint when it comes to his beloved metafiction here </w:t>
      </w:r>
      <w:r>
        <w:rPr>
          <w:rFonts w:asciiTheme="majorBidi" w:hAnsiTheme="majorBidi" w:cstheme="majorBidi"/>
          <w:i/>
        </w:rPr>
        <w:t>–</w:t>
      </w:r>
      <w:r w:rsidRPr="00505CF0">
        <w:rPr>
          <w:rFonts w:asciiTheme="majorBidi" w:hAnsiTheme="majorBidi" w:cstheme="majorBidi"/>
          <w:i/>
        </w:rPr>
        <w:t xml:space="preserve"> early drafts compared the relationship to that of a dying, atrophied postmodern twin conjoined to the threshing, desperate for life, body of metafiction. Such strong images were struck from his work, though, in an effort to allow the form some manner of grace, the essay a certain gravitas. Yet, surely, such are the nuggets of minor joviality that critics love to see in the essays of others, inducing either scoff or smile. Curious, no?</w:t>
      </w:r>
    </w:p>
  </w:footnote>
  <w:footnote w:id="700">
    <w:p w14:paraId="6BD14C3F" w14:textId="536B3710"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"Grausam", "given" : "Daniel", "non-dropping-particle" : "", "parse-names" : false, "suffix" : "" } ], "container-title" : "ELH", "id" : "ITEM-1", "issue" : "3", "issued" : { "date-parts" : [ [ "2011" ] ] }, "note" : "Though recent scholarship has given us a sense of the historical investigations of postmodernim, the more extreme forms of metafiction that emerged in the 1960s have largely been relegated to the dustbin of history; even a critic as attentive to the historiographic interests of so much postmodern fiction as Linda Hutcheon has been interested in drawing lines between that seperate histroiographic metafiction (her preferred term for postmodern fiction that still reflects on the writing of history) from the less-obviously referential forms of metafiction (which she sees as the endgame of autolectic modernism). p.516", "page" : "507-532", "title" : "Games People Play: Metafiction, defense strategy, and the cultures of simulation", "type" : "article-journal", "volume" : "78" }, "locator" : "516", "uris" : [ "http://www.mendeley.com/documents/?uuid=d1c91661-1833-494a-9f02-342f8ede7f4b" ] } ], "mendeley" : { "formattedCitation" : "Daniel Grausam, \u2018Games People Play: Metafiction, Defense Strategy, and the Cultures of Simulation\u2019, &lt;i&gt;ELH&lt;/i&gt;, 78 (2011), 507\u2013532 (p. 516).", "plainTextFormattedCitation" : "Daniel Grausam, \u2018Games People Play: Metafiction, Defense Strategy, and the Cultures of Simulation\u2019, ELH, 78 (2011), 507\u2013532 (p. 516).", "previouslyFormattedCitation" : "Daniel Grausam, \u2018Games People Play: Metafiction, Defense Strategy, and the Cultures of Simulation\u2019, &lt;i&gt;ELH&lt;/i&gt;, 78 (2011), 507\u2013532 (p. 516)."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Daniel Grausam, ‘Games People Play: Metafiction, Defense Strategy, and the Cultures of Simulation’, </w:t>
      </w:r>
      <w:r w:rsidRPr="0025171E">
        <w:rPr>
          <w:rFonts w:asciiTheme="majorBidi" w:hAnsiTheme="majorBidi" w:cstheme="majorBidi"/>
          <w:i/>
          <w:noProof/>
        </w:rPr>
        <w:t>ELH</w:t>
      </w:r>
      <w:r w:rsidRPr="0025171E">
        <w:rPr>
          <w:rFonts w:asciiTheme="majorBidi" w:hAnsiTheme="majorBidi" w:cstheme="majorBidi"/>
          <w:noProof/>
        </w:rPr>
        <w:t>, 78 (2011), 507–532 (p. 516).</w:t>
      </w:r>
      <w:r w:rsidRPr="00505CF0">
        <w:rPr>
          <w:rFonts w:asciiTheme="majorBidi" w:hAnsiTheme="majorBidi" w:cstheme="majorBidi"/>
        </w:rPr>
        <w:fldChar w:fldCharType="end"/>
      </w:r>
    </w:p>
  </w:footnote>
  <w:footnote w:id="701">
    <w:p w14:paraId="57670479" w14:textId="4E98BA7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rPr>
        <w:t>ACO</w:t>
      </w:r>
      <w:r w:rsidRPr="00505CF0">
        <w:rPr>
          <w:rFonts w:asciiTheme="majorBidi" w:hAnsiTheme="majorBidi" w:cstheme="majorBidi"/>
          <w:i/>
        </w:rPr>
        <w:t>: See Southward’s ‘The Haunted Dustbin’ for his creative take on metafiction rising from the refuse to take the rightful throne of criticism. Poorly written, yes, but significant still</w:t>
      </w:r>
      <w:r>
        <w:rPr>
          <w:rFonts w:asciiTheme="majorBidi" w:hAnsiTheme="majorBidi" w:cstheme="majorBidi"/>
          <w:i/>
        </w:rPr>
        <w:t xml:space="preserve">, despite certain FISHY claims that the work is not true Southwardian canon. </w:t>
      </w:r>
    </w:p>
  </w:footnote>
  <w:footnote w:id="702">
    <w:p w14:paraId="26236BE7" w14:textId="265E4CE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"Bogue", "given" : "Ronald", "non-dropping-particle" : "", "parse-names" : false, "suffix" : "" } ], "id" : "ITEM-1", "issued" : { "date-parts" : [ [ "2010" ] ] }, "note" : "Flanagan's Playfulness seldom extends to such self-referential devices as this mise en abime of Gould reading his own narrative in a book already written, and some might veiw this metafictional twist in the plot as a hackney ed bit of self indulgent postmodernism. Yet this motif does more than simply call attention to the artifice of Flanagan's fiction. 193", "publisher" : "Edinburgh University Press", "publisher-place" : "Edinburgh", "title" : "Deleuzian Fabulation and the Scars of History", "type" : "book" }, "locator" : "193", "uris" : [ "http://www.mendeley.com/documents/?uuid=1e14c31a-a508-45ca-b893-a04df50c1a06" ] } ], "mendeley" : { "formattedCitation" : "Ronald Bogue, &lt;i&gt;Deleuzian Fabulation and the Scars of History&lt;/i&gt; (Edinburgh: Edinburgh University Press, 2010), p. 193.", "plainTextFormattedCitation" : "Ronald Bogue, Deleuzian Fabulation and the Scars of History (Edinburgh: Edinburgh University Press, 2010), p. 193.", "previouslyFormattedCitation" : "Ronald Bogue, &lt;i&gt;Deleuzian Fabulation and the Scars of History&lt;/i&gt; (Edinburgh: Edinburgh University Press, 2010), p. 193."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Ronald Bogue, </w:t>
      </w:r>
      <w:r w:rsidRPr="00505CF0">
        <w:rPr>
          <w:rFonts w:asciiTheme="majorBidi" w:hAnsiTheme="majorBidi" w:cstheme="majorBidi"/>
          <w:i/>
          <w:noProof/>
        </w:rPr>
        <w:t>Deleuzian Fabulation and the Scars of History</w:t>
      </w:r>
      <w:r w:rsidRPr="00505CF0">
        <w:rPr>
          <w:rFonts w:asciiTheme="majorBidi" w:hAnsiTheme="majorBidi" w:cstheme="majorBidi"/>
          <w:noProof/>
        </w:rPr>
        <w:t xml:space="preserve"> (Edinburgh: Edinburgh University Press, 2010), p. 193.</w:t>
      </w:r>
      <w:r w:rsidRPr="00505CF0">
        <w:rPr>
          <w:rFonts w:asciiTheme="majorBidi" w:hAnsiTheme="majorBidi" w:cstheme="majorBidi"/>
        </w:rPr>
        <w:fldChar w:fldCharType="end"/>
      </w:r>
    </w:p>
  </w:footnote>
  <w:footnote w:id="703">
    <w:p w14:paraId="37EF3D82" w14:textId="2161850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"xiii", "uris" : [ "http://www.mendeley.com/documents/?uuid=644ccc1d-bc87-4c39-b99b-12d03e60f09b" ] } ], "mendeley" : { "formattedCitation" : "Hutcheon, &lt;i&gt;Narcissistic Narrative&lt;/i&gt;, p. xiii.", "plainTextFormattedCitation" : "Hutcheon, Narcissistic Narrative, p. xiii.", "previouslyFormattedCitation" : "Hutcheon, &lt;i&gt;Narcissistic Narrative&lt;/i&gt;, p. xiii."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xiii.</w:t>
      </w:r>
      <w:r w:rsidRPr="00505CF0">
        <w:rPr>
          <w:rFonts w:asciiTheme="majorBidi" w:hAnsiTheme="majorBidi" w:cstheme="majorBidi"/>
        </w:rPr>
        <w:fldChar w:fldCharType="end"/>
      </w:r>
    </w:p>
  </w:footnote>
  <w:footnote w:id="704">
    <w:p w14:paraId="70176DBB" w14:textId="251FD54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"1", "uris" : [ "http://www.mendeley.com/documents/?uuid=a8705ee1-9026-451b-ba5f-4e8bbc1b26ad" ] } ], "mendeley" : { "formattedCitation" : "Currie, p. 1.", "plainTextFormattedCitation" : "Currie, p. 1.", "previouslyFormattedCitation" : "Currie, p. 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1.</w:t>
      </w:r>
      <w:r w:rsidRPr="00505CF0">
        <w:rPr>
          <w:rFonts w:asciiTheme="majorBidi" w:hAnsiTheme="majorBidi" w:cstheme="majorBidi"/>
        </w:rPr>
        <w:fldChar w:fldCharType="end"/>
      </w:r>
    </w:p>
  </w:footnote>
  <w:footnote w:id="705">
    <w:p w14:paraId="4DD9800A" w14:textId="2197958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"32", "uris" : [ "http://www.mendeley.com/documents/?uuid=644ccc1d-bc87-4c39-b99b-12d03e60f09b" ] } ], "mendeley" : { "formattedCitation" : "Hutcheon, &lt;i&gt;Narcissistic Narrative&lt;/i&gt;, p. 32.", "plainTextFormattedCitation" : "Hutcheon, Narcissistic Narrative, p. 32.", "previouslyFormattedCitation" : "Hutcheon, &lt;i&gt;Narcissistic Narrative&lt;/i&gt;, p. 32."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32.</w:t>
      </w:r>
      <w:r w:rsidRPr="00505CF0">
        <w:rPr>
          <w:rFonts w:asciiTheme="majorBidi" w:hAnsiTheme="majorBidi" w:cstheme="majorBidi"/>
        </w:rPr>
        <w:fldChar w:fldCharType="end"/>
      </w:r>
    </w:p>
  </w:footnote>
  <w:footnote w:id="706">
    <w:p w14:paraId="2C11E90F" w14:textId="633666A3"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"70", "uris" : [ "http://www.mendeley.com/documents/?uuid=644ccc1d-bc87-4c39-b99b-12d03e60f09b" ] } ], "mendeley" : { "formattedCitation" : "Hutcheon, &lt;i&gt;Narcissistic Narrative&lt;/i&gt;, p. 70.", "plainTextFormattedCitation" : "Hutcheon, Narcissistic Narrative, p. 70.", "previouslyFormattedCitation" : "Hutcheon, &lt;i&gt;Narcissistic Narrative&lt;/i&gt;, p. 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70.</w:t>
      </w:r>
      <w:r w:rsidRPr="00505CF0">
        <w:rPr>
          <w:rFonts w:asciiTheme="majorBidi" w:hAnsiTheme="majorBidi" w:cstheme="majorBidi"/>
        </w:rPr>
        <w:fldChar w:fldCharType="end"/>
      </w:r>
    </w:p>
  </w:footnote>
  <w:footnote w:id="707">
    <w:p w14:paraId="4626ADBB" w14:textId="5846599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"6", "uris" : [ "http://www.mendeley.com/documents/?uuid=644ccc1d-bc87-4c39-b99b-12d03e60f09b" ] } ], "mendeley" : { "formattedCitation" : "Hutcheon, &lt;i&gt;Narcissistic Narrative&lt;/i&gt;, p. 6.", "plainTextFormattedCitation" : "Hutcheon, Narcissistic Narrative, p. 6.", "previouslyFormattedCitation" : "Hutcheon, &lt;i&gt;Narcissistic Narrative&lt;/i&gt;, p. 6."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6.</w:t>
      </w:r>
      <w:r w:rsidRPr="00505CF0">
        <w:rPr>
          <w:rFonts w:asciiTheme="majorBidi" w:hAnsiTheme="majorBidi" w:cstheme="majorBidi"/>
        </w:rPr>
        <w:fldChar w:fldCharType="end"/>
      </w:r>
    </w:p>
  </w:footnote>
  <w:footnote w:id="708">
    <w:p w14:paraId="54E3AB22" w14:textId="55A1398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"155", "uris" : [ "http://www.mendeley.com/documents/?uuid=644ccc1d-bc87-4c39-b99b-12d03e60f09b" ] } ], "mendeley" : { "formattedCitation" : "Hutcheon, &lt;i&gt;Narcissistic Narrative&lt;/i&gt;, p. 155.", "plainTextFormattedCitation" : "Hutcheon, Narcissistic Narrative, p. 155.", "previouslyFormattedCitation" : "Hutcheon, &lt;i&gt;Narcissistic Narrative&lt;/i&gt;, p. 155."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155.</w:t>
      </w:r>
      <w:r w:rsidRPr="00505CF0">
        <w:rPr>
          <w:rFonts w:asciiTheme="majorBidi" w:hAnsiTheme="majorBidi" w:cstheme="majorBidi"/>
        </w:rPr>
        <w:fldChar w:fldCharType="end"/>
      </w:r>
    </w:p>
  </w:footnote>
  <w:footnote w:id="709">
    <w:p w14:paraId="3D292D24" w14:textId="10732EB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"xii", "uris" : [ "http://www.mendeley.com/documents/?uuid=644ccc1d-bc87-4c39-b99b-12d03e60f09b" ] } ], "mendeley" : { "formattedCitation" : "Hutcheon, &lt;i&gt;Narcissistic Narrative&lt;/i&gt;, p. xii.", "plainTextFormattedCitation" : "Hutcheon, Narcissistic Narrative, p. xii.", "previouslyFormattedCitation" : "Hutcheon, &lt;i&gt;Narcissistic Narrative&lt;/i&gt;, p. xii."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xii.</w:t>
      </w:r>
      <w:r w:rsidRPr="00505CF0">
        <w:rPr>
          <w:rFonts w:asciiTheme="majorBidi" w:hAnsiTheme="majorBidi" w:cstheme="majorBidi"/>
        </w:rPr>
        <w:fldChar w:fldCharType="end"/>
      </w:r>
    </w:p>
  </w:footnote>
  <w:footnote w:id="710">
    <w:p w14:paraId="6FB5863B" w14:textId="5C2EAE46"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"hup.sub.uni-hamburg.de/lhn/index.php\u200b?title=Metanarration and Metafiction\u200b&amp;oldid=1924", "accessed" : { "date-parts" : [ [ "2017", "12", "1" ] ] }, "author" : [ { "dropping-particle" : "", "family" : "Neumann", "given" : "Birgit", "non-dropping-particle" : "", "parse-names" : false, "suffix" : "" }, { "dropping-particle" : "", "family" : "N\u00fcnning", "given" : "Ansgar", "non-dropping-particle" : "", "parse-names" : false, "suffix" : "" } ], "container-title" : "The Living Handbook of Narratology", "editor" : [ { "dropping-particle" : "al", "family" : "H\u00fchn", "given" : "Peter et", "non-dropping-particle" : "", "parse-names" : false, "suffix" : "" } ], "id" : "ITEM-1", "issued" : { "date-parts" : [ [ "2013" ] ] }, "note" : "Metafiction describes the capacity of fiction to reflect on its own status as fiction and thus refers to all self-reflexive utterances which thematize the fictionality (in the sense of imaginary reference and/or constructedness) of narrative. Metafiction is, literally, fiction about fiction, i.e. fiction that includes within itself reflections on its own fictional identity (Hutcheon\u00a01980). Thus, the term is a hypernym denoting all sorts of self-reflective utterances and elements of a fictional narrative that do not treat their referent as apparent reality but instead induce readers to reflect on the textuality and fictionality of narrative in terms of its artifactuality (Wolf\u00a01993: 224).\n\nHutcheon\u2019s most crucial distinction is that between overt and covert forms of metafiction. While overtly metafictional texts disclose their self-awareness in \u201cexplicit thematizations [\u2026] of their diegetic or linguistic identity within the texts themselves,\u201d covert forms \u201cinternalize\u201d this process: They are \u201cself-reflective but not necessarily self-conscious\u201d (7).", "title" : "Metanarration and Metafiction", "type" : "webpage" }, "uris" : [ "http://www.mendeley.com/documents/?uuid=d13d8380-ab56-4e31-90c1-47fe2e99ad0a" ] } ], "mendeley" : { "formattedCitation" : "Birgit Neumann and Ansgar N\u00fcnning, \u2018Metanarration and Metafiction\u2019, &lt;i&gt;The Living Handbook of Narratology&lt;/i&gt;, ed. by Peter et al H\u00fchn, 2013 &lt;hup.sub.uni-hamburg.de/lhn/index.php\u200b?title=Metanarration and Metafiction\u200b&amp;oldid=1924&gt; [accessed 1 December 2017].", "plainTextFormattedCitation" : "Birgit Neumann and Ansgar N\u00fcnning, \u2018Metanarration and Metafiction\u2019, The Living Handbook of Narratology, ed. by Peter et al H\u00fchn, 2013  [accessed 1 December 2017].", "previouslyFormattedCitation" : "Birgit Neumann and Ansgar N\u00fcnning, \u2018Metanarration and Metafiction\u2019, in &lt;i&gt;The Living Handbook of Narratology&lt;/i&gt;, ed. by Peter et al H\u00fchn, 2013 &lt;hup.sub.uni-hamburg.de/lhn/index.php\u200b?title=Metanarration and Metafiction\u200b&amp;oldid=1924&gt;."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Birgit Neumann and Ansgar Nünning, ‘Metanarration and Metafiction’, </w:t>
      </w:r>
      <w:r w:rsidRPr="0025171E">
        <w:rPr>
          <w:rFonts w:asciiTheme="majorBidi" w:hAnsiTheme="majorBidi" w:cstheme="majorBidi"/>
          <w:i/>
          <w:noProof/>
        </w:rPr>
        <w:t>The Living Handbook of Narratology</w:t>
      </w:r>
      <w:r w:rsidRPr="0025171E">
        <w:rPr>
          <w:rFonts w:asciiTheme="majorBidi" w:hAnsiTheme="majorBidi" w:cstheme="majorBidi"/>
          <w:noProof/>
        </w:rPr>
        <w:t>, ed. by Peter et al Hühn, 2013 &lt;hup.sub.uni-hamburg.de/lhn/index.php​?title=Metanarration and Metafiction​&amp;oldid=1924&gt; [accessed 1 December 2017].</w:t>
      </w:r>
      <w:r w:rsidRPr="00505CF0">
        <w:rPr>
          <w:rFonts w:asciiTheme="majorBidi" w:hAnsiTheme="majorBidi" w:cstheme="majorBidi"/>
        </w:rPr>
        <w:fldChar w:fldCharType="end"/>
      </w:r>
    </w:p>
  </w:footnote>
  <w:footnote w:id="711">
    <w:p w14:paraId="21EB8291" w14:textId="7A6A0BD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"158", "uris" : [ "http://www.mendeley.com/documents/?uuid=515114e2-6c90-3c62-b09f-f0aac09ea54e" ] } ], "mendeley" : { "formattedCitation" : "Alter, p. 158.", "plainTextFormattedCitation" : "Alter, p. 158.", "previouslyFormattedCitation" : "Alter, p. 158."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158.</w:t>
      </w:r>
      <w:r w:rsidRPr="00505CF0">
        <w:rPr>
          <w:rFonts w:asciiTheme="majorBidi" w:hAnsiTheme="majorBidi" w:cstheme="majorBidi"/>
        </w:rPr>
        <w:fldChar w:fldCharType="end"/>
      </w:r>
    </w:p>
  </w:footnote>
  <w:footnote w:id="712">
    <w:p w14:paraId="62FCB556" w14:textId="452E806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"xi", "uris" : [ "http://www.mendeley.com/documents/?uuid=515114e2-6c90-3c62-b09f-f0aac09ea54e" ] } ], "mendeley" : { "formattedCitation" : "Alter, p. xi.", "plainTextFormattedCitation" : "Alter, p. xi.", "previouslyFormattedCitation" : "Alter, p. xi."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xi.</w:t>
      </w:r>
      <w:r w:rsidRPr="00505CF0">
        <w:rPr>
          <w:rFonts w:asciiTheme="majorBidi" w:hAnsiTheme="majorBidi" w:cstheme="majorBidi"/>
        </w:rPr>
        <w:fldChar w:fldCharType="end"/>
      </w:r>
    </w:p>
  </w:footnote>
  <w:footnote w:id="713">
    <w:p w14:paraId="13C59B15" w14:textId="593F41D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"Coupland", "given" : "Douglas", "non-dropping-particle" : "", "parse-names" : false, "suffix" : "" } ], "id" : "ITEM-1", "issued" : { "date-parts" : [ [ "2006" ] ] }, "publisher" : "Bloomsbury Publishing", "publisher-place" : "St Ives", "title" : "Jpod", "type" : "book" }, "locator" : "15", "uris" : [ "http://www.mendeley.com/documents/?uuid=a0140417-2ff2-4b98-b0bb-f21d984b441a" ] } ], "mendeley" : { "formattedCitation" : "Coupland, p. 15.", "plainTextFormattedCitation" : "Coupland, p. 15.", "previouslyFormattedCitation" : "Coupland, p. 15."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Coupland, p. 15.</w:t>
      </w:r>
      <w:r w:rsidRPr="00505CF0">
        <w:rPr>
          <w:rFonts w:asciiTheme="majorBidi" w:hAnsiTheme="majorBidi" w:cstheme="majorBidi"/>
        </w:rPr>
        <w:fldChar w:fldCharType="end"/>
      </w:r>
    </w:p>
  </w:footnote>
  <w:footnote w:id="714">
    <w:p w14:paraId="1EDB2B41" w14:textId="09D230E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"10", "uris" : [ "http://www.mendeley.com/documents/?uuid=ab7d176f-a3f7-46a7-9290-902958ea84e1" ] } ], "mendeley" : { "formattedCitation" : "Scholes, &lt;i&gt;The Fabulators&lt;/i&gt;, p. 10.", "plainTextFormattedCitation" : "Scholes, The Fabulators, p. 10.", "previouslyFormattedCitation" : "Scholes, &lt;i&gt;The Fabulators&lt;/i&gt;, p. 10."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 10.</w:t>
      </w:r>
      <w:r w:rsidRPr="00505CF0">
        <w:rPr>
          <w:rFonts w:asciiTheme="majorBidi" w:hAnsiTheme="majorBidi" w:cstheme="majorBidi"/>
        </w:rPr>
        <w:fldChar w:fldCharType="end"/>
      </w:r>
    </w:p>
  </w:footnote>
  <w:footnote w:id="715">
    <w:p w14:paraId="5917200C" w14:textId="4D7034C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"29-31", "uris" : [ "http://www.mendeley.com/documents/?uuid=644ccc1d-bc87-4c39-b99b-12d03e60f09b" ] } ], "mendeley" : { "formattedCitation" : "Hutcheon, &lt;i&gt;Narcissistic Narrative&lt;/i&gt;, pp. 29\u201331.", "plainTextFormattedCitation" : "Hutcheon, Narcissistic Narrative, pp. 29\u201331.", "previouslyFormattedCitation" : "Hutcheon, &lt;i&gt;Narcissistic Narrative&lt;/i&gt;, pp. 29\u201331."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pp. 29–31.</w:t>
      </w:r>
      <w:r w:rsidRPr="00505CF0">
        <w:rPr>
          <w:rFonts w:asciiTheme="majorBidi" w:hAnsiTheme="majorBidi" w:cstheme="majorBidi"/>
        </w:rPr>
        <w:fldChar w:fldCharType="end"/>
      </w:r>
    </w:p>
  </w:footnote>
  <w:footnote w:id="716">
    <w:p w14:paraId="6735587B" w14:textId="765596AF"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"10-11", "uris" : [ "http://www.mendeley.com/documents/?uuid=ab7d176f-a3f7-46a7-9290-902958ea84e1" ] } ], "mendeley" : { "formattedCitation" : "Scholes, &lt;i&gt;The Fabulators&lt;/i&gt;, pp. 10\u201311.", "plainTextFormattedCitation" : "Scholes, The Fabulators, pp. 10\u201311.", "previouslyFormattedCitation" : "Scholes, &lt;i&gt;The Fabulators&lt;/i&gt;, pp. 10\u201311."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pp. 10–11.</w:t>
      </w:r>
      <w:r w:rsidRPr="00505CF0">
        <w:rPr>
          <w:rFonts w:asciiTheme="majorBidi" w:hAnsiTheme="majorBidi" w:cstheme="majorBidi"/>
        </w:rPr>
        <w:fldChar w:fldCharType="end"/>
      </w:r>
    </w:p>
  </w:footnote>
  <w:footnote w:id="717">
    <w:p w14:paraId="049044A6" w14:textId="11579D8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"URL" : "http://www.hplovecraft.com/writings/texts/fiction/u.aspx", "accessed" : { "date-parts" : [ [ "2018", "1", "2" ] ] }, "author" : [ { "dropping-particle" : "", "family" : "Lovecraft", "given" : "H.P.", "non-dropping-particle" : "", "parse-names" : false, "suffix" : "" } ], "container-title" : "The H.P. Lovecraft Archive", "id" : "ITEM-1", "issued" : { "date-parts" : [ [ "1925" ] ] }, "title" : "The Unnamable", "type" : "webpage" }, "uris" : [ "http://www.mendeley.com/documents/?uuid=acf4e33f-b212-43ff-bd76-0550f96d1a46" ] } ], "mendeley" : { "formattedCitation" : "Lovecraft, \u2018The Unnamable\u2019.", "plainTextFormattedCitation" : "Lovecraft, \u2018The Unnamable\u2019.", "previouslyFormattedCitation" : "Lovecraft, \u2018The Unnamable\u2019."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Lovecraft, ‘The Unnamable’.</w:t>
      </w:r>
      <w:r w:rsidRPr="00505CF0">
        <w:rPr>
          <w:rFonts w:asciiTheme="majorBidi" w:hAnsiTheme="majorBidi" w:cstheme="majorBidi"/>
        </w:rPr>
        <w:fldChar w:fldCharType="end"/>
      </w:r>
    </w:p>
  </w:footnote>
  <w:footnote w:id="718">
    <w:p w14:paraId="2DA63F3D" w14:textId="341D1F4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"55", "uris" : [ "http://www.mendeley.com/documents/?uuid=ab7d176f-a3f7-46a7-9290-902958ea84e1" ] } ], "mendeley" : { "formattedCitation" : "Scholes, &lt;i&gt;The Fabulators&lt;/i&gt;, p. 55.", "plainTextFormattedCitation" : "Scholes, The Fabulators, p. 55.", "previouslyFormattedCitation" : "Scholes, &lt;i&gt;The Fabulators&lt;/i&gt;, p. 55."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 55.</w:t>
      </w:r>
      <w:r w:rsidRPr="00505CF0">
        <w:rPr>
          <w:rFonts w:asciiTheme="majorBidi" w:hAnsiTheme="majorBidi" w:cstheme="majorBidi"/>
        </w:rPr>
        <w:fldChar w:fldCharType="end"/>
      </w:r>
    </w:p>
  </w:footnote>
  <w:footnote w:id="719">
    <w:p w14:paraId="5DD4E412" w14:textId="51C4365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"149", "uris" : [ "http://www.mendeley.com/documents/?uuid=644ccc1d-bc87-4c39-b99b-12d03e60f09b" ] } ], "mendeley" : { "formattedCitation" : "Hutcheon, &lt;i&gt;Narcissistic Narrative&lt;/i&gt;, p. 149.", "plainTextFormattedCitation" : "Hutcheon, Narcissistic Narrative, p. 149.", "previouslyFormattedCitation" : "Hutcheon, &lt;i&gt;Narcissistic Narrative&lt;/i&gt;, p. 149."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149.</w:t>
      </w:r>
      <w:r w:rsidRPr="00505CF0">
        <w:rPr>
          <w:rFonts w:asciiTheme="majorBidi" w:hAnsiTheme="majorBidi" w:cstheme="majorBidi"/>
        </w:rPr>
        <w:fldChar w:fldCharType="end"/>
      </w:r>
    </w:p>
  </w:footnote>
  <w:footnote w:id="720">
    <w:p w14:paraId="4B3E695E" w14:textId="4A01A189"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"Vonnegut", "given" : "Kurt", "non-dropping-particle" : "", "parse-names" : false, "suffix" : "" } ], "container-title" : "Vonnegut Novels &amp; Stories 1963-73", "editor" : [ { "dropping-particle" : "", "family" : "Offit", "given" : "Sidney", "non-dropping-particle" : "", "parse-names" : false, "suffix" : "" } ], "id" : "ITEM-1", "issued" : { "date-parts" : [ [ "2011" ] ] }, "page" : "491-733", "publisher" : "The Library of America", "publisher-place" : "New York", "title" : "Breakfast of Champions", "type" : "chapter" }, "locator" : "732-3", "uris" : [ "http://www.mendeley.com/documents/?uuid=6d763f92-50c6-499e-bffe-50ec9434dddf" ] } ], "mendeley" : { "formattedCitation" : "Kurt Vonnegut, \u2018Breakfast of Champions\u2019, in &lt;i&gt;Vonnegut Novels &amp; Stories 1963-73&lt;/i&gt;, ed. by Sidney Offit (New York: The Library of America, 2011), pp. 491\u2013733 (pp. 732\u20133).", "plainTextFormattedCitation" : "Kurt Vonnegut, \u2018Breakfast of Champions\u2019, in Vonnegut Novels &amp; Stories 1963-73, ed. by Sidney Offit (New York: The Library of America, 2011), pp. 491\u2013733 (pp. 732\u20133).", "previouslyFormattedCitation" : "Kurt Vonnegut, \u2018Breakfast of Champions\u2019, in &lt;i&gt;Vonnegut Novels &amp; Stories 1963-73&lt;/i&gt;, ed. by Sidney Offit (New York: The Library of America, 2011), pp. 491\u2013733 (pp. 732\u20133)."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Kurt Vonnegut, ‘Breakfast of Champions’, in </w:t>
      </w:r>
      <w:r w:rsidRPr="0025171E">
        <w:rPr>
          <w:rFonts w:asciiTheme="majorBidi" w:hAnsiTheme="majorBidi" w:cstheme="majorBidi"/>
          <w:i/>
          <w:noProof/>
        </w:rPr>
        <w:t>Vonnegut Novels &amp; Stories 1963-73</w:t>
      </w:r>
      <w:r w:rsidRPr="0025171E">
        <w:rPr>
          <w:rFonts w:asciiTheme="majorBidi" w:hAnsiTheme="majorBidi" w:cstheme="majorBidi"/>
          <w:noProof/>
        </w:rPr>
        <w:t>, ed. by Sidney Offit (New York: The Library of America, 2011), pp. 491–733 (pp. 732–3).</w:t>
      </w:r>
      <w:r w:rsidRPr="00505CF0">
        <w:rPr>
          <w:rFonts w:asciiTheme="majorBidi" w:hAnsiTheme="majorBidi" w:cstheme="majorBidi"/>
        </w:rPr>
        <w:fldChar w:fldCharType="end"/>
      </w:r>
    </w:p>
  </w:footnote>
  <w:footnote w:id="721">
    <w:p w14:paraId="3DB06E03" w14:textId="211A060E" w:rsidR="00054009" w:rsidRDefault="00054009">
      <w:pPr>
        <w:pStyle w:val="FootnoteText"/>
      </w:pPr>
      <w:r>
        <w:rPr>
          <w:rStyle w:val="FootnoteReference"/>
        </w:rPr>
        <w:footnoteRef/>
      </w:r>
      <w:r>
        <w:t xml:space="preserve"> </w:t>
      </w:r>
      <w:r w:rsidRPr="00123DCB">
        <w:rPr>
          <w:i/>
          <w:iCs/>
        </w:rPr>
        <w:t>ACO: Further down past great-grand uncle Eyestan, my headache builds and builds, my reflection in my whiskey showing those devilish yellow eyes gazing balefully back at me, down, down, all the way down to another name. God save me. Arcot Clerval Osberon.</w:t>
      </w:r>
    </w:p>
  </w:footnote>
  <w:footnote w:id="722">
    <w:p w14:paraId="345D2B64" w14:textId="7B755221" w:rsidR="00054009" w:rsidRPr="00505CF0"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"Federman", "given" : "Raymond", "non-dropping-particle" : "", "parse-names" : false, "suffix" : "" } ], "container-title" : "Symploke", "id" : "ITEM-1", "issue" : "1-2", "issued" : { "date-parts" : [ [ "2004" ] ] }, "note" : "I may not be wrong in thinking that this title [The Fallen Prophet or Literature in Crisis] suggests that in the face of the great social, political, and technological changes that have occured in the world in the past century, in the face of the great turmoil that the world is today, literature, rather than being in transition with the new century, is in danger - serious danger - of becoming ineffectual and obsolete, in serious danger of extinction. Therefore, it is essential and urgent for those who still believe in literature, those who still practice literature, those who still produce books, to confront this crisis and this danger, and assess the possibilites still available to literature in order for it to survive. In other words, it is urgent for literature t take a stand so that it can continue to be in the world and do weat it has alweays done: capture the world, represent the world, explain the world, clarify the world, re-invent the world. It is urgent for literature to take a stand, even if it is The Last Stand of Literature. P.161\n\nIt is easier, in American,for a former football of basketball plater, or even a wrestler, easier for a second-rate movie star to become involved in the political process and influence the course of history than it is for a writer or intellectual. p.161\n\nWe are now in the new Century, and around us the winds of change are ciculating in the world. These wings have swirled into a storm which is bringing fear, anxiety, insecurity and doubt to many nations - as reflected especially in the unstable world wide economy, and the return in some parts of the world to extreme right-wing political positions. And so, as we advance into this new millenium, there seems to be a longing for it to be different, a profound desire for this centiry to be better than the previous one. As we look ahead, we hope thigns will improve in the 21st century. p.163\n\nWhen literature cease to understand the world and accepts the crisis of representation in which it functions, it becomes mere entertainment, it becomes part of the Spectacle. p. 169\n\nIt is the kind of writing that resists the recupertation of itself into distorted or false figures and images. The kind of literature we need now is the kidn that will systematically erode and dissipate the setting of the Spectacle, frustrate the experctation of its positive beginning, middle, and end, and cheap resolution. this kind of writing will be at the same time frugal and denuded, but rhetorically complex, so that ic an seize the world in a new way. This kind of writing must create a space of resistance to the aleinated devotion to images - to the refining and undermining of the world by images. This kind of writing should be like an ironic free tense within the opacity of the Spectacle. p.169", "page" : "156-170", "title" : "Critifictional Reflections on the Pathetic Condition of the Novel in our Time", "type" : "article-journal", "volume" : "12" }, "locator" : "161", "uris" : [ "http://www.mendeley.com/documents/?uuid=2ebc66a7-7e03-43f7-ae4e-311f61203003" ] } ], "mendeley" : { "formattedCitation" : "Raymond Federman, \u2018Critifictional Reflections on the Pathetic Condition of the Novel in Our Time\u2019, &lt;i&gt;Symploke&lt;/i&gt;, 12 (2004), 156\u2013170 (p. 161).", "plainTextFormattedCitation" : "Raymond Federman, \u2018Critifictional Reflections on the Pathetic Condition of the Novel in Our Time\u2019, Symploke, 12 (2004), 156\u2013170 (p. 161).", "previouslyFormattedCitation" : "Raymond Federman, \u2018Critifictional Reflections on the Pathetic Condition of the Novel in Our Time\u2019, &lt;i&gt;Symploke&lt;/i&gt;, 12 (2004), 156\u2013170 (p. 161)."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Raymond Federman, ‘Critifictional Reflections on the Pathetic Condition of the Novel in Our Time’, </w:t>
      </w:r>
      <w:r w:rsidRPr="0025171E">
        <w:rPr>
          <w:rFonts w:asciiTheme="majorBidi" w:hAnsiTheme="majorBidi" w:cstheme="majorBidi"/>
          <w:i/>
          <w:noProof/>
        </w:rPr>
        <w:t>Symploke</w:t>
      </w:r>
      <w:r w:rsidRPr="0025171E">
        <w:rPr>
          <w:rFonts w:asciiTheme="majorBidi" w:hAnsiTheme="majorBidi" w:cstheme="majorBidi"/>
          <w:noProof/>
        </w:rPr>
        <w:t>, 12 (2004), 156–170 (p. 161).</w:t>
      </w:r>
      <w:r w:rsidRPr="00505CF0">
        <w:rPr>
          <w:rFonts w:asciiTheme="majorBidi" w:hAnsiTheme="majorBidi" w:cstheme="majorBidi"/>
        </w:rPr>
        <w:fldChar w:fldCharType="end"/>
      </w:r>
    </w:p>
  </w:footnote>
  <w:footnote w:id="723">
    <w:p w14:paraId="755678E9" w14:textId="2341CCA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"Scholes", "given" : "Robert", "non-dropping-particle" : "", "parse-names" : false, "suffix" : "" } ], "id" : "ITEM-1", "issued" : { "date-parts" : [ [ "1967" ] ] }, "note" : "Early attempt at catagorising the phenomenon of metafiction roughly 9 years before Gass coined the term in 1970 with Pholsophy and the Form of Fiction.\n\n'[...] the critic who has his eye on the right object - his subject matter - must by definition be an arrogant fellow to ask us to read him. He must assume he knows something we do not, eithyer because he is more learned, more thoughtful, more sensitive, or just plain smarter than we are.' p.3\n\nOn the term 'fabulator'\n[the word] is of course a gimmick, an attention-getter. Buyt I think it is also an honest attempt to find a word for something that needs one; to find a word, moreover, that needs only a littler tinkering to adapt it to its new function. p.6\n\n'a sense of pleasure in form is one characteristic of fabulation. p.10\n\nIn using the word &amp;quot;Fabulator&amp;quot; to designate certain modern writers of fiction, I mean to emphasize these qualities of art and joy, of course. I also hope to make the word suggest other, related qualities [...] suffice it to say that modern fabulation, like the ancient fabling of Aesop, tends away from the representation of reality but returns toward actual human life by way of ethically controlled fantasy. Many gabulators are allegorists. But the modern fabulators allegorize in peculiarly modern ways. p.10-11\n\nIt seems to me that the emergence of favulation in recent fiction is not only an exciting devlopment in in itself; it also provides one answer to the great question of where fiction could go after the realistic novel. p.11\n\nFabulation, then, means a return to a mre verbal kind of fiction. It also means a return to a more fictional kind. By this I mean a less realistic and more artistic kind of narrative: more shapely, more evocative; more concerned with ideas and ideals, less concerned with things. I am not proposing here an airy program for the future of fiction. I am talking about what is going on all around us. p.12-3\n\nClearly talking about metafictional experimentation, quoting the following authors as fabulators: William Golding, Iris Murdoch, Lawrence Durrel, Anthony Burges, Kingsley Amis, Nabakov, Kurt Vonnegut, Terry Southern, John Hawkes, Jogn Barth. p.13\n\nLike so many modern works [Durrell's Alexandria Quartet] is a portrait of the artist., a Kunstlerroman, about a character in a book who is writing a book in which he is a character. p.18\n\n[...]it is Proust who explodes the empirical notions of characterization so essential to realistic and naturalistic fiction, by demonstrating the artificiality of the real and the reality of the artificial. p.20\n\nThe students of sleep have discovered that dreaming is neccesary to the well-being of the human organism, and perhaps to the higher animals as well. it is not that our dreams teach us anything; they are simply a means of expression for us, a nightly cinema in which we are producer, director, all the actors, and all the audience. And if we are cheated of this imaginative performance in our sleep, we suffer for it during our waking existence in ways still not entirely understood. // I do not think that fiction is a subsitute for dream, but I think it must work for us in a similar way. It must provide us with an imaginative experience which is neccesary to our imaginative well-being. p.30\n\n[...] I hope, in considering these other dimensions of fabulation, not to forget that of story, which is really the heart of the matter. Without it, the blood of narrative ceases to flow. The humours atrophy, the brain shrivels, and finally the soul itself departs. p.31\n\nIf we consider literature as a way of looking at the world, for every age certain modes serve better than others to bring things into focus, to align the ideals of the age with actuality. p,38\n\nThe Black Humoursit is not concerned with what to do about life but with how to take it. p.43\n\nConnegut, in his fiction, is doing what the most serious writers always do. He is helping, in Joyce's phrase, &amp;quot;to create the conscience of the the race.&amp;quot; What race? Human certainly, not American or German or any other abtsraction from humanity. Just as pure romance provides us with neccesary psychic exercise, intellectual comedy like Vonnegut's offers us moral stimulation - not fixed ethical positions which we can complacently assume, but such thoughts as exercise our consciences and help us keep our humanity in shape, readt to respond to the humanity of others. p.55\n\nThe great allegories are never entirely allegorical, just as the realistic novels are never entirely real. p.99\n\nAllegory amounts to seeing life yhrough ideational filters provided by philosophy or theology. When realism supplanted allegory as the great form of serious narrative, it claimed to be superior because it looked directly at life - without filters of any kind. [...] But we can see now that it is impossible to look directly at life. It is like gazing right into the sun; we see so much that we are blinded. p.100\n\nThe fin de siecle was pleasantly titilated by intimations of Apocalypse. But in our time the holocaust is too real a possibilkity to be considered with a symboliste frisson. The veil of the temple has blown away entirely, and we can hear something ticking in there. The fragmentation Yeats percived as the curse of modern civilisation has contued; the center holds together even less than it did. p.135\n\nThe vision of fabulation is essentially comic becayse it is an instrument of reason; and it is frankly allegorical becayse it has not the naive faith in the possibility of capturing the actual world on the printed page which realism requires of its practitioners. p.136\n\nThe fabulator's attitude toward life is elliptical. By presenting something that is like life but markedly different from it, he helps us to define life by indirection. p.137\n\nFabulation, then, seems to partake inevitably of the comic. It derives, I would suggest, from the fabulator's awareness of the limits of fabulation. He knows too much - that is the modern writer's predicament, and that is precisely what prevents his perspective from being seriously mythic. p.171\n\nMyth tells us that we are all part of a great story. But the fabulators, so clearly aware of the the difference bwteen fact and fiction, are unwilling to accept the mythic veiw of life as completely valid. Against this veiw they balance one which I am calling the philosophical, which tells us that every man is unique, alone, poised over chaos. p.172\n\nThis mighty tension [between Myth and Philosophy] is at the geart of Bath's great fabuilation and all the rest. Just as the realistic novel was rooted in the conflict between the individual and society, fabulation springs from the collision between the philosophical and mythic perspectives on the meaning and value of existence, with their opposed dogmas of struggle and acquiescence. If existence is mythic, then man may accept his role with equanimity. If not, then he must struggle through part after part trying to create one uniquely his own. p.173", "publisher" : "Oxford University Press", "publisher-place" : "New York", "title" : "The Fabulators", "type" : "book" }, "locator" : "30", "uris" : [ "http://www.mendeley.com/documents/?uuid=ab7d176f-a3f7-46a7-9290-902958ea84e1" ] } ], "mendeley" : { "formattedCitation" : "Scholes, &lt;i&gt;The Fabulators&lt;/i&gt;, p. 30.", "plainTextFormattedCitation" : "Scholes, The Fabulators, p. 30.", "previouslyFormattedCitation" : "Scholes, &lt;i&gt;The Fabulators&lt;/i&gt;, p. 30."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Scholes, </w:t>
      </w:r>
      <w:r w:rsidRPr="00505CF0">
        <w:rPr>
          <w:rFonts w:asciiTheme="majorBidi" w:hAnsiTheme="majorBidi" w:cstheme="majorBidi"/>
          <w:i/>
          <w:noProof/>
        </w:rPr>
        <w:t>The Fabulators</w:t>
      </w:r>
      <w:r w:rsidRPr="00505CF0">
        <w:rPr>
          <w:rFonts w:asciiTheme="majorBidi" w:hAnsiTheme="majorBidi" w:cstheme="majorBidi"/>
          <w:noProof/>
        </w:rPr>
        <w:t>, p. 30.</w:t>
      </w:r>
      <w:r w:rsidRPr="00505CF0">
        <w:rPr>
          <w:rFonts w:asciiTheme="majorBidi" w:hAnsiTheme="majorBidi" w:cstheme="majorBidi"/>
        </w:rPr>
        <w:fldChar w:fldCharType="end"/>
      </w:r>
    </w:p>
  </w:footnote>
  <w:footnote w:id="724">
    <w:p w14:paraId="11697DD4" w14:textId="70CA2E2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"2", "uris" : [ "http://www.mendeley.com/documents/?uuid=a8705ee1-9026-451b-ba5f-4e8bbc1b26ad" ] } ], "mendeley" : { "formattedCitation" : "Currie, p. 2.", "plainTextFormattedCitation" : "Currie, p. 2.", "previouslyFormattedCitation" : "Currie,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2.</w:t>
      </w:r>
      <w:r w:rsidRPr="00505CF0">
        <w:rPr>
          <w:rFonts w:asciiTheme="majorBidi" w:hAnsiTheme="majorBidi" w:cstheme="majorBidi"/>
        </w:rPr>
        <w:fldChar w:fldCharType="end"/>
      </w:r>
    </w:p>
  </w:footnote>
  <w:footnote w:id="725">
    <w:p w14:paraId="170CF92C" w14:textId="6D550FDE"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"70", "uris" : [ "http://www.mendeley.com/documents/?uuid=644ccc1d-bc87-4c39-b99b-12d03e60f09b" ] } ], "mendeley" : { "formattedCitation" : "Hutcheon, &lt;i&gt;Narcissistic Narrative&lt;/i&gt;, p. 70.", "plainTextFormattedCitation" : "Hutcheon, Narcissistic Narrative, p. 70.", "previouslyFormattedCitation" : "Hutcheon, &lt;i&gt;Narcissistic Narrative&lt;/i&gt;, p. 70."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70.</w:t>
      </w:r>
      <w:r w:rsidRPr="00505CF0">
        <w:rPr>
          <w:rFonts w:asciiTheme="majorBidi" w:hAnsiTheme="majorBidi" w:cstheme="majorBidi"/>
        </w:rPr>
        <w:fldChar w:fldCharType="end"/>
      </w:r>
    </w:p>
  </w:footnote>
  <w:footnote w:id="726">
    <w:p w14:paraId="67BFC794" w14:textId="711AC47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"2", "uris" : [ "http://www.mendeley.com/documents/?uuid=a8705ee1-9026-451b-ba5f-4e8bbc1b26ad" ] } ], "mendeley" : { "formattedCitation" : "Currie, p. 2.", "plainTextFormattedCitation" : "Currie, p. 2.", "previouslyFormattedCitation" : "Currie, p. 2."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2.</w:t>
      </w:r>
      <w:r w:rsidRPr="00505CF0">
        <w:rPr>
          <w:rFonts w:asciiTheme="majorBidi" w:hAnsiTheme="majorBidi" w:cstheme="majorBidi"/>
        </w:rPr>
        <w:fldChar w:fldCharType="end"/>
      </w:r>
    </w:p>
  </w:footnote>
  <w:footnote w:id="727">
    <w:p w14:paraId="43585441" w14:textId="1BCF87E8"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"30", "uris" : [ "http://www.mendeley.com/documents/?uuid=515114e2-6c90-3c62-b09f-f0aac09ea54e" ] } ], "mendeley" : { "formattedCitation" : "Alter, p. 30.", "plainTextFormattedCitation" : "Alter, p. 30.", "previouslyFormattedCitation" : "Alter, p. 30."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30.</w:t>
      </w:r>
      <w:r w:rsidRPr="00505CF0">
        <w:rPr>
          <w:rFonts w:asciiTheme="majorBidi" w:hAnsiTheme="majorBidi" w:cstheme="majorBidi"/>
        </w:rPr>
        <w:fldChar w:fldCharType="end"/>
      </w:r>
    </w:p>
  </w:footnote>
  <w:footnote w:id="728">
    <w:p w14:paraId="2EA51323" w14:textId="3E997C07"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"11", "uris" : [ "http://www.mendeley.com/documents/?uuid=eae08ef5-f988-4315-ab15-b3f1da5496d8" ] } ], "mendeley" : { "formattedCitation" : "Waugh, p. 11.", "plainTextFormattedCitation" : "Waugh, p. 11.", "previouslyFormattedCitation" : "Waugh, p. 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11.</w:t>
      </w:r>
      <w:r w:rsidRPr="00505CF0">
        <w:rPr>
          <w:rFonts w:asciiTheme="majorBidi" w:hAnsiTheme="majorBidi" w:cstheme="majorBidi"/>
        </w:rPr>
        <w:fldChar w:fldCharType="end"/>
      </w:r>
    </w:p>
  </w:footnote>
  <w:footnote w:id="729">
    <w:p w14:paraId="0DDBF12C" w14:textId="5F6F1C00"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"Hopper", "given" : "Keith", "non-dropping-particle" : "", "parse-names" : false, "suffix" : "" } ], "edition" : "2", "id" : "ITEM-1", "issued" : { "date-parts" : [ [ "2009" ] ] }, "note" : "Through criticism, we can discover cultural ideology, and the way that literature's slice-of-life slices into our own lives. p.3", "publisher" : "Cork University Press", "publisher-place" : "Cork", "title" : "Flann O Brien: A Portrait of the Artist as a Young Post-Modernist", "type" : "book" }, "locator" : "3", "uris" : [ "http://www.mendeley.com/documents/?uuid=0b047ad9-3eba-4747-9e0f-930c34fe7376" ] } ], "mendeley" : { "formattedCitation" : "Keith Hopper, &lt;i&gt;Flann O Brien: A Portrait of the Artist as a Young Post-Modernist&lt;/i&gt;, 2nd edn (Cork: Cork University Press, 2009), p. 3.", "plainTextFormattedCitation" : "Keith Hopper, Flann O Brien: A Portrait of the Artist as a Young Post-Modernist, 2nd edn (Cork: Cork University Press, 2009), p. 3.", "previouslyFormattedCitation" : "Keith Hopper, &lt;i&gt;Flann O Brien: A Portrait of the Artist as a Young Post-Modernist&lt;/i&gt;, 2nd edn (Cork: Cork University Press, 2009), p. 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Keith Hopper, </w:t>
      </w:r>
      <w:r w:rsidRPr="00505CF0">
        <w:rPr>
          <w:rFonts w:asciiTheme="majorBidi" w:hAnsiTheme="majorBidi" w:cstheme="majorBidi"/>
          <w:i/>
          <w:noProof/>
        </w:rPr>
        <w:t>Flann O Brien: A Portrait of the Artist as a Young Post-Modernist</w:t>
      </w:r>
      <w:r w:rsidRPr="00505CF0">
        <w:rPr>
          <w:rFonts w:asciiTheme="majorBidi" w:hAnsiTheme="majorBidi" w:cstheme="majorBidi"/>
          <w:noProof/>
        </w:rPr>
        <w:t>, 2nd edn (Cork: Cork University Press, 2009), p. 3.</w:t>
      </w:r>
      <w:r w:rsidRPr="00505CF0">
        <w:rPr>
          <w:rFonts w:asciiTheme="majorBidi" w:hAnsiTheme="majorBidi" w:cstheme="majorBidi"/>
        </w:rPr>
        <w:fldChar w:fldCharType="end"/>
      </w:r>
    </w:p>
  </w:footnote>
  <w:footnote w:id="730">
    <w:p w14:paraId="49BFD517" w14:textId="1BBCF491"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"Bellipanni", "given" : "Jason", "non-dropping-particle" : "", "parse-names" : false, "suffix" : "" } ], "id" : "ITEM-1", "issued" : { "date-parts" : [ [ "2013" ] ] }, "note" : "One might even suggest that the narrative has been the most comforting meaning from our actions and those of others. p.9\n\nThe consequenes of metafiction expand beyond literature and directly into way in which we process and comprehend human experience. p.10", "publisher" : "Story Review Press", "publisher-place" : "Mont Vernon", "title" : "The Naked Story: Fiction about Fiction", "type" : "book" }, "locator" : "10", "uris" : [ "http://www.mendeley.com/documents/?uuid=e5481216-d827-4dcf-92d5-88a826fa3bd6" ] } ], "mendeley" : { "formattedCitation" : "Jason Bellipanni, &lt;i&gt;The Naked Story: Fiction about Fiction&lt;/i&gt; (Mont Vernon: Story Review Press, 2013), p. 10.", "plainTextFormattedCitation" : "Jason Bellipanni, The Naked Story: Fiction about Fiction (Mont Vernon: Story Review Press, 2013), p. 10.", "previouslyFormattedCitation" : "Jason Bellipanni, &lt;i&gt;The Naked Story: Fiction about Fiction&lt;/i&gt; (Mont Vernon: Story Review Press, 2013), p. 10."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Jason Bellipanni, </w:t>
      </w:r>
      <w:r w:rsidRPr="00505CF0">
        <w:rPr>
          <w:rFonts w:asciiTheme="majorBidi" w:hAnsiTheme="majorBidi" w:cstheme="majorBidi"/>
          <w:i/>
          <w:noProof/>
        </w:rPr>
        <w:t>The Naked Story: Fiction about Fiction</w:t>
      </w:r>
      <w:r w:rsidRPr="00505CF0">
        <w:rPr>
          <w:rFonts w:asciiTheme="majorBidi" w:hAnsiTheme="majorBidi" w:cstheme="majorBidi"/>
          <w:noProof/>
        </w:rPr>
        <w:t xml:space="preserve"> (Mont Vernon: Story Review Press, 2013), p. 10.</w:t>
      </w:r>
      <w:r w:rsidRPr="00505CF0">
        <w:rPr>
          <w:rFonts w:asciiTheme="majorBidi" w:hAnsiTheme="majorBidi" w:cstheme="majorBidi"/>
        </w:rPr>
        <w:fldChar w:fldCharType="end"/>
      </w:r>
    </w:p>
  </w:footnote>
  <w:footnote w:id="731">
    <w:p w14:paraId="5F5E9E5B" w14:textId="7CDEA442"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"47", "uris" : [ "http://www.mendeley.com/documents/?uuid=644ccc1d-bc87-4c39-b99b-12d03e60f09b" ] } ], "mendeley" : { "formattedCitation" : "Hutcheon, &lt;i&gt;Narcissistic Narrative&lt;/i&gt;, p. 47.", "plainTextFormattedCitation" : "Hutcheon, Narcissistic Narrative, p. 47.", "previouslyFormattedCitation" : "Hutcheon, &lt;i&gt;Narcissistic Narrative&lt;/i&gt;, p. 47."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47.</w:t>
      </w:r>
      <w:r w:rsidRPr="00505CF0">
        <w:rPr>
          <w:rFonts w:asciiTheme="majorBidi" w:hAnsiTheme="majorBidi" w:cstheme="majorBidi"/>
        </w:rPr>
        <w:fldChar w:fldCharType="end"/>
      </w:r>
    </w:p>
  </w:footnote>
  <w:footnote w:id="732">
    <w:p w14:paraId="4BEE0271" w14:textId="1BA29C8A"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"Hutcheon", "given" : "Linda", "non-dropping-particle" : "", "parse-names" : false, "suffix" : "" } ], "id" : "ITEM-1", "issued" : { "date-parts" : [ [ "1980" ] ] }, "note" : "The fiction that is discussed in narcissistic narrative is, in some dominant and constitutive way, self-referring or autorepresentational: it provides, within itself, a commentary on its own status as fiction and as language, and also on its own proicesses of production and reception. I have often wondered if this might one of the reasons why its didactic lessons have been so little heeded. Might metafiction, its self-analytic overtness, be pereceived as pre-empting the critic's role as commentator. xii\n\n...it would be foolish to deny that metafiction is today recognised as a manifestation of postmodernism. xiii\n\nNo attempt has been made to propose a comprehensive theory of metafiction. In the first place, any such theory would be reductive, much more reductive than any other theory of the novel in general. This is because the point of metafiction is that it constitutes its own first critical commentary, and in so doing, it will be argued, sets up the theoretical frame of reference in which it must be considered. 6\n\nOvertly narcissistic novels place fictionality, structure, or language at their content's core. They play with different ways of ordering, and allow (or force) the reader to learn how he makes sense of this literary world (if not his own real one). p.29\n\nOn this covert level, the self-reflection is implicit; that is to say, it is structuralized, internalized within the text. As a result, it is not neccesarily self-conscious. p.31\n\nCovert employs game models to create pleasure through assosciation, through the finding of specific codas of meanings. paraphrased from p.32-3\n\nCovert narcissistic texts share with all fantasy literature the ability to force the reader (not overtly ask him) to create a fictive imaginative world seperate from the empirical one in which he lives. p.32\n\nthe essentially eroric relationship of text and reader or of writer and reader is one of the overtly thematized subjects of John Barth's Chimera. but the erotic model can be actualizes covertly as well. The act of reading becomes both literally sunseual and meaphorically sexual in its proicess of uniting &amp;quot;All polarities&amp;quot; in Leaonard Choen's Beautiful Losers. p.33\n\nThe creative dynasmism and the delight in infinite interprative possibilites that once were the proerty of the writer are now shared by the reader in the process of conretizinjg the text he is reading. In overt narcissim this new role is taught; it is thematized. In the covert form, it is actualized. p.34\n\nThe reader must accept responsibiity for the act of decoding, the act of reading. Disturbed, defied, forced out of his complacency, he must self-consciously establish new codes in order to come to terms with new literary phenomena p.39. \n\nMetafiction is still fiction, despite the shift in focus of narration from the product it presents to the process it is. Auto-representation is still representation. p.39\n\nModern metafiction which thematizes its own fiction-making processes signals a contesting of &amp;quot;realism&amp;quot; of this kind. Perhaps it even means a return to what might be considered the mainstream of a tradition of narrative freedom, for it embodies its own theories demands to be taken on its own terms. The course of literary history is being altered, and, as always, it is being altered by the texts, not the critics. In fact, this new narcissistic fiction is allowing (is forcing?) a re-evaluation of the novels of the past, thanks to its challenging of the inadequate, reified critical notion of &amp;quot;realism&amp;quot; based on narrow product mimesis alone. p.39\n\nBy claiming that it is nothing but art, nothing but imaginitive creation, metafiction becomes more &amp;quot;vital&amp;quot;: it reflects the human imagination, instead of telling a secondhand tale about what might be real in quite another world. p.47\n\nIn much metafiction the reader is left with the impression that, since all fiction is a kind of parody of life, no matter how verisimilar it pretends to be, the most authentic and honest fiction might well be that which most freely acknowledges its fictionality. p.49\n\nSelf-refletive fiction, even in its most overt diegetic form, does not mean the death of the novel as a mimeti genre, but perhaps rather its salvation. p.70\n\nThere are obvious limits to the novels elasticity. It seems evident that a new genre - in theory and perhaps even in practice - has been born of the novel, but it would be more than premature to suggest that consequently the novel itself has died in childbirth - or expired, self-obsessed, by Narcissus' pool. p.137\n\n[...] self-conscious fiction tries actively to prevent even a temporary abandoning of human experiential responses, while also trying, it is true, siumultaenously to lure the reader into an overtly fictive universe. p.149\n\nThere can be no &amp;quot;theory&amp;quot; of metafiction, only &amp;quot;implications&amp;quot; for theory; each self-informing work internalizes its own critical context. To ignore that is to falsify the text itself. p.155", "publisher" : "Meuthen &amp; Co. Ltd", "publisher-place" : "London", "title" : "Narcissistic Narrative: the metafictional paradox", "title-short" : "Narcissistic Narrative", "type" : "book" }, "locator" : "39", "uris" : [ "http://www.mendeley.com/documents/?uuid=644ccc1d-bc87-4c39-b99b-12d03e60f09b" ] } ], "mendeley" : { "formattedCitation" : "Hutcheon, &lt;i&gt;Narcissistic Narrative&lt;/i&gt;, p. 39.", "plainTextFormattedCitation" : "Hutcheon, Narcissistic Narrative, p. 39.", "previouslyFormattedCitation" : "Hutcheon, &lt;i&gt;Narcissistic Narrative&lt;/i&gt;, p. 39."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 xml:space="preserve">Hutcheon, </w:t>
      </w:r>
      <w:r w:rsidRPr="00505CF0">
        <w:rPr>
          <w:rFonts w:asciiTheme="majorBidi" w:hAnsiTheme="majorBidi" w:cstheme="majorBidi"/>
          <w:i/>
          <w:noProof/>
        </w:rPr>
        <w:t>Narcissistic Narrative</w:t>
      </w:r>
      <w:r w:rsidRPr="00505CF0">
        <w:rPr>
          <w:rFonts w:asciiTheme="majorBidi" w:hAnsiTheme="majorBidi" w:cstheme="majorBidi"/>
          <w:noProof/>
        </w:rPr>
        <w:t>, p. 39.</w:t>
      </w:r>
      <w:r w:rsidRPr="00505CF0">
        <w:rPr>
          <w:rFonts w:asciiTheme="majorBidi" w:hAnsiTheme="majorBidi" w:cstheme="majorBidi"/>
        </w:rPr>
        <w:fldChar w:fldCharType="end"/>
      </w:r>
    </w:p>
  </w:footnote>
  <w:footnote w:id="733">
    <w:p w14:paraId="04E08CC9" w14:textId="44BF1415"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"Waugh", "given" : "Patricia", "non-dropping-particle" : "", "parse-names" : false, "suffix" : "" } ], "id" : "ITEM-1", "issued" : { "date-parts" : [ [ "1984" ] ] }, "note" : "Metafiction sets up an opposition, not to osensibly 'objective' facts in the 'real' world, but to the language of the realistic novel which has sustained and endorsed such a veiw of reality. p.11\n\nOstentatiously 'literary' language and conventions are paraded, are set against the fragments of various cultural codes, not because there is nothing to talk about, but because the formal structures of these literary conventions provide a statement about the dissociation between, on the one hand, the genuinely felt sense of crisis, alienation and opppression in contemporary society and, on the other, the continuance of traditional literary forms like realism which are no longer adequate vehicles for the mediation of this experience. p.11\n\nMetafiction thus converts what it sees as the negative values of outworn literary conventions into the basis of a potentially constructive social criticism. p.11\n\n[...]metafiction is not so much a sub-genre of the novel as a tendency within the novel which operates through exaggeration of the tensions and oppositions inherent in all novels. p.14", "publisher" : "Routledge", "publisher-place" : "London", "title" : "Metafiction", "type" : "book" }, "locator" : "11", "uris" : [ "http://www.mendeley.com/documents/?uuid=eae08ef5-f988-4315-ab15-b3f1da5496d8" ] } ], "mendeley" : { "formattedCitation" : "Waugh, p. 11.", "plainTextFormattedCitation" : "Waugh, p. 11.", "previouslyFormattedCitation" : "Waugh, p. 11."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Waugh, p. 11.</w:t>
      </w:r>
      <w:r w:rsidRPr="00505CF0">
        <w:rPr>
          <w:rFonts w:asciiTheme="majorBidi" w:hAnsiTheme="majorBidi" w:cstheme="majorBidi"/>
        </w:rPr>
        <w:fldChar w:fldCharType="end"/>
      </w:r>
    </w:p>
  </w:footnote>
  <w:footnote w:id="734">
    <w:p w14:paraId="3585A56E" w14:textId="6F08D66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"Alter", "given" : "Robert", "non-dropping-particle" : "", "parse-names" : false, "suffix" : "" } ], "id" : "ITEM-1", "issued" : { "date-parts" : [ [ "1975" ] ] }, "note" : "Despite being written 5 years after the coining of Metafiction, Alter managed to define the genre without using the appropriate label.\n\npreface xi- a fully self-conscious novel, however, is one in which from begining to end, through the style, the handling of narrative viewpoint, the names and words imposed on the characters, the patterning of the narration, the nature of the characters and what befalls them, there is a consistent effort to convey to us a sense of the fictional world as an authorial construct set up against a background of literary tradition and convention.\n\none of the characterstic reflextes of the self-conscious novel is to flaunt 'naive' narrative devices, rescuing their usability by exposing their contrivance, working them into a highly patterned narraton which reminds us that all representations of reality are, necessarily, stylizations. p.30\n\nNow, in the self-conscious novel the act of fiction always implies an act of literary criticism, but, broadly speaking, it may move either outward, to the society that supplies the materials for literary representation and that tries to dictate literary convention, or inward, to the experiencing mind that gives the literary artifact whatever life it can have. p.81\n\nFrom such radical skepticism about the relation between language and truth, there are two possible practial consequences. One may throw up one's hands in despair and abandon the enterprise of the novel in the recognition that all writing is lying and writing fiction is lying raised to the second power. The one obvious alternative is parody. [...] The parodistic novel, exploding the absurdities of previois literary conventions as it unfolds, effects a kind of dialectic refinement and correction of lying, edging us toward the perception od certain truths about the manipulation of language, about character, about human nature, perhaps even about the kind of social world we inhabit. The solution of parody, to be sure, is neither entirely comfortable nor stable. p.158\n\nNabakov, though at times troubled or intrigued by the idea of solipsism, is finally an antisolipsist, and here [...] he clearly sees that one's dreams, however beautiful, may make someone else their helpless victim if they are one's only chart to a human reality that is, after all, peopled by many souls, each with its own needs and perogatives. p.213\n\nOur culture, a kind of Faust at the mirror of Narcissus, is more and more driven to uncover the roots of wwhat it lives with most basically - language and its origins, human sexuality, the workings of the psyche, the inherited structures of the mind, the underlying patterns of social organization, the sources of value and belief and, of course, the nature of art. p.220", "publisher" : "University of California Press", "publisher-place" : "London", "title" : "Partial Magic; The novel as a self-conscious genre", "title-short" : "Partial Magic", "type" : "book" }, "locator" : "81", "uris" : [ "http://www.mendeley.com/documents/?uuid=515114e2-6c90-3c62-b09f-f0aac09ea54e" ] } ], "mendeley" : { "formattedCitation" : "Alter, p. 81.", "plainTextFormattedCitation" : "Alter, p. 81.", "previouslyFormattedCitation" : "Alter, p. 81."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Alter, p. 81.</w:t>
      </w:r>
      <w:r w:rsidRPr="00505CF0">
        <w:rPr>
          <w:rFonts w:asciiTheme="majorBidi" w:hAnsiTheme="majorBidi" w:cstheme="majorBidi"/>
        </w:rPr>
        <w:fldChar w:fldCharType="end"/>
      </w:r>
    </w:p>
  </w:footnote>
  <w:footnote w:id="735">
    <w:p w14:paraId="63283F75" w14:textId="07403A06"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"Currie", "given" : "Mark", "non-dropping-particle" : "", "parse-names" : false, "suffix" : "" } ], "editor" : [ { "dropping-particle" : "", "family" : "Currie", "given" : "Mark", "non-dropping-particle" : "", "parse-names" : false, "suffix" : "" } ], "id" : "ITEM-1", "issued" : { "date-parts" : [ [ "1995" ] ] }, "note" : "the idea of self-consciousness is strangely inconsistent with most postmodern literary theories, which would attribute neither selfhood nor consciousness to an author, let alone a work of fiction. p.1\n\n[Metafiction is] a borderline discourse, [...] a kind of writing which places itself on the border between fiction and criticism. Far from being some marinal no-man's-land, this deginition gives metafiction a central importance in the projects of literary modernity, postmodernity and theory which have taken this bordlerline as a rimary source of energy. p.2\n\nThe critical self-consciousness of metafiction once seemed to announce the deah of the novel, appeared to be a decacent response to its exhausted responsabilites, but now seems like an unlimited vitality: what was once thought introspectivr and self-referential is in fact outward looking. p.2\n\nmetafiction is not the only kind of postmodern fiction, and nor is it an exclusively postmodern kind of fiction. It is neither a paradisgm nor a subset of postmodernism [...] metafiction cannot be definied essentially without proposing a categorical seperation of literary types and critical constructions; and postmodernism is equally undefinable without some authoirty that could arbitrate between its meamings as a kind of art, an historical period, or some total ideological and political condition. p.15", "publisher" : "Longman Publishing Group", "publisher-place" : "Harlow", "title" : "Metafiction", "type" : "book" }, "locator" : "15", "uris" : [ "http://www.mendeley.com/documents/?uuid=a8705ee1-9026-451b-ba5f-4e8bbc1b26ad" ] } ], "mendeley" : { "formattedCitation" : "Currie, p. 15.", "plainTextFormattedCitation" : "Currie, p. 15.", "previouslyFormattedCitation" : "Currie, p. 15."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Currie, p. 15.</w:t>
      </w:r>
      <w:r w:rsidRPr="00505CF0">
        <w:rPr>
          <w:rFonts w:asciiTheme="majorBidi" w:hAnsiTheme="majorBidi" w:cstheme="majorBidi"/>
        </w:rPr>
        <w:fldChar w:fldCharType="end"/>
      </w:r>
    </w:p>
  </w:footnote>
  <w:footnote w:id="736">
    <w:p w14:paraId="1A1744D2" w14:textId="6CB602E6" w:rsidR="00054009" w:rsidRPr="00FE7EAF"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"Levinson", "given" : "Julie", "non-dropping-particle" : "", "parse-names" : false, "suffix" : "" } ], "container-title" : "Genre LX", "id" : "ITEM-1", "issued" : { "date-parts" : [ [ "2007" ] ] }, "note" : "Metafictions hold a mirror up to their own processes and turn their gaze back on themselves, giving us a double vision of both the product of the creator's endeavors (the story told) and the processes that go into creating that product (the storytelling). these narratives add one more ingredient to the Platonic recipe of mimesis (showing) and diegesis (telling) by also containing their own exegesis (explaining or analyzing). Indeed, they conflate all three modes, as interpretation and criticism become immanent within fiction. 158-9\n\nThe creatuve process itself is their subject, as they assign themselves the double task of presenting absorbing tales and then challenging the validity of our absoption in fictional constructs. p.159\n\n(metafiction as only reflective of its nemesis- realism)- Wheras the putatively realist work strives to be as mimetic as possibole, pretending only tro describe and record, and thereby dishuising its arbitrariness and incompleteness, metafiction calls attention to these limitations, admitting that it creates and constructs experience as much as it reflects it. p.159\n\nIn a metafictive work, we are, at turns, pulled centripetally inward by the plot and centrifugally outward by the narratological musings that overlay the events being narrated and thereby acknowledge theartifice of stories. We are simultaneously caught up in the narrative experience and exposed to the ruses of that experience and its questionable correspondence to what it intends to signify p.159", "page" : "157-180", "title" : "Adaptation, Metafiction, Self-Creation", "type" : "article-journal", "volume" : "Spring/Sum" }, "locator" : "159", "uris" : [ "http://www.mendeley.com/documents/?uuid=ea4afaf5-d412-477a-a297-419d250a457f" ] } ], "mendeley" : { "formattedCitation" : "Levinson, p. 159.", "plainTextFormattedCitation" : "Levinson, p. 159.", "previouslyFormattedCitation" : "Levinson, p. 159."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rPr>
        <w:t>Levinson, p. 159.</w:t>
      </w:r>
      <w:r w:rsidRPr="00505CF0">
        <w:rPr>
          <w:rFonts w:asciiTheme="majorBidi" w:hAnsiTheme="majorBidi" w:cstheme="majorBidi"/>
        </w:rPr>
        <w:fldChar w:fldCharType="end"/>
      </w:r>
      <w:r w:rsidRPr="00FE7EAF">
        <w:rPr>
          <w:rFonts w:asciiTheme="majorBidi" w:hAnsiTheme="majorBidi" w:cstheme="majorBidi"/>
        </w:rPr>
        <w:t xml:space="preserve"> </w:t>
      </w:r>
    </w:p>
  </w:footnote>
  <w:footnote w:id="737">
    <w:p w14:paraId="09B7F38D" w14:textId="104DF1EC" w:rsidR="00054009" w:rsidRPr="00C24ACB" w:rsidRDefault="00054009" w:rsidP="0025171E">
      <w:pPr>
        <w:pStyle w:val="FootnoteText"/>
        <w:rPr>
          <w:rFonts w:asciiTheme="majorBidi" w:hAnsiTheme="majorBidi" w:cstheme="majorBidi"/>
        </w:rPr>
      </w:pPr>
      <w:r w:rsidRPr="00505CF0">
        <w:rPr>
          <w:rStyle w:val="FootnoteReference"/>
          <w:rFonts w:asciiTheme="majorBidi" w:hAnsiTheme="majorBidi" w:cstheme="majorBidi"/>
        </w:rPr>
        <w:footnoteRef/>
      </w:r>
      <w:r w:rsidRPr="00C24ACB">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"James", "given" : "David", "non-dropping-particle" : "", "parse-names" : false, "suffix" : "" } ], "container-title" : "Twentieth-Century Literature", "id" : "ITEM-1", "issue" : "3/4", "issued" : { "date-parts" : [ [ "2011" ] ] }, "note" : "Faced with a ruleless medium that apprently exceeds the systematization of craft but that nonethelless requires the writer give systematic attention to pushing the envelope of her own technoque, wouldn't it be appropriate to find a compromise? 492\n\n[metafiction is] a historically specific response by contemporary novelists to the legacies of postmodernism. 493\n\nA generation of writers working through and beyond the postmodern are practicing what Ian McEwan calls &amp;quot;some kind og balance between a fiction that is self-reflective on its own processes, and one that has a foreward impetus too&amp;quot;. p.493\n\nmight it vbe the case that metafiction's will-to self-exposure has motivated a new wuill-to reconnect what a novel does with what it shows, insofar as the postmodernist credo of playful &amp;quot;revelation,&amp;quot; as Kim Herzinger characterized it, &amp;quot;once declared [has] made evberything possible, including a return to story, character, and the conventions of representation&amp;quot;? p.494\n\nthe reassertion of integrity in face of postmodern tactics of mischievous self-dissection. p.497", "page" : "492-515", "title" : "Integrity after Metafiction", "type" : "article-journal", "volume" : "57" }, "locator" : "493", "uris" : [ "http://www.mendeley.com/documents/?uuid=bb16be6a-a119-420a-8eee-67efb561ece0" ] } ], "mendeley" : { "formattedCitation" : "David James, \u2018Integrity after Metafiction\u2019, &lt;i&gt;Twentieth-Century Literature&lt;/i&gt;, 57 (2011), 492\u2013515 (p. 493).", "plainTextFormattedCitation" : "David James, \u2018Integrity after Metafiction\u2019, Twentieth-Century Literature, 57 (2011), 492\u2013515 (p. 493).", "previouslyFormattedCitation" : "David James, \u2018Integrity after Metafiction\u2019, &lt;i&gt;Twentieth-Century Literature&lt;/i&gt;, 57 (2011), 492\u2013515 (p. 493)." }, "properties" : { "noteIndex" : 0 }, "schema" : "https://github.com/citation-style-language/schema/raw/master/csl-citation.json" }</w:instrText>
      </w:r>
      <w:r w:rsidRPr="00505CF0">
        <w:rPr>
          <w:rFonts w:asciiTheme="majorBidi" w:hAnsiTheme="majorBidi" w:cstheme="majorBidi"/>
        </w:rPr>
        <w:fldChar w:fldCharType="separate"/>
      </w:r>
      <w:r w:rsidRPr="0025171E">
        <w:rPr>
          <w:rFonts w:asciiTheme="majorBidi" w:hAnsiTheme="majorBidi" w:cstheme="majorBidi"/>
          <w:noProof/>
        </w:rPr>
        <w:t xml:space="preserve">David James, ‘Integrity after Metafiction’, </w:t>
      </w:r>
      <w:r w:rsidRPr="0025171E">
        <w:rPr>
          <w:rFonts w:asciiTheme="majorBidi" w:hAnsiTheme="majorBidi" w:cstheme="majorBidi"/>
          <w:i/>
          <w:noProof/>
        </w:rPr>
        <w:t>Twentieth-Century Literature</w:t>
      </w:r>
      <w:r w:rsidRPr="0025171E">
        <w:rPr>
          <w:rFonts w:asciiTheme="majorBidi" w:hAnsiTheme="majorBidi" w:cstheme="majorBidi"/>
          <w:noProof/>
        </w:rPr>
        <w:t>, 57 (2011), 492–515 (p. 493).</w:t>
      </w:r>
      <w:r w:rsidRPr="00505CF0">
        <w:rPr>
          <w:rFonts w:asciiTheme="majorBidi" w:hAnsiTheme="majorBidi" w:cstheme="majorBidi"/>
        </w:rPr>
        <w:fldChar w:fldCharType="end"/>
      </w:r>
    </w:p>
  </w:footnote>
  <w:footnote w:id="738">
    <w:p w14:paraId="710711BB" w14:textId="178D305A" w:rsidR="00054009" w:rsidRPr="00505CF0" w:rsidRDefault="00054009" w:rsidP="00C111D3">
      <w:pPr>
        <w:pStyle w:val="FootnoteText"/>
        <w:rPr>
          <w:rFonts w:asciiTheme="majorBidi" w:hAnsiTheme="majorBidi" w:cstheme="majorBidi"/>
          <w:lang w:val="fr-FR"/>
        </w:rPr>
      </w:pPr>
      <w:r w:rsidRPr="00505CF0">
        <w:rPr>
          <w:rStyle w:val="FootnoteReference"/>
          <w:rFonts w:asciiTheme="majorBidi" w:hAnsiTheme="majorBidi" w:cstheme="majorBidi"/>
        </w:rPr>
        <w:footnoteRef/>
      </w:r>
      <w:r w:rsidRPr="00505CF0">
        <w:rPr>
          <w:rFonts w:asciiTheme="majorBidi" w:hAnsiTheme="majorBidi" w:cstheme="majorBidi"/>
          <w:lang w:val="fr-FR"/>
        </w:rPr>
        <w:t xml:space="preserve"> </w:t>
      </w:r>
      <w:r w:rsidRPr="00505CF0">
        <w:rPr>
          <w:rFonts w:asciiTheme="majorBidi" w:hAnsiTheme="majorBidi" w:cstheme="majorBidi"/>
        </w:rPr>
        <w:fldChar w:fldCharType="begin" w:fldLock="1"/>
      </w:r>
      <w:r>
        <w:rPr>
          <w:rFonts w:asciiTheme="majorBidi" w:hAnsiTheme="majorBidi" w:cstheme="majorBidi"/>
          <w:lang w:val="fr-FR"/>
        </w:rPr>
        <w:instrText>ADDIN CSL_CITATION { "citationItems" : [ { "id" : "ITEM-1", "itemData" : { "author" : [ { "dropping-particle" : "", "family" : "James", "given" : "David", "non-dropping-particle" : "", "parse-names" : false, "suffix" : "" } ], "container-title" : "Twentieth-Century Literature", "id" : "ITEM-1", "issue" : "3/4", "issued" : { "date-parts" : [ [ "2011" ] ] }, "note" : "Faced with a ruleless medium that apprently exceeds the systematization of craft but that nonethelless requires the writer give systematic attention to pushing the envelope of her own technoque, wouldn't it be appropriate to find a compromise? 492\n\n[metafiction is] a historically specific response by contemporary novelists to the legacies of postmodernism. 493\n\nA generation of writers working through and beyond the postmodern are practicing what Ian McEwan calls &amp;quot;some kind og balance between a fiction that is self-reflective on its own processes, and one that has a foreward impetus too&amp;quot;. p.493\n\nmight it vbe the case that metafiction's will-to self-exposure has motivated a new wuill-to reconnect what a novel does with what it shows, insofar as the postmodernist credo of playful &amp;quot;revelation,&amp;quot; as Kim Herzinger characterized it, &amp;quot;once declared [has] made evberything possible, including a return to story, character, and the conventions of representation&amp;quot;? p.494\n\nthe reassertion of integrity in face of postmodern tactics of mischievous self-dissection. p.497", "page" : "492-515", "title" : "Integrity after Metafiction", "type" : "article-journal", "volume" : "57" }, "locator" : "493", "uris" : [ "http://www.mendeley.com/documents/?uuid=bb16be6a-a119-420a-8eee-67efb561ece0" ] } ], "mendeley" : { "formattedCitation" : "James, p. 493.", "plainTextFormattedCitation" : "James, p. 493.", "previouslyFormattedCitation" : "James, p. 493."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lang w:val="fr-FR"/>
        </w:rPr>
        <w:t>James, p. 493.</w:t>
      </w:r>
      <w:r w:rsidRPr="00505CF0">
        <w:rPr>
          <w:rFonts w:asciiTheme="majorBidi" w:hAnsiTheme="majorBidi" w:cstheme="majorBidi"/>
        </w:rPr>
        <w:fldChar w:fldCharType="end"/>
      </w:r>
    </w:p>
  </w:footnote>
  <w:footnote w:id="739">
    <w:p w14:paraId="374024E6" w14:textId="0B6FC486" w:rsidR="00054009" w:rsidRPr="00FE7EAF" w:rsidRDefault="00054009" w:rsidP="00C111D3">
      <w:pPr>
        <w:pStyle w:val="FootnoteText"/>
        <w:rPr>
          <w:rFonts w:asciiTheme="majorBidi" w:hAnsiTheme="majorBidi" w:cstheme="majorBidi"/>
          <w:lang w:val="fr-FR"/>
        </w:rPr>
      </w:pPr>
      <w:r w:rsidRPr="00505CF0">
        <w:rPr>
          <w:rStyle w:val="FootnoteReference"/>
          <w:rFonts w:asciiTheme="majorBidi" w:hAnsiTheme="majorBidi" w:cstheme="majorBidi"/>
        </w:rPr>
        <w:footnoteRef/>
      </w:r>
      <w:r w:rsidRPr="00FE7EAF">
        <w:rPr>
          <w:rFonts w:asciiTheme="majorBidi" w:hAnsiTheme="majorBidi" w:cstheme="majorBidi"/>
          <w:lang w:val="fr-FR"/>
        </w:rPr>
        <w:t xml:space="preserve"> </w:t>
      </w:r>
      <w:r w:rsidRPr="00505CF0">
        <w:rPr>
          <w:rFonts w:asciiTheme="majorBidi" w:hAnsiTheme="majorBidi" w:cstheme="majorBidi"/>
        </w:rPr>
        <w:fldChar w:fldCharType="begin" w:fldLock="1"/>
      </w:r>
      <w:r w:rsidRPr="00FE7EAF">
        <w:rPr>
          <w:rFonts w:asciiTheme="majorBidi" w:hAnsiTheme="majorBidi" w:cstheme="majorBidi"/>
          <w:lang w:val="fr-FR"/>
        </w:rPr>
        <w:instrText>ADDIN CSL_CITATION { "citationItems" : [ { "id" : "ITEM-1", "itemData" : { "author" : [ { "dropping-particle" : "", "family" : "James", "given" : "David", "non-dropping-particle" : "", "parse-names" : false, "suffix" : "" } ], "container-title" : "Twentieth-Century Literature", "id" : "ITEM-1", "issue" : "3/4", "issued" : { "date-parts" : [ [ "2011" ] ] }, "note" : "Faced with a ruleless medium that apprently exceeds the systematization of craft but that nonethelless requires the writer give systematic attention to pushing the envelope of her own technoque, wouldn't it be appropriate to find a compromise? 492\n\n[metafiction is] a historically specific response by contemporary novelists to the legacies of postmodernism. 493\n\nA generation of writers working through and beyond the postmodern are practicing what Ian McEwan calls &amp;quot;some kind og balance between a fiction that is self-reflective on its own processes, and one that has a foreward impetus too&amp;quot;. p.493\n\nmight it vbe the case that metafiction's will-to self-exposure has motivated a new wuill-to reconnect what a novel does with what it shows, insofar as the postmodernist credo of playful &amp;quot;revelation,&amp;quot; as Kim Herzinger characterized it, &amp;quot;once declared [has] made evberything possible, including a return to story, character, and the conventions of representation&amp;quot;? p.494\n\nthe reassertion of integrity in face of postmodern tactics of mischievous self-dissection. p.497", "page" : "492-515", "title" : "Integrity after Metafiction", "type" : "article-journal", "volume" : "57" }, "locator" : "493", "prefix" : "Ian McEwan in", "uris" : [ "http://www.mendeley.com/documents/?uuid=bb16be6a-a119-420a-8eee-67efb561ece0" ] } ], "mendeley" : { "formattedCitation" : "Ian McEwan in James, p. 493.", "plainTextFormattedCitation" : "Ian McEwan in James, p. 493.", "previouslyFormattedCitation" : "Ian McEwan in James, p. 493." }, "properties" : { "noteIndex" : 0 }, "schema" : "https://github.com/citation-style-language/schema/raw/master/csl-citation.json" }</w:instrText>
      </w:r>
      <w:r w:rsidRPr="00505CF0">
        <w:rPr>
          <w:rFonts w:asciiTheme="majorBidi" w:hAnsiTheme="majorBidi" w:cstheme="majorBidi"/>
        </w:rPr>
        <w:fldChar w:fldCharType="separate"/>
      </w:r>
      <w:r w:rsidRPr="00FE7EAF">
        <w:rPr>
          <w:rFonts w:asciiTheme="majorBidi" w:hAnsiTheme="majorBidi" w:cstheme="majorBidi"/>
          <w:noProof/>
          <w:lang w:val="fr-FR"/>
        </w:rPr>
        <w:t>Ian McEwan in James, p. 493.</w:t>
      </w:r>
      <w:r w:rsidRPr="00505CF0">
        <w:rPr>
          <w:rFonts w:asciiTheme="majorBidi" w:hAnsiTheme="majorBidi" w:cstheme="majorBidi"/>
        </w:rPr>
        <w:fldChar w:fldCharType="end"/>
      </w:r>
    </w:p>
  </w:footnote>
  <w:footnote w:id="740">
    <w:p w14:paraId="32D47009" w14:textId="44DF0F5C"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Pr>
          <w:rFonts w:asciiTheme="majorBidi" w:hAnsiTheme="majorBidi" w:cstheme="majorBidi"/>
          <w:i/>
          <w:iCs/>
        </w:rPr>
        <w:t>ACO</w:t>
      </w:r>
      <w:r w:rsidRPr="00505CF0">
        <w:rPr>
          <w:rFonts w:asciiTheme="majorBidi" w:hAnsiTheme="majorBidi" w:cstheme="majorBidi"/>
          <w:i/>
          <w:iCs/>
        </w:rPr>
        <w:t>:</w:t>
      </w:r>
      <w:r w:rsidRPr="00505CF0">
        <w:rPr>
          <w:rFonts w:asciiTheme="majorBidi" w:hAnsiTheme="majorBidi" w:cstheme="majorBidi"/>
        </w:rPr>
        <w:t xml:space="preserve"> </w:t>
      </w:r>
      <w:r w:rsidRPr="00505CF0">
        <w:rPr>
          <w:rFonts w:asciiTheme="majorBidi" w:hAnsiTheme="majorBidi" w:cstheme="majorBidi"/>
          <w:i/>
          <w:iCs/>
        </w:rPr>
        <w:t>In the famous painting by E.B. Woodhein, Southward sits with an ink pen in mouth, a blush upon his cheeks as he contemplates the word on a canvas before him. Of course, the phrase was meant with a touch of humour and sincerity, as was his wont, but still he was well known to have been embarrassed about this until the very end of his life, wherein – between screams and blood and knives – he profusely apologised for the word.</w:t>
      </w:r>
      <w:r>
        <w:rPr>
          <w:rFonts w:asciiTheme="majorBidi" w:hAnsiTheme="majorBidi" w:cstheme="majorBidi"/>
          <w:i/>
          <w:iCs/>
        </w:rPr>
        <w:t xml:space="preserve"> I sit now in similar pose. The door will not last long against their assaults. If you should happen to find th</w:t>
      </w:r>
    </w:p>
  </w:footnote>
  <w:footnote w:id="741">
    <w:p w14:paraId="1ADAD300" w14:textId="6CF233E4" w:rsidR="00054009" w:rsidRPr="00505CF0" w:rsidRDefault="00054009" w:rsidP="00C111D3">
      <w:pPr>
        <w:pStyle w:val="FootnoteText"/>
        <w:rPr>
          <w:rFonts w:asciiTheme="majorBidi" w:hAnsiTheme="majorBidi" w:cstheme="majorBidi"/>
        </w:rPr>
      </w:pPr>
      <w:r w:rsidRPr="00505CF0">
        <w:rPr>
          <w:rStyle w:val="FootnoteReference"/>
          <w:rFonts w:asciiTheme="majorBidi" w:hAnsiTheme="majorBidi" w:cstheme="majorBidi"/>
        </w:rPr>
        <w:footnoteRef/>
      </w:r>
      <w:r w:rsidRPr="00505CF0">
        <w:rPr>
          <w:rFonts w:asciiTheme="majorBidi" w:hAnsiTheme="majorBidi" w:cstheme="majorBidi"/>
        </w:rPr>
        <w:t xml:space="preserve"> </w:t>
      </w:r>
      <w:r w:rsidRPr="00505CF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"Flanagan", "given" : "Richard", "non-dropping-particle" : "", "parse-names" : false, "suffix" : "" } ], "id" : "ITEM-1", "issued" : { "date-parts" : [ [ "2014" ] ] }, "publisher" : "Atlantic Books", "publisher-place" : "London", "title" : "Gould's Book of Fish", "type" : "book" }, "locator" : "33", "uris" : [ "http://www.mendeley.com/documents/?uuid=f63b9f5d-3864-4c8a-a803-d7b88a369d0e" ] } ], "mendeley" : { "formattedCitation" : "Flanagan, p. 33.", "plainTextFormattedCitation" : "Flanagan, p. 33.", "previouslyFormattedCitation" : "Flanagan, p. 33." }, "properties" : { "noteIndex" : 0 }, "schema" : "https://github.com/citation-style-language/schema/raw/master/csl-citation.json" }</w:instrText>
      </w:r>
      <w:r w:rsidRPr="00505CF0">
        <w:rPr>
          <w:rFonts w:asciiTheme="majorBidi" w:hAnsiTheme="majorBidi" w:cstheme="majorBidi"/>
        </w:rPr>
        <w:fldChar w:fldCharType="separate"/>
      </w:r>
      <w:r w:rsidRPr="00505CF0">
        <w:rPr>
          <w:rFonts w:asciiTheme="majorBidi" w:hAnsiTheme="majorBidi" w:cstheme="majorBidi"/>
          <w:noProof/>
        </w:rPr>
        <w:t>Flanagan, p. 33.</w:t>
      </w:r>
      <w:r w:rsidRPr="00505CF0">
        <w:rPr>
          <w:rFonts w:asciiTheme="majorBidi" w:hAnsiTheme="majorBidi"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59270"/>
      <w:docPartObj>
        <w:docPartGallery w:val="Page Numbers (Top of Page)"/>
        <w:docPartUnique/>
      </w:docPartObj>
    </w:sdtPr>
    <w:sdtEndPr>
      <w:rPr>
        <w:noProof/>
      </w:rPr>
    </w:sdtEndPr>
    <w:sdtContent>
      <w:p w14:paraId="16F1672D" w14:textId="6B4968CB" w:rsidR="00054009" w:rsidRDefault="00054009">
        <w:pPr>
          <w:pStyle w:val="Header"/>
          <w:jc w:val="right"/>
        </w:pPr>
        <w:r>
          <w:fldChar w:fldCharType="begin"/>
        </w:r>
        <w:r w:rsidRPr="008C58E8">
          <w:instrText xml:space="preserve"> PAGE   \* MERGEFORMAT </w:instrText>
        </w:r>
        <w:r>
          <w:fldChar w:fldCharType="separate"/>
        </w:r>
        <w:r w:rsidR="008C58E8">
          <w:rPr>
            <w:noProof/>
          </w:rPr>
          <w:t>- 6 -</w:t>
        </w:r>
        <w:r>
          <w:rPr>
            <w:noProof/>
          </w:rPr>
          <w:fldChar w:fldCharType="end"/>
        </w:r>
      </w:p>
    </w:sdtContent>
  </w:sdt>
  <w:p w14:paraId="6CECDED1" w14:textId="77777777" w:rsidR="00054009" w:rsidRDefault="000540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D019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2D0421B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42156DAC"/>
    <w:multiLevelType w:val="hybridMultilevel"/>
    <w:tmpl w:val="AAE478D6"/>
    <w:lvl w:ilvl="0" w:tplc="3C501B94">
      <w:start w:val="3"/>
      <w:numFmt w:val="bullet"/>
      <w:lvlText w:val="-"/>
      <w:lvlJc w:val="left"/>
      <w:pPr>
        <w:ind w:left="720" w:hanging="360"/>
      </w:pPr>
      <w:rPr>
        <w:rFonts w:ascii="Times New Roman" w:eastAsia="Times New Roman" w:hAnsi="Times New Roman" w:cs="Times New Roman"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B95995"/>
    <w:multiLevelType w:val="hybridMultilevel"/>
    <w:tmpl w:val="69148E02"/>
    <w:lvl w:ilvl="0" w:tplc="162A9D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A35F94"/>
    <w:multiLevelType w:val="multilevel"/>
    <w:tmpl w:val="7318BD74"/>
    <w:lvl w:ilvl="0">
      <w:start w:val="1"/>
      <w:numFmt w:val="decimal"/>
      <w:lvlText w:val="%1."/>
      <w:lvlJc w:val="left"/>
      <w:pPr>
        <w:ind w:left="720" w:hanging="360"/>
      </w:pPr>
      <w:rPr>
        <w:rFonts w:asciiTheme="majorBidi" w:eastAsia="Times New Roman" w:hAnsiTheme="majorBidi" w:cstheme="majorBidi"/>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504522C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61C454AD"/>
    <w:multiLevelType w:val="hybridMultilevel"/>
    <w:tmpl w:val="587A9876"/>
    <w:lvl w:ilvl="0" w:tplc="122808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7D069B9"/>
    <w:multiLevelType w:val="multilevel"/>
    <w:tmpl w:val="5B30B4C8"/>
    <w:lvl w:ilvl="0">
      <w:start w:val="2"/>
      <w:numFmt w:val="decimal"/>
      <w:lvlText w:val="%1."/>
      <w:lvlJc w:val="left"/>
      <w:pPr>
        <w:ind w:left="780" w:hanging="4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640" w:hanging="1080"/>
      </w:pPr>
      <w:rPr>
        <w:rFonts w:hint="default"/>
      </w:rPr>
    </w:lvl>
    <w:lvl w:ilvl="5">
      <w:start w:val="1"/>
      <w:numFmt w:val="decimal"/>
      <w:lvlText w:val="%1.%2.%3.%4.%5.%6."/>
      <w:lvlJc w:val="left"/>
      <w:pPr>
        <w:ind w:left="10800" w:hanging="1440"/>
      </w:pPr>
      <w:rPr>
        <w:rFonts w:hint="default"/>
      </w:rPr>
    </w:lvl>
    <w:lvl w:ilvl="6">
      <w:start w:val="1"/>
      <w:numFmt w:val="decimal"/>
      <w:lvlText w:val="%1.%2.%3.%4.%5.%6.%7."/>
      <w:lvlJc w:val="left"/>
      <w:pPr>
        <w:ind w:left="12960" w:hanging="1800"/>
      </w:pPr>
      <w:rPr>
        <w:rFonts w:hint="default"/>
      </w:rPr>
    </w:lvl>
    <w:lvl w:ilvl="7">
      <w:start w:val="1"/>
      <w:numFmt w:val="decimal"/>
      <w:lvlText w:val="%1.%2.%3.%4.%5.%6.%7.%8."/>
      <w:lvlJc w:val="left"/>
      <w:pPr>
        <w:ind w:left="14760" w:hanging="1800"/>
      </w:pPr>
      <w:rPr>
        <w:rFonts w:hint="default"/>
      </w:rPr>
    </w:lvl>
    <w:lvl w:ilvl="8">
      <w:start w:val="1"/>
      <w:numFmt w:val="decimal"/>
      <w:lvlText w:val="%1.%2.%3.%4.%5.%6.%7.%8.%9."/>
      <w:lvlJc w:val="left"/>
      <w:pPr>
        <w:ind w:left="16920" w:hanging="2160"/>
      </w:pPr>
      <w:rPr>
        <w:rFonts w:hint="default"/>
      </w:rPr>
    </w:lvl>
  </w:abstractNum>
  <w:abstractNum w:abstractNumId="8">
    <w:nsid w:val="7206263D"/>
    <w:multiLevelType w:val="hybridMultilevel"/>
    <w:tmpl w:val="47142D7E"/>
    <w:lvl w:ilvl="0" w:tplc="3C501B94">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FB5516"/>
    <w:multiLevelType w:val="hybridMultilevel"/>
    <w:tmpl w:val="0C381180"/>
    <w:lvl w:ilvl="0" w:tplc="4344D21C">
      <w:start w:val="1"/>
      <w:numFmt w:val="decimal"/>
      <w:lvlText w:val="%1."/>
      <w:lvlJc w:val="left"/>
      <w:pPr>
        <w:ind w:left="1095"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8"/>
  </w:num>
  <w:num w:numId="5">
    <w:abstractNumId w:val="2"/>
  </w:num>
  <w:num w:numId="6">
    <w:abstractNumId w:val="7"/>
  </w:num>
  <w:num w:numId="7">
    <w:abstractNumId w:val="0"/>
  </w:num>
  <w:num w:numId="8">
    <w:abstractNumId w:val="4"/>
  </w:num>
  <w:num w:numId="9">
    <w:abstractNumId w:val="5"/>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Southward">
    <w15:presenceInfo w15:providerId="Windows Live" w15:userId="4e74f8ebb81f2c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4E8"/>
    <w:rsid w:val="000045E9"/>
    <w:rsid w:val="000049A3"/>
    <w:rsid w:val="000100F1"/>
    <w:rsid w:val="000226C2"/>
    <w:rsid w:val="000231AC"/>
    <w:rsid w:val="000401C6"/>
    <w:rsid w:val="00042BD4"/>
    <w:rsid w:val="0004656B"/>
    <w:rsid w:val="00051A01"/>
    <w:rsid w:val="00054009"/>
    <w:rsid w:val="0006436C"/>
    <w:rsid w:val="00073DC9"/>
    <w:rsid w:val="00076673"/>
    <w:rsid w:val="00082161"/>
    <w:rsid w:val="00087184"/>
    <w:rsid w:val="000909C9"/>
    <w:rsid w:val="00096FB2"/>
    <w:rsid w:val="000A107E"/>
    <w:rsid w:val="000A43BE"/>
    <w:rsid w:val="000A6973"/>
    <w:rsid w:val="000C012E"/>
    <w:rsid w:val="000C63F7"/>
    <w:rsid w:val="000D4694"/>
    <w:rsid w:val="000D5B9B"/>
    <w:rsid w:val="000E1D01"/>
    <w:rsid w:val="000F0BA9"/>
    <w:rsid w:val="000F41D4"/>
    <w:rsid w:val="0010203B"/>
    <w:rsid w:val="00111C50"/>
    <w:rsid w:val="00112B01"/>
    <w:rsid w:val="001225B4"/>
    <w:rsid w:val="00123BEE"/>
    <w:rsid w:val="00123DCB"/>
    <w:rsid w:val="00126E67"/>
    <w:rsid w:val="00130C1D"/>
    <w:rsid w:val="001314F1"/>
    <w:rsid w:val="001336BD"/>
    <w:rsid w:val="00133ADA"/>
    <w:rsid w:val="00135681"/>
    <w:rsid w:val="0014389D"/>
    <w:rsid w:val="00150254"/>
    <w:rsid w:val="00171C98"/>
    <w:rsid w:val="00174BDA"/>
    <w:rsid w:val="00185139"/>
    <w:rsid w:val="00191E68"/>
    <w:rsid w:val="001924AE"/>
    <w:rsid w:val="00193F62"/>
    <w:rsid w:val="001956E1"/>
    <w:rsid w:val="0019734A"/>
    <w:rsid w:val="00197CA9"/>
    <w:rsid w:val="001B23B7"/>
    <w:rsid w:val="001B64FC"/>
    <w:rsid w:val="001B6631"/>
    <w:rsid w:val="001B760E"/>
    <w:rsid w:val="001C0F57"/>
    <w:rsid w:val="001C4F58"/>
    <w:rsid w:val="001C5237"/>
    <w:rsid w:val="001C5831"/>
    <w:rsid w:val="001D4F1C"/>
    <w:rsid w:val="001D6679"/>
    <w:rsid w:val="001E05A7"/>
    <w:rsid w:val="001E1A1F"/>
    <w:rsid w:val="001E3C4B"/>
    <w:rsid w:val="001E65F5"/>
    <w:rsid w:val="001F081A"/>
    <w:rsid w:val="001F37B6"/>
    <w:rsid w:val="00206AA2"/>
    <w:rsid w:val="00211C87"/>
    <w:rsid w:val="00222D06"/>
    <w:rsid w:val="00225E16"/>
    <w:rsid w:val="00247EBA"/>
    <w:rsid w:val="0025171E"/>
    <w:rsid w:val="00252349"/>
    <w:rsid w:val="00256D38"/>
    <w:rsid w:val="00256D8E"/>
    <w:rsid w:val="00263907"/>
    <w:rsid w:val="0026484F"/>
    <w:rsid w:val="00265940"/>
    <w:rsid w:val="0027136F"/>
    <w:rsid w:val="002750B3"/>
    <w:rsid w:val="0028417B"/>
    <w:rsid w:val="00293DC0"/>
    <w:rsid w:val="002970D1"/>
    <w:rsid w:val="002A2E06"/>
    <w:rsid w:val="002B21DF"/>
    <w:rsid w:val="002C2166"/>
    <w:rsid w:val="002D0030"/>
    <w:rsid w:val="002D18EB"/>
    <w:rsid w:val="002D6DBF"/>
    <w:rsid w:val="002D7599"/>
    <w:rsid w:val="002E1479"/>
    <w:rsid w:val="002E3CE9"/>
    <w:rsid w:val="002F0884"/>
    <w:rsid w:val="002F7624"/>
    <w:rsid w:val="003011F6"/>
    <w:rsid w:val="00301A5D"/>
    <w:rsid w:val="003105AD"/>
    <w:rsid w:val="00320983"/>
    <w:rsid w:val="0033628A"/>
    <w:rsid w:val="00337D7F"/>
    <w:rsid w:val="003432FD"/>
    <w:rsid w:val="0034507C"/>
    <w:rsid w:val="003532C8"/>
    <w:rsid w:val="0036377D"/>
    <w:rsid w:val="00364BBC"/>
    <w:rsid w:val="00372D64"/>
    <w:rsid w:val="00380F2D"/>
    <w:rsid w:val="003860FE"/>
    <w:rsid w:val="00391287"/>
    <w:rsid w:val="00391C81"/>
    <w:rsid w:val="00393534"/>
    <w:rsid w:val="00396E49"/>
    <w:rsid w:val="003B07C9"/>
    <w:rsid w:val="003B09AD"/>
    <w:rsid w:val="003B36CE"/>
    <w:rsid w:val="003B6878"/>
    <w:rsid w:val="003C228A"/>
    <w:rsid w:val="003E05FB"/>
    <w:rsid w:val="003E0FB9"/>
    <w:rsid w:val="003F3142"/>
    <w:rsid w:val="003F4D38"/>
    <w:rsid w:val="003F55F5"/>
    <w:rsid w:val="00400A94"/>
    <w:rsid w:val="00400F50"/>
    <w:rsid w:val="004104E4"/>
    <w:rsid w:val="004109D3"/>
    <w:rsid w:val="00422999"/>
    <w:rsid w:val="004420A0"/>
    <w:rsid w:val="00447C22"/>
    <w:rsid w:val="004605D9"/>
    <w:rsid w:val="00462677"/>
    <w:rsid w:val="004758FA"/>
    <w:rsid w:val="00480936"/>
    <w:rsid w:val="0049267B"/>
    <w:rsid w:val="00497AE9"/>
    <w:rsid w:val="004B1CC6"/>
    <w:rsid w:val="004B56C3"/>
    <w:rsid w:val="004B5ACA"/>
    <w:rsid w:val="004B6650"/>
    <w:rsid w:val="004B6B87"/>
    <w:rsid w:val="004B7B6B"/>
    <w:rsid w:val="004C29FD"/>
    <w:rsid w:val="004C3EE0"/>
    <w:rsid w:val="004D04B6"/>
    <w:rsid w:val="004D2143"/>
    <w:rsid w:val="004D7B37"/>
    <w:rsid w:val="00505CF0"/>
    <w:rsid w:val="00510EEA"/>
    <w:rsid w:val="00512AAE"/>
    <w:rsid w:val="00514051"/>
    <w:rsid w:val="00530CC1"/>
    <w:rsid w:val="00532A07"/>
    <w:rsid w:val="00555DD6"/>
    <w:rsid w:val="005650B7"/>
    <w:rsid w:val="00572F4A"/>
    <w:rsid w:val="005759DA"/>
    <w:rsid w:val="00583596"/>
    <w:rsid w:val="00585A3E"/>
    <w:rsid w:val="00586291"/>
    <w:rsid w:val="00591F8D"/>
    <w:rsid w:val="0059434A"/>
    <w:rsid w:val="005B2788"/>
    <w:rsid w:val="005B2EDF"/>
    <w:rsid w:val="005B6280"/>
    <w:rsid w:val="005D7878"/>
    <w:rsid w:val="00600A0C"/>
    <w:rsid w:val="00600FE2"/>
    <w:rsid w:val="0060139B"/>
    <w:rsid w:val="00601D74"/>
    <w:rsid w:val="00602897"/>
    <w:rsid w:val="00613018"/>
    <w:rsid w:val="006207E8"/>
    <w:rsid w:val="00624D60"/>
    <w:rsid w:val="00631529"/>
    <w:rsid w:val="00634670"/>
    <w:rsid w:val="006405B7"/>
    <w:rsid w:val="00643F3B"/>
    <w:rsid w:val="00644B42"/>
    <w:rsid w:val="006568AC"/>
    <w:rsid w:val="00662948"/>
    <w:rsid w:val="00662A8A"/>
    <w:rsid w:val="0066419F"/>
    <w:rsid w:val="00665D8B"/>
    <w:rsid w:val="0066767A"/>
    <w:rsid w:val="00667D83"/>
    <w:rsid w:val="00684BD2"/>
    <w:rsid w:val="006951BA"/>
    <w:rsid w:val="006976E3"/>
    <w:rsid w:val="006A2C62"/>
    <w:rsid w:val="006A4A45"/>
    <w:rsid w:val="006A6251"/>
    <w:rsid w:val="006B0D8D"/>
    <w:rsid w:val="006B4AB0"/>
    <w:rsid w:val="006B5C76"/>
    <w:rsid w:val="006C5068"/>
    <w:rsid w:val="006D03F6"/>
    <w:rsid w:val="006D1333"/>
    <w:rsid w:val="006D7644"/>
    <w:rsid w:val="006E5A83"/>
    <w:rsid w:val="006F093E"/>
    <w:rsid w:val="006F21B9"/>
    <w:rsid w:val="006F4F12"/>
    <w:rsid w:val="006F6D0C"/>
    <w:rsid w:val="006F7275"/>
    <w:rsid w:val="00701C0D"/>
    <w:rsid w:val="00701E5C"/>
    <w:rsid w:val="00702141"/>
    <w:rsid w:val="0070466E"/>
    <w:rsid w:val="007073C6"/>
    <w:rsid w:val="00720FEC"/>
    <w:rsid w:val="007213FA"/>
    <w:rsid w:val="0072237D"/>
    <w:rsid w:val="007347D7"/>
    <w:rsid w:val="00736CB2"/>
    <w:rsid w:val="00752070"/>
    <w:rsid w:val="00753B69"/>
    <w:rsid w:val="0075424B"/>
    <w:rsid w:val="00755896"/>
    <w:rsid w:val="00756A48"/>
    <w:rsid w:val="00757035"/>
    <w:rsid w:val="00765E2A"/>
    <w:rsid w:val="00765FC9"/>
    <w:rsid w:val="00776727"/>
    <w:rsid w:val="00784DB4"/>
    <w:rsid w:val="00786CBE"/>
    <w:rsid w:val="00795630"/>
    <w:rsid w:val="007A1D7B"/>
    <w:rsid w:val="007A26E2"/>
    <w:rsid w:val="007A56C3"/>
    <w:rsid w:val="007C1A78"/>
    <w:rsid w:val="007D7008"/>
    <w:rsid w:val="007E47C7"/>
    <w:rsid w:val="007F76EF"/>
    <w:rsid w:val="00804D6F"/>
    <w:rsid w:val="00806708"/>
    <w:rsid w:val="00807E84"/>
    <w:rsid w:val="00811F20"/>
    <w:rsid w:val="00840E65"/>
    <w:rsid w:val="00842296"/>
    <w:rsid w:val="00853159"/>
    <w:rsid w:val="00860771"/>
    <w:rsid w:val="0086651B"/>
    <w:rsid w:val="0087584A"/>
    <w:rsid w:val="00884A95"/>
    <w:rsid w:val="00887C7A"/>
    <w:rsid w:val="008935DE"/>
    <w:rsid w:val="008A4AA9"/>
    <w:rsid w:val="008C4E4F"/>
    <w:rsid w:val="008C58E8"/>
    <w:rsid w:val="008D0243"/>
    <w:rsid w:val="008D4785"/>
    <w:rsid w:val="008D501A"/>
    <w:rsid w:val="008D7D1B"/>
    <w:rsid w:val="008E4F1B"/>
    <w:rsid w:val="008E510B"/>
    <w:rsid w:val="008F101A"/>
    <w:rsid w:val="008F237D"/>
    <w:rsid w:val="00907905"/>
    <w:rsid w:val="009133A6"/>
    <w:rsid w:val="009160EA"/>
    <w:rsid w:val="009162FF"/>
    <w:rsid w:val="00922A43"/>
    <w:rsid w:val="009251C8"/>
    <w:rsid w:val="009311FB"/>
    <w:rsid w:val="00933A84"/>
    <w:rsid w:val="00942097"/>
    <w:rsid w:val="0094764F"/>
    <w:rsid w:val="009514CB"/>
    <w:rsid w:val="00954127"/>
    <w:rsid w:val="00955756"/>
    <w:rsid w:val="00961883"/>
    <w:rsid w:val="00967358"/>
    <w:rsid w:val="00970547"/>
    <w:rsid w:val="00973D1A"/>
    <w:rsid w:val="00973D75"/>
    <w:rsid w:val="009758B3"/>
    <w:rsid w:val="00980C49"/>
    <w:rsid w:val="00982738"/>
    <w:rsid w:val="00982BB1"/>
    <w:rsid w:val="00987345"/>
    <w:rsid w:val="0099013F"/>
    <w:rsid w:val="00995914"/>
    <w:rsid w:val="009A03C7"/>
    <w:rsid w:val="009A0899"/>
    <w:rsid w:val="009A3875"/>
    <w:rsid w:val="009A6995"/>
    <w:rsid w:val="009B21A8"/>
    <w:rsid w:val="009B748A"/>
    <w:rsid w:val="009C7513"/>
    <w:rsid w:val="009D045B"/>
    <w:rsid w:val="009D67A9"/>
    <w:rsid w:val="009E2ADE"/>
    <w:rsid w:val="009E2BD0"/>
    <w:rsid w:val="009E3957"/>
    <w:rsid w:val="009F1E84"/>
    <w:rsid w:val="009F32A6"/>
    <w:rsid w:val="009F7822"/>
    <w:rsid w:val="00A02645"/>
    <w:rsid w:val="00A03A85"/>
    <w:rsid w:val="00A0420E"/>
    <w:rsid w:val="00A048C2"/>
    <w:rsid w:val="00A07BA1"/>
    <w:rsid w:val="00A13732"/>
    <w:rsid w:val="00A329D1"/>
    <w:rsid w:val="00A37207"/>
    <w:rsid w:val="00A37671"/>
    <w:rsid w:val="00A452B5"/>
    <w:rsid w:val="00A45A4E"/>
    <w:rsid w:val="00A50A26"/>
    <w:rsid w:val="00A51247"/>
    <w:rsid w:val="00A524DD"/>
    <w:rsid w:val="00A63ADE"/>
    <w:rsid w:val="00A66B9E"/>
    <w:rsid w:val="00A66DED"/>
    <w:rsid w:val="00A744AF"/>
    <w:rsid w:val="00A845AC"/>
    <w:rsid w:val="00A93269"/>
    <w:rsid w:val="00AA6537"/>
    <w:rsid w:val="00AB1143"/>
    <w:rsid w:val="00AB263F"/>
    <w:rsid w:val="00AB3624"/>
    <w:rsid w:val="00AB618A"/>
    <w:rsid w:val="00AB7706"/>
    <w:rsid w:val="00AC003B"/>
    <w:rsid w:val="00AC725A"/>
    <w:rsid w:val="00AD17F9"/>
    <w:rsid w:val="00AE4944"/>
    <w:rsid w:val="00AE6788"/>
    <w:rsid w:val="00AF4454"/>
    <w:rsid w:val="00B00E35"/>
    <w:rsid w:val="00B01613"/>
    <w:rsid w:val="00B0496D"/>
    <w:rsid w:val="00B140BD"/>
    <w:rsid w:val="00B1497F"/>
    <w:rsid w:val="00B23E68"/>
    <w:rsid w:val="00B30C30"/>
    <w:rsid w:val="00B3764A"/>
    <w:rsid w:val="00B409F4"/>
    <w:rsid w:val="00B568EC"/>
    <w:rsid w:val="00B63EA0"/>
    <w:rsid w:val="00B75497"/>
    <w:rsid w:val="00B9022C"/>
    <w:rsid w:val="00B9168C"/>
    <w:rsid w:val="00B92441"/>
    <w:rsid w:val="00B9571A"/>
    <w:rsid w:val="00B95774"/>
    <w:rsid w:val="00B958AD"/>
    <w:rsid w:val="00BA6457"/>
    <w:rsid w:val="00BB474D"/>
    <w:rsid w:val="00BC0234"/>
    <w:rsid w:val="00BD043C"/>
    <w:rsid w:val="00BD46D5"/>
    <w:rsid w:val="00BE1BD1"/>
    <w:rsid w:val="00BE6200"/>
    <w:rsid w:val="00BF54E8"/>
    <w:rsid w:val="00BF73BB"/>
    <w:rsid w:val="00C033B5"/>
    <w:rsid w:val="00C067F2"/>
    <w:rsid w:val="00C111D3"/>
    <w:rsid w:val="00C1124C"/>
    <w:rsid w:val="00C15618"/>
    <w:rsid w:val="00C16DBE"/>
    <w:rsid w:val="00C24ACB"/>
    <w:rsid w:val="00C30008"/>
    <w:rsid w:val="00C33146"/>
    <w:rsid w:val="00C469F6"/>
    <w:rsid w:val="00C46C73"/>
    <w:rsid w:val="00C575FE"/>
    <w:rsid w:val="00C63B77"/>
    <w:rsid w:val="00C6478B"/>
    <w:rsid w:val="00C64B83"/>
    <w:rsid w:val="00C816A3"/>
    <w:rsid w:val="00C8766F"/>
    <w:rsid w:val="00CA1D1D"/>
    <w:rsid w:val="00CA79F2"/>
    <w:rsid w:val="00CB32F2"/>
    <w:rsid w:val="00CB38AC"/>
    <w:rsid w:val="00CC042A"/>
    <w:rsid w:val="00CC6DEF"/>
    <w:rsid w:val="00CC7D0C"/>
    <w:rsid w:val="00CE4566"/>
    <w:rsid w:val="00CF27D8"/>
    <w:rsid w:val="00D004A8"/>
    <w:rsid w:val="00D1110F"/>
    <w:rsid w:val="00D119FF"/>
    <w:rsid w:val="00D1314B"/>
    <w:rsid w:val="00D1420B"/>
    <w:rsid w:val="00D15BDC"/>
    <w:rsid w:val="00D342F3"/>
    <w:rsid w:val="00D35560"/>
    <w:rsid w:val="00D3742F"/>
    <w:rsid w:val="00D37D00"/>
    <w:rsid w:val="00D45E49"/>
    <w:rsid w:val="00D50A11"/>
    <w:rsid w:val="00D5724A"/>
    <w:rsid w:val="00D60AA1"/>
    <w:rsid w:val="00D71C5E"/>
    <w:rsid w:val="00D9293B"/>
    <w:rsid w:val="00D95B45"/>
    <w:rsid w:val="00DA4271"/>
    <w:rsid w:val="00DB21C4"/>
    <w:rsid w:val="00DB3276"/>
    <w:rsid w:val="00DB5001"/>
    <w:rsid w:val="00DB5991"/>
    <w:rsid w:val="00DC4023"/>
    <w:rsid w:val="00DC49C3"/>
    <w:rsid w:val="00DD019E"/>
    <w:rsid w:val="00DD028F"/>
    <w:rsid w:val="00DD20CE"/>
    <w:rsid w:val="00DD4FA2"/>
    <w:rsid w:val="00DD5BBD"/>
    <w:rsid w:val="00DD5EC4"/>
    <w:rsid w:val="00DF2A88"/>
    <w:rsid w:val="00E10936"/>
    <w:rsid w:val="00E114C2"/>
    <w:rsid w:val="00E14FDB"/>
    <w:rsid w:val="00E25B4F"/>
    <w:rsid w:val="00E350B8"/>
    <w:rsid w:val="00E374B8"/>
    <w:rsid w:val="00E37E3E"/>
    <w:rsid w:val="00E560EA"/>
    <w:rsid w:val="00E62B2B"/>
    <w:rsid w:val="00E6558D"/>
    <w:rsid w:val="00E83216"/>
    <w:rsid w:val="00E92EEC"/>
    <w:rsid w:val="00E946B8"/>
    <w:rsid w:val="00E96A5D"/>
    <w:rsid w:val="00E97C3D"/>
    <w:rsid w:val="00E97F86"/>
    <w:rsid w:val="00EB3F5F"/>
    <w:rsid w:val="00EC19BD"/>
    <w:rsid w:val="00ED4026"/>
    <w:rsid w:val="00ED4DDA"/>
    <w:rsid w:val="00ED5664"/>
    <w:rsid w:val="00EE7840"/>
    <w:rsid w:val="00EF3B5E"/>
    <w:rsid w:val="00EF6692"/>
    <w:rsid w:val="00F078A8"/>
    <w:rsid w:val="00F12BEE"/>
    <w:rsid w:val="00F15217"/>
    <w:rsid w:val="00F30B62"/>
    <w:rsid w:val="00F32E51"/>
    <w:rsid w:val="00F33B1C"/>
    <w:rsid w:val="00F37D4E"/>
    <w:rsid w:val="00F4055D"/>
    <w:rsid w:val="00F63E4D"/>
    <w:rsid w:val="00F640B6"/>
    <w:rsid w:val="00F67227"/>
    <w:rsid w:val="00F67C15"/>
    <w:rsid w:val="00F72648"/>
    <w:rsid w:val="00F74C38"/>
    <w:rsid w:val="00F74ECC"/>
    <w:rsid w:val="00F76A37"/>
    <w:rsid w:val="00F828F8"/>
    <w:rsid w:val="00F90134"/>
    <w:rsid w:val="00F95A90"/>
    <w:rsid w:val="00FA0008"/>
    <w:rsid w:val="00FA06CC"/>
    <w:rsid w:val="00FA5A4A"/>
    <w:rsid w:val="00FC4805"/>
    <w:rsid w:val="00FE1A5F"/>
    <w:rsid w:val="00FE2B3F"/>
    <w:rsid w:val="00FE6587"/>
    <w:rsid w:val="00FE7EAF"/>
    <w:rsid w:val="00FF0FF3"/>
    <w:rsid w:val="00FF20D8"/>
    <w:rsid w:val="00FF352B"/>
    <w:rsid w:val="00FF5E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84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1D3"/>
    <w:pPr>
      <w:spacing w:line="276" w:lineRule="auto"/>
    </w:pPr>
    <w:rPr>
      <w:rFonts w:asciiTheme="minorHAnsi" w:eastAsiaTheme="minorEastAsia" w:hAnsiTheme="minorHAnsi" w:cstheme="minorBid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C111D3"/>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C111D3"/>
    <w:rPr>
      <w:rFonts w:eastAsiaTheme="minorEastAsia" w:cstheme="minorBidi"/>
      <w:sz w:val="20"/>
      <w:szCs w:val="20"/>
      <w:lang w:eastAsia="zh-CN"/>
    </w:rPr>
  </w:style>
  <w:style w:type="character" w:styleId="FootnoteReference">
    <w:name w:val="footnote reference"/>
    <w:basedOn w:val="DefaultParagraphFont"/>
    <w:uiPriority w:val="99"/>
    <w:semiHidden/>
    <w:unhideWhenUsed/>
    <w:rsid w:val="00C111D3"/>
    <w:rPr>
      <w:vertAlign w:val="superscript"/>
    </w:rPr>
  </w:style>
  <w:style w:type="character" w:styleId="Hyperlink">
    <w:name w:val="Hyperlink"/>
    <w:basedOn w:val="DefaultParagraphFont"/>
    <w:uiPriority w:val="99"/>
    <w:unhideWhenUsed/>
    <w:rsid w:val="00C111D3"/>
    <w:rPr>
      <w:color w:val="0563C1" w:themeColor="hyperlink"/>
      <w:u w:val="single"/>
    </w:rPr>
  </w:style>
  <w:style w:type="paragraph" w:customStyle="1" w:styleId="EndnoteText1">
    <w:name w:val="Endnote Text1"/>
    <w:basedOn w:val="Normal"/>
    <w:next w:val="EndnoteText"/>
    <w:link w:val="EndnoteTextChar"/>
    <w:uiPriority w:val="99"/>
    <w:rsid w:val="00C111D3"/>
    <w:pPr>
      <w:spacing w:line="240" w:lineRule="auto"/>
    </w:pPr>
    <w:rPr>
      <w:rFonts w:ascii="Times New Roman" w:eastAsiaTheme="minorHAnsi" w:hAnsi="Times New Roman" w:cs="Times New Roman"/>
      <w:sz w:val="20"/>
      <w:szCs w:val="20"/>
      <w:lang w:eastAsia="en-US"/>
    </w:rPr>
  </w:style>
  <w:style w:type="character" w:customStyle="1" w:styleId="EndnoteTextChar">
    <w:name w:val="Endnote Text Char"/>
    <w:basedOn w:val="DefaultParagraphFont"/>
    <w:link w:val="EndnoteText1"/>
    <w:uiPriority w:val="99"/>
    <w:rsid w:val="00C111D3"/>
    <w:rPr>
      <w:sz w:val="20"/>
      <w:szCs w:val="20"/>
    </w:rPr>
  </w:style>
  <w:style w:type="paragraph" w:styleId="EndnoteText">
    <w:name w:val="endnote text"/>
    <w:basedOn w:val="Normal"/>
    <w:link w:val="EndnoteTextChar1"/>
    <w:uiPriority w:val="99"/>
    <w:semiHidden/>
    <w:unhideWhenUsed/>
    <w:rsid w:val="00C111D3"/>
    <w:pPr>
      <w:spacing w:line="240" w:lineRule="auto"/>
    </w:pPr>
    <w:rPr>
      <w:rFonts w:ascii="Times New Roman" w:eastAsiaTheme="minorHAnsi" w:hAnsi="Times New Roman" w:cs="Times New Roman"/>
      <w:sz w:val="20"/>
      <w:szCs w:val="20"/>
      <w:lang w:eastAsia="en-US"/>
    </w:rPr>
  </w:style>
  <w:style w:type="character" w:customStyle="1" w:styleId="EndnoteTextChar1">
    <w:name w:val="Endnote Text Char1"/>
    <w:basedOn w:val="DefaultParagraphFont"/>
    <w:link w:val="EndnoteText"/>
    <w:uiPriority w:val="99"/>
    <w:semiHidden/>
    <w:rsid w:val="00C111D3"/>
    <w:rPr>
      <w:sz w:val="20"/>
      <w:szCs w:val="20"/>
    </w:rPr>
  </w:style>
  <w:style w:type="character" w:styleId="CommentReference">
    <w:name w:val="annotation reference"/>
    <w:basedOn w:val="DefaultParagraphFont"/>
    <w:uiPriority w:val="99"/>
    <w:semiHidden/>
    <w:unhideWhenUsed/>
    <w:rsid w:val="00C111D3"/>
    <w:rPr>
      <w:sz w:val="16"/>
      <w:szCs w:val="16"/>
    </w:rPr>
  </w:style>
  <w:style w:type="paragraph" w:styleId="CommentText">
    <w:name w:val="annotation text"/>
    <w:basedOn w:val="Normal"/>
    <w:link w:val="CommentTextChar"/>
    <w:uiPriority w:val="99"/>
    <w:semiHidden/>
    <w:unhideWhenUsed/>
    <w:rsid w:val="00C111D3"/>
    <w:pPr>
      <w:spacing w:line="240" w:lineRule="auto"/>
    </w:pPr>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C111D3"/>
    <w:rPr>
      <w:sz w:val="20"/>
      <w:szCs w:val="20"/>
    </w:rPr>
  </w:style>
  <w:style w:type="paragraph" w:styleId="CommentSubject">
    <w:name w:val="annotation subject"/>
    <w:basedOn w:val="CommentText"/>
    <w:next w:val="CommentText"/>
    <w:link w:val="CommentSubjectChar"/>
    <w:uiPriority w:val="99"/>
    <w:semiHidden/>
    <w:unhideWhenUsed/>
    <w:rsid w:val="00C111D3"/>
    <w:rPr>
      <w:b/>
      <w:bCs/>
    </w:rPr>
  </w:style>
  <w:style w:type="character" w:customStyle="1" w:styleId="CommentSubjectChar">
    <w:name w:val="Comment Subject Char"/>
    <w:basedOn w:val="CommentTextChar"/>
    <w:link w:val="CommentSubject"/>
    <w:uiPriority w:val="99"/>
    <w:semiHidden/>
    <w:rsid w:val="00C111D3"/>
    <w:rPr>
      <w:b/>
      <w:bCs/>
      <w:sz w:val="20"/>
      <w:szCs w:val="20"/>
    </w:rPr>
  </w:style>
  <w:style w:type="paragraph" w:styleId="BalloonText">
    <w:name w:val="Balloon Text"/>
    <w:basedOn w:val="Normal"/>
    <w:link w:val="BalloonTextChar"/>
    <w:uiPriority w:val="99"/>
    <w:semiHidden/>
    <w:unhideWhenUsed/>
    <w:rsid w:val="00C111D3"/>
    <w:pPr>
      <w:spacing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111D3"/>
    <w:rPr>
      <w:rFonts w:ascii="Tahoma" w:hAnsi="Tahoma" w:cs="Tahoma"/>
      <w:sz w:val="16"/>
      <w:szCs w:val="16"/>
    </w:rPr>
  </w:style>
  <w:style w:type="paragraph" w:styleId="ListParagraph">
    <w:name w:val="List Paragraph"/>
    <w:basedOn w:val="Normal"/>
    <w:uiPriority w:val="34"/>
    <w:qFormat/>
    <w:rsid w:val="00C111D3"/>
    <w:pPr>
      <w:spacing w:line="240" w:lineRule="auto"/>
      <w:ind w:left="720"/>
      <w:contextualSpacing/>
    </w:pPr>
    <w:rPr>
      <w:rFonts w:ascii="Times New Roman" w:eastAsiaTheme="minorHAnsi" w:hAnsi="Times New Roman" w:cs="Times New Roman"/>
      <w:sz w:val="24"/>
      <w:szCs w:val="24"/>
      <w:lang w:eastAsia="en-US"/>
    </w:rPr>
  </w:style>
  <w:style w:type="paragraph" w:styleId="Header">
    <w:name w:val="header"/>
    <w:basedOn w:val="Normal"/>
    <w:link w:val="HeaderChar"/>
    <w:uiPriority w:val="99"/>
    <w:unhideWhenUsed/>
    <w:rsid w:val="00252349"/>
    <w:pPr>
      <w:tabs>
        <w:tab w:val="center" w:pos="4513"/>
        <w:tab w:val="right" w:pos="9026"/>
      </w:tabs>
      <w:spacing w:line="240" w:lineRule="auto"/>
    </w:pPr>
  </w:style>
  <w:style w:type="character" w:customStyle="1" w:styleId="HeaderChar">
    <w:name w:val="Header Char"/>
    <w:basedOn w:val="DefaultParagraphFont"/>
    <w:link w:val="Header"/>
    <w:uiPriority w:val="99"/>
    <w:rsid w:val="00252349"/>
    <w:rPr>
      <w:rFonts w:asciiTheme="minorHAnsi" w:eastAsiaTheme="minorEastAsia" w:hAnsiTheme="minorHAnsi" w:cstheme="minorBidi"/>
      <w:sz w:val="22"/>
      <w:szCs w:val="22"/>
      <w:lang w:eastAsia="zh-CN"/>
    </w:rPr>
  </w:style>
  <w:style w:type="paragraph" w:styleId="Footer">
    <w:name w:val="footer"/>
    <w:basedOn w:val="Normal"/>
    <w:link w:val="FooterChar"/>
    <w:uiPriority w:val="99"/>
    <w:unhideWhenUsed/>
    <w:rsid w:val="00252349"/>
    <w:pPr>
      <w:tabs>
        <w:tab w:val="center" w:pos="4513"/>
        <w:tab w:val="right" w:pos="9026"/>
      </w:tabs>
      <w:spacing w:line="240" w:lineRule="auto"/>
    </w:pPr>
  </w:style>
  <w:style w:type="character" w:customStyle="1" w:styleId="FooterChar">
    <w:name w:val="Footer Char"/>
    <w:basedOn w:val="DefaultParagraphFont"/>
    <w:link w:val="Footer"/>
    <w:uiPriority w:val="99"/>
    <w:rsid w:val="00252349"/>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2523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ate">
    <w:name w:val="Date"/>
    <w:basedOn w:val="Normal"/>
    <w:next w:val="Normal"/>
    <w:link w:val="DateChar"/>
    <w:uiPriority w:val="99"/>
    <w:semiHidden/>
    <w:unhideWhenUsed/>
    <w:rsid w:val="000C012E"/>
  </w:style>
  <w:style w:type="character" w:customStyle="1" w:styleId="DateChar">
    <w:name w:val="Date Char"/>
    <w:basedOn w:val="DefaultParagraphFont"/>
    <w:link w:val="Date"/>
    <w:uiPriority w:val="99"/>
    <w:semiHidden/>
    <w:rsid w:val="000C012E"/>
    <w:rPr>
      <w:rFonts w:asciiTheme="minorHAnsi" w:eastAsiaTheme="minorEastAsia" w:hAnsiTheme="minorHAnsi" w:cstheme="minorBidi"/>
      <w:sz w:val="22"/>
      <w:szCs w:val="22"/>
      <w:lang w:eastAsia="zh-CN"/>
    </w:rPr>
  </w:style>
  <w:style w:type="character" w:styleId="LineNumber">
    <w:name w:val="line number"/>
    <w:basedOn w:val="DefaultParagraphFont"/>
    <w:uiPriority w:val="99"/>
    <w:semiHidden/>
    <w:unhideWhenUsed/>
    <w:rsid w:val="00D1110F"/>
  </w:style>
  <w:style w:type="paragraph" w:styleId="Revision">
    <w:name w:val="Revision"/>
    <w:hidden/>
    <w:uiPriority w:val="99"/>
    <w:semiHidden/>
    <w:rsid w:val="00393534"/>
    <w:rPr>
      <w:rFonts w:asciiTheme="minorHAnsi" w:eastAsiaTheme="minorEastAsia" w:hAnsiTheme="minorHAnsi" w:cstheme="minorBid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1D3"/>
    <w:pPr>
      <w:spacing w:line="276" w:lineRule="auto"/>
    </w:pPr>
    <w:rPr>
      <w:rFonts w:asciiTheme="minorHAnsi" w:eastAsiaTheme="minorEastAsia" w:hAnsiTheme="minorHAnsi" w:cstheme="minorBid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C111D3"/>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C111D3"/>
    <w:rPr>
      <w:rFonts w:eastAsiaTheme="minorEastAsia" w:cstheme="minorBidi"/>
      <w:sz w:val="20"/>
      <w:szCs w:val="20"/>
      <w:lang w:eastAsia="zh-CN"/>
    </w:rPr>
  </w:style>
  <w:style w:type="character" w:styleId="FootnoteReference">
    <w:name w:val="footnote reference"/>
    <w:basedOn w:val="DefaultParagraphFont"/>
    <w:uiPriority w:val="99"/>
    <w:semiHidden/>
    <w:unhideWhenUsed/>
    <w:rsid w:val="00C111D3"/>
    <w:rPr>
      <w:vertAlign w:val="superscript"/>
    </w:rPr>
  </w:style>
  <w:style w:type="character" w:styleId="Hyperlink">
    <w:name w:val="Hyperlink"/>
    <w:basedOn w:val="DefaultParagraphFont"/>
    <w:uiPriority w:val="99"/>
    <w:unhideWhenUsed/>
    <w:rsid w:val="00C111D3"/>
    <w:rPr>
      <w:color w:val="0563C1" w:themeColor="hyperlink"/>
      <w:u w:val="single"/>
    </w:rPr>
  </w:style>
  <w:style w:type="paragraph" w:customStyle="1" w:styleId="EndnoteText1">
    <w:name w:val="Endnote Text1"/>
    <w:basedOn w:val="Normal"/>
    <w:next w:val="EndnoteText"/>
    <w:link w:val="EndnoteTextChar"/>
    <w:uiPriority w:val="99"/>
    <w:rsid w:val="00C111D3"/>
    <w:pPr>
      <w:spacing w:line="240" w:lineRule="auto"/>
    </w:pPr>
    <w:rPr>
      <w:rFonts w:ascii="Times New Roman" w:eastAsiaTheme="minorHAnsi" w:hAnsi="Times New Roman" w:cs="Times New Roman"/>
      <w:sz w:val="20"/>
      <w:szCs w:val="20"/>
      <w:lang w:eastAsia="en-US"/>
    </w:rPr>
  </w:style>
  <w:style w:type="character" w:customStyle="1" w:styleId="EndnoteTextChar">
    <w:name w:val="Endnote Text Char"/>
    <w:basedOn w:val="DefaultParagraphFont"/>
    <w:link w:val="EndnoteText1"/>
    <w:uiPriority w:val="99"/>
    <w:rsid w:val="00C111D3"/>
    <w:rPr>
      <w:sz w:val="20"/>
      <w:szCs w:val="20"/>
    </w:rPr>
  </w:style>
  <w:style w:type="paragraph" w:styleId="EndnoteText">
    <w:name w:val="endnote text"/>
    <w:basedOn w:val="Normal"/>
    <w:link w:val="EndnoteTextChar1"/>
    <w:uiPriority w:val="99"/>
    <w:semiHidden/>
    <w:unhideWhenUsed/>
    <w:rsid w:val="00C111D3"/>
    <w:pPr>
      <w:spacing w:line="240" w:lineRule="auto"/>
    </w:pPr>
    <w:rPr>
      <w:rFonts w:ascii="Times New Roman" w:eastAsiaTheme="minorHAnsi" w:hAnsi="Times New Roman" w:cs="Times New Roman"/>
      <w:sz w:val="20"/>
      <w:szCs w:val="20"/>
      <w:lang w:eastAsia="en-US"/>
    </w:rPr>
  </w:style>
  <w:style w:type="character" w:customStyle="1" w:styleId="EndnoteTextChar1">
    <w:name w:val="Endnote Text Char1"/>
    <w:basedOn w:val="DefaultParagraphFont"/>
    <w:link w:val="EndnoteText"/>
    <w:uiPriority w:val="99"/>
    <w:semiHidden/>
    <w:rsid w:val="00C111D3"/>
    <w:rPr>
      <w:sz w:val="20"/>
      <w:szCs w:val="20"/>
    </w:rPr>
  </w:style>
  <w:style w:type="character" w:styleId="CommentReference">
    <w:name w:val="annotation reference"/>
    <w:basedOn w:val="DefaultParagraphFont"/>
    <w:uiPriority w:val="99"/>
    <w:semiHidden/>
    <w:unhideWhenUsed/>
    <w:rsid w:val="00C111D3"/>
    <w:rPr>
      <w:sz w:val="16"/>
      <w:szCs w:val="16"/>
    </w:rPr>
  </w:style>
  <w:style w:type="paragraph" w:styleId="CommentText">
    <w:name w:val="annotation text"/>
    <w:basedOn w:val="Normal"/>
    <w:link w:val="CommentTextChar"/>
    <w:uiPriority w:val="99"/>
    <w:semiHidden/>
    <w:unhideWhenUsed/>
    <w:rsid w:val="00C111D3"/>
    <w:pPr>
      <w:spacing w:line="240" w:lineRule="auto"/>
    </w:pPr>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C111D3"/>
    <w:rPr>
      <w:sz w:val="20"/>
      <w:szCs w:val="20"/>
    </w:rPr>
  </w:style>
  <w:style w:type="paragraph" w:styleId="CommentSubject">
    <w:name w:val="annotation subject"/>
    <w:basedOn w:val="CommentText"/>
    <w:next w:val="CommentText"/>
    <w:link w:val="CommentSubjectChar"/>
    <w:uiPriority w:val="99"/>
    <w:semiHidden/>
    <w:unhideWhenUsed/>
    <w:rsid w:val="00C111D3"/>
    <w:rPr>
      <w:b/>
      <w:bCs/>
    </w:rPr>
  </w:style>
  <w:style w:type="character" w:customStyle="1" w:styleId="CommentSubjectChar">
    <w:name w:val="Comment Subject Char"/>
    <w:basedOn w:val="CommentTextChar"/>
    <w:link w:val="CommentSubject"/>
    <w:uiPriority w:val="99"/>
    <w:semiHidden/>
    <w:rsid w:val="00C111D3"/>
    <w:rPr>
      <w:b/>
      <w:bCs/>
      <w:sz w:val="20"/>
      <w:szCs w:val="20"/>
    </w:rPr>
  </w:style>
  <w:style w:type="paragraph" w:styleId="BalloonText">
    <w:name w:val="Balloon Text"/>
    <w:basedOn w:val="Normal"/>
    <w:link w:val="BalloonTextChar"/>
    <w:uiPriority w:val="99"/>
    <w:semiHidden/>
    <w:unhideWhenUsed/>
    <w:rsid w:val="00C111D3"/>
    <w:pPr>
      <w:spacing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111D3"/>
    <w:rPr>
      <w:rFonts w:ascii="Tahoma" w:hAnsi="Tahoma" w:cs="Tahoma"/>
      <w:sz w:val="16"/>
      <w:szCs w:val="16"/>
    </w:rPr>
  </w:style>
  <w:style w:type="paragraph" w:styleId="ListParagraph">
    <w:name w:val="List Paragraph"/>
    <w:basedOn w:val="Normal"/>
    <w:uiPriority w:val="34"/>
    <w:qFormat/>
    <w:rsid w:val="00C111D3"/>
    <w:pPr>
      <w:spacing w:line="240" w:lineRule="auto"/>
      <w:ind w:left="720"/>
      <w:contextualSpacing/>
    </w:pPr>
    <w:rPr>
      <w:rFonts w:ascii="Times New Roman" w:eastAsiaTheme="minorHAnsi" w:hAnsi="Times New Roman" w:cs="Times New Roman"/>
      <w:sz w:val="24"/>
      <w:szCs w:val="24"/>
      <w:lang w:eastAsia="en-US"/>
    </w:rPr>
  </w:style>
  <w:style w:type="paragraph" w:styleId="Header">
    <w:name w:val="header"/>
    <w:basedOn w:val="Normal"/>
    <w:link w:val="HeaderChar"/>
    <w:uiPriority w:val="99"/>
    <w:unhideWhenUsed/>
    <w:rsid w:val="00252349"/>
    <w:pPr>
      <w:tabs>
        <w:tab w:val="center" w:pos="4513"/>
        <w:tab w:val="right" w:pos="9026"/>
      </w:tabs>
      <w:spacing w:line="240" w:lineRule="auto"/>
    </w:pPr>
  </w:style>
  <w:style w:type="character" w:customStyle="1" w:styleId="HeaderChar">
    <w:name w:val="Header Char"/>
    <w:basedOn w:val="DefaultParagraphFont"/>
    <w:link w:val="Header"/>
    <w:uiPriority w:val="99"/>
    <w:rsid w:val="00252349"/>
    <w:rPr>
      <w:rFonts w:asciiTheme="minorHAnsi" w:eastAsiaTheme="minorEastAsia" w:hAnsiTheme="minorHAnsi" w:cstheme="minorBidi"/>
      <w:sz w:val="22"/>
      <w:szCs w:val="22"/>
      <w:lang w:eastAsia="zh-CN"/>
    </w:rPr>
  </w:style>
  <w:style w:type="paragraph" w:styleId="Footer">
    <w:name w:val="footer"/>
    <w:basedOn w:val="Normal"/>
    <w:link w:val="FooterChar"/>
    <w:uiPriority w:val="99"/>
    <w:unhideWhenUsed/>
    <w:rsid w:val="00252349"/>
    <w:pPr>
      <w:tabs>
        <w:tab w:val="center" w:pos="4513"/>
        <w:tab w:val="right" w:pos="9026"/>
      </w:tabs>
      <w:spacing w:line="240" w:lineRule="auto"/>
    </w:pPr>
  </w:style>
  <w:style w:type="character" w:customStyle="1" w:styleId="FooterChar">
    <w:name w:val="Footer Char"/>
    <w:basedOn w:val="DefaultParagraphFont"/>
    <w:link w:val="Footer"/>
    <w:uiPriority w:val="99"/>
    <w:rsid w:val="00252349"/>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2523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ate">
    <w:name w:val="Date"/>
    <w:basedOn w:val="Normal"/>
    <w:next w:val="Normal"/>
    <w:link w:val="DateChar"/>
    <w:uiPriority w:val="99"/>
    <w:semiHidden/>
    <w:unhideWhenUsed/>
    <w:rsid w:val="000C012E"/>
  </w:style>
  <w:style w:type="character" w:customStyle="1" w:styleId="DateChar">
    <w:name w:val="Date Char"/>
    <w:basedOn w:val="DefaultParagraphFont"/>
    <w:link w:val="Date"/>
    <w:uiPriority w:val="99"/>
    <w:semiHidden/>
    <w:rsid w:val="000C012E"/>
    <w:rPr>
      <w:rFonts w:asciiTheme="minorHAnsi" w:eastAsiaTheme="minorEastAsia" w:hAnsiTheme="minorHAnsi" w:cstheme="minorBidi"/>
      <w:sz w:val="22"/>
      <w:szCs w:val="22"/>
      <w:lang w:eastAsia="zh-CN"/>
    </w:rPr>
  </w:style>
  <w:style w:type="character" w:styleId="LineNumber">
    <w:name w:val="line number"/>
    <w:basedOn w:val="DefaultParagraphFont"/>
    <w:uiPriority w:val="99"/>
    <w:semiHidden/>
    <w:unhideWhenUsed/>
    <w:rsid w:val="00D1110F"/>
  </w:style>
  <w:style w:type="paragraph" w:styleId="Revision">
    <w:name w:val="Revision"/>
    <w:hidden/>
    <w:uiPriority w:val="99"/>
    <w:semiHidden/>
    <w:rsid w:val="00393534"/>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99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4V5k3EQ1xHA" TargetMode="External"/><Relationship Id="rId1" Type="http://schemas.openxmlformats.org/officeDocument/2006/relationships/hyperlink" Target="https://www.adforum.com/creative-work/ad/player/34526617/oasis-star-cinema-advert/oa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BA60-E6F0-40FE-8528-E6FE259F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439296F2</Template>
  <TotalTime>3266</TotalTime>
  <Pages>276</Pages>
  <Words>70720</Words>
  <Characters>403109</Characters>
  <Application>Microsoft Office Word</Application>
  <DocSecurity>0</DocSecurity>
  <Lines>3359</Lines>
  <Paragraphs>945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Southward</dc:creator>
  <cp:lastModifiedBy>Daniel Ian Southward</cp:lastModifiedBy>
  <cp:revision>65</cp:revision>
  <dcterms:created xsi:type="dcterms:W3CDTF">2018-07-23T13:07:00Z</dcterms:created>
  <dcterms:modified xsi:type="dcterms:W3CDTF">2018-09-17T12:23:00Z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79853351-1f84-3e77-86e5-ba193cfb139f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danny.i.southward@gmail.com@www.mendeley.com</vt:lpwstr>
  </property>
</Properties>
</file>