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1F14" w:rsidRDefault="008C1F14" w:rsidP="00F62EC7">
      <w:pPr>
        <w:rPr>
          <w:lang w:eastAsia="en-GB"/>
        </w:rPr>
      </w:pPr>
      <w:bookmarkStart w:id="0" w:name="_Toc347110332"/>
    </w:p>
    <w:p w:rsidR="00704C2A" w:rsidRDefault="00383DD0" w:rsidP="00383DD0">
      <w:pPr>
        <w:spacing w:after="160" w:line="259" w:lineRule="auto"/>
        <w:jc w:val="center"/>
        <w:rPr>
          <w:lang w:eastAsia="en-GB"/>
        </w:rPr>
      </w:pPr>
      <w:r>
        <w:rPr>
          <w:noProof/>
          <w:lang w:eastAsia="en-GB"/>
        </w:rPr>
        <w:drawing>
          <wp:inline distT="0" distB="0" distL="0" distR="0" wp14:anchorId="035052D4" wp14:editId="3B863E72">
            <wp:extent cx="1576552" cy="1672683"/>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res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5094" cy="1724185"/>
                    </a:xfrm>
                    <a:prstGeom prst="rect">
                      <a:avLst/>
                    </a:prstGeom>
                  </pic:spPr>
                </pic:pic>
              </a:graphicData>
            </a:graphic>
          </wp:inline>
        </w:drawing>
      </w:r>
    </w:p>
    <w:p w:rsidR="00704C2A" w:rsidRDefault="00704C2A">
      <w:pPr>
        <w:spacing w:after="160" w:line="259" w:lineRule="auto"/>
        <w:jc w:val="left"/>
        <w:rPr>
          <w:lang w:eastAsia="en-GB"/>
        </w:rPr>
      </w:pPr>
    </w:p>
    <w:p w:rsidR="00BF2C77" w:rsidRPr="00A32BC8" w:rsidRDefault="00577AB8" w:rsidP="00A32BC8">
      <w:pPr>
        <w:spacing w:after="160" w:line="259" w:lineRule="auto"/>
        <w:jc w:val="left"/>
        <w:rPr>
          <w:b/>
          <w:sz w:val="36"/>
          <w:szCs w:val="36"/>
          <w:lang w:eastAsia="en-GB"/>
        </w:rPr>
      </w:pPr>
      <w:r w:rsidRPr="00A32BC8">
        <w:rPr>
          <w:b/>
          <w:sz w:val="36"/>
          <w:szCs w:val="36"/>
          <w:lang w:eastAsia="en-GB"/>
        </w:rPr>
        <w:t xml:space="preserve">The potential role of </w:t>
      </w:r>
      <w:r w:rsidR="00B25C69">
        <w:rPr>
          <w:b/>
          <w:sz w:val="36"/>
          <w:szCs w:val="36"/>
          <w:lang w:eastAsia="en-GB"/>
        </w:rPr>
        <w:t xml:space="preserve">a </w:t>
      </w:r>
      <w:r w:rsidRPr="00A32BC8">
        <w:rPr>
          <w:b/>
          <w:sz w:val="36"/>
          <w:szCs w:val="36"/>
          <w:lang w:eastAsia="en-GB"/>
        </w:rPr>
        <w:t>carboxypeptidase B2</w:t>
      </w:r>
      <w:r w:rsidR="00A32BC8" w:rsidRPr="00A32BC8">
        <w:rPr>
          <w:b/>
          <w:sz w:val="36"/>
          <w:szCs w:val="36"/>
          <w:lang w:eastAsia="en-GB"/>
        </w:rPr>
        <w:t xml:space="preserve"> </w:t>
      </w:r>
      <w:r w:rsidR="00A04859">
        <w:rPr>
          <w:b/>
          <w:sz w:val="36"/>
          <w:szCs w:val="36"/>
          <w:lang w:eastAsia="en-GB"/>
        </w:rPr>
        <w:t xml:space="preserve">                         </w:t>
      </w:r>
      <w:r w:rsidRPr="00A32BC8">
        <w:rPr>
          <w:b/>
          <w:sz w:val="36"/>
          <w:szCs w:val="36"/>
          <w:lang w:eastAsia="en-GB"/>
        </w:rPr>
        <w:t>inhibitor in renal fibrosis</w:t>
      </w:r>
    </w:p>
    <w:p w:rsidR="00577AB8" w:rsidRDefault="00577AB8">
      <w:pPr>
        <w:spacing w:after="160" w:line="259" w:lineRule="auto"/>
        <w:jc w:val="left"/>
        <w:rPr>
          <w:lang w:eastAsia="en-GB"/>
        </w:rPr>
      </w:pPr>
    </w:p>
    <w:p w:rsidR="00A32BC8" w:rsidRDefault="00A32BC8">
      <w:pPr>
        <w:spacing w:after="160" w:line="259" w:lineRule="auto"/>
        <w:jc w:val="left"/>
        <w:rPr>
          <w:lang w:eastAsia="en-GB"/>
        </w:rPr>
      </w:pPr>
    </w:p>
    <w:p w:rsidR="00A32BC8" w:rsidRDefault="00A32BC8">
      <w:pPr>
        <w:spacing w:after="160" w:line="259" w:lineRule="auto"/>
        <w:jc w:val="left"/>
        <w:rPr>
          <w:lang w:eastAsia="en-GB"/>
        </w:rPr>
      </w:pPr>
    </w:p>
    <w:p w:rsidR="00577AB8" w:rsidRDefault="00577AB8" w:rsidP="00577AB8">
      <w:pPr>
        <w:spacing w:after="160" w:line="259" w:lineRule="auto"/>
        <w:ind w:left="720" w:firstLine="720"/>
        <w:jc w:val="left"/>
        <w:rPr>
          <w:b/>
          <w:sz w:val="28"/>
          <w:szCs w:val="28"/>
          <w:lang w:eastAsia="en-GB"/>
        </w:rPr>
      </w:pPr>
      <w:r w:rsidRPr="00A32BC8">
        <w:rPr>
          <w:b/>
          <w:sz w:val="28"/>
          <w:szCs w:val="28"/>
          <w:lang w:eastAsia="en-GB"/>
        </w:rPr>
        <w:t>OGUNTONA TAIWO SHOLA</w:t>
      </w:r>
    </w:p>
    <w:p w:rsidR="00A32BC8" w:rsidRDefault="00A32BC8" w:rsidP="00577AB8">
      <w:pPr>
        <w:spacing w:after="160" w:line="259" w:lineRule="auto"/>
        <w:ind w:left="720" w:firstLine="720"/>
        <w:jc w:val="left"/>
        <w:rPr>
          <w:b/>
          <w:sz w:val="28"/>
          <w:szCs w:val="28"/>
          <w:lang w:eastAsia="en-GB"/>
        </w:rPr>
      </w:pPr>
    </w:p>
    <w:p w:rsidR="00A32BC8" w:rsidRPr="00A32BC8" w:rsidRDefault="00A32BC8" w:rsidP="00577AB8">
      <w:pPr>
        <w:spacing w:after="160" w:line="259" w:lineRule="auto"/>
        <w:ind w:left="720" w:firstLine="720"/>
        <w:jc w:val="left"/>
        <w:rPr>
          <w:b/>
          <w:sz w:val="28"/>
          <w:szCs w:val="28"/>
          <w:lang w:eastAsia="en-GB"/>
        </w:rPr>
      </w:pPr>
    </w:p>
    <w:p w:rsidR="00A32BC8" w:rsidRDefault="00A32BC8" w:rsidP="00A32BC8">
      <w:pPr>
        <w:spacing w:after="160" w:line="259" w:lineRule="auto"/>
        <w:jc w:val="left"/>
        <w:rPr>
          <w:lang w:eastAsia="en-GB"/>
        </w:rPr>
      </w:pPr>
      <w:r w:rsidRPr="00A32BC8">
        <w:rPr>
          <w:lang w:eastAsia="en-GB"/>
        </w:rPr>
        <w:t xml:space="preserve">Thesis submitted to the University of Sheffield for the degree of </w:t>
      </w:r>
    </w:p>
    <w:p w:rsidR="00A32BC8" w:rsidRDefault="00A32BC8" w:rsidP="00A32BC8">
      <w:pPr>
        <w:spacing w:after="160" w:line="259" w:lineRule="auto"/>
        <w:ind w:left="1440" w:firstLine="720"/>
        <w:jc w:val="left"/>
        <w:rPr>
          <w:lang w:eastAsia="en-GB"/>
        </w:rPr>
      </w:pPr>
      <w:r w:rsidRPr="00A32BC8">
        <w:rPr>
          <w:lang w:eastAsia="en-GB"/>
        </w:rPr>
        <w:t>Doctor of Philosophy</w:t>
      </w:r>
    </w:p>
    <w:p w:rsidR="00A32BC8" w:rsidRDefault="00A32BC8" w:rsidP="00A32BC8">
      <w:pPr>
        <w:spacing w:after="160" w:line="259" w:lineRule="auto"/>
        <w:ind w:left="1440" w:firstLine="720"/>
        <w:jc w:val="left"/>
        <w:rPr>
          <w:lang w:eastAsia="en-GB"/>
        </w:rPr>
      </w:pPr>
    </w:p>
    <w:p w:rsidR="00A32BC8" w:rsidRPr="00A32BC8" w:rsidRDefault="00A32BC8" w:rsidP="00A32BC8">
      <w:pPr>
        <w:spacing w:after="160" w:line="259" w:lineRule="auto"/>
        <w:jc w:val="left"/>
        <w:rPr>
          <w:b/>
          <w:sz w:val="28"/>
          <w:szCs w:val="28"/>
          <w:lang w:eastAsia="en-GB"/>
        </w:rPr>
      </w:pPr>
      <w:r w:rsidRPr="00A32BC8">
        <w:rPr>
          <w:b/>
          <w:sz w:val="28"/>
          <w:szCs w:val="28"/>
          <w:lang w:eastAsia="en-GB"/>
        </w:rPr>
        <w:t>Supervisors: Dr DAVID J. BUT</w:t>
      </w:r>
      <w:r w:rsidR="00B97787">
        <w:rPr>
          <w:b/>
          <w:sz w:val="28"/>
          <w:szCs w:val="28"/>
          <w:lang w:eastAsia="en-GB"/>
        </w:rPr>
        <w:t>T</w:t>
      </w:r>
      <w:r w:rsidRPr="00A32BC8">
        <w:rPr>
          <w:b/>
          <w:sz w:val="28"/>
          <w:szCs w:val="28"/>
          <w:lang w:eastAsia="en-GB"/>
        </w:rPr>
        <w:t>LE</w:t>
      </w:r>
    </w:p>
    <w:p w:rsidR="00A32BC8" w:rsidRPr="00A32BC8" w:rsidRDefault="00A32BC8" w:rsidP="00A32BC8">
      <w:pPr>
        <w:spacing w:after="160" w:line="259" w:lineRule="auto"/>
        <w:jc w:val="left"/>
        <w:rPr>
          <w:b/>
          <w:sz w:val="28"/>
          <w:szCs w:val="28"/>
          <w:lang w:eastAsia="en-GB"/>
        </w:rPr>
      </w:pPr>
      <w:r w:rsidRPr="00A32BC8">
        <w:rPr>
          <w:b/>
          <w:sz w:val="28"/>
          <w:szCs w:val="28"/>
          <w:lang w:eastAsia="en-GB"/>
        </w:rPr>
        <w:t xml:space="preserve">            </w:t>
      </w:r>
      <w:r w:rsidRPr="00A32BC8">
        <w:rPr>
          <w:b/>
          <w:sz w:val="28"/>
          <w:szCs w:val="28"/>
          <w:lang w:eastAsia="en-GB"/>
        </w:rPr>
        <w:tab/>
        <w:t xml:space="preserve">  </w:t>
      </w:r>
      <w:r>
        <w:rPr>
          <w:b/>
          <w:sz w:val="28"/>
          <w:szCs w:val="28"/>
          <w:lang w:eastAsia="en-GB"/>
        </w:rPr>
        <w:t xml:space="preserve">   </w:t>
      </w:r>
      <w:r w:rsidRPr="00A32BC8">
        <w:rPr>
          <w:b/>
          <w:sz w:val="28"/>
          <w:szCs w:val="28"/>
          <w:lang w:eastAsia="en-GB"/>
        </w:rPr>
        <w:t>Dr PHIL F. WATSON</w:t>
      </w:r>
    </w:p>
    <w:p w:rsidR="00A32BC8" w:rsidRDefault="00A32BC8" w:rsidP="00A32BC8">
      <w:pPr>
        <w:spacing w:after="160" w:line="259" w:lineRule="auto"/>
        <w:jc w:val="left"/>
        <w:rPr>
          <w:b/>
          <w:lang w:eastAsia="en-GB"/>
        </w:rPr>
      </w:pPr>
    </w:p>
    <w:p w:rsidR="00A32BC8" w:rsidRPr="00A32BC8" w:rsidRDefault="00A32BC8" w:rsidP="00A32BC8">
      <w:pPr>
        <w:spacing w:after="160" w:line="259" w:lineRule="auto"/>
        <w:jc w:val="left"/>
        <w:rPr>
          <w:lang w:eastAsia="en-GB"/>
        </w:rPr>
      </w:pPr>
      <w:r w:rsidRPr="00A32BC8">
        <w:rPr>
          <w:lang w:eastAsia="en-GB"/>
        </w:rPr>
        <w:t>Department of infection immunity and cardiovascular disease</w:t>
      </w:r>
    </w:p>
    <w:p w:rsidR="00A32BC8" w:rsidRDefault="00567F6E" w:rsidP="00B97787">
      <w:pPr>
        <w:spacing w:after="160" w:line="259" w:lineRule="auto"/>
        <w:ind w:left="2160"/>
        <w:jc w:val="left"/>
        <w:rPr>
          <w:lang w:eastAsia="en-GB"/>
        </w:rPr>
      </w:pPr>
      <w:r>
        <w:rPr>
          <w:lang w:eastAsia="en-GB"/>
        </w:rPr>
        <w:t>March</w:t>
      </w:r>
      <w:r w:rsidR="008524A2">
        <w:rPr>
          <w:lang w:eastAsia="en-GB"/>
        </w:rPr>
        <w:t xml:space="preserve"> 2018</w:t>
      </w:r>
    </w:p>
    <w:p w:rsidR="00A04859" w:rsidRDefault="00A04859" w:rsidP="00A04859">
      <w:pPr>
        <w:spacing w:after="160" w:line="259" w:lineRule="auto"/>
        <w:ind w:left="2160" w:firstLine="720"/>
        <w:jc w:val="left"/>
        <w:rPr>
          <w:lang w:eastAsia="en-GB"/>
        </w:rPr>
      </w:pPr>
    </w:p>
    <w:p w:rsidR="00D56F02" w:rsidRPr="00D56F02" w:rsidRDefault="00D56F02" w:rsidP="00D56F02">
      <w:pPr>
        <w:ind w:left="1440" w:firstLine="720"/>
        <w:rPr>
          <w:rFonts w:cs="Arial"/>
          <w:sz w:val="40"/>
          <w:lang w:val="en-US"/>
        </w:rPr>
      </w:pPr>
      <w:r>
        <w:rPr>
          <w:rFonts w:asciiTheme="minorHAnsi" w:hAnsiTheme="minorHAnsi"/>
          <w:sz w:val="40"/>
          <w:lang w:val="en-US"/>
        </w:rPr>
        <w:br w:type="page"/>
      </w:r>
      <w:r w:rsidRPr="00D56F02">
        <w:rPr>
          <w:rFonts w:cs="Arial"/>
          <w:sz w:val="40"/>
          <w:lang w:val="en-US"/>
        </w:rPr>
        <w:lastRenderedPageBreak/>
        <w:t>Acknowledgements</w:t>
      </w:r>
    </w:p>
    <w:p w:rsidR="00D56F02" w:rsidRPr="00D56F02" w:rsidRDefault="00D56F02" w:rsidP="00D56F02">
      <w:pPr>
        <w:rPr>
          <w:rFonts w:cs="Arial"/>
          <w:lang w:val="en-US"/>
        </w:rPr>
      </w:pPr>
      <w:r w:rsidRPr="00D56F02">
        <w:rPr>
          <w:rFonts w:cs="Arial"/>
          <w:lang w:val="en-US"/>
        </w:rPr>
        <w:t xml:space="preserve">Reverence to God almighty for the grace and good health throughout the period of </w:t>
      </w:r>
      <w:r w:rsidR="00CC3150">
        <w:rPr>
          <w:rFonts w:cs="Arial"/>
          <w:lang w:val="en-US"/>
        </w:rPr>
        <w:t>t</w:t>
      </w:r>
      <w:r w:rsidRPr="00D56F02">
        <w:rPr>
          <w:rFonts w:cs="Arial"/>
          <w:lang w:val="en-US"/>
        </w:rPr>
        <w:t xml:space="preserve">his study. </w:t>
      </w:r>
    </w:p>
    <w:p w:rsidR="00D56F02" w:rsidRPr="00D56F02" w:rsidRDefault="00D56F02" w:rsidP="00D56F02">
      <w:pPr>
        <w:rPr>
          <w:rFonts w:cs="Arial"/>
          <w:lang w:val="en-US"/>
        </w:rPr>
      </w:pPr>
      <w:r w:rsidRPr="00D56F02">
        <w:rPr>
          <w:rFonts w:cs="Arial"/>
          <w:lang w:val="en-US"/>
        </w:rPr>
        <w:t>I do appreciate the unquantifiable love, support and understanding of my family especially Sanmisire who sacrificed a lot for me. To my mum and siblings you were all wonderful. Th</w:t>
      </w:r>
      <w:r w:rsidR="00312EA6">
        <w:rPr>
          <w:rFonts w:cs="Arial"/>
          <w:lang w:val="en-US"/>
        </w:rPr>
        <w:t>ank you to Olajumoke and the McC</w:t>
      </w:r>
      <w:r w:rsidRPr="00D56F02">
        <w:rPr>
          <w:rFonts w:cs="Arial"/>
          <w:lang w:val="en-US"/>
        </w:rPr>
        <w:t xml:space="preserve">arthys.   </w:t>
      </w:r>
    </w:p>
    <w:p w:rsidR="00CC3150" w:rsidRDefault="00D56F02" w:rsidP="00D56F02">
      <w:pPr>
        <w:rPr>
          <w:rFonts w:cs="Arial"/>
          <w:lang w:val="en-US"/>
        </w:rPr>
      </w:pPr>
      <w:r w:rsidRPr="00D56F02">
        <w:rPr>
          <w:rFonts w:cs="Arial"/>
          <w:lang w:val="en-US"/>
        </w:rPr>
        <w:t xml:space="preserve">To David Buttle (tutor emeritus), words are not enough to express my deepest appreciation and respect for your guidance and persistent help. I am indeed grateful for the knowledge you have impacted into me. The formal and informal training will remain my greatest asset. </w:t>
      </w:r>
    </w:p>
    <w:p w:rsidR="00D56F02" w:rsidRPr="00D56F02" w:rsidRDefault="00D56F02" w:rsidP="00D56F02">
      <w:pPr>
        <w:rPr>
          <w:rFonts w:cs="Arial"/>
          <w:lang w:val="en-US"/>
        </w:rPr>
      </w:pPr>
      <w:r w:rsidRPr="00D56F02">
        <w:rPr>
          <w:rFonts w:cs="Arial"/>
          <w:lang w:val="en-US"/>
        </w:rPr>
        <w:t xml:space="preserve">I am heartily thankful to </w:t>
      </w:r>
      <w:r w:rsidR="00A209A0">
        <w:rPr>
          <w:rFonts w:cs="Arial"/>
          <w:lang w:val="en-US"/>
        </w:rPr>
        <w:t xml:space="preserve">Drs </w:t>
      </w:r>
      <w:r w:rsidR="003D5CF8">
        <w:rPr>
          <w:rFonts w:cs="Arial"/>
          <w:lang w:val="en-US"/>
        </w:rPr>
        <w:t>Phil Watson and</w:t>
      </w:r>
      <w:r w:rsidRPr="00D56F02">
        <w:rPr>
          <w:rFonts w:cs="Arial"/>
          <w:lang w:val="en-US"/>
        </w:rPr>
        <w:t xml:space="preserve"> Lynne Prince for their constant support, advice and encouragement throughout the research.</w:t>
      </w:r>
      <w:r w:rsidR="00A209A0">
        <w:rPr>
          <w:rFonts w:cs="Arial"/>
          <w:lang w:val="en-US"/>
        </w:rPr>
        <w:t xml:space="preserve"> </w:t>
      </w:r>
      <w:r w:rsidR="00B97787">
        <w:rPr>
          <w:rFonts w:cs="Arial"/>
          <w:lang w:val="en-US"/>
        </w:rPr>
        <w:t>I am also grateful to Dr</w:t>
      </w:r>
      <w:r w:rsidR="003D5CF8">
        <w:rPr>
          <w:rFonts w:cs="Arial"/>
          <w:lang w:val="en-US"/>
        </w:rPr>
        <w:t xml:space="preserve"> Nick Pullen for his support, words of encouragement and also for been instrumental to the complete funding of the animal study and the seventh wave analysis. </w:t>
      </w:r>
      <w:r w:rsidR="00A209A0">
        <w:rPr>
          <w:rFonts w:cs="Arial"/>
          <w:lang w:val="en-US"/>
        </w:rPr>
        <w:t>Also worthy of appreciation</w:t>
      </w:r>
      <w:r w:rsidR="00A34ACD">
        <w:rPr>
          <w:rFonts w:cs="Arial"/>
          <w:lang w:val="en-US"/>
        </w:rPr>
        <w:t xml:space="preserve"> is </w:t>
      </w:r>
      <w:r w:rsidR="00A209A0">
        <w:rPr>
          <w:rFonts w:cs="Arial"/>
          <w:lang w:val="en-US"/>
        </w:rPr>
        <w:t xml:space="preserve">Dr </w:t>
      </w:r>
      <w:r w:rsidR="00A34ACD">
        <w:rPr>
          <w:rFonts w:cs="Arial"/>
          <w:lang w:val="en-US"/>
        </w:rPr>
        <w:t xml:space="preserve">Aileen Crawford for the beautiful gift of DMMB dye. </w:t>
      </w:r>
      <w:r w:rsidRPr="00D56F02">
        <w:rPr>
          <w:rFonts w:cs="Arial"/>
          <w:lang w:val="en-US"/>
        </w:rPr>
        <w:t xml:space="preserve"> </w:t>
      </w:r>
    </w:p>
    <w:p w:rsidR="00D56F02" w:rsidRPr="00D56F02" w:rsidRDefault="00D56F02" w:rsidP="00D56F02">
      <w:pPr>
        <w:rPr>
          <w:rFonts w:cs="Arial"/>
          <w:lang w:val="en-US"/>
        </w:rPr>
      </w:pPr>
      <w:r w:rsidRPr="00D56F02">
        <w:rPr>
          <w:rFonts w:cs="Arial"/>
          <w:lang w:val="en-US"/>
        </w:rPr>
        <w:t>To Callum Milne I say a big thank you for the love and support.</w:t>
      </w:r>
    </w:p>
    <w:p w:rsidR="00D56F02" w:rsidRPr="00D56F02" w:rsidRDefault="00D56F02" w:rsidP="00D56F02">
      <w:pPr>
        <w:rPr>
          <w:rFonts w:cs="Arial"/>
          <w:lang w:val="en-US"/>
        </w:rPr>
      </w:pPr>
      <w:r w:rsidRPr="00D56F02">
        <w:rPr>
          <w:rFonts w:cs="Arial"/>
          <w:lang w:val="en-US"/>
        </w:rPr>
        <w:t xml:space="preserve">To Yvonne Stephenson, Paula Blackwell, Kevin Oxley and all the staff of the PG hub, your words of encouragement and advice were helpful. </w:t>
      </w:r>
    </w:p>
    <w:p w:rsidR="00D56F02" w:rsidRPr="00D56F02" w:rsidRDefault="00D56F02" w:rsidP="00D56F02">
      <w:pPr>
        <w:rPr>
          <w:rFonts w:cs="Arial"/>
          <w:lang w:val="en-US"/>
        </w:rPr>
      </w:pPr>
      <w:r w:rsidRPr="00D56F02">
        <w:rPr>
          <w:rFonts w:cs="Arial"/>
          <w:lang w:val="en-US"/>
        </w:rPr>
        <w:t>To all my colleagues in K134</w:t>
      </w:r>
      <w:r w:rsidR="00F47161" w:rsidRPr="00F47161">
        <w:rPr>
          <w:rFonts w:cs="Arial"/>
          <w:lang w:val="en-US"/>
        </w:rPr>
        <w:t xml:space="preserve"> </w:t>
      </w:r>
      <w:r w:rsidR="00F47161">
        <w:rPr>
          <w:rFonts w:cs="Arial"/>
          <w:lang w:val="en-US"/>
        </w:rPr>
        <w:t xml:space="preserve">and </w:t>
      </w:r>
      <w:r w:rsidR="00F47161" w:rsidRPr="00D56F02">
        <w:rPr>
          <w:rFonts w:cs="Arial"/>
          <w:lang w:val="en-US"/>
        </w:rPr>
        <w:t>L-floor</w:t>
      </w:r>
      <w:r w:rsidR="00F47161">
        <w:rPr>
          <w:rFonts w:cs="Arial"/>
          <w:lang w:val="en-US"/>
        </w:rPr>
        <w:t xml:space="preserve"> including my seniors Drs Adekoya and Victor Njom</w:t>
      </w:r>
      <w:r w:rsidR="00CC3150">
        <w:rPr>
          <w:rFonts w:cs="Arial"/>
          <w:lang w:val="en-US"/>
        </w:rPr>
        <w:t xml:space="preserve"> I say a big thank you</w:t>
      </w:r>
      <w:r w:rsidR="00F47161">
        <w:rPr>
          <w:rFonts w:cs="Arial"/>
          <w:lang w:val="en-US"/>
        </w:rPr>
        <w:t>. To</w:t>
      </w:r>
      <w:r w:rsidRPr="00D56F02">
        <w:rPr>
          <w:rFonts w:cs="Arial"/>
          <w:lang w:val="en-US"/>
        </w:rPr>
        <w:t xml:space="preserve"> Kerian Walker and Peter Gunner you guys were marvelous, your contributions and support will remain golden.</w:t>
      </w:r>
    </w:p>
    <w:p w:rsidR="00D56F02" w:rsidRPr="00D56F02" w:rsidRDefault="00D56F02" w:rsidP="00D56F02">
      <w:pPr>
        <w:rPr>
          <w:rFonts w:cs="Arial"/>
          <w:lang w:val="en-US"/>
        </w:rPr>
      </w:pPr>
      <w:r w:rsidRPr="00D56F02">
        <w:rPr>
          <w:rFonts w:cs="Arial"/>
          <w:lang w:val="en-US"/>
        </w:rPr>
        <w:t>Fiona Wright, thanks for accepting me, my numerous troubles and my last minute requests, definitely you made my stay in the lab enjoyable.</w:t>
      </w:r>
    </w:p>
    <w:p w:rsidR="00D56F02" w:rsidRPr="00D56F02" w:rsidRDefault="00D56F02" w:rsidP="00D56F02">
      <w:pPr>
        <w:rPr>
          <w:rFonts w:cs="Arial"/>
          <w:lang w:val="en-US"/>
        </w:rPr>
      </w:pPr>
      <w:r w:rsidRPr="00D56F02">
        <w:rPr>
          <w:rFonts w:cs="Arial"/>
          <w:lang w:val="en-US"/>
        </w:rPr>
        <w:lastRenderedPageBreak/>
        <w:t xml:space="preserve">I wish to express my gratitude to </w:t>
      </w:r>
      <w:r w:rsidR="00F47161">
        <w:rPr>
          <w:rFonts w:cs="Arial"/>
          <w:lang w:val="en-US"/>
        </w:rPr>
        <w:t xml:space="preserve">TETFUND, </w:t>
      </w:r>
      <w:r w:rsidRPr="00D56F02">
        <w:rPr>
          <w:rFonts w:cs="Arial"/>
          <w:lang w:val="en-US"/>
        </w:rPr>
        <w:t xml:space="preserve">Lagos State University, Lasucom, Profs J.A Olagunju, A.A Adedeji, and Drs G.O Ajayi, O.O Yemitan.        </w:t>
      </w:r>
    </w:p>
    <w:p w:rsidR="00B25C69" w:rsidRDefault="00D56F02" w:rsidP="00A04859">
      <w:pPr>
        <w:rPr>
          <w:rFonts w:cs="Arial"/>
          <w:lang w:val="en-US"/>
        </w:rPr>
      </w:pPr>
      <w:r w:rsidRPr="00D56F02">
        <w:rPr>
          <w:rFonts w:cs="Arial"/>
          <w:lang w:val="en-US"/>
        </w:rPr>
        <w:t>Finally it will be unfair if I ignore the ever uncontestable companionship of kopparberg, I am indeed indebted to the manufacturers.</w:t>
      </w:r>
    </w:p>
    <w:p w:rsidR="00D56F02" w:rsidRPr="00B25C69" w:rsidRDefault="00B25C69" w:rsidP="00B25C69">
      <w:pPr>
        <w:spacing w:after="160" w:line="259" w:lineRule="auto"/>
        <w:jc w:val="left"/>
        <w:rPr>
          <w:rFonts w:cs="Arial"/>
          <w:lang w:val="en-US"/>
        </w:rPr>
      </w:pPr>
      <w:r>
        <w:rPr>
          <w:rFonts w:cs="Arial"/>
          <w:lang w:val="en-US"/>
        </w:rPr>
        <w:br w:type="page"/>
      </w:r>
    </w:p>
    <w:p w:rsidR="00BF2C77" w:rsidRDefault="00BF2C77" w:rsidP="00182FA8">
      <w:pPr>
        <w:pStyle w:val="Heading1"/>
        <w:ind w:left="2160" w:firstLine="720"/>
        <w:rPr>
          <w:rFonts w:asciiTheme="minorHAnsi" w:hAnsiTheme="minorHAnsi"/>
          <w:sz w:val="40"/>
          <w:lang w:val="en-US"/>
        </w:rPr>
      </w:pPr>
      <w:bookmarkStart w:id="1" w:name="_Toc506232282"/>
      <w:r w:rsidRPr="00BF2C77">
        <w:rPr>
          <w:rFonts w:asciiTheme="minorHAnsi" w:hAnsiTheme="minorHAnsi"/>
          <w:sz w:val="40"/>
          <w:lang w:val="en-US"/>
        </w:rPr>
        <w:lastRenderedPageBreak/>
        <w:t>Abstract</w:t>
      </w:r>
      <w:bookmarkEnd w:id="1"/>
    </w:p>
    <w:p w:rsidR="0080401C" w:rsidRPr="0075502F" w:rsidRDefault="0080401C" w:rsidP="00DA20A2">
      <w:pPr>
        <w:spacing w:after="160" w:line="259" w:lineRule="auto"/>
        <w:ind w:left="720"/>
        <w:jc w:val="left"/>
        <w:rPr>
          <w:u w:val="single"/>
          <w:lang w:eastAsia="en-GB"/>
        </w:rPr>
      </w:pPr>
      <w:r w:rsidRPr="0075502F">
        <w:rPr>
          <w:u w:val="single"/>
          <w:lang w:eastAsia="en-GB"/>
        </w:rPr>
        <w:t xml:space="preserve">The potential role of </w:t>
      </w:r>
      <w:r w:rsidR="00B25C69" w:rsidRPr="0075502F">
        <w:rPr>
          <w:u w:val="single"/>
          <w:lang w:eastAsia="en-GB"/>
        </w:rPr>
        <w:t>a carboxypeptidase B2 inhibitor</w:t>
      </w:r>
      <w:r w:rsidR="00FF5984" w:rsidRPr="0075502F">
        <w:rPr>
          <w:u w:val="single"/>
          <w:lang w:eastAsia="en-GB"/>
        </w:rPr>
        <w:t xml:space="preserve"> </w:t>
      </w:r>
      <w:r w:rsidRPr="0075502F">
        <w:rPr>
          <w:u w:val="single"/>
          <w:lang w:eastAsia="en-GB"/>
        </w:rPr>
        <w:t>in renal fibrosis</w:t>
      </w:r>
    </w:p>
    <w:p w:rsidR="00F62EC7" w:rsidRPr="00F62EC7" w:rsidRDefault="00F62EC7" w:rsidP="00DA20A2">
      <w:pPr>
        <w:ind w:left="720"/>
        <w:rPr>
          <w:rFonts w:eastAsia="Times New Roman" w:cs="Arial"/>
          <w:lang w:eastAsia="en-GB"/>
        </w:rPr>
      </w:pPr>
      <w:r w:rsidRPr="00F62EC7">
        <w:rPr>
          <w:rFonts w:cs="Arial"/>
        </w:rPr>
        <w:t>D</w:t>
      </w:r>
      <w:r w:rsidRPr="00F62EC7">
        <w:rPr>
          <w:rFonts w:eastAsia="Times New Roman" w:cs="Arial"/>
          <w:bCs/>
          <w:lang w:eastAsia="en-GB"/>
        </w:rPr>
        <w:t>iabetic nephropathy (DN) is a f</w:t>
      </w:r>
      <w:r w:rsidR="00A56309">
        <w:rPr>
          <w:rFonts w:eastAsia="Times New Roman" w:cs="Arial"/>
          <w:lang w:eastAsia="en-GB"/>
        </w:rPr>
        <w:t>ibrotic disease</w:t>
      </w:r>
      <w:r w:rsidRPr="00F62EC7">
        <w:rPr>
          <w:rFonts w:cs="Arial"/>
        </w:rPr>
        <w:t xml:space="preserve"> from renal injury </w:t>
      </w:r>
      <w:r w:rsidRPr="00F62EC7">
        <w:rPr>
          <w:rFonts w:eastAsia="Times New Roman" w:cs="Arial"/>
          <w:lang w:eastAsia="en-GB"/>
        </w:rPr>
        <w:t>which is characterized by extracellular matrix (ECM) build-u</w:t>
      </w:r>
      <w:r w:rsidR="00A10DE2">
        <w:rPr>
          <w:rFonts w:eastAsia="Times New Roman" w:cs="Arial"/>
          <w:lang w:eastAsia="en-GB"/>
        </w:rPr>
        <w:t>p. Thus, DN leads to</w:t>
      </w:r>
      <w:r w:rsidRPr="00F62EC7">
        <w:rPr>
          <w:rFonts w:eastAsia="Times New Roman" w:cs="Arial"/>
          <w:lang w:eastAsia="en-GB"/>
        </w:rPr>
        <w:t xml:space="preserve"> disruption of ren</w:t>
      </w:r>
      <w:r w:rsidR="00A10DE2">
        <w:rPr>
          <w:rFonts w:eastAsia="Times New Roman" w:cs="Arial"/>
          <w:lang w:eastAsia="en-GB"/>
        </w:rPr>
        <w:t>al architecture and</w:t>
      </w:r>
      <w:r w:rsidRPr="00F62EC7">
        <w:rPr>
          <w:rFonts w:eastAsia="Times New Roman" w:cs="Arial"/>
          <w:lang w:eastAsia="en-GB"/>
        </w:rPr>
        <w:t xml:space="preserve"> loss of renal function. </w:t>
      </w:r>
      <w:r w:rsidRPr="00F62EC7">
        <w:rPr>
          <w:rFonts w:cs="Arial"/>
        </w:rPr>
        <w:t>We hypothesized that renal fibrosis can be improved by</w:t>
      </w:r>
      <w:r w:rsidRPr="00F62EC7">
        <w:rPr>
          <w:rFonts w:cs="Arial"/>
          <w:color w:val="FF0000"/>
        </w:rPr>
        <w:t xml:space="preserve"> </w:t>
      </w:r>
      <w:r w:rsidRPr="00F62EC7">
        <w:rPr>
          <w:rFonts w:cs="Arial"/>
        </w:rPr>
        <w:t xml:space="preserve">increasing plasmin activity through inhibition of carboxypeptidase B2 (CPB2) activity using UK-396082- a selective CPB2 inhibitor. </w:t>
      </w:r>
    </w:p>
    <w:p w:rsidR="00F62EC7" w:rsidRPr="00F62EC7" w:rsidRDefault="00F62EC7" w:rsidP="00DA20A2">
      <w:pPr>
        <w:spacing w:after="0"/>
        <w:ind w:left="720"/>
        <w:jc w:val="left"/>
        <w:rPr>
          <w:rFonts w:eastAsia="Times New Roman" w:cs="Arial"/>
          <w:lang w:eastAsia="en-GB"/>
        </w:rPr>
      </w:pPr>
      <w:r w:rsidRPr="00F62EC7">
        <w:rPr>
          <w:rFonts w:eastAsia="Times New Roman" w:cs="Arial"/>
          <w:bCs/>
          <w:lang w:eastAsia="en-GB"/>
        </w:rPr>
        <w:t xml:space="preserve">An </w:t>
      </w:r>
      <w:r w:rsidRPr="00F62EC7">
        <w:rPr>
          <w:rFonts w:eastAsia="Times New Roman" w:cs="Arial"/>
          <w:bCs/>
          <w:i/>
          <w:lang w:eastAsia="en-GB"/>
        </w:rPr>
        <w:t>in vivo</w:t>
      </w:r>
      <w:r w:rsidRPr="00F62EC7">
        <w:rPr>
          <w:rFonts w:eastAsia="Times New Roman" w:cs="Arial"/>
          <w:bCs/>
          <w:lang w:eastAsia="en-GB"/>
        </w:rPr>
        <w:t xml:space="preserve"> r</w:t>
      </w:r>
      <w:r w:rsidR="00FF5984">
        <w:rPr>
          <w:rFonts w:eastAsia="Times New Roman" w:cs="Arial"/>
          <w:bCs/>
          <w:lang w:eastAsia="en-GB"/>
        </w:rPr>
        <w:t>at model of DN</w:t>
      </w:r>
      <w:r w:rsidRPr="00F62EC7">
        <w:rPr>
          <w:rFonts w:eastAsia="Times New Roman" w:cs="Arial"/>
          <w:bCs/>
          <w:lang w:eastAsia="en-GB"/>
        </w:rPr>
        <w:t xml:space="preserve"> was used. Unilateral nephrectomy </w:t>
      </w:r>
      <w:r w:rsidR="00DD7E52">
        <w:rPr>
          <w:rFonts w:eastAsia="Times New Roman" w:cs="Arial"/>
          <w:bCs/>
          <w:lang w:eastAsia="en-GB"/>
        </w:rPr>
        <w:t>and i</w:t>
      </w:r>
      <w:r w:rsidRPr="00F62EC7">
        <w:rPr>
          <w:rFonts w:eastAsia="Times New Roman" w:cs="Arial"/>
          <w:bCs/>
          <w:lang w:eastAsia="en-GB"/>
        </w:rPr>
        <w:t>nd</w:t>
      </w:r>
      <w:r w:rsidR="00FF5984">
        <w:rPr>
          <w:rFonts w:eastAsia="Times New Roman" w:cs="Arial"/>
          <w:bCs/>
          <w:lang w:eastAsia="en-GB"/>
        </w:rPr>
        <w:t>uction of type 1 diabetes with 8</w:t>
      </w:r>
      <w:r w:rsidRPr="00F62EC7">
        <w:rPr>
          <w:rFonts w:eastAsia="Times New Roman" w:cs="Arial"/>
          <w:bCs/>
          <w:lang w:eastAsia="en-GB"/>
        </w:rPr>
        <w:t xml:space="preserve">0mg/kg streptozotocin injection. Blood glucose was maintained between 20-25 mM for 8 months with linplants. The rats were divided into </w:t>
      </w:r>
      <w:r w:rsidR="00DD7E52">
        <w:rPr>
          <w:rFonts w:eastAsia="Times New Roman" w:cs="Arial"/>
          <w:bCs/>
          <w:lang w:eastAsia="en-GB"/>
        </w:rPr>
        <w:t>3 groups. Group 1 (diseased)</w:t>
      </w:r>
      <w:r w:rsidRPr="00F62EC7">
        <w:rPr>
          <w:rFonts w:eastAsia="Times New Roman" w:cs="Arial"/>
          <w:bCs/>
          <w:lang w:eastAsia="en-GB"/>
        </w:rPr>
        <w:t xml:space="preserve"> fed on normal chow. Group 3 </w:t>
      </w:r>
      <w:r w:rsidR="00DD7E52">
        <w:rPr>
          <w:rFonts w:eastAsia="Times New Roman" w:cs="Arial"/>
          <w:bCs/>
          <w:lang w:eastAsia="en-GB"/>
        </w:rPr>
        <w:t>(treatment)</w:t>
      </w:r>
      <w:r w:rsidRPr="00F62EC7">
        <w:rPr>
          <w:rFonts w:eastAsia="Times New Roman" w:cs="Arial"/>
          <w:bCs/>
          <w:lang w:eastAsia="en-GB"/>
        </w:rPr>
        <w:t xml:space="preserve"> fed on normal chow for four months after which it  was changed to chow mixed with 0.3g/kg of UK-396082 for the final four mon</w:t>
      </w:r>
      <w:r w:rsidR="00DD7E52">
        <w:rPr>
          <w:rFonts w:eastAsia="Times New Roman" w:cs="Arial"/>
          <w:bCs/>
          <w:lang w:eastAsia="en-GB"/>
        </w:rPr>
        <w:t>ths.  Group 2 (prophylaxis)</w:t>
      </w:r>
      <w:r w:rsidRPr="00F62EC7">
        <w:rPr>
          <w:rFonts w:eastAsia="Times New Roman" w:cs="Arial"/>
          <w:bCs/>
          <w:lang w:eastAsia="en-GB"/>
        </w:rPr>
        <w:t xml:space="preserve"> fed on chow mixed with a 0.3g/kg of UK-39</w:t>
      </w:r>
      <w:r w:rsidR="00A10DE2">
        <w:rPr>
          <w:rFonts w:eastAsia="Times New Roman" w:cs="Arial"/>
          <w:bCs/>
          <w:lang w:eastAsia="en-GB"/>
        </w:rPr>
        <w:t>6082 for</w:t>
      </w:r>
      <w:r w:rsidR="00A56309">
        <w:rPr>
          <w:rFonts w:eastAsia="Times New Roman" w:cs="Arial"/>
          <w:bCs/>
          <w:lang w:eastAsia="en-GB"/>
        </w:rPr>
        <w:t xml:space="preserve"> 8 month</w:t>
      </w:r>
      <w:r w:rsidRPr="00F62EC7">
        <w:rPr>
          <w:rFonts w:eastAsia="Times New Roman" w:cs="Arial"/>
          <w:bCs/>
          <w:lang w:eastAsia="en-GB"/>
        </w:rPr>
        <w:t xml:space="preserve">. </w:t>
      </w:r>
    </w:p>
    <w:p w:rsidR="00F62EC7" w:rsidRPr="00F62EC7" w:rsidRDefault="00F62EC7" w:rsidP="00DA20A2">
      <w:pPr>
        <w:widowControl w:val="0"/>
        <w:autoSpaceDE w:val="0"/>
        <w:autoSpaceDN w:val="0"/>
        <w:adjustRightInd w:val="0"/>
        <w:spacing w:after="0"/>
        <w:ind w:left="720"/>
        <w:rPr>
          <w:rFonts w:eastAsia="Times New Roman" w:cs="Arial"/>
          <w:bCs/>
          <w:color w:val="000000"/>
          <w:lang w:eastAsia="en-GB"/>
        </w:rPr>
      </w:pPr>
      <w:r w:rsidRPr="00F62EC7">
        <w:rPr>
          <w:rFonts w:eastAsia="Times New Roman" w:cs="Arial"/>
          <w:bCs/>
          <w:lang w:eastAsia="en-GB"/>
        </w:rPr>
        <w:t xml:space="preserve">In an </w:t>
      </w:r>
      <w:r w:rsidRPr="00F62EC7">
        <w:rPr>
          <w:rFonts w:eastAsia="Times New Roman" w:cs="Arial"/>
          <w:bCs/>
          <w:i/>
          <w:lang w:eastAsia="en-GB"/>
        </w:rPr>
        <w:t>in vitro</w:t>
      </w:r>
      <w:r w:rsidRPr="00F62EC7">
        <w:rPr>
          <w:rFonts w:eastAsia="Times New Roman" w:cs="Arial"/>
          <w:bCs/>
          <w:lang w:eastAsia="en-GB"/>
        </w:rPr>
        <w:t xml:space="preserve"> study </w:t>
      </w:r>
      <w:r w:rsidRPr="00F62EC7">
        <w:rPr>
          <w:rFonts w:eastAsia="Times New Roman" w:cs="Arial"/>
          <w:bCs/>
          <w:color w:val="000000"/>
          <w:lang w:eastAsia="en-GB"/>
        </w:rPr>
        <w:t xml:space="preserve">CPB2, plasmin, </w:t>
      </w:r>
      <w:r w:rsidRPr="00F62EC7">
        <w:rPr>
          <w:rFonts w:eastAsia="Times New Roman" w:cs="Arial"/>
          <w:lang w:eastAsia="en-GB"/>
        </w:rPr>
        <w:t xml:space="preserve">tissue–type (tPA) and urokinase-type (uPA) plasminogen activators </w:t>
      </w:r>
      <w:r w:rsidRPr="00F62EC7">
        <w:rPr>
          <w:rFonts w:eastAsia="Times New Roman" w:cs="Arial"/>
          <w:bCs/>
          <w:color w:val="000000"/>
          <w:lang w:eastAsia="en-GB"/>
        </w:rPr>
        <w:t>were assayed in the presence and absence of UK-396082 in rat kidney epithelial</w:t>
      </w:r>
      <w:r w:rsidR="00FF5984">
        <w:rPr>
          <w:rFonts w:eastAsia="Times New Roman" w:cs="Arial"/>
          <w:bCs/>
          <w:color w:val="000000"/>
          <w:lang w:eastAsia="en-GB"/>
        </w:rPr>
        <w:t>-like</w:t>
      </w:r>
      <w:r w:rsidRPr="00F62EC7">
        <w:rPr>
          <w:rFonts w:eastAsia="Times New Roman" w:cs="Arial"/>
          <w:bCs/>
          <w:color w:val="000000"/>
          <w:lang w:eastAsia="en-GB"/>
        </w:rPr>
        <w:t>, fibroblast</w:t>
      </w:r>
      <w:r w:rsidR="00FF5984">
        <w:rPr>
          <w:rFonts w:eastAsia="Times New Roman" w:cs="Arial"/>
          <w:bCs/>
          <w:color w:val="000000"/>
          <w:lang w:eastAsia="en-GB"/>
        </w:rPr>
        <w:t>-like</w:t>
      </w:r>
      <w:r w:rsidRPr="00F62EC7">
        <w:rPr>
          <w:rFonts w:eastAsia="Times New Roman" w:cs="Arial"/>
          <w:bCs/>
          <w:color w:val="000000"/>
          <w:lang w:eastAsia="en-GB"/>
        </w:rPr>
        <w:t xml:space="preserve"> and mesangial cel</w:t>
      </w:r>
      <w:r w:rsidR="00FF5984">
        <w:rPr>
          <w:rFonts w:eastAsia="Times New Roman" w:cs="Arial"/>
          <w:bCs/>
          <w:color w:val="000000"/>
          <w:lang w:eastAsia="en-GB"/>
        </w:rPr>
        <w:t>l</w:t>
      </w:r>
      <w:r w:rsidR="00A10DE2">
        <w:rPr>
          <w:rFonts w:eastAsia="Times New Roman" w:cs="Arial"/>
          <w:bCs/>
          <w:color w:val="000000"/>
          <w:lang w:eastAsia="en-GB"/>
        </w:rPr>
        <w:t>s cultured</w:t>
      </w:r>
      <w:r w:rsidR="00FF5984">
        <w:rPr>
          <w:rFonts w:eastAsia="Times New Roman" w:cs="Arial"/>
          <w:bCs/>
          <w:color w:val="000000"/>
          <w:lang w:eastAsia="en-GB"/>
        </w:rPr>
        <w:t xml:space="preserve"> on plastic and</w:t>
      </w:r>
      <w:r w:rsidRPr="00F62EC7">
        <w:rPr>
          <w:rFonts w:eastAsia="Times New Roman" w:cs="Arial"/>
          <w:bCs/>
          <w:color w:val="000000"/>
          <w:lang w:eastAsia="en-GB"/>
        </w:rPr>
        <w:t xml:space="preserve"> fibrin ge</w:t>
      </w:r>
      <w:r w:rsidR="00A56309">
        <w:rPr>
          <w:rFonts w:eastAsia="Times New Roman" w:cs="Arial"/>
          <w:bCs/>
          <w:color w:val="000000"/>
          <w:lang w:eastAsia="en-GB"/>
        </w:rPr>
        <w:t>l.</w:t>
      </w:r>
    </w:p>
    <w:p w:rsidR="00F62EC7" w:rsidRPr="00F62EC7" w:rsidRDefault="00F62EC7" w:rsidP="00DA20A2">
      <w:pPr>
        <w:widowControl w:val="0"/>
        <w:autoSpaceDE w:val="0"/>
        <w:autoSpaceDN w:val="0"/>
        <w:adjustRightInd w:val="0"/>
        <w:spacing w:after="0"/>
        <w:ind w:left="720"/>
        <w:rPr>
          <w:rFonts w:eastAsia="Times New Roman" w:cs="Arial"/>
          <w:lang w:eastAsia="en-GB"/>
        </w:rPr>
      </w:pPr>
      <w:r w:rsidRPr="00F62EC7">
        <w:rPr>
          <w:rFonts w:cs="Arial"/>
          <w:bCs/>
        </w:rPr>
        <w:t>Our results confirm</w:t>
      </w:r>
      <w:r w:rsidR="00A56309">
        <w:rPr>
          <w:rFonts w:cs="Arial"/>
          <w:bCs/>
        </w:rPr>
        <w:t>ed</w:t>
      </w:r>
      <w:r w:rsidR="00FF5984">
        <w:rPr>
          <w:rFonts w:cs="Arial"/>
          <w:bCs/>
        </w:rPr>
        <w:t xml:space="preserve"> DN</w:t>
      </w:r>
      <w:r w:rsidR="00A56309">
        <w:rPr>
          <w:rFonts w:cs="Arial"/>
          <w:bCs/>
        </w:rPr>
        <w:t xml:space="preserve"> in this rat model. P</w:t>
      </w:r>
      <w:r w:rsidRPr="00F62EC7">
        <w:rPr>
          <w:rFonts w:cs="Arial"/>
          <w:bCs/>
        </w:rPr>
        <w:t>rophylactic admin</w:t>
      </w:r>
      <w:r w:rsidR="0034381A">
        <w:rPr>
          <w:rFonts w:cs="Arial"/>
          <w:bCs/>
        </w:rPr>
        <w:t>istration of UK-396082 gave protection against</w:t>
      </w:r>
      <w:r w:rsidRPr="00F62EC7">
        <w:rPr>
          <w:rFonts w:cs="Arial"/>
          <w:bCs/>
        </w:rPr>
        <w:t xml:space="preserve"> development of kidney fibrosis and impaired kidney function. Ho</w:t>
      </w:r>
      <w:r w:rsidR="0034381A">
        <w:rPr>
          <w:rFonts w:cs="Arial"/>
          <w:bCs/>
        </w:rPr>
        <w:t>wever, with</w:t>
      </w:r>
      <w:r w:rsidRPr="00F62EC7">
        <w:rPr>
          <w:rFonts w:cs="Arial"/>
          <w:bCs/>
        </w:rPr>
        <w:t xml:space="preserve"> advanced</w:t>
      </w:r>
      <w:r w:rsidR="0034381A">
        <w:rPr>
          <w:rFonts w:cs="Arial"/>
          <w:bCs/>
        </w:rPr>
        <w:t xml:space="preserve"> DN,</w:t>
      </w:r>
      <w:r w:rsidRPr="00F62EC7">
        <w:rPr>
          <w:rFonts w:cs="Arial"/>
          <w:bCs/>
        </w:rPr>
        <w:t xml:space="preserve"> UK-396082 appeared to have little protective effect. The </w:t>
      </w:r>
      <w:r w:rsidRPr="00F62EC7">
        <w:rPr>
          <w:rFonts w:eastAsia="Times New Roman" w:cs="Arial"/>
          <w:i/>
          <w:lang w:eastAsia="en-GB"/>
        </w:rPr>
        <w:t>In vitro</w:t>
      </w:r>
      <w:r w:rsidRPr="00F62EC7">
        <w:rPr>
          <w:rFonts w:eastAsia="Times New Roman" w:cs="Arial"/>
          <w:lang w:eastAsia="en-GB"/>
        </w:rPr>
        <w:t xml:space="preserve"> results demonstrated that CPB2, tPA, uPA and plasmin activities were present in rat kidney epithelial</w:t>
      </w:r>
      <w:r w:rsidR="00FF5984">
        <w:rPr>
          <w:rFonts w:eastAsia="Times New Roman" w:cs="Arial"/>
          <w:lang w:eastAsia="en-GB"/>
        </w:rPr>
        <w:t>-like</w:t>
      </w:r>
      <w:r w:rsidRPr="00F62EC7">
        <w:rPr>
          <w:rFonts w:eastAsia="Times New Roman" w:cs="Arial"/>
          <w:lang w:eastAsia="en-GB"/>
        </w:rPr>
        <w:t>, fibroblast</w:t>
      </w:r>
      <w:r w:rsidR="00FF5984">
        <w:rPr>
          <w:rFonts w:eastAsia="Times New Roman" w:cs="Arial"/>
          <w:lang w:eastAsia="en-GB"/>
        </w:rPr>
        <w:t>-like</w:t>
      </w:r>
      <w:r w:rsidRPr="00F62EC7">
        <w:rPr>
          <w:rFonts w:eastAsia="Times New Roman" w:cs="Arial"/>
          <w:lang w:eastAsia="en-GB"/>
        </w:rPr>
        <w:t xml:space="preserve"> and mesangial cell culture. CPB2, tPA, and plasmin </w:t>
      </w:r>
      <w:r w:rsidRPr="00F62EC7">
        <w:rPr>
          <w:rFonts w:eastAsia="Times New Roman" w:cs="Arial"/>
          <w:lang w:eastAsia="en-GB"/>
        </w:rPr>
        <w:lastRenderedPageBreak/>
        <w:t>activities were increased when epithelial and mesangial rat kidney cells were cultured o</w:t>
      </w:r>
      <w:r w:rsidR="00EF7398">
        <w:rPr>
          <w:rFonts w:eastAsia="Times New Roman" w:cs="Arial"/>
          <w:lang w:eastAsia="en-GB"/>
        </w:rPr>
        <w:t>n fibrin as opposed to plastic.</w:t>
      </w:r>
    </w:p>
    <w:p w:rsidR="00F62EC7" w:rsidRPr="00F62EC7" w:rsidRDefault="00F62EC7" w:rsidP="00DA20A2">
      <w:pPr>
        <w:spacing w:after="0"/>
        <w:ind w:left="720"/>
        <w:jc w:val="left"/>
        <w:rPr>
          <w:rFonts w:eastAsia="Times New Roman" w:cs="Arial"/>
          <w:bCs/>
          <w:lang w:eastAsia="en-GB"/>
        </w:rPr>
      </w:pPr>
      <w:r w:rsidRPr="00F62EC7">
        <w:rPr>
          <w:rFonts w:eastAsia="Times New Roman" w:cs="Arial"/>
          <w:lang w:eastAsia="en-GB"/>
        </w:rPr>
        <w:t>Both epithelial</w:t>
      </w:r>
      <w:r w:rsidR="00FF5984">
        <w:rPr>
          <w:rFonts w:eastAsia="Times New Roman" w:cs="Arial"/>
          <w:lang w:eastAsia="en-GB"/>
        </w:rPr>
        <w:t>-like</w:t>
      </w:r>
      <w:r w:rsidRPr="00F62EC7">
        <w:rPr>
          <w:rFonts w:eastAsia="Times New Roman" w:cs="Arial"/>
          <w:lang w:eastAsia="en-GB"/>
        </w:rPr>
        <w:t xml:space="preserve"> and mesangial cells in the presence of fibrin led to more plasmin generation in the presence of UK-396082.</w:t>
      </w:r>
    </w:p>
    <w:p w:rsidR="00344F7B" w:rsidRPr="00D56F02" w:rsidRDefault="00F62EC7" w:rsidP="00D56F02">
      <w:pPr>
        <w:ind w:left="1440" w:firstLine="720"/>
        <w:rPr>
          <w:rFonts w:eastAsiaTheme="majorEastAsia" w:cs="Arial"/>
          <w:b/>
          <w:lang w:val="en-US"/>
        </w:rPr>
      </w:pPr>
      <w:r>
        <w:rPr>
          <w:rFonts w:eastAsiaTheme="majorEastAsia" w:cstheme="majorBidi"/>
          <w:b/>
          <w:sz w:val="28"/>
          <w:szCs w:val="32"/>
          <w:lang w:val="en-US"/>
        </w:rPr>
        <w:br w:type="page"/>
      </w:r>
    </w:p>
    <w:p w:rsidR="00BF2C77" w:rsidRDefault="00BF2C77" w:rsidP="00DA20A2">
      <w:pPr>
        <w:spacing w:after="160" w:line="259" w:lineRule="auto"/>
        <w:ind w:firstLine="720"/>
        <w:jc w:val="left"/>
        <w:rPr>
          <w:rFonts w:cs="Arial"/>
          <w:sz w:val="40"/>
          <w:lang w:eastAsia="en-GB"/>
        </w:rPr>
      </w:pPr>
      <w:r w:rsidRPr="006B0DD0">
        <w:rPr>
          <w:rFonts w:cs="Arial"/>
          <w:sz w:val="40"/>
          <w:lang w:eastAsia="en-GB"/>
        </w:rPr>
        <w:lastRenderedPageBreak/>
        <w:t>List of Abbreviations</w:t>
      </w:r>
    </w:p>
    <w:p w:rsidR="00A209A0" w:rsidRDefault="00DA20A2" w:rsidP="00EB4852">
      <w:pPr>
        <w:tabs>
          <w:tab w:val="left" w:pos="1134"/>
        </w:tabs>
        <w:spacing w:after="60" w:line="240" w:lineRule="auto"/>
      </w:pPr>
      <w:r>
        <w:tab/>
      </w:r>
      <w:r w:rsidR="000061C1">
        <w:t>AGEs</w:t>
      </w:r>
      <w:r w:rsidR="000061C1">
        <w:tab/>
      </w:r>
      <w:r w:rsidR="000061C1" w:rsidRPr="00252FBB">
        <w:t>Advanc</w:t>
      </w:r>
      <w:r w:rsidR="000061C1">
        <w:t>ed glycation end-products</w:t>
      </w:r>
    </w:p>
    <w:p w:rsidR="00396414" w:rsidRDefault="00DA20A2" w:rsidP="00EB4852">
      <w:pPr>
        <w:tabs>
          <w:tab w:val="left" w:pos="1134"/>
        </w:tabs>
        <w:spacing w:after="60" w:line="240" w:lineRule="auto"/>
        <w:rPr>
          <w:rFonts w:cs="Arial"/>
        </w:rPr>
      </w:pPr>
      <w:r>
        <w:tab/>
      </w:r>
      <w:r w:rsidR="00396414">
        <w:t>BCA</w:t>
      </w:r>
      <w:r w:rsidR="00396414">
        <w:tab/>
        <w:t>Bicinchoninic acid</w:t>
      </w:r>
    </w:p>
    <w:p w:rsidR="00352293" w:rsidRDefault="00DA20A2" w:rsidP="00EB4852">
      <w:pPr>
        <w:tabs>
          <w:tab w:val="left" w:pos="1134"/>
        </w:tabs>
        <w:spacing w:after="60" w:line="240" w:lineRule="auto"/>
        <w:rPr>
          <w:rFonts w:cs="Arial"/>
        </w:rPr>
      </w:pPr>
      <w:r>
        <w:rPr>
          <w:rFonts w:cs="Arial"/>
        </w:rPr>
        <w:tab/>
      </w:r>
      <w:r w:rsidR="00352293">
        <w:rPr>
          <w:rFonts w:cs="Arial"/>
        </w:rPr>
        <w:t>BM</w:t>
      </w:r>
      <w:r w:rsidR="00352293">
        <w:rPr>
          <w:rFonts w:cs="Arial"/>
        </w:rPr>
        <w:tab/>
        <w:t>Basement membrane</w:t>
      </w:r>
    </w:p>
    <w:p w:rsidR="00EB4852" w:rsidRDefault="00DA20A2" w:rsidP="00EB4852">
      <w:pPr>
        <w:tabs>
          <w:tab w:val="left" w:pos="1134"/>
        </w:tabs>
        <w:spacing w:after="60" w:line="240" w:lineRule="auto"/>
        <w:rPr>
          <w:rFonts w:cs="Arial"/>
        </w:rPr>
      </w:pPr>
      <w:r>
        <w:rPr>
          <w:rFonts w:cs="Arial"/>
        </w:rPr>
        <w:tab/>
      </w:r>
      <w:r w:rsidR="00352293">
        <w:rPr>
          <w:rFonts w:cs="Arial"/>
        </w:rPr>
        <w:t>BSA</w:t>
      </w:r>
      <w:r w:rsidR="00352293">
        <w:rPr>
          <w:rFonts w:cs="Arial"/>
        </w:rPr>
        <w:tab/>
      </w:r>
      <w:r w:rsidR="00EB4852" w:rsidRPr="006B0DD0">
        <w:rPr>
          <w:rFonts w:cs="Arial"/>
        </w:rPr>
        <w:t>Bovine serum albumin</w:t>
      </w:r>
    </w:p>
    <w:p w:rsidR="00555CD1" w:rsidRDefault="00DA20A2" w:rsidP="00EB4852">
      <w:pPr>
        <w:tabs>
          <w:tab w:val="left" w:pos="1134"/>
        </w:tabs>
        <w:spacing w:after="60" w:line="240" w:lineRule="auto"/>
        <w:rPr>
          <w:rFonts w:cs="Arial"/>
        </w:rPr>
      </w:pPr>
      <w:r>
        <w:rPr>
          <w:rFonts w:cs="Arial"/>
        </w:rPr>
        <w:tab/>
      </w:r>
      <w:r w:rsidR="00555CD1">
        <w:rPr>
          <w:rFonts w:cs="Arial"/>
        </w:rPr>
        <w:t>BSU</w:t>
      </w:r>
      <w:r w:rsidR="00555CD1">
        <w:rPr>
          <w:rFonts w:cs="Arial"/>
        </w:rPr>
        <w:tab/>
        <w:t>Biological services unit</w:t>
      </w:r>
    </w:p>
    <w:p w:rsidR="00A209A0" w:rsidRDefault="00DA20A2" w:rsidP="00EB4852">
      <w:pPr>
        <w:tabs>
          <w:tab w:val="left" w:pos="1134"/>
        </w:tabs>
        <w:spacing w:after="60" w:line="240" w:lineRule="auto"/>
        <w:rPr>
          <w:rFonts w:cs="Arial"/>
        </w:rPr>
      </w:pPr>
      <w:r>
        <w:rPr>
          <w:rFonts w:cs="Arial"/>
        </w:rPr>
        <w:tab/>
      </w:r>
      <w:r w:rsidR="00A209A0">
        <w:rPr>
          <w:rFonts w:cs="Arial"/>
        </w:rPr>
        <w:t>BUN        Blood urea nitrogen</w:t>
      </w:r>
    </w:p>
    <w:p w:rsidR="000061C1" w:rsidRDefault="00DA20A2" w:rsidP="000061C1">
      <w:pPr>
        <w:tabs>
          <w:tab w:val="left" w:pos="1134"/>
        </w:tabs>
        <w:spacing w:after="60" w:line="240" w:lineRule="auto"/>
      </w:pPr>
      <w:r>
        <w:rPr>
          <w:rFonts w:cs="Arial"/>
        </w:rPr>
        <w:tab/>
      </w:r>
      <w:r w:rsidR="000061C1">
        <w:rPr>
          <w:rFonts w:cs="Arial"/>
        </w:rPr>
        <w:t>CPB2</w:t>
      </w:r>
      <w:r w:rsidR="000061C1">
        <w:rPr>
          <w:rFonts w:cs="Arial"/>
        </w:rPr>
        <w:tab/>
      </w:r>
      <w:r w:rsidR="00352293">
        <w:rPr>
          <w:rFonts w:cs="Arial"/>
        </w:rPr>
        <w:t>Carboxypeptidase B2</w:t>
      </w:r>
      <w:r w:rsidR="000061C1" w:rsidRPr="000061C1">
        <w:t xml:space="preserve"> </w:t>
      </w:r>
    </w:p>
    <w:p w:rsidR="00352293" w:rsidRDefault="00DA20A2" w:rsidP="00EB4852">
      <w:pPr>
        <w:tabs>
          <w:tab w:val="left" w:pos="1134"/>
        </w:tabs>
        <w:spacing w:after="60" w:line="240" w:lineRule="auto"/>
        <w:rPr>
          <w:rFonts w:cs="Arial"/>
        </w:rPr>
      </w:pPr>
      <w:r>
        <w:tab/>
      </w:r>
      <w:r w:rsidR="000061C1">
        <w:t>CTGF</w:t>
      </w:r>
      <w:r w:rsidR="000061C1">
        <w:tab/>
      </w:r>
      <w:r w:rsidR="000061C1" w:rsidRPr="00252FBB">
        <w:t>Connective tissue growth factor</w:t>
      </w:r>
    </w:p>
    <w:p w:rsidR="00A209A0" w:rsidRDefault="00DA20A2" w:rsidP="00EB4852">
      <w:pPr>
        <w:tabs>
          <w:tab w:val="left" w:pos="1134"/>
        </w:tabs>
        <w:spacing w:after="60" w:line="240" w:lineRule="auto"/>
        <w:rPr>
          <w:rFonts w:cs="Arial"/>
        </w:rPr>
      </w:pPr>
      <w:r>
        <w:rPr>
          <w:rFonts w:cs="Arial"/>
        </w:rPr>
        <w:tab/>
      </w:r>
      <w:r w:rsidR="00A209A0">
        <w:rPr>
          <w:rFonts w:cs="Arial"/>
        </w:rPr>
        <w:t>CKD</w:t>
      </w:r>
      <w:r>
        <w:rPr>
          <w:rFonts w:cs="Arial"/>
        </w:rPr>
        <w:t xml:space="preserve">       </w:t>
      </w:r>
      <w:r w:rsidR="00A209A0">
        <w:rPr>
          <w:rFonts w:cs="Arial"/>
        </w:rPr>
        <w:t xml:space="preserve"> Chronic kidney disease</w:t>
      </w:r>
    </w:p>
    <w:p w:rsidR="00396414" w:rsidRPr="006B0DD0" w:rsidRDefault="00DA20A2" w:rsidP="00EB4852">
      <w:pPr>
        <w:tabs>
          <w:tab w:val="left" w:pos="1134"/>
        </w:tabs>
        <w:spacing w:after="60" w:line="240" w:lineRule="auto"/>
        <w:rPr>
          <w:rFonts w:cs="Arial"/>
        </w:rPr>
      </w:pPr>
      <w:r>
        <w:rPr>
          <w:rFonts w:cs="Arial"/>
        </w:rPr>
        <w:tab/>
      </w:r>
      <w:r w:rsidR="00396414">
        <w:rPr>
          <w:rFonts w:cs="Arial"/>
        </w:rPr>
        <w:t>DMMB</w:t>
      </w:r>
      <w:r w:rsidR="00396414">
        <w:rPr>
          <w:rFonts w:cs="Arial"/>
        </w:rPr>
        <w:tab/>
      </w:r>
      <w:r w:rsidR="00396414">
        <w:rPr>
          <w:rFonts w:eastAsia="Times New Roman" w:cs="Arial"/>
          <w:bCs/>
          <w:lang w:eastAsia="en-GB"/>
        </w:rPr>
        <w:t>Dimethylmethylene blue</w:t>
      </w:r>
    </w:p>
    <w:p w:rsidR="006B0DD0" w:rsidRPr="006B0DD0" w:rsidRDefault="00DA20A2" w:rsidP="00EB4852">
      <w:pPr>
        <w:tabs>
          <w:tab w:val="left" w:pos="1134"/>
        </w:tabs>
        <w:spacing w:after="60" w:line="240" w:lineRule="auto"/>
        <w:rPr>
          <w:rFonts w:cs="Arial"/>
        </w:rPr>
      </w:pPr>
      <w:r>
        <w:rPr>
          <w:rFonts w:cs="Arial"/>
        </w:rPr>
        <w:tab/>
      </w:r>
      <w:r w:rsidR="006B0DD0" w:rsidRPr="006B0DD0">
        <w:rPr>
          <w:rFonts w:cs="Arial"/>
        </w:rPr>
        <w:t>DN</w:t>
      </w:r>
      <w:r w:rsidR="00352293">
        <w:rPr>
          <w:rFonts w:cs="Arial"/>
        </w:rPr>
        <w:tab/>
      </w:r>
      <w:r w:rsidR="006F36EE">
        <w:rPr>
          <w:rFonts w:cs="Arial"/>
        </w:rPr>
        <w:t>Diabetic nephropathy</w:t>
      </w:r>
    </w:p>
    <w:p w:rsidR="006B0DD0" w:rsidRPr="006B0DD0" w:rsidRDefault="00DA20A2" w:rsidP="00EB4852">
      <w:pPr>
        <w:tabs>
          <w:tab w:val="left" w:pos="1134"/>
        </w:tabs>
        <w:spacing w:after="60" w:line="240" w:lineRule="auto"/>
        <w:rPr>
          <w:rFonts w:cs="Arial"/>
        </w:rPr>
      </w:pPr>
      <w:r>
        <w:rPr>
          <w:rFonts w:cs="Arial"/>
        </w:rPr>
        <w:tab/>
      </w:r>
      <w:r w:rsidR="006B0DD0" w:rsidRPr="006B0DD0">
        <w:rPr>
          <w:rFonts w:cs="Arial"/>
        </w:rPr>
        <w:t>ECM</w:t>
      </w:r>
      <w:r>
        <w:rPr>
          <w:rFonts w:cs="Arial"/>
        </w:rPr>
        <w:t xml:space="preserve">     </w:t>
      </w:r>
      <w:r w:rsidR="006F36EE">
        <w:rPr>
          <w:rFonts w:cs="Arial"/>
        </w:rPr>
        <w:t xml:space="preserve">  Extracellular matrix</w:t>
      </w:r>
    </w:p>
    <w:p w:rsidR="00EB4852" w:rsidRDefault="00DA20A2" w:rsidP="00EB4852">
      <w:pPr>
        <w:tabs>
          <w:tab w:val="left" w:pos="1134"/>
        </w:tabs>
        <w:spacing w:after="60" w:line="240" w:lineRule="auto"/>
        <w:rPr>
          <w:rFonts w:cs="Arial"/>
        </w:rPr>
      </w:pPr>
      <w:r>
        <w:rPr>
          <w:rFonts w:cs="Arial"/>
        </w:rPr>
        <w:tab/>
      </w:r>
      <w:r w:rsidR="00EB4852" w:rsidRPr="006B0DD0">
        <w:rPr>
          <w:rFonts w:cs="Arial"/>
        </w:rPr>
        <w:t xml:space="preserve">EDTA  </w:t>
      </w:r>
      <w:r w:rsidR="00EB4852" w:rsidRPr="006B0DD0">
        <w:rPr>
          <w:rFonts w:cs="Arial"/>
        </w:rPr>
        <w:tab/>
        <w:t>Ethylene diamine tetra-acetic acid</w:t>
      </w:r>
    </w:p>
    <w:p w:rsidR="007F11DD" w:rsidRPr="006B0DD0" w:rsidRDefault="00DA20A2" w:rsidP="00EB4852">
      <w:pPr>
        <w:tabs>
          <w:tab w:val="left" w:pos="1134"/>
        </w:tabs>
        <w:spacing w:after="60" w:line="240" w:lineRule="auto"/>
        <w:rPr>
          <w:rFonts w:cs="Arial"/>
        </w:rPr>
      </w:pPr>
      <w:r>
        <w:rPr>
          <w:rFonts w:cs="Arial"/>
        </w:rPr>
        <w:tab/>
      </w:r>
      <w:r w:rsidR="007F11DD">
        <w:rPr>
          <w:rFonts w:cs="Arial"/>
        </w:rPr>
        <w:t>EGF</w:t>
      </w:r>
      <w:r w:rsidR="007F11DD">
        <w:rPr>
          <w:rFonts w:cs="Arial"/>
        </w:rPr>
        <w:tab/>
        <w:t>Epidermal growth factor</w:t>
      </w:r>
    </w:p>
    <w:p w:rsidR="00EB4852" w:rsidRDefault="00DA20A2" w:rsidP="00EB4852">
      <w:pPr>
        <w:tabs>
          <w:tab w:val="left" w:pos="1134"/>
        </w:tabs>
        <w:spacing w:after="60" w:line="240" w:lineRule="auto"/>
        <w:rPr>
          <w:rFonts w:cs="Arial"/>
        </w:rPr>
      </w:pPr>
      <w:r>
        <w:rPr>
          <w:rFonts w:cs="Arial"/>
        </w:rPr>
        <w:tab/>
      </w:r>
      <w:r w:rsidR="00EB4852" w:rsidRPr="006B0DD0">
        <w:rPr>
          <w:rFonts w:cs="Arial"/>
        </w:rPr>
        <w:t xml:space="preserve">ELISA  </w:t>
      </w:r>
      <w:r w:rsidR="00EB4852" w:rsidRPr="006B0DD0">
        <w:rPr>
          <w:rFonts w:cs="Arial"/>
        </w:rPr>
        <w:tab/>
        <w:t>Enzyme linked Immunosorbent assay</w:t>
      </w:r>
    </w:p>
    <w:p w:rsidR="00F557B5" w:rsidRPr="006B0DD0" w:rsidRDefault="00DA20A2" w:rsidP="00EB4852">
      <w:pPr>
        <w:tabs>
          <w:tab w:val="left" w:pos="1134"/>
        </w:tabs>
        <w:spacing w:after="60" w:line="240" w:lineRule="auto"/>
        <w:rPr>
          <w:rFonts w:cs="Arial"/>
        </w:rPr>
      </w:pPr>
      <w:r>
        <w:rPr>
          <w:rFonts w:cs="Arial"/>
        </w:rPr>
        <w:tab/>
      </w:r>
      <w:r w:rsidR="00F557B5">
        <w:rPr>
          <w:rFonts w:cs="Arial"/>
        </w:rPr>
        <w:t>EMT</w:t>
      </w:r>
      <w:r w:rsidR="00F557B5">
        <w:rPr>
          <w:rFonts w:cs="Arial"/>
        </w:rPr>
        <w:tab/>
        <w:t>Epithelial to mesenchymal transition</w:t>
      </w:r>
    </w:p>
    <w:p w:rsidR="006B0DD0" w:rsidRDefault="00DA20A2" w:rsidP="00EB4852">
      <w:pPr>
        <w:tabs>
          <w:tab w:val="left" w:pos="1134"/>
        </w:tabs>
        <w:spacing w:after="60" w:line="240" w:lineRule="auto"/>
        <w:rPr>
          <w:rFonts w:cs="Arial"/>
        </w:rPr>
      </w:pPr>
      <w:r>
        <w:rPr>
          <w:rFonts w:cs="Arial"/>
        </w:rPr>
        <w:tab/>
      </w:r>
      <w:r w:rsidR="006B0DD0" w:rsidRPr="006B0DD0">
        <w:rPr>
          <w:rFonts w:cs="Arial"/>
        </w:rPr>
        <w:t>ESRD</w:t>
      </w:r>
      <w:r w:rsidR="006F36EE">
        <w:rPr>
          <w:rFonts w:cs="Arial"/>
        </w:rPr>
        <w:t xml:space="preserve">     End stage renal disease</w:t>
      </w:r>
    </w:p>
    <w:p w:rsidR="00555CD1" w:rsidRPr="006B0DD0" w:rsidRDefault="00DA20A2" w:rsidP="00EB4852">
      <w:pPr>
        <w:tabs>
          <w:tab w:val="left" w:pos="1134"/>
        </w:tabs>
        <w:spacing w:after="60" w:line="240" w:lineRule="auto"/>
        <w:rPr>
          <w:rFonts w:cs="Arial"/>
        </w:rPr>
      </w:pPr>
      <w:r>
        <w:rPr>
          <w:rFonts w:cs="Arial"/>
        </w:rPr>
        <w:tab/>
        <w:t>FDP</w:t>
      </w:r>
      <w:r>
        <w:rPr>
          <w:rFonts w:cs="Arial"/>
        </w:rPr>
        <w:tab/>
      </w:r>
      <w:r w:rsidR="00555CD1">
        <w:rPr>
          <w:rFonts w:cs="Arial"/>
        </w:rPr>
        <w:t>Fibrin degradation product</w:t>
      </w:r>
    </w:p>
    <w:p w:rsidR="00352293" w:rsidRDefault="00DA20A2" w:rsidP="00EB4852">
      <w:pPr>
        <w:tabs>
          <w:tab w:val="left" w:pos="1134"/>
        </w:tabs>
        <w:spacing w:after="60" w:line="240" w:lineRule="auto"/>
      </w:pPr>
      <w:r>
        <w:rPr>
          <w:rFonts w:cs="Arial"/>
        </w:rPr>
        <w:tab/>
      </w:r>
      <w:r w:rsidR="006B0DD0" w:rsidRPr="006B0DD0">
        <w:rPr>
          <w:rFonts w:cs="Arial"/>
        </w:rPr>
        <w:t>GAG</w:t>
      </w:r>
      <w:r w:rsidR="006F36EE">
        <w:rPr>
          <w:rFonts w:cs="Arial"/>
        </w:rPr>
        <w:t xml:space="preserve">       </w:t>
      </w:r>
      <w:r w:rsidR="006F36EE" w:rsidRPr="00081F3C">
        <w:t>Glycosaminoglycans</w:t>
      </w:r>
    </w:p>
    <w:p w:rsidR="006B0DD0" w:rsidRDefault="00DA20A2" w:rsidP="00EB4852">
      <w:pPr>
        <w:tabs>
          <w:tab w:val="left" w:pos="1134"/>
        </w:tabs>
        <w:spacing w:after="60" w:line="240" w:lineRule="auto"/>
        <w:rPr>
          <w:rFonts w:cs="Arial"/>
        </w:rPr>
      </w:pPr>
      <w:r>
        <w:tab/>
      </w:r>
      <w:r w:rsidR="00352293">
        <w:t>GBM</w:t>
      </w:r>
      <w:r w:rsidR="00352293">
        <w:tab/>
        <w:t>Glomerular basement membrane</w:t>
      </w:r>
      <w:r w:rsidR="006F36EE">
        <w:rPr>
          <w:rFonts w:cs="Arial"/>
        </w:rPr>
        <w:t xml:space="preserve"> </w:t>
      </w:r>
    </w:p>
    <w:p w:rsidR="00A209A0" w:rsidRPr="006B0DD0" w:rsidRDefault="00DA20A2" w:rsidP="00EB4852">
      <w:pPr>
        <w:tabs>
          <w:tab w:val="left" w:pos="1134"/>
        </w:tabs>
        <w:spacing w:after="60" w:line="240" w:lineRule="auto"/>
        <w:rPr>
          <w:rFonts w:cs="Arial"/>
        </w:rPr>
      </w:pPr>
      <w:r>
        <w:rPr>
          <w:rFonts w:cs="Arial"/>
        </w:rPr>
        <w:tab/>
      </w:r>
      <w:r w:rsidR="00A209A0">
        <w:rPr>
          <w:rFonts w:cs="Arial"/>
        </w:rPr>
        <w:t>GFR        Glomerular filtration rate</w:t>
      </w:r>
    </w:p>
    <w:p w:rsidR="00A209A0" w:rsidRDefault="00DA20A2" w:rsidP="00EB4852">
      <w:pPr>
        <w:tabs>
          <w:tab w:val="left" w:pos="1134"/>
        </w:tabs>
        <w:spacing w:after="60" w:line="240" w:lineRule="auto"/>
        <w:rPr>
          <w:rFonts w:cs="Arial"/>
        </w:rPr>
      </w:pPr>
      <w:r>
        <w:rPr>
          <w:rFonts w:cs="Arial"/>
        </w:rPr>
        <w:tab/>
      </w:r>
      <w:r w:rsidR="00EB4852" w:rsidRPr="006B0DD0">
        <w:rPr>
          <w:rFonts w:cs="Arial"/>
        </w:rPr>
        <w:t xml:space="preserve">HRP   </w:t>
      </w:r>
      <w:r w:rsidR="00EB4852" w:rsidRPr="006B0DD0">
        <w:rPr>
          <w:rFonts w:cs="Arial"/>
        </w:rPr>
        <w:tab/>
        <w:t>Horseradish peroxidase</w:t>
      </w:r>
    </w:p>
    <w:p w:rsidR="00EB4852" w:rsidRPr="006B0DD0" w:rsidRDefault="00DA20A2" w:rsidP="00EB4852">
      <w:pPr>
        <w:tabs>
          <w:tab w:val="left" w:pos="1134"/>
        </w:tabs>
        <w:spacing w:after="60" w:line="240" w:lineRule="auto"/>
        <w:rPr>
          <w:rFonts w:cs="Arial"/>
        </w:rPr>
      </w:pPr>
      <w:r>
        <w:rPr>
          <w:rFonts w:cs="Arial"/>
        </w:rPr>
        <w:tab/>
      </w:r>
      <w:r w:rsidR="00A209A0">
        <w:rPr>
          <w:rFonts w:cs="Arial"/>
        </w:rPr>
        <w:t>HS           Heparan sulphate</w:t>
      </w:r>
      <w:r w:rsidR="00EB4852" w:rsidRPr="006B0DD0">
        <w:rPr>
          <w:rFonts w:cs="Arial"/>
        </w:rPr>
        <w:t xml:space="preserve"> </w:t>
      </w:r>
    </w:p>
    <w:p w:rsidR="00EB4852" w:rsidRPr="006B0DD0" w:rsidRDefault="00DA20A2" w:rsidP="00EB4852">
      <w:pPr>
        <w:tabs>
          <w:tab w:val="left" w:pos="1134"/>
        </w:tabs>
        <w:spacing w:after="60" w:line="240" w:lineRule="auto"/>
        <w:rPr>
          <w:rFonts w:cs="Arial"/>
        </w:rPr>
      </w:pPr>
      <w:r>
        <w:rPr>
          <w:rFonts w:cs="Arial"/>
        </w:rPr>
        <w:tab/>
      </w:r>
      <w:r w:rsidR="00EB4852" w:rsidRPr="006B0DD0">
        <w:rPr>
          <w:rFonts w:cs="Arial"/>
        </w:rPr>
        <w:t xml:space="preserve">IgG    </w:t>
      </w:r>
      <w:r w:rsidR="00EB4852" w:rsidRPr="006B0DD0">
        <w:rPr>
          <w:rFonts w:cs="Arial"/>
        </w:rPr>
        <w:tab/>
        <w:t>Immunoglobulin G</w:t>
      </w:r>
    </w:p>
    <w:p w:rsidR="00EB4852" w:rsidRPr="006B0DD0" w:rsidRDefault="00DA20A2" w:rsidP="00EB4852">
      <w:pPr>
        <w:tabs>
          <w:tab w:val="left" w:pos="1134"/>
        </w:tabs>
        <w:spacing w:after="60" w:line="240" w:lineRule="auto"/>
        <w:rPr>
          <w:rFonts w:cs="Arial"/>
        </w:rPr>
      </w:pPr>
      <w:r>
        <w:rPr>
          <w:rFonts w:cs="Arial"/>
        </w:rPr>
        <w:tab/>
      </w:r>
      <w:r w:rsidR="00EB4852" w:rsidRPr="006B0DD0">
        <w:rPr>
          <w:rFonts w:cs="Arial"/>
        </w:rPr>
        <w:t>IPTG</w:t>
      </w:r>
      <w:r w:rsidR="00EB4852" w:rsidRPr="006B0DD0">
        <w:rPr>
          <w:rFonts w:cs="Arial"/>
        </w:rPr>
        <w:tab/>
        <w:t>isopropyl-beta-D-thiogalactopyranoside</w:t>
      </w:r>
    </w:p>
    <w:p w:rsidR="00A209A0" w:rsidRDefault="00DA20A2" w:rsidP="00EB4852">
      <w:pPr>
        <w:tabs>
          <w:tab w:val="left" w:pos="1134"/>
        </w:tabs>
        <w:spacing w:after="60" w:line="240" w:lineRule="auto"/>
        <w:rPr>
          <w:rStyle w:val="tgc"/>
        </w:rPr>
      </w:pPr>
      <w:r>
        <w:rPr>
          <w:rFonts w:cs="Arial"/>
        </w:rPr>
        <w:tab/>
      </w:r>
      <w:r w:rsidR="00A209A0">
        <w:rPr>
          <w:rFonts w:cs="Arial"/>
        </w:rPr>
        <w:t>MMPs     M</w:t>
      </w:r>
      <w:r w:rsidR="00A209A0">
        <w:rPr>
          <w:rStyle w:val="tgc"/>
        </w:rPr>
        <w:t>atrix metalloproteinases</w:t>
      </w:r>
    </w:p>
    <w:p w:rsidR="00396414" w:rsidRDefault="00DA20A2" w:rsidP="00EB4852">
      <w:pPr>
        <w:tabs>
          <w:tab w:val="left" w:pos="1134"/>
        </w:tabs>
        <w:spacing w:after="60" w:line="240" w:lineRule="auto"/>
        <w:rPr>
          <w:rFonts w:cs="Arial"/>
        </w:rPr>
      </w:pPr>
      <w:r>
        <w:rPr>
          <w:rStyle w:val="tgc"/>
        </w:rPr>
        <w:tab/>
      </w:r>
      <w:r w:rsidR="00396414">
        <w:rPr>
          <w:rStyle w:val="tgc"/>
        </w:rPr>
        <w:t>MW</w:t>
      </w:r>
      <w:r w:rsidR="00396414">
        <w:rPr>
          <w:rStyle w:val="tgc"/>
        </w:rPr>
        <w:tab/>
        <w:t>Molecular weight</w:t>
      </w:r>
    </w:p>
    <w:p w:rsidR="00EB4852" w:rsidRPr="006B0DD0" w:rsidRDefault="00DA20A2" w:rsidP="00EB4852">
      <w:pPr>
        <w:tabs>
          <w:tab w:val="left" w:pos="1134"/>
        </w:tabs>
        <w:spacing w:after="60" w:line="240" w:lineRule="auto"/>
        <w:rPr>
          <w:rFonts w:cs="Arial"/>
        </w:rPr>
      </w:pPr>
      <w:r>
        <w:rPr>
          <w:rFonts w:cs="Arial"/>
        </w:rPr>
        <w:tab/>
      </w:r>
      <w:r w:rsidR="00EB4852" w:rsidRPr="006B0DD0">
        <w:rPr>
          <w:rFonts w:cs="Arial"/>
        </w:rPr>
        <w:t xml:space="preserve">OD    </w:t>
      </w:r>
      <w:r w:rsidR="00EB4852" w:rsidRPr="006B0DD0">
        <w:rPr>
          <w:rFonts w:cs="Arial"/>
        </w:rPr>
        <w:tab/>
        <w:t>Optical density</w:t>
      </w:r>
    </w:p>
    <w:p w:rsidR="00EB4852" w:rsidRDefault="00DA20A2" w:rsidP="00EB4852">
      <w:pPr>
        <w:tabs>
          <w:tab w:val="left" w:pos="1134"/>
        </w:tabs>
        <w:spacing w:after="60" w:line="240" w:lineRule="auto"/>
        <w:rPr>
          <w:rFonts w:cs="Arial"/>
        </w:rPr>
      </w:pPr>
      <w:r>
        <w:rPr>
          <w:rFonts w:cs="Arial"/>
        </w:rPr>
        <w:tab/>
      </w:r>
      <w:r w:rsidR="00EB4852" w:rsidRPr="006B0DD0">
        <w:rPr>
          <w:rFonts w:cs="Arial"/>
        </w:rPr>
        <w:t xml:space="preserve">PBS  </w:t>
      </w:r>
      <w:r w:rsidR="00EB4852" w:rsidRPr="006B0DD0">
        <w:rPr>
          <w:rFonts w:cs="Arial"/>
        </w:rPr>
        <w:tab/>
        <w:t>Phosphate buffered saline</w:t>
      </w:r>
    </w:p>
    <w:p w:rsidR="00352293" w:rsidRDefault="00DA20A2" w:rsidP="00EB4852">
      <w:pPr>
        <w:tabs>
          <w:tab w:val="left" w:pos="1134"/>
        </w:tabs>
        <w:spacing w:after="60" w:line="240" w:lineRule="auto"/>
        <w:rPr>
          <w:rFonts w:cs="Arial"/>
        </w:rPr>
      </w:pPr>
      <w:r>
        <w:tab/>
      </w:r>
      <w:r w:rsidR="00352293">
        <w:t>PDGF</w:t>
      </w:r>
      <w:r w:rsidR="00352293">
        <w:tab/>
      </w:r>
      <w:r w:rsidR="00352293" w:rsidRPr="003A48FC">
        <w:t>Platelet derived growth factor</w:t>
      </w:r>
    </w:p>
    <w:p w:rsidR="00A209A0" w:rsidRPr="006B0DD0" w:rsidRDefault="00DA20A2" w:rsidP="00EB4852">
      <w:pPr>
        <w:tabs>
          <w:tab w:val="left" w:pos="1134"/>
        </w:tabs>
        <w:spacing w:after="60" w:line="240" w:lineRule="auto"/>
        <w:rPr>
          <w:rFonts w:cs="Arial"/>
        </w:rPr>
      </w:pPr>
      <w:r>
        <w:rPr>
          <w:rFonts w:cs="Arial"/>
        </w:rPr>
        <w:tab/>
      </w:r>
      <w:r w:rsidR="00A209A0">
        <w:rPr>
          <w:rFonts w:cs="Arial"/>
        </w:rPr>
        <w:t>RGM</w:t>
      </w:r>
      <w:r w:rsidR="00352293">
        <w:rPr>
          <w:rFonts w:cs="Arial"/>
        </w:rPr>
        <w:tab/>
      </w:r>
      <w:r w:rsidR="00A209A0">
        <w:rPr>
          <w:rFonts w:cs="Arial"/>
        </w:rPr>
        <w:t>Renal glomerular mesangium</w:t>
      </w:r>
    </w:p>
    <w:p w:rsidR="00352293" w:rsidRDefault="00DA20A2" w:rsidP="00EB4852">
      <w:pPr>
        <w:tabs>
          <w:tab w:val="left" w:pos="1134"/>
        </w:tabs>
        <w:spacing w:after="60" w:line="240" w:lineRule="auto"/>
        <w:rPr>
          <w:rFonts w:cs="Arial"/>
        </w:rPr>
      </w:pPr>
      <w:r>
        <w:rPr>
          <w:rFonts w:cs="Arial"/>
        </w:rPr>
        <w:tab/>
      </w:r>
      <w:r w:rsidR="00EB4852" w:rsidRPr="006B0DD0">
        <w:rPr>
          <w:rFonts w:cs="Arial"/>
        </w:rPr>
        <w:t xml:space="preserve">SDS   </w:t>
      </w:r>
      <w:r w:rsidR="00EB4852" w:rsidRPr="006B0DD0">
        <w:rPr>
          <w:rFonts w:cs="Arial"/>
        </w:rPr>
        <w:tab/>
        <w:t>Sodium dodecyl sulphate</w:t>
      </w:r>
    </w:p>
    <w:p w:rsidR="00555CD1" w:rsidRDefault="00DA20A2" w:rsidP="00EB4852">
      <w:pPr>
        <w:tabs>
          <w:tab w:val="left" w:pos="1134"/>
        </w:tabs>
        <w:spacing w:after="60" w:line="240" w:lineRule="auto"/>
        <w:rPr>
          <w:rFonts w:cs="Arial"/>
        </w:rPr>
      </w:pPr>
      <w:r>
        <w:rPr>
          <w:rFonts w:cs="Arial"/>
        </w:rPr>
        <w:tab/>
      </w:r>
      <w:r w:rsidR="00555CD1">
        <w:rPr>
          <w:rFonts w:cs="Arial"/>
        </w:rPr>
        <w:t>SVT</w:t>
      </w:r>
      <w:r w:rsidR="00555CD1">
        <w:rPr>
          <w:rFonts w:cs="Arial"/>
        </w:rPr>
        <w:tab/>
        <w:t>Splanchnic vein thrombosis</w:t>
      </w:r>
    </w:p>
    <w:p w:rsidR="000061C1" w:rsidRDefault="00DA20A2" w:rsidP="00EB4852">
      <w:pPr>
        <w:tabs>
          <w:tab w:val="left" w:pos="1134"/>
        </w:tabs>
        <w:spacing w:after="60" w:line="240" w:lineRule="auto"/>
        <w:rPr>
          <w:rFonts w:cs="Arial"/>
        </w:rPr>
      </w:pPr>
      <w:r>
        <w:tab/>
      </w:r>
      <w:r w:rsidR="000061C1">
        <w:t>TIMPS</w:t>
      </w:r>
      <w:r w:rsidR="000061C1">
        <w:tab/>
      </w:r>
      <w:r w:rsidR="000061C1" w:rsidRPr="00252FBB">
        <w:t>Tissue inhibiti</w:t>
      </w:r>
      <w:r w:rsidR="000061C1">
        <w:t>on of metalloproteinases</w:t>
      </w:r>
    </w:p>
    <w:p w:rsidR="00EB4852" w:rsidRDefault="00DA20A2" w:rsidP="00EB4852">
      <w:pPr>
        <w:tabs>
          <w:tab w:val="left" w:pos="1134"/>
        </w:tabs>
        <w:spacing w:after="60" w:line="240" w:lineRule="auto"/>
        <w:rPr>
          <w:rFonts w:cs="Arial"/>
        </w:rPr>
      </w:pPr>
      <w:r>
        <w:tab/>
      </w:r>
      <w:r w:rsidR="00352293" w:rsidRPr="003A48FC">
        <w:t>TGFβ</w:t>
      </w:r>
      <w:r w:rsidR="00352293">
        <w:tab/>
        <w:t>Transforming growth factor β</w:t>
      </w:r>
      <w:r w:rsidR="00EB4852" w:rsidRPr="006B0DD0">
        <w:rPr>
          <w:rFonts w:cs="Arial"/>
        </w:rPr>
        <w:t xml:space="preserve"> </w:t>
      </w:r>
    </w:p>
    <w:p w:rsidR="000061C1" w:rsidRPr="00555CD1" w:rsidRDefault="00DA20A2" w:rsidP="00EB4852">
      <w:pPr>
        <w:tabs>
          <w:tab w:val="left" w:pos="1134"/>
        </w:tabs>
        <w:spacing w:after="60" w:line="240" w:lineRule="auto"/>
      </w:pPr>
      <w:r>
        <w:tab/>
      </w:r>
      <w:r w:rsidR="000061C1" w:rsidRPr="00555CD1">
        <w:t>TG2</w:t>
      </w:r>
      <w:r w:rsidR="000061C1" w:rsidRPr="00555CD1">
        <w:tab/>
        <w:t>Transglutaminase 2</w:t>
      </w:r>
    </w:p>
    <w:p w:rsidR="00555CD1" w:rsidRDefault="00DA20A2" w:rsidP="00EB4852">
      <w:pPr>
        <w:tabs>
          <w:tab w:val="left" w:pos="1134"/>
        </w:tabs>
        <w:spacing w:after="60" w:line="240" w:lineRule="auto"/>
      </w:pPr>
      <w:r>
        <w:lastRenderedPageBreak/>
        <w:tab/>
      </w:r>
      <w:r w:rsidR="00555CD1" w:rsidRPr="00555CD1">
        <w:t>tPA</w:t>
      </w:r>
      <w:r w:rsidR="00555CD1" w:rsidRPr="00555CD1">
        <w:tab/>
        <w:t>tissue-type plasminogen activator</w:t>
      </w:r>
    </w:p>
    <w:p w:rsidR="00396414" w:rsidRPr="00555CD1" w:rsidRDefault="00DA20A2" w:rsidP="00EB4852">
      <w:pPr>
        <w:tabs>
          <w:tab w:val="left" w:pos="1134"/>
        </w:tabs>
        <w:spacing w:after="60" w:line="240" w:lineRule="auto"/>
      </w:pPr>
      <w:r>
        <w:tab/>
      </w:r>
      <w:r w:rsidR="00396414">
        <w:t>UTI</w:t>
      </w:r>
      <w:r w:rsidR="00396414">
        <w:tab/>
        <w:t>Urinary tract infection</w:t>
      </w:r>
    </w:p>
    <w:p w:rsidR="00405989" w:rsidRPr="00D26D0F" w:rsidRDefault="00DA20A2" w:rsidP="00D26D0F">
      <w:pPr>
        <w:tabs>
          <w:tab w:val="left" w:pos="1134"/>
        </w:tabs>
        <w:spacing w:after="60" w:line="240" w:lineRule="auto"/>
        <w:rPr>
          <w:rFonts w:cs="Arial"/>
        </w:rPr>
      </w:pPr>
      <w:r>
        <w:tab/>
      </w:r>
      <w:r w:rsidR="00555CD1" w:rsidRPr="00555CD1">
        <w:t>uPA</w:t>
      </w:r>
      <w:r w:rsidR="00555CD1" w:rsidRPr="00555CD1">
        <w:tab/>
      </w:r>
      <w:r w:rsidR="00555CD1" w:rsidRPr="00555CD1">
        <w:rPr>
          <w:rStyle w:val="st"/>
        </w:rPr>
        <w:t>urokinase-type</w:t>
      </w:r>
      <w:r w:rsidR="00555CD1" w:rsidRPr="00555CD1">
        <w:rPr>
          <w:rStyle w:val="st"/>
          <w:i/>
        </w:rPr>
        <w:t xml:space="preserve"> </w:t>
      </w:r>
      <w:r w:rsidR="00555CD1" w:rsidRPr="00555CD1">
        <w:rPr>
          <w:rStyle w:val="Emphasis"/>
          <w:i w:val="0"/>
        </w:rPr>
        <w:t>plasminogen</w:t>
      </w:r>
      <w:r w:rsidR="00555CD1" w:rsidRPr="00555CD1">
        <w:rPr>
          <w:rStyle w:val="st"/>
        </w:rPr>
        <w:t xml:space="preserve"> activator</w:t>
      </w:r>
    </w:p>
    <w:p w:rsidR="00EB4852" w:rsidRPr="00BA6D6E" w:rsidRDefault="00EB4852" w:rsidP="00EB4852"/>
    <w:p w:rsidR="00EB4852" w:rsidRPr="00405989" w:rsidRDefault="00EB4852" w:rsidP="00405989">
      <w:pPr>
        <w:rPr>
          <w:lang w:eastAsia="en-GB"/>
        </w:rPr>
      </w:pPr>
    </w:p>
    <w:p w:rsidR="00405989" w:rsidRDefault="00405989">
      <w:pPr>
        <w:spacing w:after="160" w:line="259" w:lineRule="auto"/>
        <w:jc w:val="left"/>
        <w:rPr>
          <w:highlight w:val="lightGray"/>
          <w:lang w:eastAsia="en-GB"/>
        </w:rPr>
      </w:pPr>
      <w:r>
        <w:rPr>
          <w:highlight w:val="lightGray"/>
          <w:lang w:eastAsia="en-GB"/>
        </w:rPr>
        <w:br w:type="page"/>
      </w:r>
    </w:p>
    <w:p w:rsidR="00BF2C77" w:rsidRPr="00704244" w:rsidRDefault="00BF2C77">
      <w:pPr>
        <w:spacing w:after="160" w:line="259" w:lineRule="auto"/>
        <w:jc w:val="left"/>
        <w:rPr>
          <w:highlight w:val="lightGray"/>
          <w:lang w:eastAsia="en-GB"/>
        </w:rPr>
      </w:pPr>
    </w:p>
    <w:p w:rsidR="00567F6E" w:rsidRDefault="007D497A">
      <w:pPr>
        <w:pStyle w:val="TOC1"/>
        <w:tabs>
          <w:tab w:val="right" w:leader="dot" w:pos="7643"/>
        </w:tabs>
        <w:rPr>
          <w:rFonts w:eastAsiaTheme="minorEastAsia" w:cstheme="minorBidi"/>
          <w:b w:val="0"/>
          <w:bCs w:val="0"/>
          <w:caps w:val="0"/>
          <w:noProof/>
          <w:sz w:val="22"/>
          <w:szCs w:val="22"/>
          <w:lang w:eastAsia="en-GB"/>
        </w:rPr>
      </w:pPr>
      <w:r w:rsidRPr="00704244">
        <w:rPr>
          <w:sz w:val="24"/>
          <w:szCs w:val="24"/>
          <w:highlight w:val="lightGray"/>
          <w:lang w:eastAsia="en-GB"/>
        </w:rPr>
        <w:fldChar w:fldCharType="begin"/>
      </w:r>
      <w:r w:rsidRPr="00704244">
        <w:rPr>
          <w:sz w:val="24"/>
          <w:szCs w:val="24"/>
          <w:highlight w:val="lightGray"/>
          <w:lang w:eastAsia="en-GB"/>
        </w:rPr>
        <w:instrText xml:space="preserve"> TOC \o "2-2" \h \z \t "Heading 1,1,Heading 3,3,Heading 4,4" </w:instrText>
      </w:r>
      <w:r w:rsidRPr="00704244">
        <w:rPr>
          <w:sz w:val="24"/>
          <w:szCs w:val="24"/>
          <w:highlight w:val="lightGray"/>
          <w:lang w:eastAsia="en-GB"/>
        </w:rPr>
        <w:fldChar w:fldCharType="separate"/>
      </w:r>
      <w:hyperlink w:anchor="_Toc506232282" w:history="1">
        <w:r w:rsidR="00567F6E" w:rsidRPr="008D3BC2">
          <w:rPr>
            <w:rStyle w:val="Hyperlink"/>
            <w:noProof/>
            <w:lang w:val="en-US"/>
          </w:rPr>
          <w:t>Abstract</w:t>
        </w:r>
        <w:r w:rsidR="00567F6E">
          <w:rPr>
            <w:noProof/>
            <w:webHidden/>
          </w:rPr>
          <w:tab/>
        </w:r>
        <w:r w:rsidR="00567F6E">
          <w:rPr>
            <w:noProof/>
            <w:webHidden/>
          </w:rPr>
          <w:fldChar w:fldCharType="begin"/>
        </w:r>
        <w:r w:rsidR="00567F6E">
          <w:rPr>
            <w:noProof/>
            <w:webHidden/>
          </w:rPr>
          <w:instrText xml:space="preserve"> PAGEREF _Toc506232282 \h </w:instrText>
        </w:r>
        <w:r w:rsidR="00567F6E">
          <w:rPr>
            <w:noProof/>
            <w:webHidden/>
          </w:rPr>
        </w:r>
        <w:r w:rsidR="00567F6E">
          <w:rPr>
            <w:noProof/>
            <w:webHidden/>
          </w:rPr>
          <w:fldChar w:fldCharType="separate"/>
        </w:r>
        <w:r w:rsidR="00567F6E">
          <w:rPr>
            <w:noProof/>
            <w:webHidden/>
          </w:rPr>
          <w:t>iv</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83" w:history="1">
        <w:r w:rsidR="00567F6E" w:rsidRPr="008D3BC2">
          <w:rPr>
            <w:rStyle w:val="Hyperlink"/>
            <w:noProof/>
          </w:rPr>
          <w:t>1.1 Introduction</w:t>
        </w:r>
        <w:r w:rsidR="00567F6E">
          <w:rPr>
            <w:noProof/>
            <w:webHidden/>
          </w:rPr>
          <w:tab/>
        </w:r>
        <w:r w:rsidR="00567F6E">
          <w:rPr>
            <w:noProof/>
            <w:webHidden/>
          </w:rPr>
          <w:fldChar w:fldCharType="begin"/>
        </w:r>
        <w:r w:rsidR="00567F6E">
          <w:rPr>
            <w:noProof/>
            <w:webHidden/>
          </w:rPr>
          <w:instrText xml:space="preserve"> PAGEREF _Toc506232283 \h </w:instrText>
        </w:r>
        <w:r w:rsidR="00567F6E">
          <w:rPr>
            <w:noProof/>
            <w:webHidden/>
          </w:rPr>
        </w:r>
        <w:r w:rsidR="00567F6E">
          <w:rPr>
            <w:noProof/>
            <w:webHidden/>
          </w:rPr>
          <w:fldChar w:fldCharType="separate"/>
        </w:r>
        <w:r w:rsidR="00567F6E">
          <w:rPr>
            <w:noProof/>
            <w:webHidden/>
          </w:rPr>
          <w:t>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84" w:history="1">
        <w:r w:rsidR="00567F6E" w:rsidRPr="008D3BC2">
          <w:rPr>
            <w:rStyle w:val="Hyperlink"/>
            <w:rFonts w:eastAsia="Times New Roman"/>
            <w:noProof/>
          </w:rPr>
          <w:t>1.2 Chronic kidney disease (CKD)</w:t>
        </w:r>
        <w:r w:rsidR="00567F6E">
          <w:rPr>
            <w:noProof/>
            <w:webHidden/>
          </w:rPr>
          <w:tab/>
        </w:r>
        <w:r w:rsidR="00567F6E">
          <w:rPr>
            <w:noProof/>
            <w:webHidden/>
          </w:rPr>
          <w:fldChar w:fldCharType="begin"/>
        </w:r>
        <w:r w:rsidR="00567F6E">
          <w:rPr>
            <w:noProof/>
            <w:webHidden/>
          </w:rPr>
          <w:instrText xml:space="preserve"> PAGEREF _Toc506232284 \h </w:instrText>
        </w:r>
        <w:r w:rsidR="00567F6E">
          <w:rPr>
            <w:noProof/>
            <w:webHidden/>
          </w:rPr>
        </w:r>
        <w:r w:rsidR="00567F6E">
          <w:rPr>
            <w:noProof/>
            <w:webHidden/>
          </w:rPr>
          <w:fldChar w:fldCharType="separate"/>
        </w:r>
        <w:r w:rsidR="00567F6E">
          <w:rPr>
            <w:noProof/>
            <w:webHidden/>
          </w:rPr>
          <w:t>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85" w:history="1">
        <w:r w:rsidR="00567F6E" w:rsidRPr="008D3BC2">
          <w:rPr>
            <w:rStyle w:val="Hyperlink"/>
            <w:rFonts w:eastAsia="Times New Roman"/>
            <w:noProof/>
          </w:rPr>
          <w:t>1.2.1 Criteria for CKD</w:t>
        </w:r>
        <w:r w:rsidR="00567F6E">
          <w:rPr>
            <w:noProof/>
            <w:webHidden/>
          </w:rPr>
          <w:tab/>
        </w:r>
        <w:r w:rsidR="00567F6E">
          <w:rPr>
            <w:noProof/>
            <w:webHidden/>
          </w:rPr>
          <w:fldChar w:fldCharType="begin"/>
        </w:r>
        <w:r w:rsidR="00567F6E">
          <w:rPr>
            <w:noProof/>
            <w:webHidden/>
          </w:rPr>
          <w:instrText xml:space="preserve"> PAGEREF _Toc506232285 \h </w:instrText>
        </w:r>
        <w:r w:rsidR="00567F6E">
          <w:rPr>
            <w:noProof/>
            <w:webHidden/>
          </w:rPr>
        </w:r>
        <w:r w:rsidR="00567F6E">
          <w:rPr>
            <w:noProof/>
            <w:webHidden/>
          </w:rPr>
          <w:fldChar w:fldCharType="separate"/>
        </w:r>
        <w:r w:rsidR="00567F6E">
          <w:rPr>
            <w:noProof/>
            <w:webHidden/>
          </w:rPr>
          <w:t>4</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86" w:history="1">
        <w:r w:rsidR="00567F6E" w:rsidRPr="008D3BC2">
          <w:rPr>
            <w:rStyle w:val="Hyperlink"/>
            <w:rFonts w:eastAsia="Times New Roman"/>
            <w:noProof/>
          </w:rPr>
          <w:t>1.2.2 CKD staging</w:t>
        </w:r>
        <w:r w:rsidR="00567F6E">
          <w:rPr>
            <w:noProof/>
            <w:webHidden/>
          </w:rPr>
          <w:tab/>
        </w:r>
        <w:r w:rsidR="00567F6E">
          <w:rPr>
            <w:noProof/>
            <w:webHidden/>
          </w:rPr>
          <w:fldChar w:fldCharType="begin"/>
        </w:r>
        <w:r w:rsidR="00567F6E">
          <w:rPr>
            <w:noProof/>
            <w:webHidden/>
          </w:rPr>
          <w:instrText xml:space="preserve"> PAGEREF _Toc506232286 \h </w:instrText>
        </w:r>
        <w:r w:rsidR="00567F6E">
          <w:rPr>
            <w:noProof/>
            <w:webHidden/>
          </w:rPr>
        </w:r>
        <w:r w:rsidR="00567F6E">
          <w:rPr>
            <w:noProof/>
            <w:webHidden/>
          </w:rPr>
          <w:fldChar w:fldCharType="separate"/>
        </w:r>
        <w:r w:rsidR="00567F6E">
          <w:rPr>
            <w:noProof/>
            <w:webHidden/>
          </w:rPr>
          <w:t>5</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87" w:history="1">
        <w:r w:rsidR="00567F6E" w:rsidRPr="008D3BC2">
          <w:rPr>
            <w:rStyle w:val="Hyperlink"/>
            <w:rFonts w:eastAsia="Times New Roman"/>
            <w:noProof/>
          </w:rPr>
          <w:t>1.3 The renal system</w:t>
        </w:r>
        <w:r w:rsidR="00567F6E">
          <w:rPr>
            <w:noProof/>
            <w:webHidden/>
          </w:rPr>
          <w:tab/>
        </w:r>
        <w:r w:rsidR="00567F6E">
          <w:rPr>
            <w:noProof/>
            <w:webHidden/>
          </w:rPr>
          <w:fldChar w:fldCharType="begin"/>
        </w:r>
        <w:r w:rsidR="00567F6E">
          <w:rPr>
            <w:noProof/>
            <w:webHidden/>
          </w:rPr>
          <w:instrText xml:space="preserve"> PAGEREF _Toc506232287 \h </w:instrText>
        </w:r>
        <w:r w:rsidR="00567F6E">
          <w:rPr>
            <w:noProof/>
            <w:webHidden/>
          </w:rPr>
        </w:r>
        <w:r w:rsidR="00567F6E">
          <w:rPr>
            <w:noProof/>
            <w:webHidden/>
          </w:rPr>
          <w:fldChar w:fldCharType="separate"/>
        </w:r>
        <w:r w:rsidR="00567F6E">
          <w:rPr>
            <w:noProof/>
            <w:webHidden/>
          </w:rPr>
          <w:t>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88" w:history="1">
        <w:r w:rsidR="00567F6E" w:rsidRPr="008D3BC2">
          <w:rPr>
            <w:rStyle w:val="Hyperlink"/>
            <w:rFonts w:eastAsia="Times New Roman"/>
            <w:noProof/>
          </w:rPr>
          <w:t>1.3.1 Anatomy of the kidney</w:t>
        </w:r>
        <w:r w:rsidR="00567F6E">
          <w:rPr>
            <w:noProof/>
            <w:webHidden/>
          </w:rPr>
          <w:tab/>
        </w:r>
        <w:r w:rsidR="00567F6E">
          <w:rPr>
            <w:noProof/>
            <w:webHidden/>
          </w:rPr>
          <w:fldChar w:fldCharType="begin"/>
        </w:r>
        <w:r w:rsidR="00567F6E">
          <w:rPr>
            <w:noProof/>
            <w:webHidden/>
          </w:rPr>
          <w:instrText xml:space="preserve"> PAGEREF _Toc506232288 \h </w:instrText>
        </w:r>
        <w:r w:rsidR="00567F6E">
          <w:rPr>
            <w:noProof/>
            <w:webHidden/>
          </w:rPr>
        </w:r>
        <w:r w:rsidR="00567F6E">
          <w:rPr>
            <w:noProof/>
            <w:webHidden/>
          </w:rPr>
          <w:fldChar w:fldCharType="separate"/>
        </w:r>
        <w:r w:rsidR="00567F6E">
          <w:rPr>
            <w:noProof/>
            <w:webHidden/>
          </w:rPr>
          <w:t>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89" w:history="1">
        <w:r w:rsidR="00567F6E" w:rsidRPr="008D3BC2">
          <w:rPr>
            <w:rStyle w:val="Hyperlink"/>
            <w:rFonts w:eastAsia="Times New Roman"/>
            <w:noProof/>
          </w:rPr>
          <w:t>1.3.2 The nephron and the urine flow system:</w:t>
        </w:r>
        <w:r w:rsidR="00567F6E">
          <w:rPr>
            <w:noProof/>
            <w:webHidden/>
          </w:rPr>
          <w:tab/>
        </w:r>
        <w:r w:rsidR="00567F6E">
          <w:rPr>
            <w:noProof/>
            <w:webHidden/>
          </w:rPr>
          <w:fldChar w:fldCharType="begin"/>
        </w:r>
        <w:r w:rsidR="00567F6E">
          <w:rPr>
            <w:noProof/>
            <w:webHidden/>
          </w:rPr>
          <w:instrText xml:space="preserve"> PAGEREF _Toc506232289 \h </w:instrText>
        </w:r>
        <w:r w:rsidR="00567F6E">
          <w:rPr>
            <w:noProof/>
            <w:webHidden/>
          </w:rPr>
        </w:r>
        <w:r w:rsidR="00567F6E">
          <w:rPr>
            <w:noProof/>
            <w:webHidden/>
          </w:rPr>
          <w:fldChar w:fldCharType="separate"/>
        </w:r>
        <w:r w:rsidR="00567F6E">
          <w:rPr>
            <w:noProof/>
            <w:webHidden/>
          </w:rPr>
          <w:t>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0" w:history="1">
        <w:r w:rsidR="00567F6E" w:rsidRPr="008D3BC2">
          <w:rPr>
            <w:rStyle w:val="Hyperlink"/>
            <w:rFonts w:eastAsia="Times New Roman"/>
            <w:noProof/>
          </w:rPr>
          <w:t>1.3.3 Arterial and venous blood supply of the kidney</w:t>
        </w:r>
        <w:r w:rsidR="00567F6E">
          <w:rPr>
            <w:noProof/>
            <w:webHidden/>
          </w:rPr>
          <w:tab/>
        </w:r>
        <w:r w:rsidR="00567F6E">
          <w:rPr>
            <w:noProof/>
            <w:webHidden/>
          </w:rPr>
          <w:fldChar w:fldCharType="begin"/>
        </w:r>
        <w:r w:rsidR="00567F6E">
          <w:rPr>
            <w:noProof/>
            <w:webHidden/>
          </w:rPr>
          <w:instrText xml:space="preserve"> PAGEREF _Toc506232290 \h </w:instrText>
        </w:r>
        <w:r w:rsidR="00567F6E">
          <w:rPr>
            <w:noProof/>
            <w:webHidden/>
          </w:rPr>
        </w:r>
        <w:r w:rsidR="00567F6E">
          <w:rPr>
            <w:noProof/>
            <w:webHidden/>
          </w:rPr>
          <w:fldChar w:fldCharType="separate"/>
        </w:r>
        <w:r w:rsidR="00567F6E">
          <w:rPr>
            <w:noProof/>
            <w:webHidden/>
          </w:rPr>
          <w:t>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1" w:history="1">
        <w:r w:rsidR="00567F6E" w:rsidRPr="008D3BC2">
          <w:rPr>
            <w:rStyle w:val="Hyperlink"/>
            <w:noProof/>
          </w:rPr>
          <w:t>1.3.4 Functions of the kidney</w:t>
        </w:r>
        <w:r w:rsidR="00567F6E">
          <w:rPr>
            <w:noProof/>
            <w:webHidden/>
          </w:rPr>
          <w:tab/>
        </w:r>
        <w:r w:rsidR="00567F6E">
          <w:rPr>
            <w:noProof/>
            <w:webHidden/>
          </w:rPr>
          <w:fldChar w:fldCharType="begin"/>
        </w:r>
        <w:r w:rsidR="00567F6E">
          <w:rPr>
            <w:noProof/>
            <w:webHidden/>
          </w:rPr>
          <w:instrText xml:space="preserve"> PAGEREF _Toc506232291 \h </w:instrText>
        </w:r>
        <w:r w:rsidR="00567F6E">
          <w:rPr>
            <w:noProof/>
            <w:webHidden/>
          </w:rPr>
        </w:r>
        <w:r w:rsidR="00567F6E">
          <w:rPr>
            <w:noProof/>
            <w:webHidden/>
          </w:rPr>
          <w:fldChar w:fldCharType="separate"/>
        </w:r>
        <w:r w:rsidR="00567F6E">
          <w:rPr>
            <w:noProof/>
            <w:webHidden/>
          </w:rPr>
          <w:t>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2" w:history="1">
        <w:r w:rsidR="00567F6E" w:rsidRPr="008D3BC2">
          <w:rPr>
            <w:rStyle w:val="Hyperlink"/>
            <w:noProof/>
          </w:rPr>
          <w:t>1.3.5 Extracellular matrix (ECM)</w:t>
        </w:r>
        <w:r w:rsidR="00567F6E">
          <w:rPr>
            <w:noProof/>
            <w:webHidden/>
          </w:rPr>
          <w:tab/>
        </w:r>
        <w:r w:rsidR="00567F6E">
          <w:rPr>
            <w:noProof/>
            <w:webHidden/>
          </w:rPr>
          <w:fldChar w:fldCharType="begin"/>
        </w:r>
        <w:r w:rsidR="00567F6E">
          <w:rPr>
            <w:noProof/>
            <w:webHidden/>
          </w:rPr>
          <w:instrText xml:space="preserve"> PAGEREF _Toc506232292 \h </w:instrText>
        </w:r>
        <w:r w:rsidR="00567F6E">
          <w:rPr>
            <w:noProof/>
            <w:webHidden/>
          </w:rPr>
        </w:r>
        <w:r w:rsidR="00567F6E">
          <w:rPr>
            <w:noProof/>
            <w:webHidden/>
          </w:rPr>
          <w:fldChar w:fldCharType="separate"/>
        </w:r>
        <w:r w:rsidR="00567F6E">
          <w:rPr>
            <w:noProof/>
            <w:webHidden/>
          </w:rPr>
          <w:t>11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3" w:history="1">
        <w:r w:rsidR="00567F6E" w:rsidRPr="008D3BC2">
          <w:rPr>
            <w:rStyle w:val="Hyperlink"/>
            <w:noProof/>
          </w:rPr>
          <w:t>1.3.6 Basement membrane (BM)</w:t>
        </w:r>
        <w:r w:rsidR="00567F6E">
          <w:rPr>
            <w:noProof/>
            <w:webHidden/>
          </w:rPr>
          <w:tab/>
        </w:r>
        <w:r w:rsidR="00567F6E">
          <w:rPr>
            <w:noProof/>
            <w:webHidden/>
          </w:rPr>
          <w:fldChar w:fldCharType="begin"/>
        </w:r>
        <w:r w:rsidR="00567F6E">
          <w:rPr>
            <w:noProof/>
            <w:webHidden/>
          </w:rPr>
          <w:instrText xml:space="preserve"> PAGEREF _Toc506232293 \h </w:instrText>
        </w:r>
        <w:r w:rsidR="00567F6E">
          <w:rPr>
            <w:noProof/>
            <w:webHidden/>
          </w:rPr>
        </w:r>
        <w:r w:rsidR="00567F6E">
          <w:rPr>
            <w:noProof/>
            <w:webHidden/>
          </w:rPr>
          <w:fldChar w:fldCharType="separate"/>
        </w:r>
        <w:r w:rsidR="00567F6E">
          <w:rPr>
            <w:noProof/>
            <w:webHidden/>
          </w:rPr>
          <w:t>13</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4" w:history="1">
        <w:r w:rsidR="00567F6E" w:rsidRPr="008D3BC2">
          <w:rPr>
            <w:rStyle w:val="Hyperlink"/>
            <w:noProof/>
          </w:rPr>
          <w:t>1.3.7 Functions of basement membrane</w:t>
        </w:r>
        <w:r w:rsidR="00567F6E">
          <w:rPr>
            <w:noProof/>
            <w:webHidden/>
          </w:rPr>
          <w:tab/>
        </w:r>
        <w:r w:rsidR="00567F6E">
          <w:rPr>
            <w:noProof/>
            <w:webHidden/>
          </w:rPr>
          <w:fldChar w:fldCharType="begin"/>
        </w:r>
        <w:r w:rsidR="00567F6E">
          <w:rPr>
            <w:noProof/>
            <w:webHidden/>
          </w:rPr>
          <w:instrText xml:space="preserve"> PAGEREF _Toc506232294 \h </w:instrText>
        </w:r>
        <w:r w:rsidR="00567F6E">
          <w:rPr>
            <w:noProof/>
            <w:webHidden/>
          </w:rPr>
        </w:r>
        <w:r w:rsidR="00567F6E">
          <w:rPr>
            <w:noProof/>
            <w:webHidden/>
          </w:rPr>
          <w:fldChar w:fldCharType="separate"/>
        </w:r>
        <w:r w:rsidR="00567F6E">
          <w:rPr>
            <w:noProof/>
            <w:webHidden/>
          </w:rPr>
          <w:t>14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5" w:history="1">
        <w:r w:rsidR="00567F6E" w:rsidRPr="008D3BC2">
          <w:rPr>
            <w:rStyle w:val="Hyperlink"/>
            <w:noProof/>
          </w:rPr>
          <w:t>1.3.8 Glomerular basement membrane (GBM)</w:t>
        </w:r>
        <w:r w:rsidR="00567F6E">
          <w:rPr>
            <w:noProof/>
            <w:webHidden/>
          </w:rPr>
          <w:tab/>
        </w:r>
        <w:r w:rsidR="00567F6E">
          <w:rPr>
            <w:noProof/>
            <w:webHidden/>
          </w:rPr>
          <w:fldChar w:fldCharType="begin"/>
        </w:r>
        <w:r w:rsidR="00567F6E">
          <w:rPr>
            <w:noProof/>
            <w:webHidden/>
          </w:rPr>
          <w:instrText xml:space="preserve"> PAGEREF _Toc506232295 \h </w:instrText>
        </w:r>
        <w:r w:rsidR="00567F6E">
          <w:rPr>
            <w:noProof/>
            <w:webHidden/>
          </w:rPr>
        </w:r>
        <w:r w:rsidR="00567F6E">
          <w:rPr>
            <w:noProof/>
            <w:webHidden/>
          </w:rPr>
          <w:fldChar w:fldCharType="separate"/>
        </w:r>
        <w:r w:rsidR="00567F6E">
          <w:rPr>
            <w:noProof/>
            <w:webHidden/>
          </w:rPr>
          <w:t>15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6" w:history="1">
        <w:r w:rsidR="00567F6E" w:rsidRPr="008D3BC2">
          <w:rPr>
            <w:rStyle w:val="Hyperlink"/>
            <w:noProof/>
          </w:rPr>
          <w:t>1.3.9 The Bowman’s capsule.</w:t>
        </w:r>
        <w:r w:rsidR="00567F6E">
          <w:rPr>
            <w:noProof/>
            <w:webHidden/>
          </w:rPr>
          <w:tab/>
        </w:r>
        <w:r w:rsidR="00567F6E">
          <w:rPr>
            <w:noProof/>
            <w:webHidden/>
          </w:rPr>
          <w:fldChar w:fldCharType="begin"/>
        </w:r>
        <w:r w:rsidR="00567F6E">
          <w:rPr>
            <w:noProof/>
            <w:webHidden/>
          </w:rPr>
          <w:instrText xml:space="preserve"> PAGEREF _Toc506232296 \h </w:instrText>
        </w:r>
        <w:r w:rsidR="00567F6E">
          <w:rPr>
            <w:noProof/>
            <w:webHidden/>
          </w:rPr>
        </w:r>
        <w:r w:rsidR="00567F6E">
          <w:rPr>
            <w:noProof/>
            <w:webHidden/>
          </w:rPr>
          <w:fldChar w:fldCharType="separate"/>
        </w:r>
        <w:r w:rsidR="00567F6E">
          <w:rPr>
            <w:noProof/>
            <w:webHidden/>
          </w:rPr>
          <w:t>18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7" w:history="1">
        <w:r w:rsidR="00567F6E" w:rsidRPr="008D3BC2">
          <w:rPr>
            <w:rStyle w:val="Hyperlink"/>
            <w:noProof/>
          </w:rPr>
          <w:t>1.3.10 Glomerular endothelial cells</w:t>
        </w:r>
        <w:r w:rsidR="00567F6E">
          <w:rPr>
            <w:noProof/>
            <w:webHidden/>
          </w:rPr>
          <w:tab/>
        </w:r>
        <w:r w:rsidR="00567F6E">
          <w:rPr>
            <w:noProof/>
            <w:webHidden/>
          </w:rPr>
          <w:fldChar w:fldCharType="begin"/>
        </w:r>
        <w:r w:rsidR="00567F6E">
          <w:rPr>
            <w:noProof/>
            <w:webHidden/>
          </w:rPr>
          <w:instrText xml:space="preserve"> PAGEREF _Toc506232297 \h </w:instrText>
        </w:r>
        <w:r w:rsidR="00567F6E">
          <w:rPr>
            <w:noProof/>
            <w:webHidden/>
          </w:rPr>
        </w:r>
        <w:r w:rsidR="00567F6E">
          <w:rPr>
            <w:noProof/>
            <w:webHidden/>
          </w:rPr>
          <w:fldChar w:fldCharType="separate"/>
        </w:r>
        <w:r w:rsidR="00567F6E">
          <w:rPr>
            <w:noProof/>
            <w:webHidden/>
          </w:rPr>
          <w:t>18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298" w:history="1">
        <w:r w:rsidR="00567F6E" w:rsidRPr="008D3BC2">
          <w:rPr>
            <w:rStyle w:val="Hyperlink"/>
            <w:noProof/>
          </w:rPr>
          <w:t>1.3.11 Renal glomerular mesangium (RGM)</w:t>
        </w:r>
        <w:r w:rsidR="00567F6E">
          <w:rPr>
            <w:noProof/>
            <w:webHidden/>
          </w:rPr>
          <w:tab/>
        </w:r>
        <w:r w:rsidR="00567F6E">
          <w:rPr>
            <w:noProof/>
            <w:webHidden/>
          </w:rPr>
          <w:fldChar w:fldCharType="begin"/>
        </w:r>
        <w:r w:rsidR="00567F6E">
          <w:rPr>
            <w:noProof/>
            <w:webHidden/>
          </w:rPr>
          <w:instrText xml:space="preserve"> PAGEREF _Toc506232298 \h </w:instrText>
        </w:r>
        <w:r w:rsidR="00567F6E">
          <w:rPr>
            <w:noProof/>
            <w:webHidden/>
          </w:rPr>
        </w:r>
        <w:r w:rsidR="00567F6E">
          <w:rPr>
            <w:noProof/>
            <w:webHidden/>
          </w:rPr>
          <w:fldChar w:fldCharType="separate"/>
        </w:r>
        <w:r w:rsidR="00567F6E">
          <w:rPr>
            <w:noProof/>
            <w:webHidden/>
          </w:rPr>
          <w:t>18</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299" w:history="1">
        <w:r w:rsidR="00567F6E" w:rsidRPr="008D3BC2">
          <w:rPr>
            <w:rStyle w:val="Hyperlink"/>
            <w:noProof/>
          </w:rPr>
          <w:t>1.4 Investigations in chronic kidney disease</w:t>
        </w:r>
        <w:r w:rsidR="00567F6E">
          <w:rPr>
            <w:noProof/>
            <w:webHidden/>
          </w:rPr>
          <w:tab/>
        </w:r>
        <w:r w:rsidR="00567F6E">
          <w:rPr>
            <w:noProof/>
            <w:webHidden/>
          </w:rPr>
          <w:fldChar w:fldCharType="begin"/>
        </w:r>
        <w:r w:rsidR="00567F6E">
          <w:rPr>
            <w:noProof/>
            <w:webHidden/>
          </w:rPr>
          <w:instrText xml:space="preserve"> PAGEREF _Toc506232299 \h </w:instrText>
        </w:r>
        <w:r w:rsidR="00567F6E">
          <w:rPr>
            <w:noProof/>
            <w:webHidden/>
          </w:rPr>
        </w:r>
        <w:r w:rsidR="00567F6E">
          <w:rPr>
            <w:noProof/>
            <w:webHidden/>
          </w:rPr>
          <w:fldChar w:fldCharType="separate"/>
        </w:r>
        <w:r w:rsidR="00567F6E">
          <w:rPr>
            <w:noProof/>
            <w:webHidden/>
          </w:rPr>
          <w:t>19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0" w:history="1">
        <w:r w:rsidR="00567F6E" w:rsidRPr="008D3BC2">
          <w:rPr>
            <w:rStyle w:val="Hyperlink"/>
            <w:rFonts w:eastAsia="Times New Roman"/>
            <w:noProof/>
          </w:rPr>
          <w:t>1.5 Pathobiology of fibrosis</w:t>
        </w:r>
        <w:r w:rsidR="00567F6E">
          <w:rPr>
            <w:noProof/>
            <w:webHidden/>
          </w:rPr>
          <w:tab/>
        </w:r>
        <w:r w:rsidR="00567F6E">
          <w:rPr>
            <w:noProof/>
            <w:webHidden/>
          </w:rPr>
          <w:fldChar w:fldCharType="begin"/>
        </w:r>
        <w:r w:rsidR="00567F6E">
          <w:rPr>
            <w:noProof/>
            <w:webHidden/>
          </w:rPr>
          <w:instrText xml:space="preserve"> PAGEREF _Toc506232300 \h </w:instrText>
        </w:r>
        <w:r w:rsidR="00567F6E">
          <w:rPr>
            <w:noProof/>
            <w:webHidden/>
          </w:rPr>
        </w:r>
        <w:r w:rsidR="00567F6E">
          <w:rPr>
            <w:noProof/>
            <w:webHidden/>
          </w:rPr>
          <w:fldChar w:fldCharType="separate"/>
        </w:r>
        <w:r w:rsidR="00567F6E">
          <w:rPr>
            <w:noProof/>
            <w:webHidden/>
          </w:rPr>
          <w:t>21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1" w:history="1">
        <w:r w:rsidR="00567F6E" w:rsidRPr="008D3BC2">
          <w:rPr>
            <w:rStyle w:val="Hyperlink"/>
            <w:rFonts w:eastAsia="Times New Roman"/>
            <w:noProof/>
          </w:rPr>
          <w:t>1.6 Wound healing</w:t>
        </w:r>
        <w:r w:rsidR="00567F6E">
          <w:rPr>
            <w:noProof/>
            <w:webHidden/>
          </w:rPr>
          <w:tab/>
        </w:r>
        <w:r w:rsidR="00567F6E">
          <w:rPr>
            <w:noProof/>
            <w:webHidden/>
          </w:rPr>
          <w:fldChar w:fldCharType="begin"/>
        </w:r>
        <w:r w:rsidR="00567F6E">
          <w:rPr>
            <w:noProof/>
            <w:webHidden/>
          </w:rPr>
          <w:instrText xml:space="preserve"> PAGEREF _Toc506232301 \h </w:instrText>
        </w:r>
        <w:r w:rsidR="00567F6E">
          <w:rPr>
            <w:noProof/>
            <w:webHidden/>
          </w:rPr>
        </w:r>
        <w:r w:rsidR="00567F6E">
          <w:rPr>
            <w:noProof/>
            <w:webHidden/>
          </w:rPr>
          <w:fldChar w:fldCharType="separate"/>
        </w:r>
        <w:r w:rsidR="00567F6E">
          <w:rPr>
            <w:noProof/>
            <w:webHidden/>
          </w:rPr>
          <w:t>22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2" w:history="1">
        <w:r w:rsidR="00567F6E" w:rsidRPr="008D3BC2">
          <w:rPr>
            <w:rStyle w:val="Hyperlink"/>
            <w:noProof/>
          </w:rPr>
          <w:t>1.7 Growth factors</w:t>
        </w:r>
        <w:r w:rsidR="00567F6E">
          <w:rPr>
            <w:noProof/>
            <w:webHidden/>
          </w:rPr>
          <w:tab/>
        </w:r>
        <w:r w:rsidR="00567F6E">
          <w:rPr>
            <w:noProof/>
            <w:webHidden/>
          </w:rPr>
          <w:fldChar w:fldCharType="begin"/>
        </w:r>
        <w:r w:rsidR="00567F6E">
          <w:rPr>
            <w:noProof/>
            <w:webHidden/>
          </w:rPr>
          <w:instrText xml:space="preserve"> PAGEREF _Toc506232302 \h </w:instrText>
        </w:r>
        <w:r w:rsidR="00567F6E">
          <w:rPr>
            <w:noProof/>
            <w:webHidden/>
          </w:rPr>
        </w:r>
        <w:r w:rsidR="00567F6E">
          <w:rPr>
            <w:noProof/>
            <w:webHidden/>
          </w:rPr>
          <w:fldChar w:fldCharType="separate"/>
        </w:r>
        <w:r w:rsidR="00567F6E">
          <w:rPr>
            <w:noProof/>
            <w:webHidden/>
          </w:rPr>
          <w:t>22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03" w:history="1">
        <w:r w:rsidR="00567F6E" w:rsidRPr="008D3BC2">
          <w:rPr>
            <w:rStyle w:val="Hyperlink"/>
            <w:noProof/>
          </w:rPr>
          <w:t>1.7.1 Platelet derived growth factor (PDGF)</w:t>
        </w:r>
        <w:r w:rsidR="00567F6E">
          <w:rPr>
            <w:noProof/>
            <w:webHidden/>
          </w:rPr>
          <w:tab/>
        </w:r>
        <w:r w:rsidR="00567F6E">
          <w:rPr>
            <w:noProof/>
            <w:webHidden/>
          </w:rPr>
          <w:fldChar w:fldCharType="begin"/>
        </w:r>
        <w:r w:rsidR="00567F6E">
          <w:rPr>
            <w:noProof/>
            <w:webHidden/>
          </w:rPr>
          <w:instrText xml:space="preserve"> PAGEREF _Toc506232303 \h </w:instrText>
        </w:r>
        <w:r w:rsidR="00567F6E">
          <w:rPr>
            <w:noProof/>
            <w:webHidden/>
          </w:rPr>
        </w:r>
        <w:r w:rsidR="00567F6E">
          <w:rPr>
            <w:noProof/>
            <w:webHidden/>
          </w:rPr>
          <w:fldChar w:fldCharType="separate"/>
        </w:r>
        <w:r w:rsidR="00567F6E">
          <w:rPr>
            <w:noProof/>
            <w:webHidden/>
          </w:rPr>
          <w:t>23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4" w:history="1">
        <w:r w:rsidR="00567F6E" w:rsidRPr="008D3BC2">
          <w:rPr>
            <w:rStyle w:val="Hyperlink"/>
            <w:rFonts w:eastAsia="Times New Roman"/>
            <w:noProof/>
          </w:rPr>
          <w:t>1.8 Cytokines</w:t>
        </w:r>
        <w:r w:rsidR="00567F6E">
          <w:rPr>
            <w:noProof/>
            <w:webHidden/>
          </w:rPr>
          <w:tab/>
        </w:r>
        <w:r w:rsidR="00567F6E">
          <w:rPr>
            <w:noProof/>
            <w:webHidden/>
          </w:rPr>
          <w:fldChar w:fldCharType="begin"/>
        </w:r>
        <w:r w:rsidR="00567F6E">
          <w:rPr>
            <w:noProof/>
            <w:webHidden/>
          </w:rPr>
          <w:instrText xml:space="preserve"> PAGEREF _Toc506232304 \h </w:instrText>
        </w:r>
        <w:r w:rsidR="00567F6E">
          <w:rPr>
            <w:noProof/>
            <w:webHidden/>
          </w:rPr>
        </w:r>
        <w:r w:rsidR="00567F6E">
          <w:rPr>
            <w:noProof/>
            <w:webHidden/>
          </w:rPr>
          <w:fldChar w:fldCharType="separate"/>
        </w:r>
        <w:r w:rsidR="00567F6E">
          <w:rPr>
            <w:noProof/>
            <w:webHidden/>
          </w:rPr>
          <w:t>24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05" w:history="1">
        <w:r w:rsidR="00567F6E" w:rsidRPr="008D3BC2">
          <w:rPr>
            <w:rStyle w:val="Hyperlink"/>
            <w:rFonts w:eastAsia="Times New Roman"/>
            <w:noProof/>
          </w:rPr>
          <w:t>1.8.1 Transforming growth factor β (TGFβ)</w:t>
        </w:r>
        <w:r w:rsidR="00567F6E">
          <w:rPr>
            <w:noProof/>
            <w:webHidden/>
          </w:rPr>
          <w:tab/>
        </w:r>
        <w:r w:rsidR="00567F6E">
          <w:rPr>
            <w:noProof/>
            <w:webHidden/>
          </w:rPr>
          <w:fldChar w:fldCharType="begin"/>
        </w:r>
        <w:r w:rsidR="00567F6E">
          <w:rPr>
            <w:noProof/>
            <w:webHidden/>
          </w:rPr>
          <w:instrText xml:space="preserve"> PAGEREF _Toc506232305 \h </w:instrText>
        </w:r>
        <w:r w:rsidR="00567F6E">
          <w:rPr>
            <w:noProof/>
            <w:webHidden/>
          </w:rPr>
        </w:r>
        <w:r w:rsidR="00567F6E">
          <w:rPr>
            <w:noProof/>
            <w:webHidden/>
          </w:rPr>
          <w:fldChar w:fldCharType="separate"/>
        </w:r>
        <w:r w:rsidR="00567F6E">
          <w:rPr>
            <w:noProof/>
            <w:webHidden/>
          </w:rPr>
          <w:t>25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06" w:history="1">
        <w:r w:rsidR="00567F6E" w:rsidRPr="008D3BC2">
          <w:rPr>
            <w:rStyle w:val="Hyperlink"/>
            <w:rFonts w:eastAsia="Times New Roman"/>
            <w:noProof/>
          </w:rPr>
          <w:t>1.8.2 Connective tissue growth factor (CTGF CNN2)</w:t>
        </w:r>
        <w:r w:rsidR="00567F6E">
          <w:rPr>
            <w:noProof/>
            <w:webHidden/>
          </w:rPr>
          <w:tab/>
        </w:r>
        <w:r w:rsidR="00567F6E">
          <w:rPr>
            <w:noProof/>
            <w:webHidden/>
          </w:rPr>
          <w:fldChar w:fldCharType="begin"/>
        </w:r>
        <w:r w:rsidR="00567F6E">
          <w:rPr>
            <w:noProof/>
            <w:webHidden/>
          </w:rPr>
          <w:instrText xml:space="preserve"> PAGEREF _Toc506232306 \h </w:instrText>
        </w:r>
        <w:r w:rsidR="00567F6E">
          <w:rPr>
            <w:noProof/>
            <w:webHidden/>
          </w:rPr>
        </w:r>
        <w:r w:rsidR="00567F6E">
          <w:rPr>
            <w:noProof/>
            <w:webHidden/>
          </w:rPr>
          <w:fldChar w:fldCharType="separate"/>
        </w:r>
        <w:r w:rsidR="00567F6E">
          <w:rPr>
            <w:noProof/>
            <w:webHidden/>
          </w:rPr>
          <w:t>26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7" w:history="1">
        <w:r w:rsidR="00567F6E" w:rsidRPr="008D3BC2">
          <w:rPr>
            <w:rStyle w:val="Hyperlink"/>
            <w:rFonts w:eastAsia="Times New Roman"/>
            <w:noProof/>
          </w:rPr>
          <w:t>1.9 Myofibroblasts</w:t>
        </w:r>
        <w:r w:rsidR="00567F6E">
          <w:rPr>
            <w:noProof/>
            <w:webHidden/>
          </w:rPr>
          <w:tab/>
        </w:r>
        <w:r w:rsidR="00567F6E">
          <w:rPr>
            <w:noProof/>
            <w:webHidden/>
          </w:rPr>
          <w:fldChar w:fldCharType="begin"/>
        </w:r>
        <w:r w:rsidR="00567F6E">
          <w:rPr>
            <w:noProof/>
            <w:webHidden/>
          </w:rPr>
          <w:instrText xml:space="preserve"> PAGEREF _Toc506232307 \h </w:instrText>
        </w:r>
        <w:r w:rsidR="00567F6E">
          <w:rPr>
            <w:noProof/>
            <w:webHidden/>
          </w:rPr>
        </w:r>
        <w:r w:rsidR="00567F6E">
          <w:rPr>
            <w:noProof/>
            <w:webHidden/>
          </w:rPr>
          <w:fldChar w:fldCharType="separate"/>
        </w:r>
        <w:r w:rsidR="00567F6E">
          <w:rPr>
            <w:noProof/>
            <w:webHidden/>
          </w:rPr>
          <w:t>27</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08" w:history="1">
        <w:r w:rsidR="00567F6E" w:rsidRPr="008D3BC2">
          <w:rPr>
            <w:rStyle w:val="Hyperlink"/>
            <w:rFonts w:eastAsia="Times New Roman"/>
            <w:noProof/>
          </w:rPr>
          <w:t>1.10 Other fibrogenic factors involved in diseases</w:t>
        </w:r>
        <w:r w:rsidR="00567F6E">
          <w:rPr>
            <w:noProof/>
            <w:webHidden/>
          </w:rPr>
          <w:tab/>
        </w:r>
        <w:r w:rsidR="00567F6E">
          <w:rPr>
            <w:noProof/>
            <w:webHidden/>
          </w:rPr>
          <w:fldChar w:fldCharType="begin"/>
        </w:r>
        <w:r w:rsidR="00567F6E">
          <w:rPr>
            <w:noProof/>
            <w:webHidden/>
          </w:rPr>
          <w:instrText xml:space="preserve"> PAGEREF _Toc506232308 \h </w:instrText>
        </w:r>
        <w:r w:rsidR="00567F6E">
          <w:rPr>
            <w:noProof/>
            <w:webHidden/>
          </w:rPr>
        </w:r>
        <w:r w:rsidR="00567F6E">
          <w:rPr>
            <w:noProof/>
            <w:webHidden/>
          </w:rPr>
          <w:fldChar w:fldCharType="separate"/>
        </w:r>
        <w:r w:rsidR="00567F6E">
          <w:rPr>
            <w:noProof/>
            <w:webHidden/>
          </w:rPr>
          <w:t>27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09" w:history="1">
        <w:r w:rsidR="00567F6E" w:rsidRPr="008D3BC2">
          <w:rPr>
            <w:rStyle w:val="Hyperlink"/>
            <w:rFonts w:eastAsia="Times New Roman"/>
            <w:noProof/>
          </w:rPr>
          <w:t>1.10.1 Transglutaminase 2 (TG2)</w:t>
        </w:r>
        <w:r w:rsidR="00567F6E">
          <w:rPr>
            <w:noProof/>
            <w:webHidden/>
          </w:rPr>
          <w:tab/>
        </w:r>
        <w:r w:rsidR="00567F6E">
          <w:rPr>
            <w:noProof/>
            <w:webHidden/>
          </w:rPr>
          <w:fldChar w:fldCharType="begin"/>
        </w:r>
        <w:r w:rsidR="00567F6E">
          <w:rPr>
            <w:noProof/>
            <w:webHidden/>
          </w:rPr>
          <w:instrText xml:space="preserve"> PAGEREF _Toc506232309 \h </w:instrText>
        </w:r>
        <w:r w:rsidR="00567F6E">
          <w:rPr>
            <w:noProof/>
            <w:webHidden/>
          </w:rPr>
        </w:r>
        <w:r w:rsidR="00567F6E">
          <w:rPr>
            <w:noProof/>
            <w:webHidden/>
          </w:rPr>
          <w:fldChar w:fldCharType="separate"/>
        </w:r>
        <w:r w:rsidR="00567F6E">
          <w:rPr>
            <w:noProof/>
            <w:webHidden/>
          </w:rPr>
          <w:t>27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0" w:history="1">
        <w:r w:rsidR="00567F6E" w:rsidRPr="008D3BC2">
          <w:rPr>
            <w:rStyle w:val="Hyperlink"/>
            <w:noProof/>
          </w:rPr>
          <w:t>1.10.2 Advanced glycation end-products (AGEs)</w:t>
        </w:r>
        <w:r w:rsidR="00567F6E">
          <w:rPr>
            <w:noProof/>
            <w:webHidden/>
          </w:rPr>
          <w:tab/>
        </w:r>
        <w:r w:rsidR="00567F6E">
          <w:rPr>
            <w:noProof/>
            <w:webHidden/>
          </w:rPr>
          <w:fldChar w:fldCharType="begin"/>
        </w:r>
        <w:r w:rsidR="00567F6E">
          <w:rPr>
            <w:noProof/>
            <w:webHidden/>
          </w:rPr>
          <w:instrText xml:space="preserve"> PAGEREF _Toc506232310 \h </w:instrText>
        </w:r>
        <w:r w:rsidR="00567F6E">
          <w:rPr>
            <w:noProof/>
            <w:webHidden/>
          </w:rPr>
        </w:r>
        <w:r w:rsidR="00567F6E">
          <w:rPr>
            <w:noProof/>
            <w:webHidden/>
          </w:rPr>
          <w:fldChar w:fldCharType="separate"/>
        </w:r>
        <w:r w:rsidR="00567F6E">
          <w:rPr>
            <w:noProof/>
            <w:webHidden/>
          </w:rPr>
          <w:t>28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1" w:history="1">
        <w:r w:rsidR="00567F6E" w:rsidRPr="008D3BC2">
          <w:rPr>
            <w:rStyle w:val="Hyperlink"/>
            <w:rFonts w:eastAsia="Times New Roman"/>
            <w:noProof/>
          </w:rPr>
          <w:t>1.10.3 Tissue inhibition of metalloproteinases (TIMPs)</w:t>
        </w:r>
        <w:r w:rsidR="00567F6E">
          <w:rPr>
            <w:noProof/>
            <w:webHidden/>
          </w:rPr>
          <w:tab/>
        </w:r>
        <w:r w:rsidR="00567F6E">
          <w:rPr>
            <w:noProof/>
            <w:webHidden/>
          </w:rPr>
          <w:fldChar w:fldCharType="begin"/>
        </w:r>
        <w:r w:rsidR="00567F6E">
          <w:rPr>
            <w:noProof/>
            <w:webHidden/>
          </w:rPr>
          <w:instrText xml:space="preserve"> PAGEREF _Toc506232311 \h </w:instrText>
        </w:r>
        <w:r w:rsidR="00567F6E">
          <w:rPr>
            <w:noProof/>
            <w:webHidden/>
          </w:rPr>
        </w:r>
        <w:r w:rsidR="00567F6E">
          <w:rPr>
            <w:noProof/>
            <w:webHidden/>
          </w:rPr>
          <w:fldChar w:fldCharType="separate"/>
        </w:r>
        <w:r w:rsidR="00567F6E">
          <w:rPr>
            <w:noProof/>
            <w:webHidden/>
          </w:rPr>
          <w:t>29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12" w:history="1">
        <w:r w:rsidR="00567F6E" w:rsidRPr="008D3BC2">
          <w:rPr>
            <w:rStyle w:val="Hyperlink"/>
            <w:noProof/>
          </w:rPr>
          <w:t>1.11 Carboxypeptidase B2: structure and characteristics.</w:t>
        </w:r>
        <w:r w:rsidR="00567F6E">
          <w:rPr>
            <w:noProof/>
            <w:webHidden/>
          </w:rPr>
          <w:tab/>
        </w:r>
        <w:r w:rsidR="00567F6E">
          <w:rPr>
            <w:noProof/>
            <w:webHidden/>
          </w:rPr>
          <w:fldChar w:fldCharType="begin"/>
        </w:r>
        <w:r w:rsidR="00567F6E">
          <w:rPr>
            <w:noProof/>
            <w:webHidden/>
          </w:rPr>
          <w:instrText xml:space="preserve"> PAGEREF _Toc506232312 \h </w:instrText>
        </w:r>
        <w:r w:rsidR="00567F6E">
          <w:rPr>
            <w:noProof/>
            <w:webHidden/>
          </w:rPr>
        </w:r>
        <w:r w:rsidR="00567F6E">
          <w:rPr>
            <w:noProof/>
            <w:webHidden/>
          </w:rPr>
          <w:fldChar w:fldCharType="separate"/>
        </w:r>
        <w:r w:rsidR="00567F6E">
          <w:rPr>
            <w:noProof/>
            <w:webHidden/>
          </w:rPr>
          <w:t>29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3" w:history="1">
        <w:r w:rsidR="00567F6E" w:rsidRPr="008D3BC2">
          <w:rPr>
            <w:rStyle w:val="Hyperlink"/>
            <w:noProof/>
          </w:rPr>
          <w:t>1.11.1 Activation of carboxypeptidase B2 (CPB2)</w:t>
        </w:r>
        <w:r w:rsidR="00567F6E">
          <w:rPr>
            <w:noProof/>
            <w:webHidden/>
          </w:rPr>
          <w:tab/>
        </w:r>
        <w:r w:rsidR="00567F6E">
          <w:rPr>
            <w:noProof/>
            <w:webHidden/>
          </w:rPr>
          <w:fldChar w:fldCharType="begin"/>
        </w:r>
        <w:r w:rsidR="00567F6E">
          <w:rPr>
            <w:noProof/>
            <w:webHidden/>
          </w:rPr>
          <w:instrText xml:space="preserve"> PAGEREF _Toc506232313 \h </w:instrText>
        </w:r>
        <w:r w:rsidR="00567F6E">
          <w:rPr>
            <w:noProof/>
            <w:webHidden/>
          </w:rPr>
        </w:r>
        <w:r w:rsidR="00567F6E">
          <w:rPr>
            <w:noProof/>
            <w:webHidden/>
          </w:rPr>
          <w:fldChar w:fldCharType="separate"/>
        </w:r>
        <w:r w:rsidR="00567F6E">
          <w:rPr>
            <w:noProof/>
            <w:webHidden/>
          </w:rPr>
          <w:t>30</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4" w:history="1">
        <w:r w:rsidR="00567F6E" w:rsidRPr="008D3BC2">
          <w:rPr>
            <w:rStyle w:val="Hyperlink"/>
            <w:rFonts w:eastAsia="Times New Roman"/>
            <w:noProof/>
          </w:rPr>
          <w:t>1.11.2 Inactivation of carboxypeptidase B2</w:t>
        </w:r>
        <w:r w:rsidR="00567F6E">
          <w:rPr>
            <w:noProof/>
            <w:webHidden/>
          </w:rPr>
          <w:tab/>
        </w:r>
        <w:r w:rsidR="00567F6E">
          <w:rPr>
            <w:noProof/>
            <w:webHidden/>
          </w:rPr>
          <w:fldChar w:fldCharType="begin"/>
        </w:r>
        <w:r w:rsidR="00567F6E">
          <w:rPr>
            <w:noProof/>
            <w:webHidden/>
          </w:rPr>
          <w:instrText xml:space="preserve"> PAGEREF _Toc506232314 \h </w:instrText>
        </w:r>
        <w:r w:rsidR="00567F6E">
          <w:rPr>
            <w:noProof/>
            <w:webHidden/>
          </w:rPr>
        </w:r>
        <w:r w:rsidR="00567F6E">
          <w:rPr>
            <w:noProof/>
            <w:webHidden/>
          </w:rPr>
          <w:fldChar w:fldCharType="separate"/>
        </w:r>
        <w:r w:rsidR="00567F6E">
          <w:rPr>
            <w:noProof/>
            <w:webHidden/>
          </w:rPr>
          <w:t>31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5" w:history="1">
        <w:r w:rsidR="00567F6E" w:rsidRPr="008D3BC2">
          <w:rPr>
            <w:rStyle w:val="Hyperlink"/>
            <w:rFonts w:eastAsia="Times New Roman"/>
            <w:noProof/>
          </w:rPr>
          <w:t>1.11.3 Interaction between plasmin and carboxypeptidase B2</w:t>
        </w:r>
        <w:r w:rsidR="00567F6E">
          <w:rPr>
            <w:noProof/>
            <w:webHidden/>
          </w:rPr>
          <w:tab/>
        </w:r>
        <w:r w:rsidR="00567F6E">
          <w:rPr>
            <w:noProof/>
            <w:webHidden/>
          </w:rPr>
          <w:fldChar w:fldCharType="begin"/>
        </w:r>
        <w:r w:rsidR="00567F6E">
          <w:rPr>
            <w:noProof/>
            <w:webHidden/>
          </w:rPr>
          <w:instrText xml:space="preserve"> PAGEREF _Toc506232315 \h </w:instrText>
        </w:r>
        <w:r w:rsidR="00567F6E">
          <w:rPr>
            <w:noProof/>
            <w:webHidden/>
          </w:rPr>
        </w:r>
        <w:r w:rsidR="00567F6E">
          <w:rPr>
            <w:noProof/>
            <w:webHidden/>
          </w:rPr>
          <w:fldChar w:fldCharType="separate"/>
        </w:r>
        <w:r w:rsidR="00567F6E">
          <w:rPr>
            <w:noProof/>
            <w:webHidden/>
          </w:rPr>
          <w:t>32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16" w:history="1">
        <w:r w:rsidR="00567F6E" w:rsidRPr="008D3BC2">
          <w:rPr>
            <w:rStyle w:val="Hyperlink"/>
            <w:rFonts w:eastAsia="Times New Roman"/>
            <w:noProof/>
          </w:rPr>
          <w:t>1.11.4 Functions of carboxypeptidase B2:</w:t>
        </w:r>
        <w:r w:rsidR="00567F6E">
          <w:rPr>
            <w:noProof/>
            <w:webHidden/>
          </w:rPr>
          <w:tab/>
        </w:r>
        <w:r w:rsidR="00567F6E">
          <w:rPr>
            <w:noProof/>
            <w:webHidden/>
          </w:rPr>
          <w:fldChar w:fldCharType="begin"/>
        </w:r>
        <w:r w:rsidR="00567F6E">
          <w:rPr>
            <w:noProof/>
            <w:webHidden/>
          </w:rPr>
          <w:instrText xml:space="preserve"> PAGEREF _Toc506232316 \h </w:instrText>
        </w:r>
        <w:r w:rsidR="00567F6E">
          <w:rPr>
            <w:noProof/>
            <w:webHidden/>
          </w:rPr>
        </w:r>
        <w:r w:rsidR="00567F6E">
          <w:rPr>
            <w:noProof/>
            <w:webHidden/>
          </w:rPr>
          <w:fldChar w:fldCharType="separate"/>
        </w:r>
        <w:r w:rsidR="00567F6E">
          <w:rPr>
            <w:noProof/>
            <w:webHidden/>
          </w:rPr>
          <w:t>32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17" w:history="1">
        <w:r w:rsidR="00567F6E" w:rsidRPr="008D3BC2">
          <w:rPr>
            <w:rStyle w:val="Hyperlink"/>
            <w:rFonts w:eastAsia="Times New Roman"/>
            <w:noProof/>
          </w:rPr>
          <w:t>1.12 Plasmin</w:t>
        </w:r>
        <w:r w:rsidR="00567F6E">
          <w:rPr>
            <w:noProof/>
            <w:webHidden/>
          </w:rPr>
          <w:tab/>
        </w:r>
        <w:r w:rsidR="00567F6E">
          <w:rPr>
            <w:noProof/>
            <w:webHidden/>
          </w:rPr>
          <w:fldChar w:fldCharType="begin"/>
        </w:r>
        <w:r w:rsidR="00567F6E">
          <w:rPr>
            <w:noProof/>
            <w:webHidden/>
          </w:rPr>
          <w:instrText xml:space="preserve"> PAGEREF _Toc506232317 \h </w:instrText>
        </w:r>
        <w:r w:rsidR="00567F6E">
          <w:rPr>
            <w:noProof/>
            <w:webHidden/>
          </w:rPr>
        </w:r>
        <w:r w:rsidR="00567F6E">
          <w:rPr>
            <w:noProof/>
            <w:webHidden/>
          </w:rPr>
          <w:fldChar w:fldCharType="separate"/>
        </w:r>
        <w:r w:rsidR="00567F6E">
          <w:rPr>
            <w:noProof/>
            <w:webHidden/>
          </w:rPr>
          <w:t>34</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18" w:history="1">
        <w:r w:rsidR="00567F6E" w:rsidRPr="008D3BC2">
          <w:rPr>
            <w:rStyle w:val="Hyperlink"/>
            <w:rFonts w:eastAsia="Times New Roman"/>
            <w:noProof/>
          </w:rPr>
          <w:t>1.13 Serpins</w:t>
        </w:r>
        <w:r w:rsidR="00567F6E">
          <w:rPr>
            <w:noProof/>
            <w:webHidden/>
          </w:rPr>
          <w:tab/>
        </w:r>
        <w:r w:rsidR="00567F6E">
          <w:rPr>
            <w:noProof/>
            <w:webHidden/>
          </w:rPr>
          <w:fldChar w:fldCharType="begin"/>
        </w:r>
        <w:r w:rsidR="00567F6E">
          <w:rPr>
            <w:noProof/>
            <w:webHidden/>
          </w:rPr>
          <w:instrText xml:space="preserve"> PAGEREF _Toc506232318 \h </w:instrText>
        </w:r>
        <w:r w:rsidR="00567F6E">
          <w:rPr>
            <w:noProof/>
            <w:webHidden/>
          </w:rPr>
        </w:r>
        <w:r w:rsidR="00567F6E">
          <w:rPr>
            <w:noProof/>
            <w:webHidden/>
          </w:rPr>
          <w:fldChar w:fldCharType="separate"/>
        </w:r>
        <w:r w:rsidR="00567F6E">
          <w:rPr>
            <w:noProof/>
            <w:webHidden/>
          </w:rPr>
          <w:t>35</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19" w:history="1">
        <w:r w:rsidR="00567F6E" w:rsidRPr="008D3BC2">
          <w:rPr>
            <w:rStyle w:val="Hyperlink"/>
            <w:rFonts w:eastAsia="Times New Roman"/>
            <w:noProof/>
          </w:rPr>
          <w:t>1.14 Carboxypeptidase B2 inhibitor UK-396082</w:t>
        </w:r>
        <w:r w:rsidR="00567F6E">
          <w:rPr>
            <w:noProof/>
            <w:webHidden/>
          </w:rPr>
          <w:tab/>
        </w:r>
        <w:r w:rsidR="00567F6E">
          <w:rPr>
            <w:noProof/>
            <w:webHidden/>
          </w:rPr>
          <w:fldChar w:fldCharType="begin"/>
        </w:r>
        <w:r w:rsidR="00567F6E">
          <w:rPr>
            <w:noProof/>
            <w:webHidden/>
          </w:rPr>
          <w:instrText xml:space="preserve"> PAGEREF _Toc506232319 \h </w:instrText>
        </w:r>
        <w:r w:rsidR="00567F6E">
          <w:rPr>
            <w:noProof/>
            <w:webHidden/>
          </w:rPr>
        </w:r>
        <w:r w:rsidR="00567F6E">
          <w:rPr>
            <w:noProof/>
            <w:webHidden/>
          </w:rPr>
          <w:fldChar w:fldCharType="separate"/>
        </w:r>
        <w:r w:rsidR="00567F6E">
          <w:rPr>
            <w:noProof/>
            <w:webHidden/>
          </w:rPr>
          <w:t>35</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20" w:history="1">
        <w:r w:rsidR="00567F6E" w:rsidRPr="008D3BC2">
          <w:rPr>
            <w:rStyle w:val="Hyperlink"/>
            <w:noProof/>
          </w:rPr>
          <w:t>1.15 Hypothesis</w:t>
        </w:r>
        <w:r w:rsidR="00567F6E">
          <w:rPr>
            <w:noProof/>
            <w:webHidden/>
          </w:rPr>
          <w:tab/>
        </w:r>
        <w:r w:rsidR="00567F6E">
          <w:rPr>
            <w:noProof/>
            <w:webHidden/>
          </w:rPr>
          <w:fldChar w:fldCharType="begin"/>
        </w:r>
        <w:r w:rsidR="00567F6E">
          <w:rPr>
            <w:noProof/>
            <w:webHidden/>
          </w:rPr>
          <w:instrText xml:space="preserve"> PAGEREF _Toc506232320 \h </w:instrText>
        </w:r>
        <w:r w:rsidR="00567F6E">
          <w:rPr>
            <w:noProof/>
            <w:webHidden/>
          </w:rPr>
        </w:r>
        <w:r w:rsidR="00567F6E">
          <w:rPr>
            <w:noProof/>
            <w:webHidden/>
          </w:rPr>
          <w:fldChar w:fldCharType="separate"/>
        </w:r>
        <w:r w:rsidR="00567F6E">
          <w:rPr>
            <w:noProof/>
            <w:webHidden/>
          </w:rPr>
          <w:t>36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21" w:history="1">
        <w:r w:rsidR="00567F6E" w:rsidRPr="008D3BC2">
          <w:rPr>
            <w:rStyle w:val="Hyperlink"/>
            <w:rFonts w:eastAsia="Times New Roman"/>
            <w:noProof/>
          </w:rPr>
          <w:t>1.16 Aims</w:t>
        </w:r>
        <w:r w:rsidR="00567F6E">
          <w:rPr>
            <w:noProof/>
            <w:webHidden/>
          </w:rPr>
          <w:tab/>
        </w:r>
        <w:r w:rsidR="00567F6E">
          <w:rPr>
            <w:noProof/>
            <w:webHidden/>
          </w:rPr>
          <w:fldChar w:fldCharType="begin"/>
        </w:r>
        <w:r w:rsidR="00567F6E">
          <w:rPr>
            <w:noProof/>
            <w:webHidden/>
          </w:rPr>
          <w:instrText xml:space="preserve"> PAGEREF _Toc506232321 \h </w:instrText>
        </w:r>
        <w:r w:rsidR="00567F6E">
          <w:rPr>
            <w:noProof/>
            <w:webHidden/>
          </w:rPr>
        </w:r>
        <w:r w:rsidR="00567F6E">
          <w:rPr>
            <w:noProof/>
            <w:webHidden/>
          </w:rPr>
          <w:fldChar w:fldCharType="separate"/>
        </w:r>
        <w:r w:rsidR="00567F6E">
          <w:rPr>
            <w:noProof/>
            <w:webHidden/>
          </w:rPr>
          <w:t>36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22" w:history="1">
        <w:r w:rsidR="00567F6E" w:rsidRPr="008D3BC2">
          <w:rPr>
            <w:rStyle w:val="Hyperlink"/>
            <w:noProof/>
          </w:rPr>
          <w:t>2.1 Reagents and consumables</w:t>
        </w:r>
        <w:r w:rsidR="00567F6E">
          <w:rPr>
            <w:noProof/>
            <w:webHidden/>
          </w:rPr>
          <w:tab/>
        </w:r>
        <w:r w:rsidR="00567F6E">
          <w:rPr>
            <w:noProof/>
            <w:webHidden/>
          </w:rPr>
          <w:fldChar w:fldCharType="begin"/>
        </w:r>
        <w:r w:rsidR="00567F6E">
          <w:rPr>
            <w:noProof/>
            <w:webHidden/>
          </w:rPr>
          <w:instrText xml:space="preserve"> PAGEREF _Toc506232322 \h </w:instrText>
        </w:r>
        <w:r w:rsidR="00567F6E">
          <w:rPr>
            <w:noProof/>
            <w:webHidden/>
          </w:rPr>
        </w:r>
        <w:r w:rsidR="00567F6E">
          <w:rPr>
            <w:noProof/>
            <w:webHidden/>
          </w:rPr>
          <w:fldChar w:fldCharType="separate"/>
        </w:r>
        <w:r w:rsidR="00567F6E">
          <w:rPr>
            <w:noProof/>
            <w:webHidden/>
          </w:rPr>
          <w:t>38</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23" w:history="1">
        <w:r w:rsidR="00567F6E" w:rsidRPr="008D3BC2">
          <w:rPr>
            <w:rStyle w:val="Hyperlink"/>
            <w:noProof/>
            <w:lang w:val="en-US"/>
          </w:rPr>
          <w:t>2.2 Equipment</w:t>
        </w:r>
        <w:r w:rsidR="00567F6E">
          <w:rPr>
            <w:noProof/>
            <w:webHidden/>
          </w:rPr>
          <w:tab/>
        </w:r>
        <w:r w:rsidR="00567F6E">
          <w:rPr>
            <w:noProof/>
            <w:webHidden/>
          </w:rPr>
          <w:fldChar w:fldCharType="begin"/>
        </w:r>
        <w:r w:rsidR="00567F6E">
          <w:rPr>
            <w:noProof/>
            <w:webHidden/>
          </w:rPr>
          <w:instrText xml:space="preserve"> PAGEREF _Toc506232323 \h </w:instrText>
        </w:r>
        <w:r w:rsidR="00567F6E">
          <w:rPr>
            <w:noProof/>
            <w:webHidden/>
          </w:rPr>
        </w:r>
        <w:r w:rsidR="00567F6E">
          <w:rPr>
            <w:noProof/>
            <w:webHidden/>
          </w:rPr>
          <w:fldChar w:fldCharType="separate"/>
        </w:r>
        <w:r w:rsidR="00567F6E">
          <w:rPr>
            <w:noProof/>
            <w:webHidden/>
          </w:rPr>
          <w:t>39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24" w:history="1">
        <w:r w:rsidR="00567F6E" w:rsidRPr="008D3BC2">
          <w:rPr>
            <w:rStyle w:val="Hyperlink"/>
            <w:noProof/>
            <w:lang w:val="en-US"/>
          </w:rPr>
          <w:t>2.3 In vivo experiments</w:t>
        </w:r>
        <w:r w:rsidR="00567F6E">
          <w:rPr>
            <w:noProof/>
            <w:webHidden/>
          </w:rPr>
          <w:tab/>
        </w:r>
        <w:r w:rsidR="00567F6E">
          <w:rPr>
            <w:noProof/>
            <w:webHidden/>
          </w:rPr>
          <w:fldChar w:fldCharType="begin"/>
        </w:r>
        <w:r w:rsidR="00567F6E">
          <w:rPr>
            <w:noProof/>
            <w:webHidden/>
          </w:rPr>
          <w:instrText xml:space="preserve"> PAGEREF _Toc506232324 \h </w:instrText>
        </w:r>
        <w:r w:rsidR="00567F6E">
          <w:rPr>
            <w:noProof/>
            <w:webHidden/>
          </w:rPr>
        </w:r>
        <w:r w:rsidR="00567F6E">
          <w:rPr>
            <w:noProof/>
            <w:webHidden/>
          </w:rPr>
          <w:fldChar w:fldCharType="separate"/>
        </w:r>
        <w:r w:rsidR="00567F6E">
          <w:rPr>
            <w:noProof/>
            <w:webHidden/>
          </w:rPr>
          <w:t>39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25" w:history="1">
        <w:r w:rsidR="00567F6E" w:rsidRPr="008D3BC2">
          <w:rPr>
            <w:rStyle w:val="Hyperlink"/>
            <w:rFonts w:eastAsia="Times New Roman"/>
            <w:noProof/>
            <w:lang w:val="en-US"/>
          </w:rPr>
          <w:t>2.3.1 Animals:</w:t>
        </w:r>
        <w:r w:rsidR="00567F6E">
          <w:rPr>
            <w:noProof/>
            <w:webHidden/>
          </w:rPr>
          <w:tab/>
        </w:r>
        <w:r w:rsidR="00567F6E">
          <w:rPr>
            <w:noProof/>
            <w:webHidden/>
          </w:rPr>
          <w:fldChar w:fldCharType="begin"/>
        </w:r>
        <w:r w:rsidR="00567F6E">
          <w:rPr>
            <w:noProof/>
            <w:webHidden/>
          </w:rPr>
          <w:instrText xml:space="preserve"> PAGEREF _Toc506232325 \h </w:instrText>
        </w:r>
        <w:r w:rsidR="00567F6E">
          <w:rPr>
            <w:noProof/>
            <w:webHidden/>
          </w:rPr>
        </w:r>
        <w:r w:rsidR="00567F6E">
          <w:rPr>
            <w:noProof/>
            <w:webHidden/>
          </w:rPr>
          <w:fldChar w:fldCharType="separate"/>
        </w:r>
        <w:r w:rsidR="00567F6E">
          <w:rPr>
            <w:noProof/>
            <w:webHidden/>
          </w:rPr>
          <w:t>39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26" w:history="1">
        <w:r w:rsidR="00567F6E" w:rsidRPr="008D3BC2">
          <w:rPr>
            <w:rStyle w:val="Hyperlink"/>
            <w:rFonts w:eastAsia="Times New Roman"/>
            <w:noProof/>
            <w:lang w:val="en-US"/>
          </w:rPr>
          <w:t>2.3.2 Anaesthesia</w:t>
        </w:r>
        <w:r w:rsidR="00567F6E">
          <w:rPr>
            <w:noProof/>
            <w:webHidden/>
          </w:rPr>
          <w:tab/>
        </w:r>
        <w:r w:rsidR="00567F6E">
          <w:rPr>
            <w:noProof/>
            <w:webHidden/>
          </w:rPr>
          <w:fldChar w:fldCharType="begin"/>
        </w:r>
        <w:r w:rsidR="00567F6E">
          <w:rPr>
            <w:noProof/>
            <w:webHidden/>
          </w:rPr>
          <w:instrText xml:space="preserve"> PAGEREF _Toc506232326 \h </w:instrText>
        </w:r>
        <w:r w:rsidR="00567F6E">
          <w:rPr>
            <w:noProof/>
            <w:webHidden/>
          </w:rPr>
        </w:r>
        <w:r w:rsidR="00567F6E">
          <w:rPr>
            <w:noProof/>
            <w:webHidden/>
          </w:rPr>
          <w:fldChar w:fldCharType="separate"/>
        </w:r>
        <w:r w:rsidR="00567F6E">
          <w:rPr>
            <w:noProof/>
            <w:webHidden/>
          </w:rPr>
          <w:t>40</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27" w:history="1">
        <w:r w:rsidR="00567F6E" w:rsidRPr="008D3BC2">
          <w:rPr>
            <w:rStyle w:val="Hyperlink"/>
            <w:rFonts w:eastAsia="Times New Roman"/>
            <w:noProof/>
            <w:lang w:val="en-US"/>
          </w:rPr>
          <w:t>2.3.3 Preemptive analgesia</w:t>
        </w:r>
        <w:r w:rsidR="00567F6E">
          <w:rPr>
            <w:noProof/>
            <w:webHidden/>
          </w:rPr>
          <w:tab/>
        </w:r>
        <w:r w:rsidR="00567F6E">
          <w:rPr>
            <w:noProof/>
            <w:webHidden/>
          </w:rPr>
          <w:fldChar w:fldCharType="begin"/>
        </w:r>
        <w:r w:rsidR="00567F6E">
          <w:rPr>
            <w:noProof/>
            <w:webHidden/>
          </w:rPr>
          <w:instrText xml:space="preserve"> PAGEREF _Toc506232327 \h </w:instrText>
        </w:r>
        <w:r w:rsidR="00567F6E">
          <w:rPr>
            <w:noProof/>
            <w:webHidden/>
          </w:rPr>
        </w:r>
        <w:r w:rsidR="00567F6E">
          <w:rPr>
            <w:noProof/>
            <w:webHidden/>
          </w:rPr>
          <w:fldChar w:fldCharType="separate"/>
        </w:r>
        <w:r w:rsidR="00567F6E">
          <w:rPr>
            <w:noProof/>
            <w:webHidden/>
          </w:rPr>
          <w:t>42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28" w:history="1">
        <w:r w:rsidR="00567F6E" w:rsidRPr="008D3BC2">
          <w:rPr>
            <w:rStyle w:val="Hyperlink"/>
            <w:rFonts w:eastAsia="Times New Roman"/>
            <w:noProof/>
            <w:lang w:val="en-US"/>
          </w:rPr>
          <w:t>2.3.4 Aseptic technique</w:t>
        </w:r>
        <w:r w:rsidR="00567F6E">
          <w:rPr>
            <w:noProof/>
            <w:webHidden/>
          </w:rPr>
          <w:tab/>
        </w:r>
        <w:r w:rsidR="00567F6E">
          <w:rPr>
            <w:noProof/>
            <w:webHidden/>
          </w:rPr>
          <w:fldChar w:fldCharType="begin"/>
        </w:r>
        <w:r w:rsidR="00567F6E">
          <w:rPr>
            <w:noProof/>
            <w:webHidden/>
          </w:rPr>
          <w:instrText xml:space="preserve"> PAGEREF _Toc506232328 \h </w:instrText>
        </w:r>
        <w:r w:rsidR="00567F6E">
          <w:rPr>
            <w:noProof/>
            <w:webHidden/>
          </w:rPr>
        </w:r>
        <w:r w:rsidR="00567F6E">
          <w:rPr>
            <w:noProof/>
            <w:webHidden/>
          </w:rPr>
          <w:fldChar w:fldCharType="separate"/>
        </w:r>
        <w:r w:rsidR="00567F6E">
          <w:rPr>
            <w:noProof/>
            <w:webHidden/>
          </w:rPr>
          <w:t>42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29" w:history="1">
        <w:r w:rsidR="00567F6E" w:rsidRPr="008D3BC2">
          <w:rPr>
            <w:rStyle w:val="Hyperlink"/>
            <w:rFonts w:eastAsia="Times New Roman"/>
            <w:noProof/>
            <w:lang w:val="en-US"/>
          </w:rPr>
          <w:t>2.3.5 Diet and drugs</w:t>
        </w:r>
        <w:r w:rsidR="00567F6E">
          <w:rPr>
            <w:noProof/>
            <w:webHidden/>
          </w:rPr>
          <w:tab/>
        </w:r>
        <w:r w:rsidR="00567F6E">
          <w:rPr>
            <w:noProof/>
            <w:webHidden/>
          </w:rPr>
          <w:fldChar w:fldCharType="begin"/>
        </w:r>
        <w:r w:rsidR="00567F6E">
          <w:rPr>
            <w:noProof/>
            <w:webHidden/>
          </w:rPr>
          <w:instrText xml:space="preserve"> PAGEREF _Toc506232329 \h </w:instrText>
        </w:r>
        <w:r w:rsidR="00567F6E">
          <w:rPr>
            <w:noProof/>
            <w:webHidden/>
          </w:rPr>
        </w:r>
        <w:r w:rsidR="00567F6E">
          <w:rPr>
            <w:noProof/>
            <w:webHidden/>
          </w:rPr>
          <w:fldChar w:fldCharType="separate"/>
        </w:r>
        <w:r w:rsidR="00567F6E">
          <w:rPr>
            <w:noProof/>
            <w:webHidden/>
          </w:rPr>
          <w:t>43</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0" w:history="1">
        <w:r w:rsidR="00567F6E" w:rsidRPr="008D3BC2">
          <w:rPr>
            <w:rStyle w:val="Hyperlink"/>
            <w:rFonts w:eastAsia="Times New Roman"/>
            <w:noProof/>
            <w:lang w:val="en-US"/>
          </w:rPr>
          <w:t>2.3.6 Linplant</w:t>
        </w:r>
        <w:r w:rsidR="00567F6E">
          <w:rPr>
            <w:noProof/>
            <w:webHidden/>
          </w:rPr>
          <w:tab/>
        </w:r>
        <w:r w:rsidR="00567F6E">
          <w:rPr>
            <w:noProof/>
            <w:webHidden/>
          </w:rPr>
          <w:fldChar w:fldCharType="begin"/>
        </w:r>
        <w:r w:rsidR="00567F6E">
          <w:rPr>
            <w:noProof/>
            <w:webHidden/>
          </w:rPr>
          <w:instrText xml:space="preserve"> PAGEREF _Toc506232330 \h </w:instrText>
        </w:r>
        <w:r w:rsidR="00567F6E">
          <w:rPr>
            <w:noProof/>
            <w:webHidden/>
          </w:rPr>
        </w:r>
        <w:r w:rsidR="00567F6E">
          <w:rPr>
            <w:noProof/>
            <w:webHidden/>
          </w:rPr>
          <w:fldChar w:fldCharType="separate"/>
        </w:r>
        <w:r w:rsidR="00567F6E">
          <w:rPr>
            <w:noProof/>
            <w:webHidden/>
          </w:rPr>
          <w:t>43</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1" w:history="1">
        <w:r w:rsidR="00567F6E" w:rsidRPr="008D3BC2">
          <w:rPr>
            <w:rStyle w:val="Hyperlink"/>
            <w:rFonts w:eastAsia="Times New Roman"/>
            <w:noProof/>
            <w:lang w:val="en-US"/>
          </w:rPr>
          <w:t>2.3.7 Urine collection</w:t>
        </w:r>
        <w:r w:rsidR="00567F6E">
          <w:rPr>
            <w:noProof/>
            <w:webHidden/>
          </w:rPr>
          <w:tab/>
        </w:r>
        <w:r w:rsidR="00567F6E">
          <w:rPr>
            <w:noProof/>
            <w:webHidden/>
          </w:rPr>
          <w:fldChar w:fldCharType="begin"/>
        </w:r>
        <w:r w:rsidR="00567F6E">
          <w:rPr>
            <w:noProof/>
            <w:webHidden/>
          </w:rPr>
          <w:instrText xml:space="preserve"> PAGEREF _Toc506232331 \h </w:instrText>
        </w:r>
        <w:r w:rsidR="00567F6E">
          <w:rPr>
            <w:noProof/>
            <w:webHidden/>
          </w:rPr>
        </w:r>
        <w:r w:rsidR="00567F6E">
          <w:rPr>
            <w:noProof/>
            <w:webHidden/>
          </w:rPr>
          <w:fldChar w:fldCharType="separate"/>
        </w:r>
        <w:r w:rsidR="00567F6E">
          <w:rPr>
            <w:noProof/>
            <w:webHidden/>
          </w:rPr>
          <w:t>44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2" w:history="1">
        <w:r w:rsidR="00567F6E" w:rsidRPr="008D3BC2">
          <w:rPr>
            <w:rStyle w:val="Hyperlink"/>
            <w:rFonts w:eastAsia="Times New Roman"/>
            <w:noProof/>
            <w:lang w:val="en-US"/>
          </w:rPr>
          <w:t>2.3.8 Blood collection</w:t>
        </w:r>
        <w:r w:rsidR="00567F6E">
          <w:rPr>
            <w:noProof/>
            <w:webHidden/>
          </w:rPr>
          <w:tab/>
        </w:r>
        <w:r w:rsidR="00567F6E">
          <w:rPr>
            <w:noProof/>
            <w:webHidden/>
          </w:rPr>
          <w:fldChar w:fldCharType="begin"/>
        </w:r>
        <w:r w:rsidR="00567F6E">
          <w:rPr>
            <w:noProof/>
            <w:webHidden/>
          </w:rPr>
          <w:instrText xml:space="preserve"> PAGEREF _Toc506232332 \h </w:instrText>
        </w:r>
        <w:r w:rsidR="00567F6E">
          <w:rPr>
            <w:noProof/>
            <w:webHidden/>
          </w:rPr>
        </w:r>
        <w:r w:rsidR="00567F6E">
          <w:rPr>
            <w:noProof/>
            <w:webHidden/>
          </w:rPr>
          <w:fldChar w:fldCharType="separate"/>
        </w:r>
        <w:r w:rsidR="00567F6E">
          <w:rPr>
            <w:noProof/>
            <w:webHidden/>
          </w:rPr>
          <w:t>45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3" w:history="1">
        <w:r w:rsidR="00567F6E" w:rsidRPr="008D3BC2">
          <w:rPr>
            <w:rStyle w:val="Hyperlink"/>
            <w:rFonts w:eastAsia="Times New Roman"/>
            <w:noProof/>
            <w:lang w:val="en-US"/>
          </w:rPr>
          <w:t>2.3.9 Systolic blood pressure</w:t>
        </w:r>
        <w:r w:rsidR="00567F6E">
          <w:rPr>
            <w:noProof/>
            <w:webHidden/>
          </w:rPr>
          <w:tab/>
        </w:r>
        <w:r w:rsidR="00567F6E">
          <w:rPr>
            <w:noProof/>
            <w:webHidden/>
          </w:rPr>
          <w:fldChar w:fldCharType="begin"/>
        </w:r>
        <w:r w:rsidR="00567F6E">
          <w:rPr>
            <w:noProof/>
            <w:webHidden/>
          </w:rPr>
          <w:instrText xml:space="preserve"> PAGEREF _Toc506232333 \h </w:instrText>
        </w:r>
        <w:r w:rsidR="00567F6E">
          <w:rPr>
            <w:noProof/>
            <w:webHidden/>
          </w:rPr>
        </w:r>
        <w:r w:rsidR="00567F6E">
          <w:rPr>
            <w:noProof/>
            <w:webHidden/>
          </w:rPr>
          <w:fldChar w:fldCharType="separate"/>
        </w:r>
        <w:r w:rsidR="00567F6E">
          <w:rPr>
            <w:noProof/>
            <w:webHidden/>
          </w:rPr>
          <w:t>45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4" w:history="1">
        <w:r w:rsidR="00567F6E" w:rsidRPr="008D3BC2">
          <w:rPr>
            <w:rStyle w:val="Hyperlink"/>
            <w:rFonts w:eastAsia="Times New Roman"/>
            <w:noProof/>
            <w:lang w:val="en-US"/>
          </w:rPr>
          <w:t>2.3.10 Diabetic Nephropathy</w:t>
        </w:r>
        <w:r w:rsidR="00567F6E">
          <w:rPr>
            <w:noProof/>
            <w:webHidden/>
          </w:rPr>
          <w:tab/>
        </w:r>
        <w:r w:rsidR="00567F6E">
          <w:rPr>
            <w:noProof/>
            <w:webHidden/>
          </w:rPr>
          <w:fldChar w:fldCharType="begin"/>
        </w:r>
        <w:r w:rsidR="00567F6E">
          <w:rPr>
            <w:noProof/>
            <w:webHidden/>
          </w:rPr>
          <w:instrText xml:space="preserve"> PAGEREF _Toc506232334 \h </w:instrText>
        </w:r>
        <w:r w:rsidR="00567F6E">
          <w:rPr>
            <w:noProof/>
            <w:webHidden/>
          </w:rPr>
        </w:r>
        <w:r w:rsidR="00567F6E">
          <w:rPr>
            <w:noProof/>
            <w:webHidden/>
          </w:rPr>
          <w:fldChar w:fldCharType="separate"/>
        </w:r>
        <w:r w:rsidR="00567F6E">
          <w:rPr>
            <w:noProof/>
            <w:webHidden/>
          </w:rPr>
          <w:t>46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5" w:history="1">
        <w:r w:rsidR="00567F6E" w:rsidRPr="008D3BC2">
          <w:rPr>
            <w:rStyle w:val="Hyperlink"/>
            <w:rFonts w:eastAsia="Times New Roman"/>
            <w:noProof/>
            <w:lang w:val="en-US"/>
          </w:rPr>
          <w:t>2.3.11 Kidney samples</w:t>
        </w:r>
        <w:r w:rsidR="00567F6E">
          <w:rPr>
            <w:noProof/>
            <w:webHidden/>
          </w:rPr>
          <w:tab/>
        </w:r>
        <w:r w:rsidR="00567F6E">
          <w:rPr>
            <w:noProof/>
            <w:webHidden/>
          </w:rPr>
          <w:fldChar w:fldCharType="begin"/>
        </w:r>
        <w:r w:rsidR="00567F6E">
          <w:rPr>
            <w:noProof/>
            <w:webHidden/>
          </w:rPr>
          <w:instrText xml:space="preserve"> PAGEREF _Toc506232335 \h </w:instrText>
        </w:r>
        <w:r w:rsidR="00567F6E">
          <w:rPr>
            <w:noProof/>
            <w:webHidden/>
          </w:rPr>
        </w:r>
        <w:r w:rsidR="00567F6E">
          <w:rPr>
            <w:noProof/>
            <w:webHidden/>
          </w:rPr>
          <w:fldChar w:fldCharType="separate"/>
        </w:r>
        <w:r w:rsidR="00567F6E">
          <w:rPr>
            <w:noProof/>
            <w:webHidden/>
          </w:rPr>
          <w:t>49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6" w:history="1">
        <w:r w:rsidR="00567F6E" w:rsidRPr="008D3BC2">
          <w:rPr>
            <w:rStyle w:val="Hyperlink"/>
            <w:rFonts w:eastAsia="Times New Roman"/>
            <w:noProof/>
            <w:lang w:val="en-US"/>
          </w:rPr>
          <w:t>2.3.12 Weight monitoring</w:t>
        </w:r>
        <w:r w:rsidR="00567F6E">
          <w:rPr>
            <w:noProof/>
            <w:webHidden/>
          </w:rPr>
          <w:tab/>
        </w:r>
        <w:r w:rsidR="00567F6E">
          <w:rPr>
            <w:noProof/>
            <w:webHidden/>
          </w:rPr>
          <w:fldChar w:fldCharType="begin"/>
        </w:r>
        <w:r w:rsidR="00567F6E">
          <w:rPr>
            <w:noProof/>
            <w:webHidden/>
          </w:rPr>
          <w:instrText xml:space="preserve"> PAGEREF _Toc506232336 \h </w:instrText>
        </w:r>
        <w:r w:rsidR="00567F6E">
          <w:rPr>
            <w:noProof/>
            <w:webHidden/>
          </w:rPr>
        </w:r>
        <w:r w:rsidR="00567F6E">
          <w:rPr>
            <w:noProof/>
            <w:webHidden/>
          </w:rPr>
          <w:fldChar w:fldCharType="separate"/>
        </w:r>
        <w:r w:rsidR="00567F6E">
          <w:rPr>
            <w:noProof/>
            <w:webHidden/>
          </w:rPr>
          <w:t>49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37" w:history="1">
        <w:r w:rsidR="00567F6E" w:rsidRPr="008D3BC2">
          <w:rPr>
            <w:rStyle w:val="Hyperlink"/>
            <w:noProof/>
            <w:lang w:val="en-US"/>
          </w:rPr>
          <w:t>2.4 Evaluation of renal function</w:t>
        </w:r>
        <w:r w:rsidR="00567F6E">
          <w:rPr>
            <w:noProof/>
            <w:webHidden/>
          </w:rPr>
          <w:tab/>
        </w:r>
        <w:r w:rsidR="00567F6E">
          <w:rPr>
            <w:noProof/>
            <w:webHidden/>
          </w:rPr>
          <w:fldChar w:fldCharType="begin"/>
        </w:r>
        <w:r w:rsidR="00567F6E">
          <w:rPr>
            <w:noProof/>
            <w:webHidden/>
          </w:rPr>
          <w:instrText xml:space="preserve"> PAGEREF _Toc506232337 \h </w:instrText>
        </w:r>
        <w:r w:rsidR="00567F6E">
          <w:rPr>
            <w:noProof/>
            <w:webHidden/>
          </w:rPr>
        </w:r>
        <w:r w:rsidR="00567F6E">
          <w:rPr>
            <w:noProof/>
            <w:webHidden/>
          </w:rPr>
          <w:fldChar w:fldCharType="separate"/>
        </w:r>
        <w:r w:rsidR="00567F6E">
          <w:rPr>
            <w:noProof/>
            <w:webHidden/>
          </w:rPr>
          <w:t>49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8" w:history="1">
        <w:r w:rsidR="00567F6E" w:rsidRPr="008D3BC2">
          <w:rPr>
            <w:rStyle w:val="Hyperlink"/>
            <w:rFonts w:eastAsia="Times New Roman"/>
            <w:noProof/>
            <w:lang w:val="en-US"/>
          </w:rPr>
          <w:t>2.4.1 Urinalysis</w:t>
        </w:r>
        <w:r w:rsidR="00567F6E">
          <w:rPr>
            <w:noProof/>
            <w:webHidden/>
          </w:rPr>
          <w:tab/>
        </w:r>
        <w:r w:rsidR="00567F6E">
          <w:rPr>
            <w:noProof/>
            <w:webHidden/>
          </w:rPr>
          <w:fldChar w:fldCharType="begin"/>
        </w:r>
        <w:r w:rsidR="00567F6E">
          <w:rPr>
            <w:noProof/>
            <w:webHidden/>
          </w:rPr>
          <w:instrText xml:space="preserve"> PAGEREF _Toc506232338 \h </w:instrText>
        </w:r>
        <w:r w:rsidR="00567F6E">
          <w:rPr>
            <w:noProof/>
            <w:webHidden/>
          </w:rPr>
        </w:r>
        <w:r w:rsidR="00567F6E">
          <w:rPr>
            <w:noProof/>
            <w:webHidden/>
          </w:rPr>
          <w:fldChar w:fldCharType="separate"/>
        </w:r>
        <w:r w:rsidR="00567F6E">
          <w:rPr>
            <w:noProof/>
            <w:webHidden/>
          </w:rPr>
          <w:t>50</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39" w:history="1">
        <w:r w:rsidR="00567F6E" w:rsidRPr="008D3BC2">
          <w:rPr>
            <w:rStyle w:val="Hyperlink"/>
            <w:noProof/>
          </w:rPr>
          <w:t>2.4.2 Blood urea nitrogen (BUN):</w:t>
        </w:r>
        <w:r w:rsidR="00567F6E">
          <w:rPr>
            <w:noProof/>
            <w:webHidden/>
          </w:rPr>
          <w:tab/>
        </w:r>
        <w:r w:rsidR="00567F6E">
          <w:rPr>
            <w:noProof/>
            <w:webHidden/>
          </w:rPr>
          <w:fldChar w:fldCharType="begin"/>
        </w:r>
        <w:r w:rsidR="00567F6E">
          <w:rPr>
            <w:noProof/>
            <w:webHidden/>
          </w:rPr>
          <w:instrText xml:space="preserve"> PAGEREF _Toc506232339 \h </w:instrText>
        </w:r>
        <w:r w:rsidR="00567F6E">
          <w:rPr>
            <w:noProof/>
            <w:webHidden/>
          </w:rPr>
        </w:r>
        <w:r w:rsidR="00567F6E">
          <w:rPr>
            <w:noProof/>
            <w:webHidden/>
          </w:rPr>
          <w:fldChar w:fldCharType="separate"/>
        </w:r>
        <w:r w:rsidR="00567F6E">
          <w:rPr>
            <w:noProof/>
            <w:webHidden/>
          </w:rPr>
          <w:t>53</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0" w:history="1">
        <w:r w:rsidR="00567F6E" w:rsidRPr="008D3BC2">
          <w:rPr>
            <w:rStyle w:val="Hyperlink"/>
            <w:rFonts w:eastAsia="Times New Roman"/>
            <w:noProof/>
            <w:lang w:eastAsia="en-GB"/>
          </w:rPr>
          <w:t>2.4.3 Rat albumin</w:t>
        </w:r>
        <w:r w:rsidR="00567F6E">
          <w:rPr>
            <w:noProof/>
            <w:webHidden/>
          </w:rPr>
          <w:tab/>
        </w:r>
        <w:r w:rsidR="00567F6E">
          <w:rPr>
            <w:noProof/>
            <w:webHidden/>
          </w:rPr>
          <w:fldChar w:fldCharType="begin"/>
        </w:r>
        <w:r w:rsidR="00567F6E">
          <w:rPr>
            <w:noProof/>
            <w:webHidden/>
          </w:rPr>
          <w:instrText xml:space="preserve"> PAGEREF _Toc506232340 \h </w:instrText>
        </w:r>
        <w:r w:rsidR="00567F6E">
          <w:rPr>
            <w:noProof/>
            <w:webHidden/>
          </w:rPr>
        </w:r>
        <w:r w:rsidR="00567F6E">
          <w:rPr>
            <w:noProof/>
            <w:webHidden/>
          </w:rPr>
          <w:fldChar w:fldCharType="separate"/>
        </w:r>
        <w:r w:rsidR="00567F6E">
          <w:rPr>
            <w:noProof/>
            <w:webHidden/>
          </w:rPr>
          <w:t>56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1" w:history="1">
        <w:r w:rsidR="00567F6E" w:rsidRPr="008D3BC2">
          <w:rPr>
            <w:rStyle w:val="Hyperlink"/>
            <w:rFonts w:eastAsia="Times New Roman"/>
            <w:noProof/>
            <w:lang w:eastAsia="en-GB"/>
          </w:rPr>
          <w:t>2.4.4 Rat urine creatinine</w:t>
        </w:r>
        <w:r w:rsidR="00567F6E">
          <w:rPr>
            <w:noProof/>
            <w:webHidden/>
          </w:rPr>
          <w:tab/>
        </w:r>
        <w:r w:rsidR="00567F6E">
          <w:rPr>
            <w:noProof/>
            <w:webHidden/>
          </w:rPr>
          <w:fldChar w:fldCharType="begin"/>
        </w:r>
        <w:r w:rsidR="00567F6E">
          <w:rPr>
            <w:noProof/>
            <w:webHidden/>
          </w:rPr>
          <w:instrText xml:space="preserve"> PAGEREF _Toc506232341 \h </w:instrText>
        </w:r>
        <w:r w:rsidR="00567F6E">
          <w:rPr>
            <w:noProof/>
            <w:webHidden/>
          </w:rPr>
        </w:r>
        <w:r w:rsidR="00567F6E">
          <w:rPr>
            <w:noProof/>
            <w:webHidden/>
          </w:rPr>
          <w:fldChar w:fldCharType="separate"/>
        </w:r>
        <w:r w:rsidR="00567F6E">
          <w:rPr>
            <w:noProof/>
            <w:webHidden/>
          </w:rPr>
          <w:t>58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2" w:history="1">
        <w:r w:rsidR="00567F6E" w:rsidRPr="008D3BC2">
          <w:rPr>
            <w:rStyle w:val="Hyperlink"/>
            <w:rFonts w:eastAsia="Times New Roman"/>
            <w:noProof/>
            <w:lang w:eastAsia="en-GB"/>
          </w:rPr>
          <w:t>2.4.5 Rat urine protein</w:t>
        </w:r>
        <w:r w:rsidR="00567F6E">
          <w:rPr>
            <w:noProof/>
            <w:webHidden/>
          </w:rPr>
          <w:tab/>
        </w:r>
        <w:r w:rsidR="00567F6E">
          <w:rPr>
            <w:noProof/>
            <w:webHidden/>
          </w:rPr>
          <w:fldChar w:fldCharType="begin"/>
        </w:r>
        <w:r w:rsidR="00567F6E">
          <w:rPr>
            <w:noProof/>
            <w:webHidden/>
          </w:rPr>
          <w:instrText xml:space="preserve"> PAGEREF _Toc506232342 \h </w:instrText>
        </w:r>
        <w:r w:rsidR="00567F6E">
          <w:rPr>
            <w:noProof/>
            <w:webHidden/>
          </w:rPr>
        </w:r>
        <w:r w:rsidR="00567F6E">
          <w:rPr>
            <w:noProof/>
            <w:webHidden/>
          </w:rPr>
          <w:fldChar w:fldCharType="separate"/>
        </w:r>
        <w:r w:rsidR="00567F6E">
          <w:rPr>
            <w:noProof/>
            <w:webHidden/>
          </w:rPr>
          <w:t>63</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3" w:history="1">
        <w:r w:rsidR="00567F6E" w:rsidRPr="008D3BC2">
          <w:rPr>
            <w:rStyle w:val="Hyperlink"/>
            <w:noProof/>
          </w:rPr>
          <w:t>2.4.6 Serum creatinine</w:t>
        </w:r>
        <w:r w:rsidR="00567F6E">
          <w:rPr>
            <w:noProof/>
            <w:webHidden/>
          </w:rPr>
          <w:tab/>
        </w:r>
        <w:r w:rsidR="00567F6E">
          <w:rPr>
            <w:noProof/>
            <w:webHidden/>
          </w:rPr>
          <w:fldChar w:fldCharType="begin"/>
        </w:r>
        <w:r w:rsidR="00567F6E">
          <w:rPr>
            <w:noProof/>
            <w:webHidden/>
          </w:rPr>
          <w:instrText xml:space="preserve"> PAGEREF _Toc506232343 \h </w:instrText>
        </w:r>
        <w:r w:rsidR="00567F6E">
          <w:rPr>
            <w:noProof/>
            <w:webHidden/>
          </w:rPr>
        </w:r>
        <w:r w:rsidR="00567F6E">
          <w:rPr>
            <w:noProof/>
            <w:webHidden/>
          </w:rPr>
          <w:fldChar w:fldCharType="separate"/>
        </w:r>
        <w:r w:rsidR="00567F6E">
          <w:rPr>
            <w:noProof/>
            <w:webHidden/>
          </w:rPr>
          <w:t>65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4" w:history="1">
        <w:r w:rsidR="00567F6E" w:rsidRPr="008D3BC2">
          <w:rPr>
            <w:rStyle w:val="Hyperlink"/>
            <w:noProof/>
          </w:rPr>
          <w:t>2.4.7 Creatinine Clearance</w:t>
        </w:r>
        <w:r w:rsidR="00567F6E">
          <w:rPr>
            <w:noProof/>
            <w:webHidden/>
          </w:rPr>
          <w:tab/>
        </w:r>
        <w:r w:rsidR="00567F6E">
          <w:rPr>
            <w:noProof/>
            <w:webHidden/>
          </w:rPr>
          <w:fldChar w:fldCharType="begin"/>
        </w:r>
        <w:r w:rsidR="00567F6E">
          <w:rPr>
            <w:noProof/>
            <w:webHidden/>
          </w:rPr>
          <w:instrText xml:space="preserve"> PAGEREF _Toc506232344 \h </w:instrText>
        </w:r>
        <w:r w:rsidR="00567F6E">
          <w:rPr>
            <w:noProof/>
            <w:webHidden/>
          </w:rPr>
        </w:r>
        <w:r w:rsidR="00567F6E">
          <w:rPr>
            <w:noProof/>
            <w:webHidden/>
          </w:rPr>
          <w:fldChar w:fldCharType="separate"/>
        </w:r>
        <w:r w:rsidR="00567F6E">
          <w:rPr>
            <w:noProof/>
            <w:webHidden/>
          </w:rPr>
          <w:t>65</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45" w:history="1">
        <w:r w:rsidR="00567F6E" w:rsidRPr="008D3BC2">
          <w:rPr>
            <w:rStyle w:val="Hyperlink"/>
            <w:noProof/>
            <w:lang w:val="en-US"/>
          </w:rPr>
          <w:t>2.5 Determination of urinary GAG level</w:t>
        </w:r>
        <w:r w:rsidR="00567F6E">
          <w:rPr>
            <w:noProof/>
            <w:webHidden/>
          </w:rPr>
          <w:tab/>
        </w:r>
        <w:r w:rsidR="00567F6E">
          <w:rPr>
            <w:noProof/>
            <w:webHidden/>
          </w:rPr>
          <w:fldChar w:fldCharType="begin"/>
        </w:r>
        <w:r w:rsidR="00567F6E">
          <w:rPr>
            <w:noProof/>
            <w:webHidden/>
          </w:rPr>
          <w:instrText xml:space="preserve"> PAGEREF _Toc506232345 \h </w:instrText>
        </w:r>
        <w:r w:rsidR="00567F6E">
          <w:rPr>
            <w:noProof/>
            <w:webHidden/>
          </w:rPr>
        </w:r>
        <w:r w:rsidR="00567F6E">
          <w:rPr>
            <w:noProof/>
            <w:webHidden/>
          </w:rPr>
          <w:fldChar w:fldCharType="separate"/>
        </w:r>
        <w:r w:rsidR="00567F6E">
          <w:rPr>
            <w:noProof/>
            <w:webHidden/>
          </w:rPr>
          <w:t>66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6" w:history="1">
        <w:r w:rsidR="00567F6E" w:rsidRPr="008D3BC2">
          <w:rPr>
            <w:rStyle w:val="Hyperlink"/>
            <w:noProof/>
          </w:rPr>
          <w:t>2.5.1  1,9-Dimethymethylene blue (DMMB) solution</w:t>
        </w:r>
        <w:r w:rsidR="00567F6E">
          <w:rPr>
            <w:noProof/>
            <w:webHidden/>
          </w:rPr>
          <w:tab/>
        </w:r>
        <w:r w:rsidR="00567F6E">
          <w:rPr>
            <w:noProof/>
            <w:webHidden/>
          </w:rPr>
          <w:fldChar w:fldCharType="begin"/>
        </w:r>
        <w:r w:rsidR="00567F6E">
          <w:rPr>
            <w:noProof/>
            <w:webHidden/>
          </w:rPr>
          <w:instrText xml:space="preserve"> PAGEREF _Toc506232346 \h </w:instrText>
        </w:r>
        <w:r w:rsidR="00567F6E">
          <w:rPr>
            <w:noProof/>
            <w:webHidden/>
          </w:rPr>
        </w:r>
        <w:r w:rsidR="00567F6E">
          <w:rPr>
            <w:noProof/>
            <w:webHidden/>
          </w:rPr>
          <w:fldChar w:fldCharType="separate"/>
        </w:r>
        <w:r w:rsidR="00567F6E">
          <w:rPr>
            <w:noProof/>
            <w:webHidden/>
          </w:rPr>
          <w:t>66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7" w:history="1">
        <w:r w:rsidR="00567F6E" w:rsidRPr="008D3BC2">
          <w:rPr>
            <w:rStyle w:val="Hyperlink"/>
            <w:noProof/>
          </w:rPr>
          <w:t>2.5.2 Standard curve for chondroitin-4-sulphate.</w:t>
        </w:r>
        <w:r w:rsidR="00567F6E">
          <w:rPr>
            <w:noProof/>
            <w:webHidden/>
          </w:rPr>
          <w:tab/>
        </w:r>
        <w:r w:rsidR="00567F6E">
          <w:rPr>
            <w:noProof/>
            <w:webHidden/>
          </w:rPr>
          <w:fldChar w:fldCharType="begin"/>
        </w:r>
        <w:r w:rsidR="00567F6E">
          <w:rPr>
            <w:noProof/>
            <w:webHidden/>
          </w:rPr>
          <w:instrText xml:space="preserve"> PAGEREF _Toc506232347 \h </w:instrText>
        </w:r>
        <w:r w:rsidR="00567F6E">
          <w:rPr>
            <w:noProof/>
            <w:webHidden/>
          </w:rPr>
        </w:r>
        <w:r w:rsidR="00567F6E">
          <w:rPr>
            <w:noProof/>
            <w:webHidden/>
          </w:rPr>
          <w:fldChar w:fldCharType="separate"/>
        </w:r>
        <w:r w:rsidR="00567F6E">
          <w:rPr>
            <w:noProof/>
            <w:webHidden/>
          </w:rPr>
          <w:t>67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8" w:history="1">
        <w:r w:rsidR="00567F6E" w:rsidRPr="008D3BC2">
          <w:rPr>
            <w:rStyle w:val="Hyperlink"/>
            <w:noProof/>
          </w:rPr>
          <w:t>2.5.3 To determine glycosaminoglycan levels in urine of rat with diabetic nephropathy with and without UK-396082 treatment.</w:t>
        </w:r>
        <w:r w:rsidR="00567F6E">
          <w:rPr>
            <w:noProof/>
            <w:webHidden/>
          </w:rPr>
          <w:tab/>
        </w:r>
        <w:r w:rsidR="00567F6E">
          <w:rPr>
            <w:noProof/>
            <w:webHidden/>
          </w:rPr>
          <w:fldChar w:fldCharType="begin"/>
        </w:r>
        <w:r w:rsidR="00567F6E">
          <w:rPr>
            <w:noProof/>
            <w:webHidden/>
          </w:rPr>
          <w:instrText xml:space="preserve"> PAGEREF _Toc506232348 \h </w:instrText>
        </w:r>
        <w:r w:rsidR="00567F6E">
          <w:rPr>
            <w:noProof/>
            <w:webHidden/>
          </w:rPr>
        </w:r>
        <w:r w:rsidR="00567F6E">
          <w:rPr>
            <w:noProof/>
            <w:webHidden/>
          </w:rPr>
          <w:fldChar w:fldCharType="separate"/>
        </w:r>
        <w:r w:rsidR="00567F6E">
          <w:rPr>
            <w:noProof/>
            <w:webHidden/>
          </w:rPr>
          <w:t>68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49" w:history="1">
        <w:r w:rsidR="00567F6E" w:rsidRPr="008D3BC2">
          <w:rPr>
            <w:rStyle w:val="Hyperlink"/>
            <w:rFonts w:eastAsia="Times New Roman"/>
            <w:noProof/>
            <w:lang w:val="en-US" w:eastAsia="en-GB"/>
          </w:rPr>
          <w:t>2.5.4 To determine the standard curve for heparan sulphate.</w:t>
        </w:r>
        <w:r w:rsidR="00567F6E">
          <w:rPr>
            <w:noProof/>
            <w:webHidden/>
          </w:rPr>
          <w:tab/>
        </w:r>
        <w:r w:rsidR="00567F6E">
          <w:rPr>
            <w:noProof/>
            <w:webHidden/>
          </w:rPr>
          <w:fldChar w:fldCharType="begin"/>
        </w:r>
        <w:r w:rsidR="00567F6E">
          <w:rPr>
            <w:noProof/>
            <w:webHidden/>
          </w:rPr>
          <w:instrText xml:space="preserve"> PAGEREF _Toc506232349 \h </w:instrText>
        </w:r>
        <w:r w:rsidR="00567F6E">
          <w:rPr>
            <w:noProof/>
            <w:webHidden/>
          </w:rPr>
        </w:r>
        <w:r w:rsidR="00567F6E">
          <w:rPr>
            <w:noProof/>
            <w:webHidden/>
          </w:rPr>
          <w:fldChar w:fldCharType="separate"/>
        </w:r>
        <w:r w:rsidR="00567F6E">
          <w:rPr>
            <w:noProof/>
            <w:webHidden/>
          </w:rPr>
          <w:t>68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0" w:history="1">
        <w:r w:rsidR="00567F6E" w:rsidRPr="008D3BC2">
          <w:rPr>
            <w:rStyle w:val="Hyperlink"/>
            <w:noProof/>
          </w:rPr>
          <w:t>2.5.5 To determine the effect of UK-396082 on the standard curve of heparan sulphate.</w:t>
        </w:r>
        <w:r w:rsidR="00567F6E">
          <w:rPr>
            <w:noProof/>
            <w:webHidden/>
          </w:rPr>
          <w:tab/>
        </w:r>
        <w:r w:rsidR="00567F6E">
          <w:rPr>
            <w:noProof/>
            <w:webHidden/>
          </w:rPr>
          <w:fldChar w:fldCharType="begin"/>
        </w:r>
        <w:r w:rsidR="00567F6E">
          <w:rPr>
            <w:noProof/>
            <w:webHidden/>
          </w:rPr>
          <w:instrText xml:space="preserve"> PAGEREF _Toc506232350 \h </w:instrText>
        </w:r>
        <w:r w:rsidR="00567F6E">
          <w:rPr>
            <w:noProof/>
            <w:webHidden/>
          </w:rPr>
        </w:r>
        <w:r w:rsidR="00567F6E">
          <w:rPr>
            <w:noProof/>
            <w:webHidden/>
          </w:rPr>
          <w:fldChar w:fldCharType="separate"/>
        </w:r>
        <w:r w:rsidR="00567F6E">
          <w:rPr>
            <w:noProof/>
            <w:webHidden/>
          </w:rPr>
          <w:t>69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1" w:history="1">
        <w:r w:rsidR="00567F6E" w:rsidRPr="008D3BC2">
          <w:rPr>
            <w:rStyle w:val="Hyperlink"/>
            <w:rFonts w:eastAsia="Times New Roman"/>
            <w:noProof/>
            <w:lang w:val="en-US" w:eastAsia="en-GB"/>
          </w:rPr>
          <w:t>2.5.6 To determine the activity of heparinase II.</w:t>
        </w:r>
        <w:r w:rsidR="00567F6E">
          <w:rPr>
            <w:noProof/>
            <w:webHidden/>
          </w:rPr>
          <w:tab/>
        </w:r>
        <w:r w:rsidR="00567F6E">
          <w:rPr>
            <w:noProof/>
            <w:webHidden/>
          </w:rPr>
          <w:fldChar w:fldCharType="begin"/>
        </w:r>
        <w:r w:rsidR="00567F6E">
          <w:rPr>
            <w:noProof/>
            <w:webHidden/>
          </w:rPr>
          <w:instrText xml:space="preserve"> PAGEREF _Toc506232351 \h </w:instrText>
        </w:r>
        <w:r w:rsidR="00567F6E">
          <w:rPr>
            <w:noProof/>
            <w:webHidden/>
          </w:rPr>
        </w:r>
        <w:r w:rsidR="00567F6E">
          <w:rPr>
            <w:noProof/>
            <w:webHidden/>
          </w:rPr>
          <w:fldChar w:fldCharType="separate"/>
        </w:r>
        <w:r w:rsidR="00567F6E">
          <w:rPr>
            <w:noProof/>
            <w:webHidden/>
          </w:rPr>
          <w:t>70</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2" w:history="1">
        <w:r w:rsidR="00567F6E" w:rsidRPr="008D3BC2">
          <w:rPr>
            <w:rStyle w:val="Hyperlink"/>
            <w:rFonts w:eastAsia="Times New Roman"/>
            <w:noProof/>
            <w:lang w:val="en-US" w:eastAsia="en-GB"/>
          </w:rPr>
          <w:t>2.5.7 To determine the activity of heparinase III.</w:t>
        </w:r>
        <w:r w:rsidR="00567F6E">
          <w:rPr>
            <w:noProof/>
            <w:webHidden/>
          </w:rPr>
          <w:tab/>
        </w:r>
        <w:r w:rsidR="00567F6E">
          <w:rPr>
            <w:noProof/>
            <w:webHidden/>
          </w:rPr>
          <w:fldChar w:fldCharType="begin"/>
        </w:r>
        <w:r w:rsidR="00567F6E">
          <w:rPr>
            <w:noProof/>
            <w:webHidden/>
          </w:rPr>
          <w:instrText xml:space="preserve"> PAGEREF _Toc506232352 \h </w:instrText>
        </w:r>
        <w:r w:rsidR="00567F6E">
          <w:rPr>
            <w:noProof/>
            <w:webHidden/>
          </w:rPr>
        </w:r>
        <w:r w:rsidR="00567F6E">
          <w:rPr>
            <w:noProof/>
            <w:webHidden/>
          </w:rPr>
          <w:fldChar w:fldCharType="separate"/>
        </w:r>
        <w:r w:rsidR="00567F6E">
          <w:rPr>
            <w:noProof/>
            <w:webHidden/>
          </w:rPr>
          <w:t>71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3" w:history="1">
        <w:r w:rsidR="00567F6E" w:rsidRPr="008D3BC2">
          <w:rPr>
            <w:rStyle w:val="Hyperlink"/>
            <w:rFonts w:eastAsia="Times New Roman"/>
            <w:noProof/>
            <w:lang w:val="en-US" w:eastAsia="en-GB"/>
          </w:rPr>
          <w:t>2.5.8 To determine the effect of heparinase II activity on urine sample.</w:t>
        </w:r>
        <w:r w:rsidR="00567F6E">
          <w:rPr>
            <w:noProof/>
            <w:webHidden/>
          </w:rPr>
          <w:tab/>
        </w:r>
        <w:r w:rsidR="00567F6E">
          <w:rPr>
            <w:noProof/>
            <w:webHidden/>
          </w:rPr>
          <w:fldChar w:fldCharType="begin"/>
        </w:r>
        <w:r w:rsidR="00567F6E">
          <w:rPr>
            <w:noProof/>
            <w:webHidden/>
          </w:rPr>
          <w:instrText xml:space="preserve"> PAGEREF _Toc506232353 \h </w:instrText>
        </w:r>
        <w:r w:rsidR="00567F6E">
          <w:rPr>
            <w:noProof/>
            <w:webHidden/>
          </w:rPr>
        </w:r>
        <w:r w:rsidR="00567F6E">
          <w:rPr>
            <w:noProof/>
            <w:webHidden/>
          </w:rPr>
          <w:fldChar w:fldCharType="separate"/>
        </w:r>
        <w:r w:rsidR="00567F6E">
          <w:rPr>
            <w:noProof/>
            <w:webHidden/>
          </w:rPr>
          <w:t>71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4" w:history="1">
        <w:r w:rsidR="00567F6E" w:rsidRPr="008D3BC2">
          <w:rPr>
            <w:rStyle w:val="Hyperlink"/>
            <w:noProof/>
          </w:rPr>
          <w:t>2.5.9 To determine heparinase III activity on urine sample</w:t>
        </w:r>
        <w:r w:rsidR="00567F6E">
          <w:rPr>
            <w:noProof/>
            <w:webHidden/>
          </w:rPr>
          <w:tab/>
        </w:r>
        <w:r w:rsidR="00567F6E">
          <w:rPr>
            <w:noProof/>
            <w:webHidden/>
          </w:rPr>
          <w:fldChar w:fldCharType="begin"/>
        </w:r>
        <w:r w:rsidR="00567F6E">
          <w:rPr>
            <w:noProof/>
            <w:webHidden/>
          </w:rPr>
          <w:instrText xml:space="preserve"> PAGEREF _Toc506232354 \h </w:instrText>
        </w:r>
        <w:r w:rsidR="00567F6E">
          <w:rPr>
            <w:noProof/>
            <w:webHidden/>
          </w:rPr>
        </w:r>
        <w:r w:rsidR="00567F6E">
          <w:rPr>
            <w:noProof/>
            <w:webHidden/>
          </w:rPr>
          <w:fldChar w:fldCharType="separate"/>
        </w:r>
        <w:r w:rsidR="00567F6E">
          <w:rPr>
            <w:noProof/>
            <w:webHidden/>
          </w:rPr>
          <w:t>72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55" w:history="1">
        <w:r w:rsidR="00567F6E" w:rsidRPr="008D3BC2">
          <w:rPr>
            <w:rStyle w:val="Hyperlink"/>
            <w:noProof/>
          </w:rPr>
          <w:t>2.6 Renal Histology</w:t>
        </w:r>
        <w:r w:rsidR="00567F6E">
          <w:rPr>
            <w:noProof/>
            <w:webHidden/>
          </w:rPr>
          <w:tab/>
        </w:r>
        <w:r w:rsidR="00567F6E">
          <w:rPr>
            <w:noProof/>
            <w:webHidden/>
          </w:rPr>
          <w:fldChar w:fldCharType="begin"/>
        </w:r>
        <w:r w:rsidR="00567F6E">
          <w:rPr>
            <w:noProof/>
            <w:webHidden/>
          </w:rPr>
          <w:instrText xml:space="preserve"> PAGEREF _Toc506232355 \h </w:instrText>
        </w:r>
        <w:r w:rsidR="00567F6E">
          <w:rPr>
            <w:noProof/>
            <w:webHidden/>
          </w:rPr>
        </w:r>
        <w:r w:rsidR="00567F6E">
          <w:rPr>
            <w:noProof/>
            <w:webHidden/>
          </w:rPr>
          <w:fldChar w:fldCharType="separate"/>
        </w:r>
        <w:r w:rsidR="00567F6E">
          <w:rPr>
            <w:noProof/>
            <w:webHidden/>
          </w:rPr>
          <w:t>74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6" w:history="1">
        <w:r w:rsidR="00567F6E" w:rsidRPr="008D3BC2">
          <w:rPr>
            <w:rStyle w:val="Hyperlink"/>
            <w:rFonts w:eastAsia="Times New Roman"/>
            <w:noProof/>
            <w:lang w:eastAsia="en-GB"/>
          </w:rPr>
          <w:t>2.6.1 Haematoxylin and eosin (H&amp;E) staining protocol</w:t>
        </w:r>
        <w:r w:rsidR="00567F6E">
          <w:rPr>
            <w:noProof/>
            <w:webHidden/>
          </w:rPr>
          <w:tab/>
        </w:r>
        <w:r w:rsidR="00567F6E">
          <w:rPr>
            <w:noProof/>
            <w:webHidden/>
          </w:rPr>
          <w:fldChar w:fldCharType="begin"/>
        </w:r>
        <w:r w:rsidR="00567F6E">
          <w:rPr>
            <w:noProof/>
            <w:webHidden/>
          </w:rPr>
          <w:instrText xml:space="preserve"> PAGEREF _Toc506232356 \h </w:instrText>
        </w:r>
        <w:r w:rsidR="00567F6E">
          <w:rPr>
            <w:noProof/>
            <w:webHidden/>
          </w:rPr>
        </w:r>
        <w:r w:rsidR="00567F6E">
          <w:rPr>
            <w:noProof/>
            <w:webHidden/>
          </w:rPr>
          <w:fldChar w:fldCharType="separate"/>
        </w:r>
        <w:r w:rsidR="00567F6E">
          <w:rPr>
            <w:noProof/>
            <w:webHidden/>
          </w:rPr>
          <w:t>74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7" w:history="1">
        <w:r w:rsidR="00567F6E" w:rsidRPr="008D3BC2">
          <w:rPr>
            <w:rStyle w:val="Hyperlink"/>
            <w:rFonts w:eastAsia="Times New Roman"/>
            <w:noProof/>
            <w:lang w:val="en-US"/>
          </w:rPr>
          <w:t>2.6.2 Picrosirius red</w:t>
        </w:r>
        <w:r w:rsidR="00567F6E">
          <w:rPr>
            <w:noProof/>
            <w:webHidden/>
          </w:rPr>
          <w:tab/>
        </w:r>
        <w:r w:rsidR="00567F6E">
          <w:rPr>
            <w:noProof/>
            <w:webHidden/>
          </w:rPr>
          <w:fldChar w:fldCharType="begin"/>
        </w:r>
        <w:r w:rsidR="00567F6E">
          <w:rPr>
            <w:noProof/>
            <w:webHidden/>
          </w:rPr>
          <w:instrText xml:space="preserve"> PAGEREF _Toc506232357 \h </w:instrText>
        </w:r>
        <w:r w:rsidR="00567F6E">
          <w:rPr>
            <w:noProof/>
            <w:webHidden/>
          </w:rPr>
        </w:r>
        <w:r w:rsidR="00567F6E">
          <w:rPr>
            <w:noProof/>
            <w:webHidden/>
          </w:rPr>
          <w:fldChar w:fldCharType="separate"/>
        </w:r>
        <w:r w:rsidR="00567F6E">
          <w:rPr>
            <w:noProof/>
            <w:webHidden/>
          </w:rPr>
          <w:t>74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8" w:history="1">
        <w:r w:rsidR="00567F6E" w:rsidRPr="008D3BC2">
          <w:rPr>
            <w:rStyle w:val="Hyperlink"/>
            <w:rFonts w:eastAsia="Times New Roman"/>
            <w:noProof/>
            <w:lang w:val="en-US"/>
          </w:rPr>
          <w:t>2.6.3. Picrosirus red analysis</w:t>
        </w:r>
        <w:r w:rsidR="00567F6E">
          <w:rPr>
            <w:noProof/>
            <w:webHidden/>
          </w:rPr>
          <w:tab/>
        </w:r>
        <w:r w:rsidR="00567F6E">
          <w:rPr>
            <w:noProof/>
            <w:webHidden/>
          </w:rPr>
          <w:fldChar w:fldCharType="begin"/>
        </w:r>
        <w:r w:rsidR="00567F6E">
          <w:rPr>
            <w:noProof/>
            <w:webHidden/>
          </w:rPr>
          <w:instrText xml:space="preserve"> PAGEREF _Toc506232358 \h </w:instrText>
        </w:r>
        <w:r w:rsidR="00567F6E">
          <w:rPr>
            <w:noProof/>
            <w:webHidden/>
          </w:rPr>
        </w:r>
        <w:r w:rsidR="00567F6E">
          <w:rPr>
            <w:noProof/>
            <w:webHidden/>
          </w:rPr>
          <w:fldChar w:fldCharType="separate"/>
        </w:r>
        <w:r w:rsidR="00567F6E">
          <w:rPr>
            <w:noProof/>
            <w:webHidden/>
          </w:rPr>
          <w:t>76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59" w:history="1">
        <w:r w:rsidR="00567F6E" w:rsidRPr="008D3BC2">
          <w:rPr>
            <w:rStyle w:val="Hyperlink"/>
            <w:rFonts w:eastAsia="Times New Roman"/>
            <w:noProof/>
            <w:lang w:val="en-US"/>
          </w:rPr>
          <w:t>2.6.4 Masson’s Trichrome</w:t>
        </w:r>
        <w:r w:rsidR="00567F6E">
          <w:rPr>
            <w:noProof/>
            <w:webHidden/>
          </w:rPr>
          <w:tab/>
        </w:r>
        <w:r w:rsidR="00567F6E">
          <w:rPr>
            <w:noProof/>
            <w:webHidden/>
          </w:rPr>
          <w:fldChar w:fldCharType="begin"/>
        </w:r>
        <w:r w:rsidR="00567F6E">
          <w:rPr>
            <w:noProof/>
            <w:webHidden/>
          </w:rPr>
          <w:instrText xml:space="preserve"> PAGEREF _Toc506232359 \h </w:instrText>
        </w:r>
        <w:r w:rsidR="00567F6E">
          <w:rPr>
            <w:noProof/>
            <w:webHidden/>
          </w:rPr>
        </w:r>
        <w:r w:rsidR="00567F6E">
          <w:rPr>
            <w:noProof/>
            <w:webHidden/>
          </w:rPr>
          <w:fldChar w:fldCharType="separate"/>
        </w:r>
        <w:r w:rsidR="00567F6E">
          <w:rPr>
            <w:noProof/>
            <w:webHidden/>
          </w:rPr>
          <w:t>76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60" w:history="1">
        <w:r w:rsidR="00567F6E" w:rsidRPr="008D3BC2">
          <w:rPr>
            <w:rStyle w:val="Hyperlink"/>
            <w:noProof/>
            <w:lang w:val="en-US"/>
          </w:rPr>
          <w:t>2.7 In vitro experiments</w:t>
        </w:r>
        <w:r w:rsidR="00567F6E">
          <w:rPr>
            <w:noProof/>
            <w:webHidden/>
          </w:rPr>
          <w:tab/>
        </w:r>
        <w:r w:rsidR="00567F6E">
          <w:rPr>
            <w:noProof/>
            <w:webHidden/>
          </w:rPr>
          <w:fldChar w:fldCharType="begin"/>
        </w:r>
        <w:r w:rsidR="00567F6E">
          <w:rPr>
            <w:noProof/>
            <w:webHidden/>
          </w:rPr>
          <w:instrText xml:space="preserve"> PAGEREF _Toc506232360 \h </w:instrText>
        </w:r>
        <w:r w:rsidR="00567F6E">
          <w:rPr>
            <w:noProof/>
            <w:webHidden/>
          </w:rPr>
        </w:r>
        <w:r w:rsidR="00567F6E">
          <w:rPr>
            <w:noProof/>
            <w:webHidden/>
          </w:rPr>
          <w:fldChar w:fldCharType="separate"/>
        </w:r>
        <w:r w:rsidR="00567F6E">
          <w:rPr>
            <w:noProof/>
            <w:webHidden/>
          </w:rPr>
          <w:t>78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1" w:history="1">
        <w:r w:rsidR="00567F6E" w:rsidRPr="008D3BC2">
          <w:rPr>
            <w:rStyle w:val="Hyperlink"/>
            <w:rFonts w:eastAsia="Times New Roman"/>
            <w:noProof/>
            <w:lang w:val="en-US"/>
          </w:rPr>
          <w:t>2.7.1 Cell lines</w:t>
        </w:r>
        <w:r w:rsidR="00567F6E">
          <w:rPr>
            <w:noProof/>
            <w:webHidden/>
          </w:rPr>
          <w:tab/>
        </w:r>
        <w:r w:rsidR="00567F6E">
          <w:rPr>
            <w:noProof/>
            <w:webHidden/>
          </w:rPr>
          <w:fldChar w:fldCharType="begin"/>
        </w:r>
        <w:r w:rsidR="00567F6E">
          <w:rPr>
            <w:noProof/>
            <w:webHidden/>
          </w:rPr>
          <w:instrText xml:space="preserve"> PAGEREF _Toc506232361 \h </w:instrText>
        </w:r>
        <w:r w:rsidR="00567F6E">
          <w:rPr>
            <w:noProof/>
            <w:webHidden/>
          </w:rPr>
        </w:r>
        <w:r w:rsidR="00567F6E">
          <w:rPr>
            <w:noProof/>
            <w:webHidden/>
          </w:rPr>
          <w:fldChar w:fldCharType="separate"/>
        </w:r>
        <w:r w:rsidR="00567F6E">
          <w:rPr>
            <w:noProof/>
            <w:webHidden/>
          </w:rPr>
          <w:t>78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2" w:history="1">
        <w:r w:rsidR="00567F6E" w:rsidRPr="008D3BC2">
          <w:rPr>
            <w:rStyle w:val="Hyperlink"/>
            <w:rFonts w:eastAsia="Times New Roman"/>
            <w:noProof/>
            <w:lang w:val="en-US"/>
          </w:rPr>
          <w:t>2.7.2 Cell counting protocol</w:t>
        </w:r>
        <w:r w:rsidR="00567F6E">
          <w:rPr>
            <w:noProof/>
            <w:webHidden/>
          </w:rPr>
          <w:tab/>
        </w:r>
        <w:r w:rsidR="00567F6E">
          <w:rPr>
            <w:noProof/>
            <w:webHidden/>
          </w:rPr>
          <w:fldChar w:fldCharType="begin"/>
        </w:r>
        <w:r w:rsidR="00567F6E">
          <w:rPr>
            <w:noProof/>
            <w:webHidden/>
          </w:rPr>
          <w:instrText xml:space="preserve"> PAGEREF _Toc506232362 \h </w:instrText>
        </w:r>
        <w:r w:rsidR="00567F6E">
          <w:rPr>
            <w:noProof/>
            <w:webHidden/>
          </w:rPr>
        </w:r>
        <w:r w:rsidR="00567F6E">
          <w:rPr>
            <w:noProof/>
            <w:webHidden/>
          </w:rPr>
          <w:fldChar w:fldCharType="separate"/>
        </w:r>
        <w:r w:rsidR="00567F6E">
          <w:rPr>
            <w:noProof/>
            <w:webHidden/>
          </w:rPr>
          <w:t>78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3" w:history="1">
        <w:r w:rsidR="00567F6E" w:rsidRPr="008D3BC2">
          <w:rPr>
            <w:rStyle w:val="Hyperlink"/>
            <w:rFonts w:eastAsia="Times New Roman"/>
            <w:noProof/>
            <w:lang w:val="en-US"/>
          </w:rPr>
          <w:t>2.7.3 Fibrin preparation</w:t>
        </w:r>
        <w:r w:rsidR="00567F6E">
          <w:rPr>
            <w:noProof/>
            <w:webHidden/>
          </w:rPr>
          <w:tab/>
        </w:r>
        <w:r w:rsidR="00567F6E">
          <w:rPr>
            <w:noProof/>
            <w:webHidden/>
          </w:rPr>
          <w:fldChar w:fldCharType="begin"/>
        </w:r>
        <w:r w:rsidR="00567F6E">
          <w:rPr>
            <w:noProof/>
            <w:webHidden/>
          </w:rPr>
          <w:instrText xml:space="preserve"> PAGEREF _Toc506232363 \h </w:instrText>
        </w:r>
        <w:r w:rsidR="00567F6E">
          <w:rPr>
            <w:noProof/>
            <w:webHidden/>
          </w:rPr>
        </w:r>
        <w:r w:rsidR="00567F6E">
          <w:rPr>
            <w:noProof/>
            <w:webHidden/>
          </w:rPr>
          <w:fldChar w:fldCharType="separate"/>
        </w:r>
        <w:r w:rsidR="00567F6E">
          <w:rPr>
            <w:noProof/>
            <w:webHidden/>
          </w:rPr>
          <w:t>79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4" w:history="1">
        <w:r w:rsidR="00567F6E" w:rsidRPr="008D3BC2">
          <w:rPr>
            <w:rStyle w:val="Hyperlink"/>
            <w:rFonts w:eastAsia="Times New Roman"/>
            <w:noProof/>
            <w:lang w:val="en-US"/>
          </w:rPr>
          <w:t>2.7.4 Culture media</w:t>
        </w:r>
        <w:r w:rsidR="00567F6E">
          <w:rPr>
            <w:noProof/>
            <w:webHidden/>
          </w:rPr>
          <w:tab/>
        </w:r>
        <w:r w:rsidR="00567F6E">
          <w:rPr>
            <w:noProof/>
            <w:webHidden/>
          </w:rPr>
          <w:fldChar w:fldCharType="begin"/>
        </w:r>
        <w:r w:rsidR="00567F6E">
          <w:rPr>
            <w:noProof/>
            <w:webHidden/>
          </w:rPr>
          <w:instrText xml:space="preserve"> PAGEREF _Toc506232364 \h </w:instrText>
        </w:r>
        <w:r w:rsidR="00567F6E">
          <w:rPr>
            <w:noProof/>
            <w:webHidden/>
          </w:rPr>
        </w:r>
        <w:r w:rsidR="00567F6E">
          <w:rPr>
            <w:noProof/>
            <w:webHidden/>
          </w:rPr>
          <w:fldChar w:fldCharType="separate"/>
        </w:r>
        <w:r w:rsidR="00567F6E">
          <w:rPr>
            <w:noProof/>
            <w:webHidden/>
          </w:rPr>
          <w:t>80</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5" w:history="1">
        <w:r w:rsidR="00567F6E" w:rsidRPr="008D3BC2">
          <w:rPr>
            <w:rStyle w:val="Hyperlink"/>
            <w:rFonts w:eastAsia="Times New Roman"/>
            <w:noProof/>
            <w:lang w:val="en-US"/>
          </w:rPr>
          <w:t>2.7.5 Colorimetric proteinase activity assays</w:t>
        </w:r>
        <w:r w:rsidR="00567F6E">
          <w:rPr>
            <w:noProof/>
            <w:webHidden/>
          </w:rPr>
          <w:tab/>
        </w:r>
        <w:r w:rsidR="00567F6E">
          <w:rPr>
            <w:noProof/>
            <w:webHidden/>
          </w:rPr>
          <w:fldChar w:fldCharType="begin"/>
        </w:r>
        <w:r w:rsidR="00567F6E">
          <w:rPr>
            <w:noProof/>
            <w:webHidden/>
          </w:rPr>
          <w:instrText xml:space="preserve"> PAGEREF _Toc506232365 \h </w:instrText>
        </w:r>
        <w:r w:rsidR="00567F6E">
          <w:rPr>
            <w:noProof/>
            <w:webHidden/>
          </w:rPr>
        </w:r>
        <w:r w:rsidR="00567F6E">
          <w:rPr>
            <w:noProof/>
            <w:webHidden/>
          </w:rPr>
          <w:fldChar w:fldCharType="separate"/>
        </w:r>
        <w:r w:rsidR="00567F6E">
          <w:rPr>
            <w:noProof/>
            <w:webHidden/>
          </w:rPr>
          <w:t>81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6" w:history="1">
        <w:r w:rsidR="00567F6E" w:rsidRPr="008D3BC2">
          <w:rPr>
            <w:rStyle w:val="Hyperlink"/>
            <w:noProof/>
          </w:rPr>
          <w:t>2.7.6 Optimizing an assay to discriminate between uPA and tPA</w:t>
        </w:r>
        <w:r w:rsidR="00567F6E">
          <w:rPr>
            <w:noProof/>
            <w:webHidden/>
          </w:rPr>
          <w:tab/>
        </w:r>
        <w:r w:rsidR="00567F6E">
          <w:rPr>
            <w:noProof/>
            <w:webHidden/>
          </w:rPr>
          <w:fldChar w:fldCharType="begin"/>
        </w:r>
        <w:r w:rsidR="00567F6E">
          <w:rPr>
            <w:noProof/>
            <w:webHidden/>
          </w:rPr>
          <w:instrText xml:space="preserve"> PAGEREF _Toc506232366 \h </w:instrText>
        </w:r>
        <w:r w:rsidR="00567F6E">
          <w:rPr>
            <w:noProof/>
            <w:webHidden/>
          </w:rPr>
        </w:r>
        <w:r w:rsidR="00567F6E">
          <w:rPr>
            <w:noProof/>
            <w:webHidden/>
          </w:rPr>
          <w:fldChar w:fldCharType="separate"/>
        </w:r>
        <w:r w:rsidR="00567F6E">
          <w:rPr>
            <w:noProof/>
            <w:webHidden/>
          </w:rPr>
          <w:t>85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67" w:history="1">
        <w:r w:rsidR="00567F6E" w:rsidRPr="008D3BC2">
          <w:rPr>
            <w:rStyle w:val="Hyperlink"/>
            <w:rFonts w:eastAsia="Times New Roman"/>
            <w:noProof/>
            <w:lang w:val="en-US"/>
          </w:rPr>
          <w:t>2.7.7 Carboxypeptidase B2 assay.</w:t>
        </w:r>
        <w:r w:rsidR="00567F6E">
          <w:rPr>
            <w:noProof/>
            <w:webHidden/>
          </w:rPr>
          <w:tab/>
        </w:r>
        <w:r w:rsidR="00567F6E">
          <w:rPr>
            <w:noProof/>
            <w:webHidden/>
          </w:rPr>
          <w:fldChar w:fldCharType="begin"/>
        </w:r>
        <w:r w:rsidR="00567F6E">
          <w:rPr>
            <w:noProof/>
            <w:webHidden/>
          </w:rPr>
          <w:instrText xml:space="preserve"> PAGEREF _Toc506232367 \h </w:instrText>
        </w:r>
        <w:r w:rsidR="00567F6E">
          <w:rPr>
            <w:noProof/>
            <w:webHidden/>
          </w:rPr>
        </w:r>
        <w:r w:rsidR="00567F6E">
          <w:rPr>
            <w:noProof/>
            <w:webHidden/>
          </w:rPr>
          <w:fldChar w:fldCharType="separate"/>
        </w:r>
        <w:r w:rsidR="00567F6E">
          <w:rPr>
            <w:noProof/>
            <w:webHidden/>
          </w:rPr>
          <w:t>89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68" w:history="1">
        <w:r w:rsidR="00567F6E" w:rsidRPr="008D3BC2">
          <w:rPr>
            <w:rStyle w:val="Hyperlink"/>
            <w:noProof/>
            <w:lang w:val="en-US"/>
          </w:rPr>
          <w:t>2.8 Carboxypeptidase B2 inhibitor UK-396082</w:t>
        </w:r>
        <w:r w:rsidR="00567F6E">
          <w:rPr>
            <w:noProof/>
            <w:webHidden/>
          </w:rPr>
          <w:tab/>
        </w:r>
        <w:r w:rsidR="00567F6E">
          <w:rPr>
            <w:noProof/>
            <w:webHidden/>
          </w:rPr>
          <w:fldChar w:fldCharType="begin"/>
        </w:r>
        <w:r w:rsidR="00567F6E">
          <w:rPr>
            <w:noProof/>
            <w:webHidden/>
          </w:rPr>
          <w:instrText xml:space="preserve"> PAGEREF _Toc506232368 \h </w:instrText>
        </w:r>
        <w:r w:rsidR="00567F6E">
          <w:rPr>
            <w:noProof/>
            <w:webHidden/>
          </w:rPr>
        </w:r>
        <w:r w:rsidR="00567F6E">
          <w:rPr>
            <w:noProof/>
            <w:webHidden/>
          </w:rPr>
          <w:fldChar w:fldCharType="separate"/>
        </w:r>
        <w:r w:rsidR="00567F6E">
          <w:rPr>
            <w:noProof/>
            <w:webHidden/>
          </w:rPr>
          <w:t>90</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69" w:history="1">
        <w:r w:rsidR="00567F6E" w:rsidRPr="008D3BC2">
          <w:rPr>
            <w:rStyle w:val="Hyperlink"/>
            <w:noProof/>
            <w:lang w:val="en-US"/>
          </w:rPr>
          <w:t>2.9 Home office certification</w:t>
        </w:r>
        <w:r w:rsidR="00567F6E">
          <w:rPr>
            <w:noProof/>
            <w:webHidden/>
          </w:rPr>
          <w:tab/>
        </w:r>
        <w:r w:rsidR="00567F6E">
          <w:rPr>
            <w:noProof/>
            <w:webHidden/>
          </w:rPr>
          <w:fldChar w:fldCharType="begin"/>
        </w:r>
        <w:r w:rsidR="00567F6E">
          <w:rPr>
            <w:noProof/>
            <w:webHidden/>
          </w:rPr>
          <w:instrText xml:space="preserve"> PAGEREF _Toc506232369 \h </w:instrText>
        </w:r>
        <w:r w:rsidR="00567F6E">
          <w:rPr>
            <w:noProof/>
            <w:webHidden/>
          </w:rPr>
        </w:r>
        <w:r w:rsidR="00567F6E">
          <w:rPr>
            <w:noProof/>
            <w:webHidden/>
          </w:rPr>
          <w:fldChar w:fldCharType="separate"/>
        </w:r>
        <w:r w:rsidR="00567F6E">
          <w:rPr>
            <w:noProof/>
            <w:webHidden/>
          </w:rPr>
          <w:t>91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0" w:history="1">
        <w:r w:rsidR="00567F6E" w:rsidRPr="008D3BC2">
          <w:rPr>
            <w:rStyle w:val="Hyperlink"/>
            <w:noProof/>
            <w:lang w:val="en-US"/>
          </w:rPr>
          <w:t>2.10 Statistics</w:t>
        </w:r>
        <w:r w:rsidR="00567F6E">
          <w:rPr>
            <w:noProof/>
            <w:webHidden/>
          </w:rPr>
          <w:tab/>
        </w:r>
        <w:r w:rsidR="00567F6E">
          <w:rPr>
            <w:noProof/>
            <w:webHidden/>
          </w:rPr>
          <w:fldChar w:fldCharType="begin"/>
        </w:r>
        <w:r w:rsidR="00567F6E">
          <w:rPr>
            <w:noProof/>
            <w:webHidden/>
          </w:rPr>
          <w:instrText xml:space="preserve"> PAGEREF _Toc506232370 \h </w:instrText>
        </w:r>
        <w:r w:rsidR="00567F6E">
          <w:rPr>
            <w:noProof/>
            <w:webHidden/>
          </w:rPr>
        </w:r>
        <w:r w:rsidR="00567F6E">
          <w:rPr>
            <w:noProof/>
            <w:webHidden/>
          </w:rPr>
          <w:fldChar w:fldCharType="separate"/>
        </w:r>
        <w:r w:rsidR="00567F6E">
          <w:rPr>
            <w:noProof/>
            <w:webHidden/>
          </w:rPr>
          <w:t>92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1" w:history="1">
        <w:r w:rsidR="00567F6E" w:rsidRPr="008D3BC2">
          <w:rPr>
            <w:rStyle w:val="Hyperlink"/>
            <w:noProof/>
          </w:rPr>
          <w:t>3.0 Introduction</w:t>
        </w:r>
        <w:r w:rsidR="00567F6E">
          <w:rPr>
            <w:noProof/>
            <w:webHidden/>
          </w:rPr>
          <w:tab/>
        </w:r>
        <w:r w:rsidR="00567F6E">
          <w:rPr>
            <w:noProof/>
            <w:webHidden/>
          </w:rPr>
          <w:fldChar w:fldCharType="begin"/>
        </w:r>
        <w:r w:rsidR="00567F6E">
          <w:rPr>
            <w:noProof/>
            <w:webHidden/>
          </w:rPr>
          <w:instrText xml:space="preserve"> PAGEREF _Toc506232371 \h </w:instrText>
        </w:r>
        <w:r w:rsidR="00567F6E">
          <w:rPr>
            <w:noProof/>
            <w:webHidden/>
          </w:rPr>
        </w:r>
        <w:r w:rsidR="00567F6E">
          <w:rPr>
            <w:noProof/>
            <w:webHidden/>
          </w:rPr>
          <w:fldChar w:fldCharType="separate"/>
        </w:r>
        <w:r w:rsidR="00567F6E">
          <w:rPr>
            <w:noProof/>
            <w:webHidden/>
          </w:rPr>
          <w:t>94</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2" w:history="1">
        <w:r w:rsidR="00567F6E" w:rsidRPr="008D3BC2">
          <w:rPr>
            <w:rStyle w:val="Hyperlink"/>
            <w:noProof/>
          </w:rPr>
          <w:t>3.1 Biophysical parameters</w:t>
        </w:r>
        <w:r w:rsidR="00567F6E">
          <w:rPr>
            <w:noProof/>
            <w:webHidden/>
          </w:rPr>
          <w:tab/>
        </w:r>
        <w:r w:rsidR="00567F6E">
          <w:rPr>
            <w:noProof/>
            <w:webHidden/>
          </w:rPr>
          <w:fldChar w:fldCharType="begin"/>
        </w:r>
        <w:r w:rsidR="00567F6E">
          <w:rPr>
            <w:noProof/>
            <w:webHidden/>
          </w:rPr>
          <w:instrText xml:space="preserve"> PAGEREF _Toc506232372 \h </w:instrText>
        </w:r>
        <w:r w:rsidR="00567F6E">
          <w:rPr>
            <w:noProof/>
            <w:webHidden/>
          </w:rPr>
        </w:r>
        <w:r w:rsidR="00567F6E">
          <w:rPr>
            <w:noProof/>
            <w:webHidden/>
          </w:rPr>
          <w:fldChar w:fldCharType="separate"/>
        </w:r>
        <w:r w:rsidR="00567F6E">
          <w:rPr>
            <w:noProof/>
            <w:webHidden/>
          </w:rPr>
          <w:t>96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3" w:history="1">
        <w:r w:rsidR="00567F6E" w:rsidRPr="008D3BC2">
          <w:rPr>
            <w:rStyle w:val="Hyperlink"/>
            <w:noProof/>
          </w:rPr>
          <w:t>3.2 Kidney weight</w:t>
        </w:r>
        <w:r w:rsidR="00567F6E">
          <w:rPr>
            <w:noProof/>
            <w:webHidden/>
          </w:rPr>
          <w:tab/>
        </w:r>
        <w:r w:rsidR="00567F6E">
          <w:rPr>
            <w:noProof/>
            <w:webHidden/>
          </w:rPr>
          <w:fldChar w:fldCharType="begin"/>
        </w:r>
        <w:r w:rsidR="00567F6E">
          <w:rPr>
            <w:noProof/>
            <w:webHidden/>
          </w:rPr>
          <w:instrText xml:space="preserve"> PAGEREF _Toc506232373 \h </w:instrText>
        </w:r>
        <w:r w:rsidR="00567F6E">
          <w:rPr>
            <w:noProof/>
            <w:webHidden/>
          </w:rPr>
        </w:r>
        <w:r w:rsidR="00567F6E">
          <w:rPr>
            <w:noProof/>
            <w:webHidden/>
          </w:rPr>
          <w:fldChar w:fldCharType="separate"/>
        </w:r>
        <w:r w:rsidR="00567F6E">
          <w:rPr>
            <w:noProof/>
            <w:webHidden/>
          </w:rPr>
          <w:t>101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4" w:history="1">
        <w:r w:rsidR="00567F6E" w:rsidRPr="008D3BC2">
          <w:rPr>
            <w:rStyle w:val="Hyperlink"/>
            <w:noProof/>
          </w:rPr>
          <w:t>3.3 Blood pressure</w:t>
        </w:r>
        <w:r w:rsidR="00567F6E">
          <w:rPr>
            <w:noProof/>
            <w:webHidden/>
          </w:rPr>
          <w:tab/>
        </w:r>
        <w:r w:rsidR="00567F6E">
          <w:rPr>
            <w:noProof/>
            <w:webHidden/>
          </w:rPr>
          <w:fldChar w:fldCharType="begin"/>
        </w:r>
        <w:r w:rsidR="00567F6E">
          <w:rPr>
            <w:noProof/>
            <w:webHidden/>
          </w:rPr>
          <w:instrText xml:space="preserve"> PAGEREF _Toc506232374 \h </w:instrText>
        </w:r>
        <w:r w:rsidR="00567F6E">
          <w:rPr>
            <w:noProof/>
            <w:webHidden/>
          </w:rPr>
        </w:r>
        <w:r w:rsidR="00567F6E">
          <w:rPr>
            <w:noProof/>
            <w:webHidden/>
          </w:rPr>
          <w:fldChar w:fldCharType="separate"/>
        </w:r>
        <w:r w:rsidR="00567F6E">
          <w:rPr>
            <w:noProof/>
            <w:webHidden/>
          </w:rPr>
          <w:t>102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5" w:history="1">
        <w:r w:rsidR="00567F6E" w:rsidRPr="008D3BC2">
          <w:rPr>
            <w:rStyle w:val="Hyperlink"/>
            <w:noProof/>
          </w:rPr>
          <w:t>3.4 Discussion</w:t>
        </w:r>
        <w:r w:rsidR="00567F6E">
          <w:rPr>
            <w:noProof/>
            <w:webHidden/>
          </w:rPr>
          <w:tab/>
        </w:r>
        <w:r w:rsidR="00567F6E">
          <w:rPr>
            <w:noProof/>
            <w:webHidden/>
          </w:rPr>
          <w:fldChar w:fldCharType="begin"/>
        </w:r>
        <w:r w:rsidR="00567F6E">
          <w:rPr>
            <w:noProof/>
            <w:webHidden/>
          </w:rPr>
          <w:instrText xml:space="preserve"> PAGEREF _Toc506232375 \h </w:instrText>
        </w:r>
        <w:r w:rsidR="00567F6E">
          <w:rPr>
            <w:noProof/>
            <w:webHidden/>
          </w:rPr>
        </w:r>
        <w:r w:rsidR="00567F6E">
          <w:rPr>
            <w:noProof/>
            <w:webHidden/>
          </w:rPr>
          <w:fldChar w:fldCharType="separate"/>
        </w:r>
        <w:r w:rsidR="00567F6E">
          <w:rPr>
            <w:noProof/>
            <w:webHidden/>
          </w:rPr>
          <w:t>103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76" w:history="1">
        <w:r w:rsidR="00567F6E" w:rsidRPr="008D3BC2">
          <w:rPr>
            <w:rStyle w:val="Hyperlink"/>
            <w:noProof/>
          </w:rPr>
          <w:t>3.5 Urinalysis</w:t>
        </w:r>
        <w:r w:rsidR="00567F6E">
          <w:rPr>
            <w:noProof/>
            <w:webHidden/>
          </w:rPr>
          <w:tab/>
        </w:r>
        <w:r w:rsidR="00567F6E">
          <w:rPr>
            <w:noProof/>
            <w:webHidden/>
          </w:rPr>
          <w:fldChar w:fldCharType="begin"/>
        </w:r>
        <w:r w:rsidR="00567F6E">
          <w:rPr>
            <w:noProof/>
            <w:webHidden/>
          </w:rPr>
          <w:instrText xml:space="preserve"> PAGEREF _Toc506232376 \h </w:instrText>
        </w:r>
        <w:r w:rsidR="00567F6E">
          <w:rPr>
            <w:noProof/>
            <w:webHidden/>
          </w:rPr>
        </w:r>
        <w:r w:rsidR="00567F6E">
          <w:rPr>
            <w:noProof/>
            <w:webHidden/>
          </w:rPr>
          <w:fldChar w:fldCharType="separate"/>
        </w:r>
        <w:r w:rsidR="00567F6E">
          <w:rPr>
            <w:noProof/>
            <w:webHidden/>
          </w:rPr>
          <w:t>104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77" w:history="1">
        <w:r w:rsidR="00567F6E" w:rsidRPr="008D3BC2">
          <w:rPr>
            <w:rStyle w:val="Hyperlink"/>
            <w:noProof/>
          </w:rPr>
          <w:t>3.5.1 Introduction</w:t>
        </w:r>
        <w:r w:rsidR="00567F6E">
          <w:rPr>
            <w:noProof/>
            <w:webHidden/>
          </w:rPr>
          <w:tab/>
        </w:r>
        <w:r w:rsidR="00567F6E">
          <w:rPr>
            <w:noProof/>
            <w:webHidden/>
          </w:rPr>
          <w:fldChar w:fldCharType="begin"/>
        </w:r>
        <w:r w:rsidR="00567F6E">
          <w:rPr>
            <w:noProof/>
            <w:webHidden/>
          </w:rPr>
          <w:instrText xml:space="preserve"> PAGEREF _Toc506232377 \h </w:instrText>
        </w:r>
        <w:r w:rsidR="00567F6E">
          <w:rPr>
            <w:noProof/>
            <w:webHidden/>
          </w:rPr>
        </w:r>
        <w:r w:rsidR="00567F6E">
          <w:rPr>
            <w:noProof/>
            <w:webHidden/>
          </w:rPr>
          <w:fldChar w:fldCharType="separate"/>
        </w:r>
        <w:r w:rsidR="00567F6E">
          <w:rPr>
            <w:noProof/>
            <w:webHidden/>
          </w:rPr>
          <w:t>104</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78" w:history="1">
        <w:r w:rsidR="00567F6E" w:rsidRPr="008D3BC2">
          <w:rPr>
            <w:rStyle w:val="Hyperlink"/>
            <w:rFonts w:eastAsia="Times New Roman"/>
            <w:noProof/>
          </w:rPr>
          <w:t>3.5.2 Urine density</w:t>
        </w:r>
        <w:r w:rsidR="00567F6E">
          <w:rPr>
            <w:noProof/>
            <w:webHidden/>
          </w:rPr>
          <w:tab/>
        </w:r>
        <w:r w:rsidR="00567F6E">
          <w:rPr>
            <w:noProof/>
            <w:webHidden/>
          </w:rPr>
          <w:fldChar w:fldCharType="begin"/>
        </w:r>
        <w:r w:rsidR="00567F6E">
          <w:rPr>
            <w:noProof/>
            <w:webHidden/>
          </w:rPr>
          <w:instrText xml:space="preserve"> PAGEREF _Toc506232378 \h </w:instrText>
        </w:r>
        <w:r w:rsidR="00567F6E">
          <w:rPr>
            <w:noProof/>
            <w:webHidden/>
          </w:rPr>
        </w:r>
        <w:r w:rsidR="00567F6E">
          <w:rPr>
            <w:noProof/>
            <w:webHidden/>
          </w:rPr>
          <w:fldChar w:fldCharType="separate"/>
        </w:r>
        <w:r w:rsidR="00567F6E">
          <w:rPr>
            <w:noProof/>
            <w:webHidden/>
          </w:rPr>
          <w:t>105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79" w:history="1">
        <w:r w:rsidR="00567F6E" w:rsidRPr="008D3BC2">
          <w:rPr>
            <w:rStyle w:val="Hyperlink"/>
            <w:rFonts w:eastAsia="Times New Roman"/>
            <w:noProof/>
          </w:rPr>
          <w:t>3.5.3 Ketones</w:t>
        </w:r>
        <w:r w:rsidR="00567F6E">
          <w:rPr>
            <w:noProof/>
            <w:webHidden/>
          </w:rPr>
          <w:tab/>
        </w:r>
        <w:r w:rsidR="00567F6E">
          <w:rPr>
            <w:noProof/>
            <w:webHidden/>
          </w:rPr>
          <w:fldChar w:fldCharType="begin"/>
        </w:r>
        <w:r w:rsidR="00567F6E">
          <w:rPr>
            <w:noProof/>
            <w:webHidden/>
          </w:rPr>
          <w:instrText xml:space="preserve"> PAGEREF _Toc506232379 \h </w:instrText>
        </w:r>
        <w:r w:rsidR="00567F6E">
          <w:rPr>
            <w:noProof/>
            <w:webHidden/>
          </w:rPr>
        </w:r>
        <w:r w:rsidR="00567F6E">
          <w:rPr>
            <w:noProof/>
            <w:webHidden/>
          </w:rPr>
          <w:fldChar w:fldCharType="separate"/>
        </w:r>
        <w:r w:rsidR="00567F6E">
          <w:rPr>
            <w:noProof/>
            <w:webHidden/>
          </w:rPr>
          <w:t>105</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0" w:history="1">
        <w:r w:rsidR="00567F6E" w:rsidRPr="008D3BC2">
          <w:rPr>
            <w:rStyle w:val="Hyperlink"/>
            <w:rFonts w:eastAsia="Times New Roman"/>
            <w:noProof/>
          </w:rPr>
          <w:t>3.5.4 Urinary glucose</w:t>
        </w:r>
        <w:r w:rsidR="00567F6E">
          <w:rPr>
            <w:noProof/>
            <w:webHidden/>
          </w:rPr>
          <w:tab/>
        </w:r>
        <w:r w:rsidR="00567F6E">
          <w:rPr>
            <w:noProof/>
            <w:webHidden/>
          </w:rPr>
          <w:fldChar w:fldCharType="begin"/>
        </w:r>
        <w:r w:rsidR="00567F6E">
          <w:rPr>
            <w:noProof/>
            <w:webHidden/>
          </w:rPr>
          <w:instrText xml:space="preserve"> PAGEREF _Toc506232380 \h </w:instrText>
        </w:r>
        <w:r w:rsidR="00567F6E">
          <w:rPr>
            <w:noProof/>
            <w:webHidden/>
          </w:rPr>
        </w:r>
        <w:r w:rsidR="00567F6E">
          <w:rPr>
            <w:noProof/>
            <w:webHidden/>
          </w:rPr>
          <w:fldChar w:fldCharType="separate"/>
        </w:r>
        <w:r w:rsidR="00567F6E">
          <w:rPr>
            <w:noProof/>
            <w:webHidden/>
          </w:rPr>
          <w:t>106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1" w:history="1">
        <w:r w:rsidR="00567F6E" w:rsidRPr="008D3BC2">
          <w:rPr>
            <w:rStyle w:val="Hyperlink"/>
            <w:rFonts w:eastAsia="Times New Roman"/>
            <w:noProof/>
          </w:rPr>
          <w:t>3.5.5 Urinary pH</w:t>
        </w:r>
        <w:r w:rsidR="00567F6E">
          <w:rPr>
            <w:noProof/>
            <w:webHidden/>
          </w:rPr>
          <w:tab/>
        </w:r>
        <w:r w:rsidR="00567F6E">
          <w:rPr>
            <w:noProof/>
            <w:webHidden/>
          </w:rPr>
          <w:fldChar w:fldCharType="begin"/>
        </w:r>
        <w:r w:rsidR="00567F6E">
          <w:rPr>
            <w:noProof/>
            <w:webHidden/>
          </w:rPr>
          <w:instrText xml:space="preserve"> PAGEREF _Toc506232381 \h </w:instrText>
        </w:r>
        <w:r w:rsidR="00567F6E">
          <w:rPr>
            <w:noProof/>
            <w:webHidden/>
          </w:rPr>
        </w:r>
        <w:r w:rsidR="00567F6E">
          <w:rPr>
            <w:noProof/>
            <w:webHidden/>
          </w:rPr>
          <w:fldChar w:fldCharType="separate"/>
        </w:r>
        <w:r w:rsidR="00567F6E">
          <w:rPr>
            <w:noProof/>
            <w:webHidden/>
          </w:rPr>
          <w:t>107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2" w:history="1">
        <w:r w:rsidR="00567F6E" w:rsidRPr="008D3BC2">
          <w:rPr>
            <w:rStyle w:val="Hyperlink"/>
            <w:rFonts w:eastAsia="Times New Roman"/>
            <w:noProof/>
          </w:rPr>
          <w:t>3.5.6 Blood</w:t>
        </w:r>
        <w:r w:rsidR="00567F6E">
          <w:rPr>
            <w:noProof/>
            <w:webHidden/>
          </w:rPr>
          <w:tab/>
        </w:r>
        <w:r w:rsidR="00567F6E">
          <w:rPr>
            <w:noProof/>
            <w:webHidden/>
          </w:rPr>
          <w:fldChar w:fldCharType="begin"/>
        </w:r>
        <w:r w:rsidR="00567F6E">
          <w:rPr>
            <w:noProof/>
            <w:webHidden/>
          </w:rPr>
          <w:instrText xml:space="preserve"> PAGEREF _Toc506232382 \h </w:instrText>
        </w:r>
        <w:r w:rsidR="00567F6E">
          <w:rPr>
            <w:noProof/>
            <w:webHidden/>
          </w:rPr>
        </w:r>
        <w:r w:rsidR="00567F6E">
          <w:rPr>
            <w:noProof/>
            <w:webHidden/>
          </w:rPr>
          <w:fldChar w:fldCharType="separate"/>
        </w:r>
        <w:r w:rsidR="00567F6E">
          <w:rPr>
            <w:noProof/>
            <w:webHidden/>
          </w:rPr>
          <w:t>108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3" w:history="1">
        <w:r w:rsidR="00567F6E" w:rsidRPr="008D3BC2">
          <w:rPr>
            <w:rStyle w:val="Hyperlink"/>
            <w:noProof/>
          </w:rPr>
          <w:t>3.5.7 Leukocytes</w:t>
        </w:r>
        <w:r w:rsidR="00567F6E">
          <w:rPr>
            <w:noProof/>
            <w:webHidden/>
          </w:rPr>
          <w:tab/>
        </w:r>
        <w:r w:rsidR="00567F6E">
          <w:rPr>
            <w:noProof/>
            <w:webHidden/>
          </w:rPr>
          <w:fldChar w:fldCharType="begin"/>
        </w:r>
        <w:r w:rsidR="00567F6E">
          <w:rPr>
            <w:noProof/>
            <w:webHidden/>
          </w:rPr>
          <w:instrText xml:space="preserve"> PAGEREF _Toc506232383 \h </w:instrText>
        </w:r>
        <w:r w:rsidR="00567F6E">
          <w:rPr>
            <w:noProof/>
            <w:webHidden/>
          </w:rPr>
        </w:r>
        <w:r w:rsidR="00567F6E">
          <w:rPr>
            <w:noProof/>
            <w:webHidden/>
          </w:rPr>
          <w:fldChar w:fldCharType="separate"/>
        </w:r>
        <w:r w:rsidR="00567F6E">
          <w:rPr>
            <w:noProof/>
            <w:webHidden/>
          </w:rPr>
          <w:t>109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4" w:history="1">
        <w:r w:rsidR="00567F6E" w:rsidRPr="008D3BC2">
          <w:rPr>
            <w:rStyle w:val="Hyperlink"/>
            <w:rFonts w:eastAsia="Times New Roman"/>
            <w:noProof/>
          </w:rPr>
          <w:t>3.5.8 Nitrite</w:t>
        </w:r>
        <w:r w:rsidR="00567F6E">
          <w:rPr>
            <w:noProof/>
            <w:webHidden/>
          </w:rPr>
          <w:tab/>
        </w:r>
        <w:r w:rsidR="00567F6E">
          <w:rPr>
            <w:noProof/>
            <w:webHidden/>
          </w:rPr>
          <w:fldChar w:fldCharType="begin"/>
        </w:r>
        <w:r w:rsidR="00567F6E">
          <w:rPr>
            <w:noProof/>
            <w:webHidden/>
          </w:rPr>
          <w:instrText xml:space="preserve"> PAGEREF _Toc506232384 \h </w:instrText>
        </w:r>
        <w:r w:rsidR="00567F6E">
          <w:rPr>
            <w:noProof/>
            <w:webHidden/>
          </w:rPr>
        </w:r>
        <w:r w:rsidR="00567F6E">
          <w:rPr>
            <w:noProof/>
            <w:webHidden/>
          </w:rPr>
          <w:fldChar w:fldCharType="separate"/>
        </w:r>
        <w:r w:rsidR="00567F6E">
          <w:rPr>
            <w:noProof/>
            <w:webHidden/>
          </w:rPr>
          <w:t>111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5" w:history="1">
        <w:r w:rsidR="00567F6E" w:rsidRPr="008D3BC2">
          <w:rPr>
            <w:rStyle w:val="Hyperlink"/>
            <w:rFonts w:eastAsia="Times New Roman"/>
            <w:noProof/>
          </w:rPr>
          <w:t>3.5.9 Bilirubin</w:t>
        </w:r>
        <w:r w:rsidR="00567F6E">
          <w:rPr>
            <w:noProof/>
            <w:webHidden/>
          </w:rPr>
          <w:tab/>
        </w:r>
        <w:r w:rsidR="00567F6E">
          <w:rPr>
            <w:noProof/>
            <w:webHidden/>
          </w:rPr>
          <w:fldChar w:fldCharType="begin"/>
        </w:r>
        <w:r w:rsidR="00567F6E">
          <w:rPr>
            <w:noProof/>
            <w:webHidden/>
          </w:rPr>
          <w:instrText xml:space="preserve"> PAGEREF _Toc506232385 \h </w:instrText>
        </w:r>
        <w:r w:rsidR="00567F6E">
          <w:rPr>
            <w:noProof/>
            <w:webHidden/>
          </w:rPr>
        </w:r>
        <w:r w:rsidR="00567F6E">
          <w:rPr>
            <w:noProof/>
            <w:webHidden/>
          </w:rPr>
          <w:fldChar w:fldCharType="separate"/>
        </w:r>
        <w:r w:rsidR="00567F6E">
          <w:rPr>
            <w:noProof/>
            <w:webHidden/>
          </w:rPr>
          <w:t>111</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386" w:history="1">
        <w:r w:rsidR="00567F6E" w:rsidRPr="008D3BC2">
          <w:rPr>
            <w:rStyle w:val="Hyperlink"/>
            <w:rFonts w:eastAsia="Times New Roman"/>
            <w:noProof/>
          </w:rPr>
          <w:t>3.5.10 Discussion</w:t>
        </w:r>
        <w:r w:rsidR="00567F6E">
          <w:rPr>
            <w:noProof/>
            <w:webHidden/>
          </w:rPr>
          <w:tab/>
        </w:r>
        <w:r w:rsidR="00567F6E">
          <w:rPr>
            <w:noProof/>
            <w:webHidden/>
          </w:rPr>
          <w:fldChar w:fldCharType="begin"/>
        </w:r>
        <w:r w:rsidR="00567F6E">
          <w:rPr>
            <w:noProof/>
            <w:webHidden/>
          </w:rPr>
          <w:instrText xml:space="preserve"> PAGEREF _Toc506232386 \h </w:instrText>
        </w:r>
        <w:r w:rsidR="00567F6E">
          <w:rPr>
            <w:noProof/>
            <w:webHidden/>
          </w:rPr>
        </w:r>
        <w:r w:rsidR="00567F6E">
          <w:rPr>
            <w:noProof/>
            <w:webHidden/>
          </w:rPr>
          <w:fldChar w:fldCharType="separate"/>
        </w:r>
        <w:r w:rsidR="00567F6E">
          <w:rPr>
            <w:noProof/>
            <w:webHidden/>
          </w:rPr>
          <w:t>111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87" w:history="1">
        <w:r w:rsidR="00567F6E" w:rsidRPr="008D3BC2">
          <w:rPr>
            <w:rStyle w:val="Hyperlink"/>
            <w:noProof/>
          </w:rPr>
          <w:t>3.6 Renal Function</w:t>
        </w:r>
        <w:r w:rsidR="00567F6E">
          <w:rPr>
            <w:noProof/>
            <w:webHidden/>
          </w:rPr>
          <w:tab/>
        </w:r>
        <w:r w:rsidR="00567F6E">
          <w:rPr>
            <w:noProof/>
            <w:webHidden/>
          </w:rPr>
          <w:fldChar w:fldCharType="begin"/>
        </w:r>
        <w:r w:rsidR="00567F6E">
          <w:rPr>
            <w:noProof/>
            <w:webHidden/>
          </w:rPr>
          <w:instrText xml:space="preserve"> PAGEREF _Toc506232387 \h </w:instrText>
        </w:r>
        <w:r w:rsidR="00567F6E">
          <w:rPr>
            <w:noProof/>
            <w:webHidden/>
          </w:rPr>
        </w:r>
        <w:r w:rsidR="00567F6E">
          <w:rPr>
            <w:noProof/>
            <w:webHidden/>
          </w:rPr>
          <w:fldChar w:fldCharType="separate"/>
        </w:r>
        <w:r w:rsidR="00567F6E">
          <w:rPr>
            <w:noProof/>
            <w:webHidden/>
          </w:rPr>
          <w:t>113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88" w:history="1">
        <w:r w:rsidR="00567F6E" w:rsidRPr="008D3BC2">
          <w:rPr>
            <w:rStyle w:val="Hyperlink"/>
            <w:noProof/>
          </w:rPr>
          <w:t>3.7 Discussion</w:t>
        </w:r>
        <w:r w:rsidR="00567F6E">
          <w:rPr>
            <w:noProof/>
            <w:webHidden/>
          </w:rPr>
          <w:tab/>
        </w:r>
        <w:r w:rsidR="00567F6E">
          <w:rPr>
            <w:noProof/>
            <w:webHidden/>
          </w:rPr>
          <w:fldChar w:fldCharType="begin"/>
        </w:r>
        <w:r w:rsidR="00567F6E">
          <w:rPr>
            <w:noProof/>
            <w:webHidden/>
          </w:rPr>
          <w:instrText xml:space="preserve"> PAGEREF _Toc506232388 \h </w:instrText>
        </w:r>
        <w:r w:rsidR="00567F6E">
          <w:rPr>
            <w:noProof/>
            <w:webHidden/>
          </w:rPr>
        </w:r>
        <w:r w:rsidR="00567F6E">
          <w:rPr>
            <w:noProof/>
            <w:webHidden/>
          </w:rPr>
          <w:fldChar w:fldCharType="separate"/>
        </w:r>
        <w:r w:rsidR="00567F6E">
          <w:rPr>
            <w:noProof/>
            <w:webHidden/>
          </w:rPr>
          <w:t>122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89" w:history="1">
        <w:r w:rsidR="00567F6E" w:rsidRPr="008D3BC2">
          <w:rPr>
            <w:rStyle w:val="Hyperlink"/>
            <w:rFonts w:eastAsia="Times New Roman"/>
            <w:noProof/>
          </w:rPr>
          <w:t>3.8 Urinary glycosaminoglycans as a markers of kidney basement membrane damage</w:t>
        </w:r>
        <w:r w:rsidR="00567F6E">
          <w:rPr>
            <w:noProof/>
            <w:webHidden/>
          </w:rPr>
          <w:tab/>
        </w:r>
        <w:r w:rsidR="00567F6E">
          <w:rPr>
            <w:noProof/>
            <w:webHidden/>
          </w:rPr>
          <w:fldChar w:fldCharType="begin"/>
        </w:r>
        <w:r w:rsidR="00567F6E">
          <w:rPr>
            <w:noProof/>
            <w:webHidden/>
          </w:rPr>
          <w:instrText xml:space="preserve"> PAGEREF _Toc506232389 \h </w:instrText>
        </w:r>
        <w:r w:rsidR="00567F6E">
          <w:rPr>
            <w:noProof/>
            <w:webHidden/>
          </w:rPr>
        </w:r>
        <w:r w:rsidR="00567F6E">
          <w:rPr>
            <w:noProof/>
            <w:webHidden/>
          </w:rPr>
          <w:fldChar w:fldCharType="separate"/>
        </w:r>
        <w:r w:rsidR="00567F6E">
          <w:rPr>
            <w:noProof/>
            <w:webHidden/>
          </w:rPr>
          <w:t>123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0" w:history="1">
        <w:r w:rsidR="00567F6E" w:rsidRPr="008D3BC2">
          <w:rPr>
            <w:rStyle w:val="Hyperlink"/>
            <w:noProof/>
          </w:rPr>
          <w:t>3.9 Discussion</w:t>
        </w:r>
        <w:r w:rsidR="00567F6E">
          <w:rPr>
            <w:noProof/>
            <w:webHidden/>
          </w:rPr>
          <w:tab/>
        </w:r>
        <w:r w:rsidR="00567F6E">
          <w:rPr>
            <w:noProof/>
            <w:webHidden/>
          </w:rPr>
          <w:fldChar w:fldCharType="begin"/>
        </w:r>
        <w:r w:rsidR="00567F6E">
          <w:rPr>
            <w:noProof/>
            <w:webHidden/>
          </w:rPr>
          <w:instrText xml:space="preserve"> PAGEREF _Toc506232390 \h </w:instrText>
        </w:r>
        <w:r w:rsidR="00567F6E">
          <w:rPr>
            <w:noProof/>
            <w:webHidden/>
          </w:rPr>
        </w:r>
        <w:r w:rsidR="00567F6E">
          <w:rPr>
            <w:noProof/>
            <w:webHidden/>
          </w:rPr>
          <w:fldChar w:fldCharType="separate"/>
        </w:r>
        <w:r w:rsidR="00567F6E">
          <w:rPr>
            <w:noProof/>
            <w:webHidden/>
          </w:rPr>
          <w:t>133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1" w:history="1">
        <w:r w:rsidR="00567F6E" w:rsidRPr="008D3BC2">
          <w:rPr>
            <w:rStyle w:val="Hyperlink"/>
            <w:noProof/>
          </w:rPr>
          <w:t>4.0 Renal histology</w:t>
        </w:r>
        <w:r w:rsidR="00567F6E">
          <w:rPr>
            <w:noProof/>
            <w:webHidden/>
          </w:rPr>
          <w:tab/>
        </w:r>
        <w:r w:rsidR="00567F6E">
          <w:rPr>
            <w:noProof/>
            <w:webHidden/>
          </w:rPr>
          <w:fldChar w:fldCharType="begin"/>
        </w:r>
        <w:r w:rsidR="00567F6E">
          <w:rPr>
            <w:noProof/>
            <w:webHidden/>
          </w:rPr>
          <w:instrText xml:space="preserve"> PAGEREF _Toc506232391 \h </w:instrText>
        </w:r>
        <w:r w:rsidR="00567F6E">
          <w:rPr>
            <w:noProof/>
            <w:webHidden/>
          </w:rPr>
        </w:r>
        <w:r w:rsidR="00567F6E">
          <w:rPr>
            <w:noProof/>
            <w:webHidden/>
          </w:rPr>
          <w:fldChar w:fldCharType="separate"/>
        </w:r>
        <w:r w:rsidR="00567F6E">
          <w:rPr>
            <w:noProof/>
            <w:webHidden/>
          </w:rPr>
          <w:t>136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2" w:history="1">
        <w:r w:rsidR="00567F6E" w:rsidRPr="008D3BC2">
          <w:rPr>
            <w:rStyle w:val="Hyperlink"/>
            <w:noProof/>
          </w:rPr>
          <w:t>4.1 Haematoxylin and eosin (H&amp;E) stain</w:t>
        </w:r>
        <w:r w:rsidR="00567F6E">
          <w:rPr>
            <w:noProof/>
            <w:webHidden/>
          </w:rPr>
          <w:tab/>
        </w:r>
        <w:r w:rsidR="00567F6E">
          <w:rPr>
            <w:noProof/>
            <w:webHidden/>
          </w:rPr>
          <w:fldChar w:fldCharType="begin"/>
        </w:r>
        <w:r w:rsidR="00567F6E">
          <w:rPr>
            <w:noProof/>
            <w:webHidden/>
          </w:rPr>
          <w:instrText xml:space="preserve"> PAGEREF _Toc506232392 \h </w:instrText>
        </w:r>
        <w:r w:rsidR="00567F6E">
          <w:rPr>
            <w:noProof/>
            <w:webHidden/>
          </w:rPr>
        </w:r>
        <w:r w:rsidR="00567F6E">
          <w:rPr>
            <w:noProof/>
            <w:webHidden/>
          </w:rPr>
          <w:fldChar w:fldCharType="separate"/>
        </w:r>
        <w:r w:rsidR="00567F6E">
          <w:rPr>
            <w:noProof/>
            <w:webHidden/>
          </w:rPr>
          <w:t>136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3" w:history="1">
        <w:r w:rsidR="00567F6E" w:rsidRPr="008D3BC2">
          <w:rPr>
            <w:rStyle w:val="Hyperlink"/>
            <w:noProof/>
          </w:rPr>
          <w:t>4.2 Picrosirius red stain (PRS)</w:t>
        </w:r>
        <w:r w:rsidR="00567F6E">
          <w:rPr>
            <w:noProof/>
            <w:webHidden/>
          </w:rPr>
          <w:tab/>
        </w:r>
        <w:r w:rsidR="00567F6E">
          <w:rPr>
            <w:noProof/>
            <w:webHidden/>
          </w:rPr>
          <w:fldChar w:fldCharType="begin"/>
        </w:r>
        <w:r w:rsidR="00567F6E">
          <w:rPr>
            <w:noProof/>
            <w:webHidden/>
          </w:rPr>
          <w:instrText xml:space="preserve"> PAGEREF _Toc506232393 \h </w:instrText>
        </w:r>
        <w:r w:rsidR="00567F6E">
          <w:rPr>
            <w:noProof/>
            <w:webHidden/>
          </w:rPr>
        </w:r>
        <w:r w:rsidR="00567F6E">
          <w:rPr>
            <w:noProof/>
            <w:webHidden/>
          </w:rPr>
          <w:fldChar w:fldCharType="separate"/>
        </w:r>
        <w:r w:rsidR="00567F6E">
          <w:rPr>
            <w:noProof/>
            <w:webHidden/>
          </w:rPr>
          <w:t>141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4" w:history="1">
        <w:r w:rsidR="00567F6E" w:rsidRPr="008D3BC2">
          <w:rPr>
            <w:rStyle w:val="Hyperlink"/>
            <w:noProof/>
          </w:rPr>
          <w:t>4.3 Multiphase image analysis of picrosirius red stain</w:t>
        </w:r>
        <w:r w:rsidR="00567F6E">
          <w:rPr>
            <w:noProof/>
            <w:webHidden/>
          </w:rPr>
          <w:tab/>
        </w:r>
        <w:r w:rsidR="00567F6E">
          <w:rPr>
            <w:noProof/>
            <w:webHidden/>
          </w:rPr>
          <w:fldChar w:fldCharType="begin"/>
        </w:r>
        <w:r w:rsidR="00567F6E">
          <w:rPr>
            <w:noProof/>
            <w:webHidden/>
          </w:rPr>
          <w:instrText xml:space="preserve"> PAGEREF _Toc506232394 \h </w:instrText>
        </w:r>
        <w:r w:rsidR="00567F6E">
          <w:rPr>
            <w:noProof/>
            <w:webHidden/>
          </w:rPr>
        </w:r>
        <w:r w:rsidR="00567F6E">
          <w:rPr>
            <w:noProof/>
            <w:webHidden/>
          </w:rPr>
          <w:fldChar w:fldCharType="separate"/>
        </w:r>
        <w:r w:rsidR="00567F6E">
          <w:rPr>
            <w:noProof/>
            <w:webHidden/>
          </w:rPr>
          <w:t>146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5" w:history="1">
        <w:r w:rsidR="00567F6E" w:rsidRPr="008D3BC2">
          <w:rPr>
            <w:rStyle w:val="Hyperlink"/>
            <w:noProof/>
          </w:rPr>
          <w:t>4.4 Massons’s trichrome</w:t>
        </w:r>
        <w:r w:rsidR="00567F6E">
          <w:rPr>
            <w:noProof/>
            <w:webHidden/>
          </w:rPr>
          <w:tab/>
        </w:r>
        <w:r w:rsidR="00567F6E">
          <w:rPr>
            <w:noProof/>
            <w:webHidden/>
          </w:rPr>
          <w:fldChar w:fldCharType="begin"/>
        </w:r>
        <w:r w:rsidR="00567F6E">
          <w:rPr>
            <w:noProof/>
            <w:webHidden/>
          </w:rPr>
          <w:instrText xml:space="preserve"> PAGEREF _Toc506232395 \h </w:instrText>
        </w:r>
        <w:r w:rsidR="00567F6E">
          <w:rPr>
            <w:noProof/>
            <w:webHidden/>
          </w:rPr>
        </w:r>
        <w:r w:rsidR="00567F6E">
          <w:rPr>
            <w:noProof/>
            <w:webHidden/>
          </w:rPr>
          <w:fldChar w:fldCharType="separate"/>
        </w:r>
        <w:r w:rsidR="00567F6E">
          <w:rPr>
            <w:noProof/>
            <w:webHidden/>
          </w:rPr>
          <w:t>147</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6" w:history="1">
        <w:r w:rsidR="00567F6E" w:rsidRPr="008D3BC2">
          <w:rPr>
            <w:rStyle w:val="Hyperlink"/>
            <w:rFonts w:eastAsia="Times New Roman"/>
            <w:noProof/>
          </w:rPr>
          <w:t>4.5 Discussion</w:t>
        </w:r>
        <w:r w:rsidR="00567F6E">
          <w:rPr>
            <w:noProof/>
            <w:webHidden/>
          </w:rPr>
          <w:tab/>
        </w:r>
        <w:r w:rsidR="00567F6E">
          <w:rPr>
            <w:noProof/>
            <w:webHidden/>
          </w:rPr>
          <w:fldChar w:fldCharType="begin"/>
        </w:r>
        <w:r w:rsidR="00567F6E">
          <w:rPr>
            <w:noProof/>
            <w:webHidden/>
          </w:rPr>
          <w:instrText xml:space="preserve"> PAGEREF _Toc506232396 \h </w:instrText>
        </w:r>
        <w:r w:rsidR="00567F6E">
          <w:rPr>
            <w:noProof/>
            <w:webHidden/>
          </w:rPr>
        </w:r>
        <w:r w:rsidR="00567F6E">
          <w:rPr>
            <w:noProof/>
            <w:webHidden/>
          </w:rPr>
          <w:fldChar w:fldCharType="separate"/>
        </w:r>
        <w:r w:rsidR="00567F6E">
          <w:rPr>
            <w:noProof/>
            <w:webHidden/>
          </w:rPr>
          <w:t>152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7" w:history="1">
        <w:r w:rsidR="00567F6E" w:rsidRPr="008D3BC2">
          <w:rPr>
            <w:rStyle w:val="Hyperlink"/>
            <w:noProof/>
          </w:rPr>
          <w:t>4.6 Conclusion</w:t>
        </w:r>
        <w:r w:rsidR="00567F6E">
          <w:rPr>
            <w:noProof/>
            <w:webHidden/>
          </w:rPr>
          <w:tab/>
        </w:r>
        <w:r w:rsidR="00567F6E">
          <w:rPr>
            <w:noProof/>
            <w:webHidden/>
          </w:rPr>
          <w:fldChar w:fldCharType="begin"/>
        </w:r>
        <w:r w:rsidR="00567F6E">
          <w:rPr>
            <w:noProof/>
            <w:webHidden/>
          </w:rPr>
          <w:instrText xml:space="preserve"> PAGEREF _Toc506232397 \h </w:instrText>
        </w:r>
        <w:r w:rsidR="00567F6E">
          <w:rPr>
            <w:noProof/>
            <w:webHidden/>
          </w:rPr>
        </w:r>
        <w:r w:rsidR="00567F6E">
          <w:rPr>
            <w:noProof/>
            <w:webHidden/>
          </w:rPr>
          <w:fldChar w:fldCharType="separate"/>
        </w:r>
        <w:r w:rsidR="00567F6E">
          <w:rPr>
            <w:noProof/>
            <w:webHidden/>
          </w:rPr>
          <w:t>152</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8" w:history="1">
        <w:r w:rsidR="00567F6E" w:rsidRPr="008D3BC2">
          <w:rPr>
            <w:rStyle w:val="Hyperlink"/>
            <w:noProof/>
          </w:rPr>
          <w:t>4.7 Seventh wave laboratory</w:t>
        </w:r>
        <w:r w:rsidR="00567F6E">
          <w:rPr>
            <w:noProof/>
            <w:webHidden/>
          </w:rPr>
          <w:tab/>
        </w:r>
        <w:r w:rsidR="00567F6E">
          <w:rPr>
            <w:noProof/>
            <w:webHidden/>
          </w:rPr>
          <w:fldChar w:fldCharType="begin"/>
        </w:r>
        <w:r w:rsidR="00567F6E">
          <w:rPr>
            <w:noProof/>
            <w:webHidden/>
          </w:rPr>
          <w:instrText xml:space="preserve"> PAGEREF _Toc506232398 \h </w:instrText>
        </w:r>
        <w:r w:rsidR="00567F6E">
          <w:rPr>
            <w:noProof/>
            <w:webHidden/>
          </w:rPr>
        </w:r>
        <w:r w:rsidR="00567F6E">
          <w:rPr>
            <w:noProof/>
            <w:webHidden/>
          </w:rPr>
          <w:fldChar w:fldCharType="separate"/>
        </w:r>
        <w:r w:rsidR="00567F6E">
          <w:rPr>
            <w:noProof/>
            <w:webHidden/>
          </w:rPr>
          <w:t>153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399" w:history="1">
        <w:r w:rsidR="00567F6E" w:rsidRPr="008D3BC2">
          <w:rPr>
            <w:rStyle w:val="Hyperlink"/>
            <w:noProof/>
          </w:rPr>
          <w:t>5.1 Introduction</w:t>
        </w:r>
        <w:r w:rsidR="00567F6E">
          <w:rPr>
            <w:noProof/>
            <w:webHidden/>
          </w:rPr>
          <w:tab/>
        </w:r>
        <w:r w:rsidR="00567F6E">
          <w:rPr>
            <w:noProof/>
            <w:webHidden/>
          </w:rPr>
          <w:fldChar w:fldCharType="begin"/>
        </w:r>
        <w:r w:rsidR="00567F6E">
          <w:rPr>
            <w:noProof/>
            <w:webHidden/>
          </w:rPr>
          <w:instrText xml:space="preserve"> PAGEREF _Toc506232399 \h </w:instrText>
        </w:r>
        <w:r w:rsidR="00567F6E">
          <w:rPr>
            <w:noProof/>
            <w:webHidden/>
          </w:rPr>
        </w:r>
        <w:r w:rsidR="00567F6E">
          <w:rPr>
            <w:noProof/>
            <w:webHidden/>
          </w:rPr>
          <w:fldChar w:fldCharType="separate"/>
        </w:r>
        <w:r w:rsidR="00567F6E">
          <w:rPr>
            <w:noProof/>
            <w:webHidden/>
          </w:rPr>
          <w:t>155</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00" w:history="1">
        <w:r w:rsidR="00567F6E" w:rsidRPr="008D3BC2">
          <w:rPr>
            <w:rStyle w:val="Hyperlink"/>
            <w:noProof/>
          </w:rPr>
          <w:t>5.2 Determination of serine proteinase activities in NRK52E, NRK49F and CRL2573 cells.</w:t>
        </w:r>
        <w:r w:rsidR="00567F6E">
          <w:rPr>
            <w:noProof/>
            <w:webHidden/>
          </w:rPr>
          <w:tab/>
        </w:r>
        <w:r w:rsidR="00567F6E">
          <w:rPr>
            <w:noProof/>
            <w:webHidden/>
          </w:rPr>
          <w:fldChar w:fldCharType="begin"/>
        </w:r>
        <w:r w:rsidR="00567F6E">
          <w:rPr>
            <w:noProof/>
            <w:webHidden/>
          </w:rPr>
          <w:instrText xml:space="preserve"> PAGEREF _Toc506232400 \h </w:instrText>
        </w:r>
        <w:r w:rsidR="00567F6E">
          <w:rPr>
            <w:noProof/>
            <w:webHidden/>
          </w:rPr>
        </w:r>
        <w:r w:rsidR="00567F6E">
          <w:rPr>
            <w:noProof/>
            <w:webHidden/>
          </w:rPr>
          <w:fldChar w:fldCharType="separate"/>
        </w:r>
        <w:r w:rsidR="00567F6E">
          <w:rPr>
            <w:noProof/>
            <w:webHidden/>
          </w:rPr>
          <w:t>157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1" w:history="1">
        <w:r w:rsidR="00567F6E" w:rsidRPr="008D3BC2">
          <w:rPr>
            <w:rStyle w:val="Hyperlink"/>
            <w:noProof/>
          </w:rPr>
          <w:t>5.2.1 Plasmin</w:t>
        </w:r>
        <w:r w:rsidR="00567F6E">
          <w:rPr>
            <w:noProof/>
            <w:webHidden/>
          </w:rPr>
          <w:tab/>
        </w:r>
        <w:r w:rsidR="00567F6E">
          <w:rPr>
            <w:noProof/>
            <w:webHidden/>
          </w:rPr>
          <w:fldChar w:fldCharType="begin"/>
        </w:r>
        <w:r w:rsidR="00567F6E">
          <w:rPr>
            <w:noProof/>
            <w:webHidden/>
          </w:rPr>
          <w:instrText xml:space="preserve"> PAGEREF _Toc506232401 \h </w:instrText>
        </w:r>
        <w:r w:rsidR="00567F6E">
          <w:rPr>
            <w:noProof/>
            <w:webHidden/>
          </w:rPr>
        </w:r>
        <w:r w:rsidR="00567F6E">
          <w:rPr>
            <w:noProof/>
            <w:webHidden/>
          </w:rPr>
          <w:fldChar w:fldCharType="separate"/>
        </w:r>
        <w:r w:rsidR="00567F6E">
          <w:rPr>
            <w:noProof/>
            <w:webHidden/>
          </w:rPr>
          <w:t>157</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2" w:history="1">
        <w:r w:rsidR="00567F6E" w:rsidRPr="008D3BC2">
          <w:rPr>
            <w:rStyle w:val="Hyperlink"/>
            <w:noProof/>
          </w:rPr>
          <w:t>5.2.2 Calculation of uPA activities in NRK52E, NRK49F and CRL2573 cells.</w:t>
        </w:r>
        <w:r w:rsidR="00567F6E">
          <w:rPr>
            <w:noProof/>
            <w:webHidden/>
          </w:rPr>
          <w:tab/>
        </w:r>
        <w:r w:rsidR="00567F6E">
          <w:rPr>
            <w:noProof/>
            <w:webHidden/>
          </w:rPr>
          <w:fldChar w:fldCharType="begin"/>
        </w:r>
        <w:r w:rsidR="00567F6E">
          <w:rPr>
            <w:noProof/>
            <w:webHidden/>
          </w:rPr>
          <w:instrText xml:space="preserve"> PAGEREF _Toc506232402 \h </w:instrText>
        </w:r>
        <w:r w:rsidR="00567F6E">
          <w:rPr>
            <w:noProof/>
            <w:webHidden/>
          </w:rPr>
        </w:r>
        <w:r w:rsidR="00567F6E">
          <w:rPr>
            <w:noProof/>
            <w:webHidden/>
          </w:rPr>
          <w:fldChar w:fldCharType="separate"/>
        </w:r>
        <w:r w:rsidR="00567F6E">
          <w:rPr>
            <w:noProof/>
            <w:webHidden/>
          </w:rPr>
          <w:t>158</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3" w:history="1">
        <w:r w:rsidR="00567F6E" w:rsidRPr="008D3BC2">
          <w:rPr>
            <w:rStyle w:val="Hyperlink"/>
            <w:noProof/>
          </w:rPr>
          <w:t>5.2.3 Tissue type plasminogen activator</w:t>
        </w:r>
        <w:r w:rsidR="00567F6E">
          <w:rPr>
            <w:noProof/>
            <w:webHidden/>
          </w:rPr>
          <w:tab/>
        </w:r>
        <w:r w:rsidR="00567F6E">
          <w:rPr>
            <w:noProof/>
            <w:webHidden/>
          </w:rPr>
          <w:fldChar w:fldCharType="begin"/>
        </w:r>
        <w:r w:rsidR="00567F6E">
          <w:rPr>
            <w:noProof/>
            <w:webHidden/>
          </w:rPr>
          <w:instrText xml:space="preserve"> PAGEREF _Toc506232403 \h </w:instrText>
        </w:r>
        <w:r w:rsidR="00567F6E">
          <w:rPr>
            <w:noProof/>
            <w:webHidden/>
          </w:rPr>
        </w:r>
        <w:r w:rsidR="00567F6E">
          <w:rPr>
            <w:noProof/>
            <w:webHidden/>
          </w:rPr>
          <w:fldChar w:fldCharType="separate"/>
        </w:r>
        <w:r w:rsidR="00567F6E">
          <w:rPr>
            <w:noProof/>
            <w:webHidden/>
          </w:rPr>
          <w:t>159</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4" w:history="1">
        <w:r w:rsidR="00567F6E" w:rsidRPr="008D3BC2">
          <w:rPr>
            <w:rStyle w:val="Hyperlink"/>
            <w:noProof/>
          </w:rPr>
          <w:t>5.2.4 Urokinase type plasminogen activator</w:t>
        </w:r>
        <w:r w:rsidR="00567F6E">
          <w:rPr>
            <w:noProof/>
            <w:webHidden/>
          </w:rPr>
          <w:tab/>
        </w:r>
        <w:r w:rsidR="00567F6E">
          <w:rPr>
            <w:noProof/>
            <w:webHidden/>
          </w:rPr>
          <w:fldChar w:fldCharType="begin"/>
        </w:r>
        <w:r w:rsidR="00567F6E">
          <w:rPr>
            <w:noProof/>
            <w:webHidden/>
          </w:rPr>
          <w:instrText xml:space="preserve"> PAGEREF _Toc506232404 \h </w:instrText>
        </w:r>
        <w:r w:rsidR="00567F6E">
          <w:rPr>
            <w:noProof/>
            <w:webHidden/>
          </w:rPr>
        </w:r>
        <w:r w:rsidR="00567F6E">
          <w:rPr>
            <w:noProof/>
            <w:webHidden/>
          </w:rPr>
          <w:fldChar w:fldCharType="separate"/>
        </w:r>
        <w:r w:rsidR="00567F6E">
          <w:rPr>
            <w:noProof/>
            <w:webHidden/>
          </w:rPr>
          <w:t>160</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05" w:history="1">
        <w:r w:rsidR="00567F6E" w:rsidRPr="008D3BC2">
          <w:rPr>
            <w:rStyle w:val="Hyperlink"/>
            <w:noProof/>
          </w:rPr>
          <w:t>5.3 Determination of CPB2 activity in NRK52E, NRK49F and CRL2573 cells.</w:t>
        </w:r>
        <w:r w:rsidR="00567F6E">
          <w:rPr>
            <w:noProof/>
            <w:webHidden/>
          </w:rPr>
          <w:tab/>
        </w:r>
        <w:r w:rsidR="00567F6E">
          <w:rPr>
            <w:noProof/>
            <w:webHidden/>
          </w:rPr>
          <w:fldChar w:fldCharType="begin"/>
        </w:r>
        <w:r w:rsidR="00567F6E">
          <w:rPr>
            <w:noProof/>
            <w:webHidden/>
          </w:rPr>
          <w:instrText xml:space="preserve"> PAGEREF _Toc506232405 \h </w:instrText>
        </w:r>
        <w:r w:rsidR="00567F6E">
          <w:rPr>
            <w:noProof/>
            <w:webHidden/>
          </w:rPr>
        </w:r>
        <w:r w:rsidR="00567F6E">
          <w:rPr>
            <w:noProof/>
            <w:webHidden/>
          </w:rPr>
          <w:fldChar w:fldCharType="separate"/>
        </w:r>
        <w:r w:rsidR="00567F6E">
          <w:rPr>
            <w:noProof/>
            <w:webHidden/>
          </w:rPr>
          <w:t>161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06" w:history="1">
        <w:r w:rsidR="00567F6E" w:rsidRPr="008D3BC2">
          <w:rPr>
            <w:rStyle w:val="Hyperlink"/>
            <w:noProof/>
          </w:rPr>
          <w:t>5.4 Discussion</w:t>
        </w:r>
        <w:r w:rsidR="00567F6E">
          <w:rPr>
            <w:noProof/>
            <w:webHidden/>
          </w:rPr>
          <w:tab/>
        </w:r>
        <w:r w:rsidR="00567F6E">
          <w:rPr>
            <w:noProof/>
            <w:webHidden/>
          </w:rPr>
          <w:fldChar w:fldCharType="begin"/>
        </w:r>
        <w:r w:rsidR="00567F6E">
          <w:rPr>
            <w:noProof/>
            <w:webHidden/>
          </w:rPr>
          <w:instrText xml:space="preserve"> PAGEREF _Toc506232406 \h </w:instrText>
        </w:r>
        <w:r w:rsidR="00567F6E">
          <w:rPr>
            <w:noProof/>
            <w:webHidden/>
          </w:rPr>
        </w:r>
        <w:r w:rsidR="00567F6E">
          <w:rPr>
            <w:noProof/>
            <w:webHidden/>
          </w:rPr>
          <w:fldChar w:fldCharType="separate"/>
        </w:r>
        <w:r w:rsidR="00567F6E">
          <w:rPr>
            <w:noProof/>
            <w:webHidden/>
          </w:rPr>
          <w:t>161</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07" w:history="1">
        <w:r w:rsidR="00567F6E" w:rsidRPr="008D3BC2">
          <w:rPr>
            <w:rStyle w:val="Hyperlink"/>
            <w:noProof/>
          </w:rPr>
          <w:t>5.5 Determination of serine proteinase activity of NRK52E, NRK49F and CRL2573 cells in high glucose media.</w:t>
        </w:r>
        <w:r w:rsidR="00567F6E">
          <w:rPr>
            <w:noProof/>
            <w:webHidden/>
          </w:rPr>
          <w:tab/>
        </w:r>
        <w:r w:rsidR="00567F6E">
          <w:rPr>
            <w:noProof/>
            <w:webHidden/>
          </w:rPr>
          <w:fldChar w:fldCharType="begin"/>
        </w:r>
        <w:r w:rsidR="00567F6E">
          <w:rPr>
            <w:noProof/>
            <w:webHidden/>
          </w:rPr>
          <w:instrText xml:space="preserve"> PAGEREF _Toc506232407 \h </w:instrText>
        </w:r>
        <w:r w:rsidR="00567F6E">
          <w:rPr>
            <w:noProof/>
            <w:webHidden/>
          </w:rPr>
        </w:r>
        <w:r w:rsidR="00567F6E">
          <w:rPr>
            <w:noProof/>
            <w:webHidden/>
          </w:rPr>
          <w:fldChar w:fldCharType="separate"/>
        </w:r>
        <w:r w:rsidR="00567F6E">
          <w:rPr>
            <w:noProof/>
            <w:webHidden/>
          </w:rPr>
          <w:t>162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8" w:history="1">
        <w:r w:rsidR="00567F6E" w:rsidRPr="008D3BC2">
          <w:rPr>
            <w:rStyle w:val="Hyperlink"/>
            <w:noProof/>
          </w:rPr>
          <w:t>5.5.1 Introduction</w:t>
        </w:r>
        <w:r w:rsidR="00567F6E">
          <w:rPr>
            <w:noProof/>
            <w:webHidden/>
          </w:rPr>
          <w:tab/>
        </w:r>
        <w:r w:rsidR="00567F6E">
          <w:rPr>
            <w:noProof/>
            <w:webHidden/>
          </w:rPr>
          <w:fldChar w:fldCharType="begin"/>
        </w:r>
        <w:r w:rsidR="00567F6E">
          <w:rPr>
            <w:noProof/>
            <w:webHidden/>
          </w:rPr>
          <w:instrText xml:space="preserve"> PAGEREF _Toc506232408 \h </w:instrText>
        </w:r>
        <w:r w:rsidR="00567F6E">
          <w:rPr>
            <w:noProof/>
            <w:webHidden/>
          </w:rPr>
        </w:r>
        <w:r w:rsidR="00567F6E">
          <w:rPr>
            <w:noProof/>
            <w:webHidden/>
          </w:rPr>
          <w:fldChar w:fldCharType="separate"/>
        </w:r>
        <w:r w:rsidR="00567F6E">
          <w:rPr>
            <w:noProof/>
            <w:webHidden/>
          </w:rPr>
          <w:t>162</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09" w:history="1">
        <w:r w:rsidR="00567F6E" w:rsidRPr="008D3BC2">
          <w:rPr>
            <w:rStyle w:val="Hyperlink"/>
            <w:noProof/>
          </w:rPr>
          <w:t>5.5.2 Discussion</w:t>
        </w:r>
        <w:r w:rsidR="00567F6E">
          <w:rPr>
            <w:noProof/>
            <w:webHidden/>
          </w:rPr>
          <w:tab/>
        </w:r>
        <w:r w:rsidR="00567F6E">
          <w:rPr>
            <w:noProof/>
            <w:webHidden/>
          </w:rPr>
          <w:fldChar w:fldCharType="begin"/>
        </w:r>
        <w:r w:rsidR="00567F6E">
          <w:rPr>
            <w:noProof/>
            <w:webHidden/>
          </w:rPr>
          <w:instrText xml:space="preserve"> PAGEREF _Toc506232409 \h </w:instrText>
        </w:r>
        <w:r w:rsidR="00567F6E">
          <w:rPr>
            <w:noProof/>
            <w:webHidden/>
          </w:rPr>
        </w:r>
        <w:r w:rsidR="00567F6E">
          <w:rPr>
            <w:noProof/>
            <w:webHidden/>
          </w:rPr>
          <w:fldChar w:fldCharType="separate"/>
        </w:r>
        <w:r w:rsidR="00567F6E">
          <w:rPr>
            <w:noProof/>
            <w:webHidden/>
          </w:rPr>
          <w:t>166</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10" w:history="1">
        <w:r w:rsidR="00567F6E" w:rsidRPr="008D3BC2">
          <w:rPr>
            <w:rStyle w:val="Hyperlink"/>
            <w:noProof/>
          </w:rPr>
          <w:t>5.6 The role of UK-396082 in up regulating plasminogen-plasmin activity in an in vitro model of diabetes.</w:t>
        </w:r>
        <w:r w:rsidR="00567F6E">
          <w:rPr>
            <w:noProof/>
            <w:webHidden/>
          </w:rPr>
          <w:tab/>
        </w:r>
        <w:r w:rsidR="00567F6E">
          <w:rPr>
            <w:noProof/>
            <w:webHidden/>
          </w:rPr>
          <w:fldChar w:fldCharType="begin"/>
        </w:r>
        <w:r w:rsidR="00567F6E">
          <w:rPr>
            <w:noProof/>
            <w:webHidden/>
          </w:rPr>
          <w:instrText xml:space="preserve"> PAGEREF _Toc506232410 \h </w:instrText>
        </w:r>
        <w:r w:rsidR="00567F6E">
          <w:rPr>
            <w:noProof/>
            <w:webHidden/>
          </w:rPr>
        </w:r>
        <w:r w:rsidR="00567F6E">
          <w:rPr>
            <w:noProof/>
            <w:webHidden/>
          </w:rPr>
          <w:fldChar w:fldCharType="separate"/>
        </w:r>
        <w:r w:rsidR="00567F6E">
          <w:rPr>
            <w:noProof/>
            <w:webHidden/>
          </w:rPr>
          <w:t>166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11" w:history="1">
        <w:r w:rsidR="00567F6E" w:rsidRPr="008D3BC2">
          <w:rPr>
            <w:rStyle w:val="Hyperlink"/>
            <w:noProof/>
          </w:rPr>
          <w:t>5.6.1 Introduction</w:t>
        </w:r>
        <w:r w:rsidR="00567F6E">
          <w:rPr>
            <w:noProof/>
            <w:webHidden/>
          </w:rPr>
          <w:tab/>
        </w:r>
        <w:r w:rsidR="00567F6E">
          <w:rPr>
            <w:noProof/>
            <w:webHidden/>
          </w:rPr>
          <w:fldChar w:fldCharType="begin"/>
        </w:r>
        <w:r w:rsidR="00567F6E">
          <w:rPr>
            <w:noProof/>
            <w:webHidden/>
          </w:rPr>
          <w:instrText xml:space="preserve"> PAGEREF _Toc506232411 \h </w:instrText>
        </w:r>
        <w:r w:rsidR="00567F6E">
          <w:rPr>
            <w:noProof/>
            <w:webHidden/>
          </w:rPr>
        </w:r>
        <w:r w:rsidR="00567F6E">
          <w:rPr>
            <w:noProof/>
            <w:webHidden/>
          </w:rPr>
          <w:fldChar w:fldCharType="separate"/>
        </w:r>
        <w:r w:rsidR="00567F6E">
          <w:rPr>
            <w:noProof/>
            <w:webHidden/>
          </w:rPr>
          <w:t>166</w:t>
        </w:r>
        <w:r w:rsidR="00567F6E">
          <w:rPr>
            <w:noProof/>
            <w:webHidden/>
          </w:rPr>
          <w:fldChar w:fldCharType="end"/>
        </w:r>
      </w:hyperlink>
    </w:p>
    <w:p w:rsidR="00567F6E" w:rsidRDefault="00203416">
      <w:pPr>
        <w:pStyle w:val="TOC4"/>
        <w:tabs>
          <w:tab w:val="right" w:leader="dot" w:pos="7643"/>
        </w:tabs>
        <w:rPr>
          <w:rFonts w:eastAsiaTheme="minorEastAsia" w:cstheme="minorBidi"/>
          <w:noProof/>
          <w:sz w:val="22"/>
          <w:szCs w:val="22"/>
          <w:lang w:eastAsia="en-GB"/>
        </w:rPr>
      </w:pPr>
      <w:hyperlink w:anchor="_Toc506232412" w:history="1">
        <w:r w:rsidR="00567F6E" w:rsidRPr="008D3BC2">
          <w:rPr>
            <w:rStyle w:val="Hyperlink"/>
            <w:noProof/>
          </w:rPr>
          <w:t>5.6.2 Discussion</w:t>
        </w:r>
        <w:r w:rsidR="00567F6E">
          <w:rPr>
            <w:noProof/>
            <w:webHidden/>
          </w:rPr>
          <w:tab/>
        </w:r>
        <w:r w:rsidR="00567F6E">
          <w:rPr>
            <w:noProof/>
            <w:webHidden/>
          </w:rPr>
          <w:fldChar w:fldCharType="begin"/>
        </w:r>
        <w:r w:rsidR="00567F6E">
          <w:rPr>
            <w:noProof/>
            <w:webHidden/>
          </w:rPr>
          <w:instrText xml:space="preserve"> PAGEREF _Toc506232412 \h </w:instrText>
        </w:r>
        <w:r w:rsidR="00567F6E">
          <w:rPr>
            <w:noProof/>
            <w:webHidden/>
          </w:rPr>
        </w:r>
        <w:r w:rsidR="00567F6E">
          <w:rPr>
            <w:noProof/>
            <w:webHidden/>
          </w:rPr>
          <w:fldChar w:fldCharType="separate"/>
        </w:r>
        <w:r w:rsidR="00567F6E">
          <w:rPr>
            <w:noProof/>
            <w:webHidden/>
          </w:rPr>
          <w:t>169</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13" w:history="1">
        <w:r w:rsidR="00567F6E" w:rsidRPr="008D3BC2">
          <w:rPr>
            <w:rStyle w:val="Hyperlink"/>
            <w:rFonts w:eastAsia="Calibri"/>
            <w:noProof/>
            <w:lang w:val="en-US"/>
          </w:rPr>
          <w:t>6.1 Introduction</w:t>
        </w:r>
        <w:r w:rsidR="00567F6E">
          <w:rPr>
            <w:noProof/>
            <w:webHidden/>
          </w:rPr>
          <w:tab/>
        </w:r>
        <w:r w:rsidR="00567F6E">
          <w:rPr>
            <w:noProof/>
            <w:webHidden/>
          </w:rPr>
          <w:fldChar w:fldCharType="begin"/>
        </w:r>
        <w:r w:rsidR="00567F6E">
          <w:rPr>
            <w:noProof/>
            <w:webHidden/>
          </w:rPr>
          <w:instrText xml:space="preserve"> PAGEREF _Toc506232413 \h </w:instrText>
        </w:r>
        <w:r w:rsidR="00567F6E">
          <w:rPr>
            <w:noProof/>
            <w:webHidden/>
          </w:rPr>
        </w:r>
        <w:r w:rsidR="00567F6E">
          <w:rPr>
            <w:noProof/>
            <w:webHidden/>
          </w:rPr>
          <w:fldChar w:fldCharType="separate"/>
        </w:r>
        <w:r w:rsidR="00567F6E">
          <w:rPr>
            <w:noProof/>
            <w:webHidden/>
          </w:rPr>
          <w:t>173</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14" w:history="1">
        <w:r w:rsidR="00567F6E" w:rsidRPr="008D3BC2">
          <w:rPr>
            <w:rStyle w:val="Hyperlink"/>
            <w:noProof/>
          </w:rPr>
          <w:t>6.2 Physiological state of the rats.</w:t>
        </w:r>
        <w:r w:rsidR="00567F6E">
          <w:rPr>
            <w:noProof/>
            <w:webHidden/>
          </w:rPr>
          <w:tab/>
        </w:r>
        <w:r w:rsidR="00567F6E">
          <w:rPr>
            <w:noProof/>
            <w:webHidden/>
          </w:rPr>
          <w:fldChar w:fldCharType="begin"/>
        </w:r>
        <w:r w:rsidR="00567F6E">
          <w:rPr>
            <w:noProof/>
            <w:webHidden/>
          </w:rPr>
          <w:instrText xml:space="preserve"> PAGEREF _Toc506232414 \h </w:instrText>
        </w:r>
        <w:r w:rsidR="00567F6E">
          <w:rPr>
            <w:noProof/>
            <w:webHidden/>
          </w:rPr>
        </w:r>
        <w:r w:rsidR="00567F6E">
          <w:rPr>
            <w:noProof/>
            <w:webHidden/>
          </w:rPr>
          <w:fldChar w:fldCharType="separate"/>
        </w:r>
        <w:r w:rsidR="00567F6E">
          <w:rPr>
            <w:noProof/>
            <w:webHidden/>
          </w:rPr>
          <w:t>174</w:t>
        </w:r>
        <w:r w:rsidR="00567F6E">
          <w:rPr>
            <w:noProof/>
            <w:webHidden/>
          </w:rPr>
          <w:fldChar w:fldCharType="end"/>
        </w:r>
      </w:hyperlink>
    </w:p>
    <w:p w:rsidR="00567F6E" w:rsidRDefault="00203416">
      <w:pPr>
        <w:pStyle w:val="TOC3"/>
        <w:tabs>
          <w:tab w:val="right" w:leader="dot" w:pos="7643"/>
        </w:tabs>
        <w:rPr>
          <w:rFonts w:eastAsiaTheme="minorEastAsia" w:cstheme="minorBidi"/>
          <w:i w:val="0"/>
          <w:iCs w:val="0"/>
          <w:noProof/>
          <w:sz w:val="22"/>
          <w:szCs w:val="22"/>
          <w:lang w:eastAsia="en-GB"/>
        </w:rPr>
      </w:pPr>
      <w:hyperlink w:anchor="_Toc506232415" w:history="1">
        <w:r w:rsidR="00567F6E" w:rsidRPr="008D3BC2">
          <w:rPr>
            <w:rStyle w:val="Hyperlink"/>
            <w:rFonts w:eastAsia="Times New Roman"/>
            <w:noProof/>
            <w:lang w:eastAsia="en-GB"/>
          </w:rPr>
          <w:t>6.3 Chronic kidney disease model</w:t>
        </w:r>
        <w:r w:rsidR="00567F6E">
          <w:rPr>
            <w:noProof/>
            <w:webHidden/>
          </w:rPr>
          <w:tab/>
        </w:r>
        <w:r w:rsidR="00567F6E">
          <w:rPr>
            <w:noProof/>
            <w:webHidden/>
          </w:rPr>
          <w:fldChar w:fldCharType="begin"/>
        </w:r>
        <w:r w:rsidR="00567F6E">
          <w:rPr>
            <w:noProof/>
            <w:webHidden/>
          </w:rPr>
          <w:instrText xml:space="preserve"> PAGEREF _Toc506232415 \h </w:instrText>
        </w:r>
        <w:r w:rsidR="00567F6E">
          <w:rPr>
            <w:noProof/>
            <w:webHidden/>
          </w:rPr>
        </w:r>
        <w:r w:rsidR="00567F6E">
          <w:rPr>
            <w:noProof/>
            <w:webHidden/>
          </w:rPr>
          <w:fldChar w:fldCharType="separate"/>
        </w:r>
        <w:r w:rsidR="00567F6E">
          <w:rPr>
            <w:noProof/>
            <w:webHidden/>
          </w:rPr>
          <w:t>175</w:t>
        </w:r>
        <w:r w:rsidR="00567F6E">
          <w:rPr>
            <w:noProof/>
            <w:webHidden/>
          </w:rPr>
          <w:fldChar w:fldCharType="end"/>
        </w:r>
      </w:hyperlink>
    </w:p>
    <w:p w:rsidR="00717620" w:rsidRDefault="007D497A">
      <w:pPr>
        <w:spacing w:after="160" w:line="259" w:lineRule="auto"/>
        <w:jc w:val="left"/>
        <w:rPr>
          <w:highlight w:val="lightGray"/>
          <w:lang w:eastAsia="en-GB"/>
        </w:rPr>
      </w:pPr>
      <w:r w:rsidRPr="00704244">
        <w:rPr>
          <w:highlight w:val="lightGray"/>
          <w:lang w:eastAsia="en-GB"/>
        </w:rPr>
        <w:fldChar w:fldCharType="end"/>
      </w:r>
    </w:p>
    <w:p w:rsidR="00405989" w:rsidRDefault="00717620">
      <w:pPr>
        <w:spacing w:after="160" w:line="259" w:lineRule="auto"/>
        <w:jc w:val="left"/>
        <w:rPr>
          <w:highlight w:val="lightGray"/>
          <w:lang w:eastAsia="en-GB"/>
        </w:rPr>
      </w:pPr>
      <w:r>
        <w:rPr>
          <w:highlight w:val="lightGray"/>
          <w:lang w:eastAsia="en-GB"/>
        </w:rPr>
        <w:br w:type="page"/>
      </w:r>
    </w:p>
    <w:p w:rsidR="00514A4B" w:rsidRDefault="007D5F92" w:rsidP="00514A4B">
      <w:pPr>
        <w:rPr>
          <w:noProof/>
        </w:rPr>
      </w:pPr>
      <w:r>
        <w:rPr>
          <w:b/>
        </w:rPr>
        <w:lastRenderedPageBreak/>
        <w:t>Table</w:t>
      </w:r>
      <w:r w:rsidR="0075502F" w:rsidRPr="00306F6F">
        <w:rPr>
          <w:b/>
        </w:rPr>
        <w:t xml:space="preserve"> of Figure</w:t>
      </w:r>
      <w:r w:rsidR="00514A4B">
        <w:rPr>
          <w:b/>
          <w:sz w:val="32"/>
          <w:highlight w:val="lightGray"/>
          <w:lang w:eastAsia="en-GB"/>
        </w:rPr>
        <w:fldChar w:fldCharType="begin"/>
      </w:r>
      <w:r w:rsidR="00514A4B">
        <w:rPr>
          <w:b/>
          <w:sz w:val="32"/>
          <w:highlight w:val="lightGray"/>
          <w:lang w:eastAsia="en-GB"/>
        </w:rPr>
        <w:instrText xml:space="preserve"> TOC \t "Subtitle,1" \c "Figure" </w:instrText>
      </w:r>
      <w:r w:rsidR="00514A4B">
        <w:rPr>
          <w:b/>
          <w:sz w:val="32"/>
          <w:highlight w:val="lightGray"/>
          <w:lang w:eastAsia="en-GB"/>
        </w:rPr>
        <w:fldChar w:fldCharType="separate"/>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1.1 The nephron</w:t>
      </w:r>
      <w:r>
        <w:rPr>
          <w:noProof/>
        </w:rPr>
        <w:tab/>
      </w:r>
      <w:r>
        <w:rPr>
          <w:noProof/>
        </w:rPr>
        <w:fldChar w:fldCharType="begin"/>
      </w:r>
      <w:r>
        <w:rPr>
          <w:noProof/>
        </w:rPr>
        <w:instrText xml:space="preserve"> PAGEREF _Toc504640557 \h </w:instrText>
      </w:r>
      <w:r>
        <w:rPr>
          <w:noProof/>
        </w:rPr>
      </w:r>
      <w:r>
        <w:rPr>
          <w:noProof/>
        </w:rPr>
        <w:fldChar w:fldCharType="separate"/>
      </w:r>
      <w:r>
        <w:rPr>
          <w:noProof/>
        </w:rPr>
        <w:t>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1.2 Transvers section of the kidney</w:t>
      </w:r>
      <w:r>
        <w:rPr>
          <w:noProof/>
        </w:rPr>
        <w:tab/>
      </w:r>
      <w:r>
        <w:rPr>
          <w:noProof/>
        </w:rPr>
        <w:fldChar w:fldCharType="begin"/>
      </w:r>
      <w:r>
        <w:rPr>
          <w:noProof/>
        </w:rPr>
        <w:instrText xml:space="preserve"> PAGEREF _Toc504640558 \h </w:instrText>
      </w:r>
      <w:r>
        <w:rPr>
          <w:noProof/>
        </w:rPr>
      </w:r>
      <w:r>
        <w:rPr>
          <w:noProof/>
        </w:rPr>
        <w:fldChar w:fldCharType="separate"/>
      </w:r>
      <w:r>
        <w:rPr>
          <w:noProof/>
        </w:rPr>
        <w:t>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1.3 Basement membrane</w:t>
      </w:r>
      <w:r>
        <w:rPr>
          <w:noProof/>
        </w:rPr>
        <w:tab/>
      </w:r>
      <w:r>
        <w:rPr>
          <w:noProof/>
        </w:rPr>
        <w:fldChar w:fldCharType="begin"/>
      </w:r>
      <w:r>
        <w:rPr>
          <w:noProof/>
        </w:rPr>
        <w:instrText xml:space="preserve"> PAGEREF _Toc504640559 \h </w:instrText>
      </w:r>
      <w:r>
        <w:rPr>
          <w:noProof/>
        </w:rPr>
      </w:r>
      <w:r>
        <w:rPr>
          <w:noProof/>
        </w:rPr>
        <w:fldChar w:fldCharType="separate"/>
      </w:r>
      <w:r>
        <w:rPr>
          <w:noProof/>
        </w:rPr>
        <w:t>14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1.4 Filtration mechanism</w:t>
      </w:r>
      <w:r>
        <w:rPr>
          <w:noProof/>
        </w:rPr>
        <w:tab/>
      </w:r>
      <w:r>
        <w:rPr>
          <w:noProof/>
        </w:rPr>
        <w:fldChar w:fldCharType="begin"/>
      </w:r>
      <w:r>
        <w:rPr>
          <w:noProof/>
        </w:rPr>
        <w:instrText xml:space="preserve"> PAGEREF _Toc504640560 \h </w:instrText>
      </w:r>
      <w:r>
        <w:rPr>
          <w:noProof/>
        </w:rPr>
      </w:r>
      <w:r>
        <w:rPr>
          <w:noProof/>
        </w:rPr>
        <w:fldChar w:fldCharType="separate"/>
      </w:r>
      <w:r>
        <w:rPr>
          <w:noProof/>
        </w:rPr>
        <w:t>16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1.5. Glomerular endothelium</w:t>
      </w:r>
      <w:r>
        <w:rPr>
          <w:noProof/>
        </w:rPr>
        <w:tab/>
      </w:r>
      <w:r>
        <w:rPr>
          <w:noProof/>
        </w:rPr>
        <w:fldChar w:fldCharType="begin"/>
      </w:r>
      <w:r>
        <w:rPr>
          <w:noProof/>
        </w:rPr>
        <w:instrText xml:space="preserve"> PAGEREF _Toc504640561 \h </w:instrText>
      </w:r>
      <w:r>
        <w:rPr>
          <w:noProof/>
        </w:rPr>
      </w:r>
      <w:r>
        <w:rPr>
          <w:noProof/>
        </w:rPr>
        <w:fldChar w:fldCharType="separate"/>
      </w:r>
      <w:r>
        <w:rPr>
          <w:noProof/>
        </w:rPr>
        <w:t>18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1.6 Schematic representation of activation of carboxypeptidase B2.</w:t>
      </w:r>
      <w:r>
        <w:rPr>
          <w:noProof/>
        </w:rPr>
        <w:tab/>
      </w:r>
      <w:r>
        <w:rPr>
          <w:noProof/>
        </w:rPr>
        <w:fldChar w:fldCharType="begin"/>
      </w:r>
      <w:r>
        <w:rPr>
          <w:noProof/>
        </w:rPr>
        <w:instrText xml:space="preserve"> PAGEREF _Toc504640563 \h </w:instrText>
      </w:r>
      <w:r>
        <w:rPr>
          <w:noProof/>
        </w:rPr>
      </w:r>
      <w:r>
        <w:rPr>
          <w:noProof/>
        </w:rPr>
        <w:fldChar w:fldCharType="separate"/>
      </w:r>
      <w:r>
        <w:rPr>
          <w:noProof/>
        </w:rPr>
        <w:t>31</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Pr>
          <w:noProof/>
        </w:rPr>
        <w:t>Figure 1.7: The interaction of CPB2 and plasmin in ECM breakdown</w:t>
      </w:r>
      <w:r>
        <w:rPr>
          <w:noProof/>
        </w:rPr>
        <w:tab/>
      </w:r>
      <w:r>
        <w:rPr>
          <w:noProof/>
        </w:rPr>
        <w:fldChar w:fldCharType="begin"/>
      </w:r>
      <w:r>
        <w:rPr>
          <w:noProof/>
        </w:rPr>
        <w:instrText xml:space="preserve"> PAGEREF _Toc504640564 \h </w:instrText>
      </w:r>
      <w:r>
        <w:rPr>
          <w:noProof/>
        </w:rPr>
      </w:r>
      <w:r>
        <w:rPr>
          <w:noProof/>
        </w:rPr>
        <w:fldChar w:fldCharType="separate"/>
      </w:r>
      <w:r>
        <w:rPr>
          <w:noProof/>
        </w:rPr>
        <w:t>34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1.8: The structure of UK-396082</w:t>
      </w:r>
      <w:r>
        <w:rPr>
          <w:noProof/>
        </w:rPr>
        <w:tab/>
      </w:r>
      <w:r>
        <w:rPr>
          <w:noProof/>
        </w:rPr>
        <w:fldChar w:fldCharType="begin"/>
      </w:r>
      <w:r>
        <w:rPr>
          <w:noProof/>
        </w:rPr>
        <w:instrText xml:space="preserve"> PAGEREF _Toc504640565 \h </w:instrText>
      </w:r>
      <w:r>
        <w:rPr>
          <w:noProof/>
        </w:rPr>
      </w:r>
      <w:r>
        <w:rPr>
          <w:noProof/>
        </w:rPr>
        <w:fldChar w:fldCharType="separate"/>
      </w:r>
      <w:r>
        <w:rPr>
          <w:noProof/>
        </w:rPr>
        <w:t>35</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2.1: Anaesthetic machine.</w:t>
      </w:r>
      <w:r>
        <w:rPr>
          <w:noProof/>
        </w:rPr>
        <w:tab/>
      </w:r>
      <w:r>
        <w:rPr>
          <w:noProof/>
        </w:rPr>
        <w:fldChar w:fldCharType="begin"/>
      </w:r>
      <w:r>
        <w:rPr>
          <w:noProof/>
        </w:rPr>
        <w:instrText xml:space="preserve"> PAGEREF _Toc504640566 \h </w:instrText>
      </w:r>
      <w:r>
        <w:rPr>
          <w:noProof/>
        </w:rPr>
      </w:r>
      <w:r>
        <w:rPr>
          <w:noProof/>
        </w:rPr>
        <w:fldChar w:fldCharType="separate"/>
      </w:r>
      <w:r>
        <w:rPr>
          <w:noProof/>
        </w:rPr>
        <w:t>41</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2.2: Rat under anaesthesia maintenance.</w:t>
      </w:r>
      <w:r>
        <w:rPr>
          <w:noProof/>
        </w:rPr>
        <w:tab/>
      </w:r>
      <w:r>
        <w:rPr>
          <w:noProof/>
        </w:rPr>
        <w:fldChar w:fldCharType="begin"/>
      </w:r>
      <w:r>
        <w:rPr>
          <w:noProof/>
        </w:rPr>
        <w:instrText xml:space="preserve"> PAGEREF _Toc504640567 \h </w:instrText>
      </w:r>
      <w:r>
        <w:rPr>
          <w:noProof/>
        </w:rPr>
      </w:r>
      <w:r>
        <w:rPr>
          <w:noProof/>
        </w:rPr>
        <w:fldChar w:fldCharType="separate"/>
      </w:r>
      <w:r>
        <w:rPr>
          <w:noProof/>
        </w:rPr>
        <w:t>41</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rFonts w:eastAsia="Calibri"/>
          <w:noProof/>
          <w:color w:val="000000"/>
        </w:rPr>
        <w:t>Figure 2.3 Aseptic technique</w:t>
      </w:r>
      <w:r w:rsidRPr="00DD050D">
        <w:rPr>
          <w:noProof/>
          <w:color w:val="000000"/>
        </w:rPr>
        <w:t>.</w:t>
      </w:r>
      <w:r>
        <w:rPr>
          <w:noProof/>
        </w:rPr>
        <w:tab/>
      </w:r>
      <w:r>
        <w:rPr>
          <w:noProof/>
        </w:rPr>
        <w:fldChar w:fldCharType="begin"/>
      </w:r>
      <w:r>
        <w:rPr>
          <w:noProof/>
        </w:rPr>
        <w:instrText xml:space="preserve"> PAGEREF _Toc504640568 \h </w:instrText>
      </w:r>
      <w:r>
        <w:rPr>
          <w:noProof/>
        </w:rPr>
      </w:r>
      <w:r>
        <w:rPr>
          <w:noProof/>
        </w:rPr>
        <w:fldChar w:fldCharType="separate"/>
      </w:r>
      <w:r>
        <w:rPr>
          <w:noProof/>
        </w:rPr>
        <w:t>43</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2.4 Linplant</w:t>
      </w:r>
      <w:r>
        <w:rPr>
          <w:noProof/>
        </w:rPr>
        <w:tab/>
      </w:r>
      <w:r>
        <w:rPr>
          <w:noProof/>
        </w:rPr>
        <w:fldChar w:fldCharType="begin"/>
      </w:r>
      <w:r>
        <w:rPr>
          <w:noProof/>
        </w:rPr>
        <w:instrText xml:space="preserve"> PAGEREF _Toc504640569 \h </w:instrText>
      </w:r>
      <w:r>
        <w:rPr>
          <w:noProof/>
        </w:rPr>
      </w:r>
      <w:r>
        <w:rPr>
          <w:noProof/>
        </w:rPr>
        <w:fldChar w:fldCharType="separate"/>
      </w:r>
      <w:r>
        <w:rPr>
          <w:noProof/>
        </w:rPr>
        <w:t>44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2.5 Systemic blood pressure equipment.</w:t>
      </w:r>
      <w:r>
        <w:rPr>
          <w:noProof/>
        </w:rPr>
        <w:tab/>
      </w:r>
      <w:r>
        <w:rPr>
          <w:noProof/>
        </w:rPr>
        <w:fldChar w:fldCharType="begin"/>
      </w:r>
      <w:r>
        <w:rPr>
          <w:noProof/>
        </w:rPr>
        <w:instrText xml:space="preserve"> PAGEREF _Toc504640570 \h </w:instrText>
      </w:r>
      <w:r>
        <w:rPr>
          <w:noProof/>
        </w:rPr>
      </w:r>
      <w:r>
        <w:rPr>
          <w:noProof/>
        </w:rPr>
        <w:fldChar w:fldCharType="separate"/>
      </w:r>
      <w:r>
        <w:rPr>
          <w:noProof/>
        </w:rPr>
        <w:t>46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2.6 Telemetry data for rat blood pressure.</w:t>
      </w:r>
      <w:r>
        <w:rPr>
          <w:noProof/>
        </w:rPr>
        <w:tab/>
      </w:r>
      <w:r>
        <w:rPr>
          <w:noProof/>
        </w:rPr>
        <w:fldChar w:fldCharType="begin"/>
      </w:r>
      <w:r>
        <w:rPr>
          <w:noProof/>
        </w:rPr>
        <w:instrText xml:space="preserve"> PAGEREF _Toc504640571 \h </w:instrText>
      </w:r>
      <w:r>
        <w:rPr>
          <w:noProof/>
        </w:rPr>
      </w:r>
      <w:r>
        <w:rPr>
          <w:noProof/>
        </w:rPr>
        <w:fldChar w:fldCharType="separate"/>
      </w:r>
      <w:r>
        <w:rPr>
          <w:noProof/>
        </w:rPr>
        <w:t>46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2.7 Unilateral nephrectomy.</w:t>
      </w:r>
      <w:r>
        <w:rPr>
          <w:noProof/>
        </w:rPr>
        <w:tab/>
      </w:r>
      <w:r>
        <w:rPr>
          <w:noProof/>
        </w:rPr>
        <w:fldChar w:fldCharType="begin"/>
      </w:r>
      <w:r>
        <w:rPr>
          <w:noProof/>
        </w:rPr>
        <w:instrText xml:space="preserve"> PAGEREF _Toc504640572 \h </w:instrText>
      </w:r>
      <w:r>
        <w:rPr>
          <w:noProof/>
        </w:rPr>
      </w:r>
      <w:r>
        <w:rPr>
          <w:noProof/>
        </w:rPr>
        <w:fldChar w:fldCharType="separate"/>
      </w:r>
      <w:r>
        <w:rPr>
          <w:noProof/>
        </w:rPr>
        <w:t>48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2.8: Standard curve of urea nitrogen at 570 nm.</w:t>
      </w:r>
      <w:r>
        <w:rPr>
          <w:noProof/>
        </w:rPr>
        <w:tab/>
      </w:r>
      <w:r>
        <w:rPr>
          <w:noProof/>
        </w:rPr>
        <w:fldChar w:fldCharType="begin"/>
      </w:r>
      <w:r>
        <w:rPr>
          <w:noProof/>
        </w:rPr>
        <w:instrText xml:space="preserve"> PAGEREF _Toc504640574 \h </w:instrText>
      </w:r>
      <w:r>
        <w:rPr>
          <w:noProof/>
        </w:rPr>
      </w:r>
      <w:r>
        <w:rPr>
          <w:noProof/>
        </w:rPr>
        <w:fldChar w:fldCharType="separate"/>
      </w:r>
      <w:r>
        <w:rPr>
          <w:noProof/>
        </w:rPr>
        <w:t>56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2.9 Albumin standard curve.</w:t>
      </w:r>
      <w:r>
        <w:rPr>
          <w:noProof/>
        </w:rPr>
        <w:tab/>
      </w:r>
      <w:r>
        <w:rPr>
          <w:noProof/>
        </w:rPr>
        <w:fldChar w:fldCharType="begin"/>
      </w:r>
      <w:r>
        <w:rPr>
          <w:noProof/>
        </w:rPr>
        <w:instrText xml:space="preserve"> PAGEREF _Toc504640575 \h </w:instrText>
      </w:r>
      <w:r>
        <w:rPr>
          <w:noProof/>
        </w:rPr>
      </w:r>
      <w:r>
        <w:rPr>
          <w:noProof/>
        </w:rPr>
        <w:fldChar w:fldCharType="separate"/>
      </w:r>
      <w:r>
        <w:rPr>
          <w:noProof/>
        </w:rPr>
        <w:t>58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2.10 Creatinine standard curve</w:t>
      </w:r>
      <w:r>
        <w:rPr>
          <w:noProof/>
        </w:rPr>
        <w:tab/>
      </w:r>
      <w:r>
        <w:rPr>
          <w:noProof/>
        </w:rPr>
        <w:fldChar w:fldCharType="begin"/>
      </w:r>
      <w:r>
        <w:rPr>
          <w:noProof/>
        </w:rPr>
        <w:instrText xml:space="preserve"> PAGEREF _Toc504640577 \h </w:instrText>
      </w:r>
      <w:r>
        <w:rPr>
          <w:noProof/>
        </w:rPr>
      </w:r>
      <w:r>
        <w:rPr>
          <w:noProof/>
        </w:rPr>
        <w:fldChar w:fldCharType="separate"/>
      </w:r>
      <w:r>
        <w:rPr>
          <w:noProof/>
        </w:rPr>
        <w:t>62</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2.11 Protein standard curve.</w:t>
      </w:r>
      <w:r>
        <w:rPr>
          <w:noProof/>
        </w:rPr>
        <w:tab/>
      </w:r>
      <w:r>
        <w:rPr>
          <w:noProof/>
        </w:rPr>
        <w:fldChar w:fldCharType="begin"/>
      </w:r>
      <w:r>
        <w:rPr>
          <w:noProof/>
        </w:rPr>
        <w:instrText xml:space="preserve"> PAGEREF _Toc504640578 \h </w:instrText>
      </w:r>
      <w:r>
        <w:rPr>
          <w:noProof/>
        </w:rPr>
      </w:r>
      <w:r>
        <w:rPr>
          <w:noProof/>
        </w:rPr>
        <w:fldChar w:fldCharType="separate"/>
      </w:r>
      <w:r>
        <w:rPr>
          <w:noProof/>
        </w:rPr>
        <w:t>65</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2.12 Calibration curve for chrondrotin-4-sulphate</w:t>
      </w:r>
      <w:r>
        <w:rPr>
          <w:noProof/>
        </w:rPr>
        <w:tab/>
      </w:r>
      <w:r>
        <w:rPr>
          <w:noProof/>
        </w:rPr>
        <w:fldChar w:fldCharType="begin"/>
      </w:r>
      <w:r>
        <w:rPr>
          <w:noProof/>
        </w:rPr>
        <w:instrText xml:space="preserve"> PAGEREF _Toc504640579 \h </w:instrText>
      </w:r>
      <w:r>
        <w:rPr>
          <w:noProof/>
        </w:rPr>
      </w:r>
      <w:r>
        <w:rPr>
          <w:noProof/>
        </w:rPr>
        <w:fldChar w:fldCharType="separate"/>
      </w:r>
      <w:r>
        <w:rPr>
          <w:noProof/>
        </w:rPr>
        <w:t>68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Pr>
          <w:noProof/>
        </w:rPr>
        <w:t>Figure 2.13: TC20 automated cell counter</w:t>
      </w:r>
      <w:r>
        <w:rPr>
          <w:noProof/>
        </w:rPr>
        <w:tab/>
      </w:r>
      <w:r>
        <w:rPr>
          <w:noProof/>
        </w:rPr>
        <w:fldChar w:fldCharType="begin"/>
      </w:r>
      <w:r>
        <w:rPr>
          <w:noProof/>
        </w:rPr>
        <w:instrText xml:space="preserve"> PAGEREF _Toc504640583 \h </w:instrText>
      </w:r>
      <w:r>
        <w:rPr>
          <w:noProof/>
        </w:rPr>
      </w:r>
      <w:r>
        <w:rPr>
          <w:noProof/>
        </w:rPr>
        <w:fldChar w:fldCharType="separate"/>
      </w:r>
      <w:r>
        <w:rPr>
          <w:noProof/>
        </w:rPr>
        <w:t>79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2.14: 12-well plate with fibrin gel</w:t>
      </w:r>
      <w:r>
        <w:rPr>
          <w:noProof/>
        </w:rPr>
        <w:tab/>
      </w:r>
      <w:r>
        <w:rPr>
          <w:noProof/>
        </w:rPr>
        <w:fldChar w:fldCharType="begin"/>
      </w:r>
      <w:r>
        <w:rPr>
          <w:noProof/>
        </w:rPr>
        <w:instrText xml:space="preserve"> PAGEREF _Toc504640584 \h </w:instrText>
      </w:r>
      <w:r>
        <w:rPr>
          <w:noProof/>
        </w:rPr>
      </w:r>
      <w:r>
        <w:rPr>
          <w:noProof/>
        </w:rPr>
        <w:fldChar w:fldCharType="separate"/>
      </w:r>
      <w:r>
        <w:rPr>
          <w:noProof/>
        </w:rPr>
        <w:t>80</w:t>
      </w:r>
      <w:r>
        <w:rPr>
          <w:noProof/>
        </w:rPr>
        <w:fldChar w:fldCharType="end"/>
      </w:r>
    </w:p>
    <w:p w:rsidR="00514A4B" w:rsidRDefault="00514A4B">
      <w:pPr>
        <w:pStyle w:val="TableofFigures"/>
        <w:tabs>
          <w:tab w:val="right" w:leader="dot" w:pos="7643"/>
        </w:tabs>
        <w:rPr>
          <w:noProof/>
        </w:rPr>
      </w:pPr>
      <w:r>
        <w:rPr>
          <w:noProof/>
        </w:rPr>
        <w:t>Figure 2.15: Multiskan Ascent VI.24 plate reader</w:t>
      </w:r>
      <w:r>
        <w:rPr>
          <w:noProof/>
        </w:rPr>
        <w:tab/>
      </w:r>
      <w:r>
        <w:rPr>
          <w:noProof/>
        </w:rPr>
        <w:fldChar w:fldCharType="begin"/>
      </w:r>
      <w:r>
        <w:rPr>
          <w:noProof/>
        </w:rPr>
        <w:instrText xml:space="preserve"> PAGEREF _Toc504640585 \h </w:instrText>
      </w:r>
      <w:r>
        <w:rPr>
          <w:noProof/>
        </w:rPr>
      </w:r>
      <w:r>
        <w:rPr>
          <w:noProof/>
        </w:rPr>
        <w:fldChar w:fldCharType="separate"/>
      </w:r>
      <w:r>
        <w:rPr>
          <w:noProof/>
        </w:rPr>
        <w:t>82</w:t>
      </w:r>
      <w:r>
        <w:rPr>
          <w:noProof/>
        </w:rPr>
        <w:fldChar w:fldCharType="end"/>
      </w:r>
    </w:p>
    <w:p w:rsidR="00187B37" w:rsidRPr="00187B37" w:rsidRDefault="00692C08" w:rsidP="00187B37">
      <w:pPr>
        <w:rPr>
          <w:noProof/>
        </w:rPr>
      </w:pPr>
      <w:r w:rsidRPr="00692C08">
        <w:rPr>
          <w:lang w:val="x-none"/>
        </w:rPr>
        <w:t>Figure 2.16: Plasmin activity assay</w:t>
      </w:r>
      <w:r>
        <w:t>……………………………………….83</w:t>
      </w:r>
      <w:r w:rsidR="00187B37">
        <w:t xml:space="preserve"> </w:t>
      </w:r>
      <w:r w:rsidRPr="00692C08">
        <w:rPr>
          <w:lang w:val="x-none"/>
        </w:rPr>
        <w:t>Figure 2.17 uPA activity assay</w:t>
      </w:r>
      <w:r>
        <w:t>…………………………………………….84</w:t>
      </w:r>
      <w:r w:rsidR="00187B37">
        <w:t xml:space="preserve"> </w:t>
      </w:r>
      <w:r w:rsidR="00514A4B" w:rsidRPr="00DD050D">
        <w:rPr>
          <w:noProof/>
          <w:color w:val="000000"/>
        </w:rPr>
        <w:t>Figure 2.18 Standard curve for tPA</w:t>
      </w:r>
      <w:r w:rsidR="00187B37">
        <w:rPr>
          <w:noProof/>
          <w:color w:val="000000"/>
        </w:rPr>
        <w:t>……………………………..</w:t>
      </w:r>
      <w:r w:rsidR="00514A4B" w:rsidRPr="00DD050D">
        <w:rPr>
          <w:noProof/>
          <w:color w:val="000000"/>
        </w:rPr>
        <w:t>.</w:t>
      </w:r>
      <w:r w:rsidR="00187B37">
        <w:rPr>
          <w:noProof/>
        </w:rPr>
        <w:t>.............</w:t>
      </w:r>
      <w:r w:rsidR="00514A4B">
        <w:rPr>
          <w:noProof/>
        </w:rPr>
        <w:fldChar w:fldCharType="begin"/>
      </w:r>
      <w:r w:rsidR="00514A4B">
        <w:rPr>
          <w:noProof/>
        </w:rPr>
        <w:instrText xml:space="preserve"> PAGEREF _Toc504640586 \h </w:instrText>
      </w:r>
      <w:r w:rsidR="00514A4B">
        <w:rPr>
          <w:noProof/>
        </w:rPr>
      </w:r>
      <w:r w:rsidR="00514A4B">
        <w:rPr>
          <w:noProof/>
        </w:rPr>
        <w:fldChar w:fldCharType="separate"/>
      </w:r>
      <w:r w:rsidR="00514A4B">
        <w:rPr>
          <w:noProof/>
        </w:rPr>
        <w:t>85</w:t>
      </w:r>
      <w:r w:rsidR="00514A4B">
        <w:rPr>
          <w:noProof/>
        </w:rPr>
        <w:fldChar w:fldCharType="end"/>
      </w:r>
      <w:r w:rsidR="00187B37">
        <w:rPr>
          <w:noProof/>
        </w:rPr>
        <w:t xml:space="preserve"> </w:t>
      </w:r>
      <w:r w:rsidR="00187B37" w:rsidRPr="00187B37">
        <w:rPr>
          <w:noProof/>
          <w:lang w:val="x-none"/>
        </w:rPr>
        <w:t>Figure 2.19 Substrate specificity test</w:t>
      </w:r>
      <w:r w:rsidR="00187B37">
        <w:rPr>
          <w:noProof/>
        </w:rPr>
        <w:t xml:space="preserve">……………………………………..86 </w:t>
      </w:r>
      <w:r w:rsidR="00187B37" w:rsidRPr="00187B37">
        <w:rPr>
          <w:noProof/>
          <w:lang w:val="x-none"/>
        </w:rPr>
        <w:t>Figure 2.20 uPA activity with different concentrations of amiloride</w:t>
      </w:r>
      <w:r w:rsidR="00187B37">
        <w:rPr>
          <w:noProof/>
        </w:rPr>
        <w:t>……87</w:t>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lastRenderedPageBreak/>
        <w:t>Figure 2.21 Glu-Gly-Arg-</w:t>
      </w:r>
      <w:r w:rsidRPr="00DD050D">
        <w:rPr>
          <w:i/>
          <w:noProof/>
          <w:color w:val="000000"/>
        </w:rPr>
        <w:t>p</w:t>
      </w:r>
      <w:r w:rsidRPr="00DD050D">
        <w:rPr>
          <w:noProof/>
          <w:color w:val="000000"/>
        </w:rPr>
        <w:t>NA with tPA and uPA in the presence and absence of amiloride.</w:t>
      </w:r>
      <w:r>
        <w:rPr>
          <w:noProof/>
        </w:rPr>
        <w:tab/>
      </w:r>
      <w:r>
        <w:rPr>
          <w:noProof/>
        </w:rPr>
        <w:fldChar w:fldCharType="begin"/>
      </w:r>
      <w:r>
        <w:rPr>
          <w:noProof/>
        </w:rPr>
        <w:instrText xml:space="preserve"> PAGEREF _Toc504640587 \h </w:instrText>
      </w:r>
      <w:r>
        <w:rPr>
          <w:noProof/>
        </w:rPr>
      </w:r>
      <w:r>
        <w:rPr>
          <w:noProof/>
        </w:rPr>
        <w:fldChar w:fldCharType="separate"/>
      </w:r>
      <w:r>
        <w:rPr>
          <w:noProof/>
        </w:rPr>
        <w:t>88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2.22 Standard calibration graph of carboxypeptidase B2.</w:t>
      </w:r>
      <w:r>
        <w:rPr>
          <w:noProof/>
        </w:rPr>
        <w:tab/>
      </w:r>
      <w:r>
        <w:rPr>
          <w:noProof/>
        </w:rPr>
        <w:fldChar w:fldCharType="begin"/>
      </w:r>
      <w:r>
        <w:rPr>
          <w:noProof/>
        </w:rPr>
        <w:instrText xml:space="preserve"> PAGEREF _Toc504640588 \h </w:instrText>
      </w:r>
      <w:r>
        <w:rPr>
          <w:noProof/>
        </w:rPr>
      </w:r>
      <w:r>
        <w:rPr>
          <w:noProof/>
        </w:rPr>
        <w:fldChar w:fldCharType="separate"/>
      </w:r>
      <w:r>
        <w:rPr>
          <w:noProof/>
        </w:rPr>
        <w:t>90</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 24-hour food consumption.</w:t>
      </w:r>
      <w:r>
        <w:rPr>
          <w:noProof/>
        </w:rPr>
        <w:tab/>
      </w:r>
      <w:r>
        <w:rPr>
          <w:noProof/>
        </w:rPr>
        <w:fldChar w:fldCharType="begin"/>
      </w:r>
      <w:r>
        <w:rPr>
          <w:noProof/>
        </w:rPr>
        <w:instrText xml:space="preserve"> PAGEREF _Toc504640589 \h </w:instrText>
      </w:r>
      <w:r>
        <w:rPr>
          <w:noProof/>
        </w:rPr>
      </w:r>
      <w:r>
        <w:rPr>
          <w:noProof/>
        </w:rPr>
        <w:fldChar w:fldCharType="separate"/>
      </w:r>
      <w:r>
        <w:rPr>
          <w:noProof/>
        </w:rPr>
        <w:t>96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3.2 24-hour water consumption</w:t>
      </w:r>
      <w:r>
        <w:rPr>
          <w:noProof/>
        </w:rPr>
        <w:tab/>
      </w:r>
      <w:r>
        <w:rPr>
          <w:noProof/>
        </w:rPr>
        <w:fldChar w:fldCharType="begin"/>
      </w:r>
      <w:r>
        <w:rPr>
          <w:noProof/>
        </w:rPr>
        <w:instrText xml:space="preserve"> PAGEREF _Toc504640590 \h </w:instrText>
      </w:r>
      <w:r>
        <w:rPr>
          <w:noProof/>
        </w:rPr>
      </w:r>
      <w:r>
        <w:rPr>
          <w:noProof/>
        </w:rPr>
        <w:fldChar w:fldCharType="separate"/>
      </w:r>
      <w:r>
        <w:rPr>
          <w:noProof/>
        </w:rPr>
        <w:t>97</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3.3 Monthly 24-hour urine production</w:t>
      </w:r>
      <w:r>
        <w:rPr>
          <w:noProof/>
        </w:rPr>
        <w:tab/>
      </w:r>
      <w:r>
        <w:rPr>
          <w:noProof/>
        </w:rPr>
        <w:fldChar w:fldCharType="begin"/>
      </w:r>
      <w:r>
        <w:rPr>
          <w:noProof/>
        </w:rPr>
        <w:instrText xml:space="preserve"> PAGEREF _Toc504640591 \h </w:instrText>
      </w:r>
      <w:r>
        <w:rPr>
          <w:noProof/>
        </w:rPr>
      </w:r>
      <w:r>
        <w:rPr>
          <w:noProof/>
        </w:rPr>
        <w:fldChar w:fldCharType="separate"/>
      </w:r>
      <w:r>
        <w:rPr>
          <w:noProof/>
        </w:rPr>
        <w:t>98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3.4 Monthly weight measurement.</w:t>
      </w:r>
      <w:r>
        <w:rPr>
          <w:noProof/>
        </w:rPr>
        <w:tab/>
      </w:r>
      <w:r>
        <w:rPr>
          <w:noProof/>
        </w:rPr>
        <w:fldChar w:fldCharType="begin"/>
      </w:r>
      <w:r>
        <w:rPr>
          <w:noProof/>
        </w:rPr>
        <w:instrText xml:space="preserve"> PAGEREF _Toc504640592 \h </w:instrText>
      </w:r>
      <w:r>
        <w:rPr>
          <w:noProof/>
        </w:rPr>
      </w:r>
      <w:r>
        <w:rPr>
          <w:noProof/>
        </w:rPr>
        <w:fldChar w:fldCharType="separate"/>
      </w:r>
      <w:r>
        <w:rPr>
          <w:noProof/>
        </w:rPr>
        <w:t>99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3.5 Blood glucose</w:t>
      </w:r>
      <w:r>
        <w:rPr>
          <w:noProof/>
        </w:rPr>
        <w:tab/>
      </w:r>
      <w:r>
        <w:rPr>
          <w:noProof/>
        </w:rPr>
        <w:fldChar w:fldCharType="begin"/>
      </w:r>
      <w:r>
        <w:rPr>
          <w:noProof/>
        </w:rPr>
        <w:instrText xml:space="preserve"> PAGEREF _Toc504640593 \h </w:instrText>
      </w:r>
      <w:r>
        <w:rPr>
          <w:noProof/>
        </w:rPr>
      </w:r>
      <w:r>
        <w:rPr>
          <w:noProof/>
        </w:rPr>
        <w:fldChar w:fldCharType="separate"/>
      </w:r>
      <w:r>
        <w:rPr>
          <w:noProof/>
        </w:rPr>
        <w:t>100</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3.6 Rat blood urine of monthly 24 hour urine samples</w:t>
      </w:r>
      <w:r>
        <w:rPr>
          <w:noProof/>
        </w:rPr>
        <w:tab/>
      </w:r>
      <w:r>
        <w:rPr>
          <w:noProof/>
        </w:rPr>
        <w:fldChar w:fldCharType="begin"/>
      </w:r>
      <w:r>
        <w:rPr>
          <w:noProof/>
        </w:rPr>
        <w:instrText xml:space="preserve"> PAGEREF _Toc504640594 \h </w:instrText>
      </w:r>
      <w:r>
        <w:rPr>
          <w:noProof/>
        </w:rPr>
      </w:r>
      <w:r>
        <w:rPr>
          <w:noProof/>
        </w:rPr>
        <w:fldChar w:fldCharType="separate"/>
      </w:r>
      <w:r>
        <w:rPr>
          <w:noProof/>
        </w:rPr>
        <w:t>108</w:t>
      </w:r>
      <w:r>
        <w:rPr>
          <w:noProof/>
        </w:rPr>
        <w:fldChar w:fldCharType="end"/>
      </w:r>
    </w:p>
    <w:p w:rsidR="00514A4B" w:rsidRPr="00F038D6"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3.7 Urinary leucocytes from monthly 24-hour urine samples</w:t>
      </w:r>
      <w:r>
        <w:rPr>
          <w:noProof/>
        </w:rPr>
        <w:tab/>
      </w:r>
      <w:r>
        <w:rPr>
          <w:noProof/>
        </w:rPr>
        <w:fldChar w:fldCharType="begin"/>
      </w:r>
      <w:r>
        <w:rPr>
          <w:noProof/>
        </w:rPr>
        <w:instrText xml:space="preserve"> PAGEREF _Toc504640595 \h </w:instrText>
      </w:r>
      <w:r>
        <w:rPr>
          <w:noProof/>
        </w:rPr>
      </w:r>
      <w:r>
        <w:rPr>
          <w:noProof/>
        </w:rPr>
        <w:fldChar w:fldCharType="separate"/>
      </w:r>
      <w:r>
        <w:rPr>
          <w:noProof/>
        </w:rPr>
        <w:t>109</w:t>
      </w:r>
      <w:r>
        <w:rPr>
          <w:noProof/>
        </w:rPr>
        <w:fldChar w:fldCharType="end"/>
      </w:r>
      <w:r w:rsidR="00F038D6">
        <w:rPr>
          <w:noProof/>
        </w:rPr>
        <w:t xml:space="preserve"> </w:t>
      </w:r>
      <w:r w:rsidR="00F038D6" w:rsidRPr="00F038D6">
        <w:rPr>
          <w:noProof/>
          <w:lang w:val="x-none"/>
        </w:rPr>
        <w:t>Figure 3.8 Urinary albumin measurement</w:t>
      </w:r>
      <w:r w:rsidR="00F038D6">
        <w:rPr>
          <w:noProof/>
        </w:rPr>
        <w:t>……………………………….116</w:t>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3.9 Urinary protein measurement</w:t>
      </w:r>
      <w:r>
        <w:rPr>
          <w:noProof/>
        </w:rPr>
        <w:tab/>
      </w:r>
      <w:r>
        <w:rPr>
          <w:noProof/>
        </w:rPr>
        <w:fldChar w:fldCharType="begin"/>
      </w:r>
      <w:r>
        <w:rPr>
          <w:noProof/>
        </w:rPr>
        <w:instrText xml:space="preserve"> PAGEREF _Toc504640596 \h </w:instrText>
      </w:r>
      <w:r>
        <w:rPr>
          <w:noProof/>
        </w:rPr>
      </w:r>
      <w:r>
        <w:rPr>
          <w:noProof/>
        </w:rPr>
        <w:fldChar w:fldCharType="separate"/>
      </w:r>
      <w:r>
        <w:rPr>
          <w:noProof/>
        </w:rPr>
        <w:t>117</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3.10 Blood urea nitrogen measurement.</w:t>
      </w:r>
      <w:r>
        <w:rPr>
          <w:noProof/>
        </w:rPr>
        <w:tab/>
      </w:r>
      <w:r>
        <w:rPr>
          <w:noProof/>
        </w:rPr>
        <w:fldChar w:fldCharType="begin"/>
      </w:r>
      <w:r>
        <w:rPr>
          <w:noProof/>
        </w:rPr>
        <w:instrText xml:space="preserve"> PAGEREF _Toc504640597 \h </w:instrText>
      </w:r>
      <w:r>
        <w:rPr>
          <w:noProof/>
        </w:rPr>
      </w:r>
      <w:r>
        <w:rPr>
          <w:noProof/>
        </w:rPr>
        <w:fldChar w:fldCharType="separate"/>
      </w:r>
      <w:r>
        <w:rPr>
          <w:noProof/>
        </w:rPr>
        <w:t>118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3.11 Serum creatinine measurement</w:t>
      </w:r>
      <w:r w:rsidRPr="00DD050D">
        <w:rPr>
          <w:rFonts w:eastAsia="Calibri"/>
          <w:noProof/>
          <w:color w:val="000000"/>
        </w:rPr>
        <w:t>.</w:t>
      </w:r>
      <w:r>
        <w:rPr>
          <w:noProof/>
        </w:rPr>
        <w:tab/>
      </w:r>
      <w:r>
        <w:rPr>
          <w:noProof/>
        </w:rPr>
        <w:fldChar w:fldCharType="begin"/>
      </w:r>
      <w:r>
        <w:rPr>
          <w:noProof/>
        </w:rPr>
        <w:instrText xml:space="preserve"> PAGEREF _Toc504640598 \h </w:instrText>
      </w:r>
      <w:r>
        <w:rPr>
          <w:noProof/>
        </w:rPr>
      </w:r>
      <w:r>
        <w:rPr>
          <w:noProof/>
        </w:rPr>
        <w:fldChar w:fldCharType="separate"/>
      </w:r>
      <w:r>
        <w:rPr>
          <w:noProof/>
        </w:rPr>
        <w:t>119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3.12 Urinary creatinine measurement</w:t>
      </w:r>
      <w:r>
        <w:rPr>
          <w:noProof/>
        </w:rPr>
        <w:tab/>
      </w:r>
      <w:r>
        <w:rPr>
          <w:noProof/>
        </w:rPr>
        <w:fldChar w:fldCharType="begin"/>
      </w:r>
      <w:r>
        <w:rPr>
          <w:noProof/>
        </w:rPr>
        <w:instrText xml:space="preserve"> PAGEREF _Toc504640599 \h </w:instrText>
      </w:r>
      <w:r>
        <w:rPr>
          <w:noProof/>
        </w:rPr>
      </w:r>
      <w:r>
        <w:rPr>
          <w:noProof/>
        </w:rPr>
        <w:fldChar w:fldCharType="separate"/>
      </w:r>
      <w:r>
        <w:rPr>
          <w:noProof/>
        </w:rPr>
        <w:t>119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3.13 Creatinine clearance measurement</w:t>
      </w:r>
      <w:r>
        <w:rPr>
          <w:noProof/>
        </w:rPr>
        <w:tab/>
      </w:r>
      <w:r>
        <w:rPr>
          <w:noProof/>
        </w:rPr>
        <w:fldChar w:fldCharType="begin"/>
      </w:r>
      <w:r>
        <w:rPr>
          <w:noProof/>
        </w:rPr>
        <w:instrText xml:space="preserve"> PAGEREF _Toc504640600 \h </w:instrText>
      </w:r>
      <w:r>
        <w:rPr>
          <w:noProof/>
        </w:rPr>
      </w:r>
      <w:r>
        <w:rPr>
          <w:noProof/>
        </w:rPr>
        <w:fldChar w:fldCharType="separate"/>
      </w:r>
      <w:r>
        <w:rPr>
          <w:noProof/>
        </w:rPr>
        <w:t>120</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3.14 Urinary GAGs measurement in healthy rats</w:t>
      </w:r>
      <w:r>
        <w:rPr>
          <w:noProof/>
        </w:rPr>
        <w:tab/>
      </w:r>
      <w:r>
        <w:rPr>
          <w:noProof/>
        </w:rPr>
        <w:fldChar w:fldCharType="begin"/>
      </w:r>
      <w:r>
        <w:rPr>
          <w:noProof/>
        </w:rPr>
        <w:instrText xml:space="preserve"> PAGEREF _Toc504640601 \h </w:instrText>
      </w:r>
      <w:r>
        <w:rPr>
          <w:noProof/>
        </w:rPr>
      </w:r>
      <w:r>
        <w:rPr>
          <w:noProof/>
        </w:rPr>
        <w:fldChar w:fldCharType="separate"/>
      </w:r>
      <w:r>
        <w:rPr>
          <w:noProof/>
        </w:rPr>
        <w:t>125</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3.15 Urinary GAGs measurement in diabetic rats.</w:t>
      </w:r>
      <w:r>
        <w:rPr>
          <w:noProof/>
        </w:rPr>
        <w:tab/>
      </w:r>
      <w:r>
        <w:rPr>
          <w:noProof/>
        </w:rPr>
        <w:fldChar w:fldCharType="begin"/>
      </w:r>
      <w:r>
        <w:rPr>
          <w:noProof/>
        </w:rPr>
        <w:instrText xml:space="preserve"> PAGEREF _Toc504640602 \h </w:instrText>
      </w:r>
      <w:r>
        <w:rPr>
          <w:noProof/>
        </w:rPr>
      </w:r>
      <w:r>
        <w:rPr>
          <w:noProof/>
        </w:rPr>
        <w:fldChar w:fldCharType="separate"/>
      </w:r>
      <w:r>
        <w:rPr>
          <w:noProof/>
        </w:rPr>
        <w:t>126</w:t>
      </w:r>
      <w:r>
        <w:rPr>
          <w:noProof/>
        </w:rPr>
        <w:fldChar w:fldCharType="end"/>
      </w:r>
    </w:p>
    <w:p w:rsidR="00514A4B" w:rsidRDefault="00514A4B">
      <w:pPr>
        <w:pStyle w:val="TableofFigures"/>
        <w:tabs>
          <w:tab w:val="right" w:leader="dot" w:pos="7643"/>
        </w:tabs>
        <w:rPr>
          <w:noProof/>
        </w:rPr>
      </w:pPr>
      <w:r w:rsidRPr="00DD050D">
        <w:rPr>
          <w:noProof/>
          <w:color w:val="000000"/>
        </w:rPr>
        <w:t>Figure 3.16 Standard curve for heparan sulphate and heparan sulphate with 100nM UK-396082 using the DMMB assay.</w:t>
      </w:r>
      <w:r>
        <w:rPr>
          <w:noProof/>
        </w:rPr>
        <w:tab/>
      </w:r>
      <w:r>
        <w:rPr>
          <w:noProof/>
        </w:rPr>
        <w:fldChar w:fldCharType="begin"/>
      </w:r>
      <w:r>
        <w:rPr>
          <w:noProof/>
        </w:rPr>
        <w:instrText xml:space="preserve"> PAGEREF _Toc504640603 \h </w:instrText>
      </w:r>
      <w:r>
        <w:rPr>
          <w:noProof/>
        </w:rPr>
      </w:r>
      <w:r>
        <w:rPr>
          <w:noProof/>
        </w:rPr>
        <w:fldChar w:fldCharType="separate"/>
      </w:r>
      <w:r>
        <w:rPr>
          <w:noProof/>
        </w:rPr>
        <w:t>127</w:t>
      </w:r>
      <w:r>
        <w:rPr>
          <w:noProof/>
        </w:rPr>
        <w:fldChar w:fldCharType="end"/>
      </w:r>
      <w:r w:rsidR="00F038D6">
        <w:rPr>
          <w:noProof/>
        </w:rPr>
        <w:t xml:space="preserve"> </w:t>
      </w:r>
    </w:p>
    <w:p w:rsidR="00514A4B" w:rsidRPr="00F038D6" w:rsidRDefault="00F038D6" w:rsidP="00F038D6">
      <w:r w:rsidRPr="00F038D6">
        <w:rPr>
          <w:lang w:val="x-none"/>
        </w:rPr>
        <w:t>Figure 3.17 Standard curve for heparan sulphate and heparan sulphate with urine assayed with the DMMB assay</w:t>
      </w:r>
      <w:r>
        <w:t xml:space="preserve">……………………………….128 </w:t>
      </w:r>
      <w:r w:rsidR="00514A4B" w:rsidRPr="00DD050D">
        <w:rPr>
          <w:noProof/>
          <w:color w:val="000000"/>
        </w:rPr>
        <w:t>Figure 3.18 Heparan sulphate digestion with heparinase II</w:t>
      </w:r>
      <w:r>
        <w:rPr>
          <w:noProof/>
          <w:color w:val="000000"/>
        </w:rPr>
        <w:t>…………..</w:t>
      </w:r>
      <w:r w:rsidR="00514A4B">
        <w:rPr>
          <w:noProof/>
        </w:rPr>
        <w:fldChar w:fldCharType="begin"/>
      </w:r>
      <w:r w:rsidR="00514A4B">
        <w:rPr>
          <w:noProof/>
        </w:rPr>
        <w:instrText xml:space="preserve"> PAGEREF _Toc504640604 \h </w:instrText>
      </w:r>
      <w:r w:rsidR="00514A4B">
        <w:rPr>
          <w:noProof/>
        </w:rPr>
      </w:r>
      <w:r w:rsidR="00514A4B">
        <w:rPr>
          <w:noProof/>
        </w:rPr>
        <w:fldChar w:fldCharType="separate"/>
      </w:r>
      <w:r w:rsidR="00514A4B">
        <w:rPr>
          <w:noProof/>
        </w:rPr>
        <w:t>129</w:t>
      </w:r>
      <w:r w:rsidR="00514A4B">
        <w:rPr>
          <w:noProof/>
        </w:rPr>
        <w:fldChar w:fldCharType="end"/>
      </w:r>
      <w:r>
        <w:rPr>
          <w:noProof/>
        </w:rPr>
        <w:t xml:space="preserve"> </w:t>
      </w:r>
      <w:r w:rsidR="00514A4B" w:rsidRPr="00DD050D">
        <w:rPr>
          <w:noProof/>
          <w:color w:val="000000"/>
        </w:rPr>
        <w:t>Figure 3.19 Digestion of urinary GAGs in rat urine with heparinase II</w:t>
      </w:r>
      <w:r>
        <w:rPr>
          <w:noProof/>
        </w:rPr>
        <w:t>……..………………………………………………………………………</w:t>
      </w:r>
      <w:r w:rsidR="00514A4B">
        <w:rPr>
          <w:noProof/>
        </w:rPr>
        <w:fldChar w:fldCharType="begin"/>
      </w:r>
      <w:r w:rsidR="00514A4B">
        <w:rPr>
          <w:noProof/>
        </w:rPr>
        <w:instrText xml:space="preserve"> PAGEREF _Toc504640605 \h </w:instrText>
      </w:r>
      <w:r w:rsidR="00514A4B">
        <w:rPr>
          <w:noProof/>
        </w:rPr>
      </w:r>
      <w:r w:rsidR="00514A4B">
        <w:rPr>
          <w:noProof/>
        </w:rPr>
        <w:fldChar w:fldCharType="separate"/>
      </w:r>
      <w:r w:rsidR="00514A4B">
        <w:rPr>
          <w:noProof/>
        </w:rPr>
        <w:t>130</w:t>
      </w:r>
      <w:r w:rsidR="00514A4B">
        <w:rPr>
          <w:noProof/>
        </w:rPr>
        <w:fldChar w:fldCharType="end"/>
      </w:r>
      <w:r w:rsidR="00514A4B" w:rsidRPr="00DD050D">
        <w:rPr>
          <w:noProof/>
          <w:color w:val="000000"/>
        </w:rPr>
        <w:t>Figure 3.20 Heparan sulphate digestion with heparinase III</w:t>
      </w:r>
      <w:r>
        <w:rPr>
          <w:noProof/>
          <w:color w:val="000000"/>
        </w:rPr>
        <w:t>…</w:t>
      </w:r>
      <w:r>
        <w:rPr>
          <w:noProof/>
        </w:rPr>
        <w:t>…</w:t>
      </w:r>
      <w:r w:rsidR="00514A4B">
        <w:rPr>
          <w:noProof/>
        </w:rPr>
        <w:fldChar w:fldCharType="begin"/>
      </w:r>
      <w:r w:rsidR="00514A4B">
        <w:rPr>
          <w:noProof/>
        </w:rPr>
        <w:instrText xml:space="preserve"> PAGEREF _Toc504640606 \h </w:instrText>
      </w:r>
      <w:r w:rsidR="00514A4B">
        <w:rPr>
          <w:noProof/>
        </w:rPr>
      </w:r>
      <w:r w:rsidR="00514A4B">
        <w:rPr>
          <w:noProof/>
        </w:rPr>
        <w:fldChar w:fldCharType="separate"/>
      </w:r>
      <w:r w:rsidR="00514A4B">
        <w:rPr>
          <w:noProof/>
        </w:rPr>
        <w:t>131</w:t>
      </w:r>
      <w:r w:rsidR="00514A4B">
        <w:rPr>
          <w:noProof/>
        </w:rPr>
        <w:fldChar w:fldCharType="end"/>
      </w:r>
      <w:r>
        <w:rPr>
          <w:noProof/>
        </w:rPr>
        <w:t xml:space="preserve">  </w:t>
      </w:r>
      <w:r w:rsidR="00514A4B" w:rsidRPr="00DD050D">
        <w:rPr>
          <w:noProof/>
          <w:color w:val="000000"/>
        </w:rPr>
        <w:t>Figure 3.21 Digestion of GAGs in prophylaxis urine with heparinase III</w:t>
      </w:r>
      <w:r>
        <w:rPr>
          <w:noProof/>
        </w:rPr>
        <w:t>…………………………………………………………………………….</w:t>
      </w:r>
      <w:r w:rsidR="00514A4B">
        <w:rPr>
          <w:noProof/>
        </w:rPr>
        <w:fldChar w:fldCharType="begin"/>
      </w:r>
      <w:r w:rsidR="00514A4B">
        <w:rPr>
          <w:noProof/>
        </w:rPr>
        <w:instrText xml:space="preserve"> PAGEREF _Toc504640607 \h </w:instrText>
      </w:r>
      <w:r w:rsidR="00514A4B">
        <w:rPr>
          <w:noProof/>
        </w:rPr>
      </w:r>
      <w:r w:rsidR="00514A4B">
        <w:rPr>
          <w:noProof/>
        </w:rPr>
        <w:fldChar w:fldCharType="separate"/>
      </w:r>
      <w:r w:rsidR="00514A4B">
        <w:rPr>
          <w:noProof/>
        </w:rPr>
        <w:t>132</w:t>
      </w:r>
      <w:r w:rsidR="00514A4B">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4.1. Haematoxylin and Eosin staining of rat kidneys.</w:t>
      </w:r>
      <w:r>
        <w:rPr>
          <w:noProof/>
        </w:rPr>
        <w:tab/>
      </w:r>
      <w:r>
        <w:rPr>
          <w:noProof/>
        </w:rPr>
        <w:fldChar w:fldCharType="begin"/>
      </w:r>
      <w:r>
        <w:rPr>
          <w:noProof/>
        </w:rPr>
        <w:instrText xml:space="preserve"> PAGEREF _Toc504640608 \h </w:instrText>
      </w:r>
      <w:r>
        <w:rPr>
          <w:noProof/>
        </w:rPr>
      </w:r>
      <w:r>
        <w:rPr>
          <w:noProof/>
        </w:rPr>
        <w:fldChar w:fldCharType="separate"/>
      </w:r>
      <w:r>
        <w:rPr>
          <w:noProof/>
        </w:rPr>
        <w:t>139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4.2. Picrosirius red staining of rat kidneys.</w:t>
      </w:r>
      <w:r>
        <w:rPr>
          <w:noProof/>
        </w:rPr>
        <w:tab/>
      </w:r>
      <w:r>
        <w:rPr>
          <w:noProof/>
        </w:rPr>
        <w:fldChar w:fldCharType="begin"/>
      </w:r>
      <w:r>
        <w:rPr>
          <w:noProof/>
        </w:rPr>
        <w:instrText xml:space="preserve"> PAGEREF _Toc504640609 \h </w:instrText>
      </w:r>
      <w:r>
        <w:rPr>
          <w:noProof/>
        </w:rPr>
      </w:r>
      <w:r>
        <w:rPr>
          <w:noProof/>
        </w:rPr>
        <w:fldChar w:fldCharType="separate"/>
      </w:r>
      <w:r>
        <w:rPr>
          <w:noProof/>
        </w:rPr>
        <w:t>144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Pr>
          <w:noProof/>
        </w:rPr>
        <w:lastRenderedPageBreak/>
        <w:t>Figure 4.3 Summary of picrosirius red semi- automated analysis</w:t>
      </w:r>
      <w:r w:rsidRPr="00DD050D">
        <w:rPr>
          <w:noProof/>
          <w:color w:val="191B0E"/>
        </w:rPr>
        <w:t>.</w:t>
      </w:r>
      <w:r>
        <w:rPr>
          <w:noProof/>
        </w:rPr>
        <w:tab/>
      </w:r>
      <w:r>
        <w:rPr>
          <w:noProof/>
        </w:rPr>
        <w:fldChar w:fldCharType="begin"/>
      </w:r>
      <w:r>
        <w:rPr>
          <w:noProof/>
        </w:rPr>
        <w:instrText xml:space="preserve"> PAGEREF _Toc504640610 \h </w:instrText>
      </w:r>
      <w:r>
        <w:rPr>
          <w:noProof/>
        </w:rPr>
      </w:r>
      <w:r>
        <w:rPr>
          <w:noProof/>
        </w:rPr>
        <w:fldChar w:fldCharType="separate"/>
      </w:r>
      <w:r>
        <w:rPr>
          <w:noProof/>
        </w:rPr>
        <w:t>146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4.4 Masson’s trichrome staining of rat kidneys.</w:t>
      </w:r>
      <w:r>
        <w:rPr>
          <w:noProof/>
        </w:rPr>
        <w:tab/>
      </w:r>
      <w:r>
        <w:rPr>
          <w:noProof/>
        </w:rPr>
        <w:fldChar w:fldCharType="begin"/>
      </w:r>
      <w:r>
        <w:rPr>
          <w:noProof/>
        </w:rPr>
        <w:instrText xml:space="preserve"> PAGEREF _Toc504640611 \h </w:instrText>
      </w:r>
      <w:r>
        <w:rPr>
          <w:noProof/>
        </w:rPr>
      </w:r>
      <w:r>
        <w:rPr>
          <w:noProof/>
        </w:rPr>
        <w:fldChar w:fldCharType="separate"/>
      </w:r>
      <w:r>
        <w:rPr>
          <w:noProof/>
        </w:rPr>
        <w:t>150</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5.1 Plasmin activity in cultured medium from cells cultured on both fibrin and plastic</w:t>
      </w:r>
      <w:r>
        <w:rPr>
          <w:noProof/>
        </w:rPr>
        <w:tab/>
      </w:r>
      <w:r>
        <w:rPr>
          <w:noProof/>
        </w:rPr>
        <w:fldChar w:fldCharType="begin"/>
      </w:r>
      <w:r>
        <w:rPr>
          <w:noProof/>
        </w:rPr>
        <w:instrText xml:space="preserve"> PAGEREF _Toc504640612 \h </w:instrText>
      </w:r>
      <w:r>
        <w:rPr>
          <w:noProof/>
        </w:rPr>
      </w:r>
      <w:r>
        <w:rPr>
          <w:noProof/>
        </w:rPr>
        <w:fldChar w:fldCharType="separate"/>
      </w:r>
      <w:r>
        <w:rPr>
          <w:noProof/>
        </w:rPr>
        <w:t>157</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5.2 tPA activity using p-EGR-</w:t>
      </w:r>
      <w:r w:rsidRPr="00DD050D">
        <w:rPr>
          <w:i/>
          <w:noProof/>
          <w:color w:val="000000"/>
        </w:rPr>
        <w:t>p</w:t>
      </w:r>
      <w:r w:rsidRPr="00DD050D">
        <w:rPr>
          <w:noProof/>
          <w:color w:val="000000"/>
        </w:rPr>
        <w:t>NA in conditioned medium from rat kidney cells cultured on fibrin and plastic</w:t>
      </w:r>
      <w:r>
        <w:rPr>
          <w:noProof/>
        </w:rPr>
        <w:tab/>
      </w:r>
      <w:r>
        <w:rPr>
          <w:noProof/>
        </w:rPr>
        <w:fldChar w:fldCharType="begin"/>
      </w:r>
      <w:r>
        <w:rPr>
          <w:noProof/>
        </w:rPr>
        <w:instrText xml:space="preserve"> PAGEREF _Toc504640613 \h </w:instrText>
      </w:r>
      <w:r>
        <w:rPr>
          <w:noProof/>
        </w:rPr>
      </w:r>
      <w:r>
        <w:rPr>
          <w:noProof/>
        </w:rPr>
        <w:fldChar w:fldCharType="separate"/>
      </w:r>
      <w:r>
        <w:rPr>
          <w:noProof/>
        </w:rPr>
        <w:t>158</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5.3 uPA Activity using p-EGR-pNA in conditioned medium from rat kidney cells cultured on both fibrin gel and plastic.</w:t>
      </w:r>
      <w:r>
        <w:rPr>
          <w:noProof/>
        </w:rPr>
        <w:tab/>
      </w:r>
      <w:r>
        <w:rPr>
          <w:noProof/>
        </w:rPr>
        <w:fldChar w:fldCharType="begin"/>
      </w:r>
      <w:r>
        <w:rPr>
          <w:noProof/>
        </w:rPr>
        <w:instrText xml:space="preserve"> PAGEREF _Toc504640614 \h </w:instrText>
      </w:r>
      <w:r>
        <w:rPr>
          <w:noProof/>
        </w:rPr>
      </w:r>
      <w:r>
        <w:rPr>
          <w:noProof/>
        </w:rPr>
        <w:fldChar w:fldCharType="separate"/>
      </w:r>
      <w:r>
        <w:rPr>
          <w:noProof/>
        </w:rPr>
        <w:t>159</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5.4 CPB2 Activity in conditioned medium from rat kidney cells cultured on fibrin and plastic.</w:t>
      </w:r>
      <w:r>
        <w:rPr>
          <w:noProof/>
        </w:rPr>
        <w:tab/>
      </w:r>
      <w:r>
        <w:rPr>
          <w:noProof/>
        </w:rPr>
        <w:fldChar w:fldCharType="begin"/>
      </w:r>
      <w:r>
        <w:rPr>
          <w:noProof/>
        </w:rPr>
        <w:instrText xml:space="preserve"> PAGEREF _Toc504640615 \h </w:instrText>
      </w:r>
      <w:r>
        <w:rPr>
          <w:noProof/>
        </w:rPr>
      </w:r>
      <w:r>
        <w:rPr>
          <w:noProof/>
        </w:rPr>
        <w:fldChar w:fldCharType="separate"/>
      </w:r>
      <w:r>
        <w:rPr>
          <w:noProof/>
        </w:rPr>
        <w:t>160</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5.5 Plasmin Activity in cultured medium from cells cultured on fibrin in both high glucose and low glucose medium.</w:t>
      </w:r>
      <w:r>
        <w:rPr>
          <w:noProof/>
        </w:rPr>
        <w:tab/>
      </w:r>
      <w:r>
        <w:rPr>
          <w:noProof/>
        </w:rPr>
        <w:fldChar w:fldCharType="begin"/>
      </w:r>
      <w:r>
        <w:rPr>
          <w:noProof/>
        </w:rPr>
        <w:instrText xml:space="preserve"> PAGEREF _Toc504640616 \h </w:instrText>
      </w:r>
      <w:r>
        <w:rPr>
          <w:noProof/>
        </w:rPr>
      </w:r>
      <w:r>
        <w:rPr>
          <w:noProof/>
        </w:rPr>
        <w:fldChar w:fldCharType="separate"/>
      </w:r>
      <w:r>
        <w:rPr>
          <w:noProof/>
        </w:rPr>
        <w:t>163</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5.6 tPA activity in cultured medium from cells cultured on fibrin in both high glucose and low glucose medium.</w:t>
      </w:r>
      <w:r>
        <w:rPr>
          <w:noProof/>
        </w:rPr>
        <w:tab/>
      </w:r>
      <w:r>
        <w:rPr>
          <w:noProof/>
        </w:rPr>
        <w:fldChar w:fldCharType="begin"/>
      </w:r>
      <w:r>
        <w:rPr>
          <w:noProof/>
        </w:rPr>
        <w:instrText xml:space="preserve"> PAGEREF _Toc504640617 \h </w:instrText>
      </w:r>
      <w:r>
        <w:rPr>
          <w:noProof/>
        </w:rPr>
      </w:r>
      <w:r>
        <w:rPr>
          <w:noProof/>
        </w:rPr>
        <w:fldChar w:fldCharType="separate"/>
      </w:r>
      <w:r>
        <w:rPr>
          <w:noProof/>
        </w:rPr>
        <w:t>163</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5.7 uPA activity in cultured medium from cells cultured on fibrin in both high glucose and low glucose medium.</w:t>
      </w:r>
      <w:r>
        <w:rPr>
          <w:noProof/>
        </w:rPr>
        <w:tab/>
      </w:r>
      <w:r>
        <w:rPr>
          <w:noProof/>
        </w:rPr>
        <w:fldChar w:fldCharType="begin"/>
      </w:r>
      <w:r>
        <w:rPr>
          <w:noProof/>
        </w:rPr>
        <w:instrText xml:space="preserve"> PAGEREF _Toc504640618 \h </w:instrText>
      </w:r>
      <w:r>
        <w:rPr>
          <w:noProof/>
        </w:rPr>
      </w:r>
      <w:r>
        <w:rPr>
          <w:noProof/>
        </w:rPr>
        <w:fldChar w:fldCharType="separate"/>
      </w:r>
      <w:r>
        <w:rPr>
          <w:noProof/>
        </w:rPr>
        <w:t>164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5.8 CPB2 activity in cultured medium from cells cultured on both high glucose and low glucose on fibrin.</w:t>
      </w:r>
      <w:r>
        <w:rPr>
          <w:noProof/>
        </w:rPr>
        <w:tab/>
      </w:r>
      <w:r>
        <w:rPr>
          <w:noProof/>
        </w:rPr>
        <w:fldChar w:fldCharType="begin"/>
      </w:r>
      <w:r>
        <w:rPr>
          <w:noProof/>
        </w:rPr>
        <w:instrText xml:space="preserve"> PAGEREF _Toc504640619 \h </w:instrText>
      </w:r>
      <w:r>
        <w:rPr>
          <w:noProof/>
        </w:rPr>
      </w:r>
      <w:r>
        <w:rPr>
          <w:noProof/>
        </w:rPr>
        <w:fldChar w:fldCharType="separate"/>
      </w:r>
      <w:r>
        <w:rPr>
          <w:noProof/>
        </w:rPr>
        <w:t>164</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5.9 Plasmin activity in cells the in presence and absence of UK-396082 inhibitor in a diabetic model cultured on fibrin.</w:t>
      </w:r>
      <w:r>
        <w:rPr>
          <w:noProof/>
        </w:rPr>
        <w:tab/>
      </w:r>
      <w:r>
        <w:rPr>
          <w:noProof/>
        </w:rPr>
        <w:fldChar w:fldCharType="begin"/>
      </w:r>
      <w:r>
        <w:rPr>
          <w:noProof/>
        </w:rPr>
        <w:instrText xml:space="preserve"> PAGEREF _Toc504640620 \h </w:instrText>
      </w:r>
      <w:r>
        <w:rPr>
          <w:noProof/>
        </w:rPr>
      </w:r>
      <w:r>
        <w:rPr>
          <w:noProof/>
        </w:rPr>
        <w:fldChar w:fldCharType="separate"/>
      </w:r>
      <w:r>
        <w:rPr>
          <w:noProof/>
        </w:rPr>
        <w:t>166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5.10 tPA activity in cells the presence and absence of inhibitor in a diabetic model cultured on fibrin</w:t>
      </w:r>
      <w:r>
        <w:rPr>
          <w:noProof/>
        </w:rPr>
        <w:tab/>
      </w:r>
      <w:r>
        <w:rPr>
          <w:noProof/>
        </w:rPr>
        <w:fldChar w:fldCharType="begin"/>
      </w:r>
      <w:r>
        <w:rPr>
          <w:noProof/>
        </w:rPr>
        <w:instrText xml:space="preserve"> PAGEREF _Toc504640621 \h </w:instrText>
      </w:r>
      <w:r>
        <w:rPr>
          <w:noProof/>
        </w:rPr>
      </w:r>
      <w:r>
        <w:rPr>
          <w:noProof/>
        </w:rPr>
        <w:fldChar w:fldCharType="separate"/>
      </w:r>
      <w:r>
        <w:rPr>
          <w:noProof/>
        </w:rPr>
        <w:t>166</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5.11 uPA activity in cells the presence and absence of inhibitor in a diabetic model cultured on fibrin.</w:t>
      </w:r>
      <w:r>
        <w:rPr>
          <w:noProof/>
        </w:rPr>
        <w:tab/>
      </w:r>
      <w:r>
        <w:rPr>
          <w:noProof/>
        </w:rPr>
        <w:fldChar w:fldCharType="begin"/>
      </w:r>
      <w:r>
        <w:rPr>
          <w:noProof/>
        </w:rPr>
        <w:instrText xml:space="preserve"> PAGEREF _Toc504640622 \h </w:instrText>
      </w:r>
      <w:r>
        <w:rPr>
          <w:noProof/>
        </w:rPr>
      </w:r>
      <w:r>
        <w:rPr>
          <w:noProof/>
        </w:rPr>
        <w:fldChar w:fldCharType="separate"/>
      </w:r>
      <w:r>
        <w:rPr>
          <w:noProof/>
        </w:rPr>
        <w:t>167</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color w:val="000000"/>
        </w:rPr>
        <w:t>Figure 5.12 CPB2 activity in cells in the presence and absence of inhibitor in a diabetic model cultured on fibrin.</w:t>
      </w:r>
      <w:r>
        <w:rPr>
          <w:noProof/>
        </w:rPr>
        <w:tab/>
      </w:r>
      <w:r>
        <w:rPr>
          <w:noProof/>
        </w:rPr>
        <w:fldChar w:fldCharType="begin"/>
      </w:r>
      <w:r>
        <w:rPr>
          <w:noProof/>
        </w:rPr>
        <w:instrText xml:space="preserve"> PAGEREF _Toc504640623 \h </w:instrText>
      </w:r>
      <w:r>
        <w:rPr>
          <w:noProof/>
        </w:rPr>
      </w:r>
      <w:r>
        <w:rPr>
          <w:noProof/>
        </w:rPr>
        <w:fldChar w:fldCharType="separate"/>
      </w:r>
      <w:r>
        <w:rPr>
          <w:noProof/>
        </w:rPr>
        <w:t>167</w:t>
      </w:r>
      <w:r>
        <w:rPr>
          <w:noProof/>
        </w:rPr>
        <w:fldChar w:fldCharType="end"/>
      </w:r>
    </w:p>
    <w:p w:rsidR="00514A4B" w:rsidRDefault="00514A4B">
      <w:pPr>
        <w:pStyle w:val="TableofFigures"/>
        <w:tabs>
          <w:tab w:val="right" w:leader="dot" w:pos="7643"/>
        </w:tabs>
        <w:rPr>
          <w:rFonts w:asciiTheme="minorHAnsi" w:eastAsiaTheme="minorEastAsia" w:hAnsiTheme="minorHAnsi" w:cstheme="minorBidi"/>
          <w:noProof/>
          <w:sz w:val="22"/>
          <w:szCs w:val="22"/>
          <w:lang w:eastAsia="en-GB"/>
        </w:rPr>
      </w:pPr>
      <w:r w:rsidRPr="00DD050D">
        <w:rPr>
          <w:noProof/>
        </w:rPr>
        <w:t xml:space="preserve">With regards to </w:t>
      </w:r>
      <w:r w:rsidRPr="00DD050D">
        <w:rPr>
          <w:i/>
          <w:noProof/>
        </w:rPr>
        <w:t>in vivo</w:t>
      </w:r>
      <w:r w:rsidRPr="00DD050D">
        <w:rPr>
          <w:noProof/>
        </w:rPr>
        <w:t xml:space="preserve"> studies we used unilateral nephrectomised diabetic model over eight month period while they used Snx.</w:t>
      </w:r>
      <w:r>
        <w:rPr>
          <w:noProof/>
        </w:rPr>
        <w:tab/>
      </w:r>
      <w:r>
        <w:rPr>
          <w:noProof/>
        </w:rPr>
        <w:fldChar w:fldCharType="begin"/>
      </w:r>
      <w:r>
        <w:rPr>
          <w:noProof/>
        </w:rPr>
        <w:instrText xml:space="preserve"> PAGEREF _Toc504640624 \h </w:instrText>
      </w:r>
      <w:r>
        <w:rPr>
          <w:noProof/>
        </w:rPr>
      </w:r>
      <w:r>
        <w:rPr>
          <w:noProof/>
        </w:rPr>
        <w:fldChar w:fldCharType="separate"/>
      </w:r>
      <w:r>
        <w:rPr>
          <w:noProof/>
        </w:rPr>
        <w:t>169</w:t>
      </w:r>
      <w:r>
        <w:rPr>
          <w:noProof/>
        </w:rPr>
        <w:fldChar w:fldCharType="end"/>
      </w:r>
    </w:p>
    <w:p w:rsidR="005145B0" w:rsidRDefault="00514A4B" w:rsidP="00514A4B">
      <w:pPr>
        <w:rPr>
          <w:sz w:val="32"/>
          <w:highlight w:val="lightGray"/>
          <w:lang w:eastAsia="en-GB"/>
        </w:rPr>
      </w:pPr>
      <w:r>
        <w:rPr>
          <w:b/>
          <w:sz w:val="32"/>
          <w:highlight w:val="lightGray"/>
          <w:lang w:eastAsia="en-GB"/>
        </w:rPr>
        <w:fldChar w:fldCharType="end"/>
      </w:r>
    </w:p>
    <w:p w:rsidR="007C7C7D" w:rsidRDefault="005145B0" w:rsidP="005145B0">
      <w:pPr>
        <w:spacing w:after="160" w:line="259" w:lineRule="auto"/>
        <w:jc w:val="left"/>
        <w:rPr>
          <w:sz w:val="32"/>
          <w:highlight w:val="lightGray"/>
          <w:lang w:eastAsia="en-GB"/>
        </w:rPr>
      </w:pPr>
      <w:r>
        <w:rPr>
          <w:sz w:val="32"/>
          <w:highlight w:val="lightGray"/>
          <w:lang w:eastAsia="en-GB"/>
        </w:rPr>
        <w:br w:type="page"/>
      </w:r>
    </w:p>
    <w:p w:rsidR="003B308D" w:rsidRDefault="007C7C7D" w:rsidP="007C7C7D">
      <w:pPr>
        <w:ind w:left="2160" w:firstLine="720"/>
        <w:rPr>
          <w:sz w:val="32"/>
          <w:highlight w:val="lightGray"/>
          <w:lang w:eastAsia="en-GB"/>
        </w:rPr>
      </w:pPr>
      <w:r>
        <w:rPr>
          <w:sz w:val="32"/>
          <w:highlight w:val="lightGray"/>
          <w:lang w:eastAsia="en-GB"/>
        </w:rPr>
        <w:lastRenderedPageBreak/>
        <w:t>Tables</w:t>
      </w:r>
    </w:p>
    <w:p w:rsidR="007C7C7D" w:rsidRPr="007C7C7D" w:rsidRDefault="00203416" w:rsidP="007C7C7D">
      <w:pPr>
        <w:pStyle w:val="TableofFigures"/>
        <w:tabs>
          <w:tab w:val="right" w:leader="dot" w:pos="7643"/>
        </w:tabs>
        <w:rPr>
          <w:rStyle w:val="Hyperlink"/>
          <w:rFonts w:cs="Arial"/>
          <w:noProof/>
          <w:color w:val="auto"/>
          <w:u w:val="none"/>
        </w:rPr>
      </w:pPr>
      <w:hyperlink w:anchor="_Toc494734045" w:history="1">
        <w:r w:rsidR="007C7C7D" w:rsidRPr="007C7C7D">
          <w:rPr>
            <w:rStyle w:val="Hyperlink"/>
            <w:rFonts w:cs="Arial"/>
            <w:noProof/>
            <w:color w:val="auto"/>
            <w:u w:val="none"/>
          </w:rPr>
          <w:t>Table 1.1 CKD criteria.</w:t>
        </w:r>
        <w:r w:rsidR="007C7C7D" w:rsidRPr="007C7C7D">
          <w:rPr>
            <w:rFonts w:cs="Arial"/>
            <w:noProof/>
            <w:webHidden/>
          </w:rPr>
          <w:tab/>
        </w:r>
      </w:hyperlink>
      <w:r w:rsidR="007D5F92">
        <w:rPr>
          <w:rFonts w:cs="Arial"/>
          <w:noProof/>
        </w:rPr>
        <w:t>4</w:t>
      </w:r>
    </w:p>
    <w:p w:rsidR="007C7C7D" w:rsidRPr="007C7C7D" w:rsidRDefault="00722B0D" w:rsidP="007C7C7D">
      <w:pPr>
        <w:spacing w:after="0"/>
        <w:rPr>
          <w:rFonts w:eastAsia="Times New Roman" w:cs="Arial"/>
        </w:rPr>
      </w:pPr>
      <w:r>
        <w:rPr>
          <w:rFonts w:eastAsia="Times New Roman" w:cs="Arial"/>
        </w:rPr>
        <w:t>Table</w:t>
      </w:r>
      <w:r w:rsidR="00B92F65">
        <w:rPr>
          <w:rFonts w:eastAsia="Times New Roman" w:cs="Arial"/>
        </w:rPr>
        <w:t xml:space="preserve"> </w:t>
      </w:r>
      <w:r w:rsidR="007C7C7D">
        <w:rPr>
          <w:rFonts w:eastAsia="Times New Roman" w:cs="Arial"/>
        </w:rPr>
        <w:t>1.2</w:t>
      </w:r>
      <w:r w:rsidR="00B92F65">
        <w:rPr>
          <w:rFonts w:eastAsia="Times New Roman" w:cs="Arial"/>
        </w:rPr>
        <w:t xml:space="preserve"> </w:t>
      </w:r>
      <w:r w:rsidR="007C7C7D" w:rsidRPr="007C7C7D">
        <w:rPr>
          <w:rFonts w:eastAsia="Times New Roman" w:cs="Arial"/>
        </w:rPr>
        <w:t xml:space="preserve">The half-life of carboxypeptidase B2 and its thermal </w:t>
      </w:r>
      <w:r w:rsidR="00B92F65">
        <w:rPr>
          <w:rFonts w:eastAsia="Times New Roman" w:cs="Arial"/>
        </w:rPr>
        <w:t>instability</w:t>
      </w:r>
      <w:r>
        <w:rPr>
          <w:rFonts w:eastAsia="Times New Roman" w:cs="Arial"/>
        </w:rPr>
        <w:t>……………………</w:t>
      </w:r>
      <w:r w:rsidR="007C7C7D">
        <w:rPr>
          <w:rFonts w:eastAsia="Times New Roman" w:cs="Arial"/>
        </w:rPr>
        <w:t>……………</w:t>
      </w:r>
      <w:r w:rsidR="00B92F65">
        <w:rPr>
          <w:rFonts w:eastAsia="Times New Roman" w:cs="Arial"/>
        </w:rPr>
        <w:t>…</w:t>
      </w:r>
      <w:r w:rsidR="007C7C7D">
        <w:rPr>
          <w:rFonts w:eastAsia="Times New Roman" w:cs="Arial"/>
        </w:rPr>
        <w:t>………………………………</w:t>
      </w:r>
      <w:r w:rsidR="007D5F92">
        <w:rPr>
          <w:rFonts w:eastAsia="Times New Roman" w:cs="Arial"/>
        </w:rPr>
        <w:t>..32</w:t>
      </w:r>
    </w:p>
    <w:p w:rsidR="007C7C7D" w:rsidRPr="007C7C7D" w:rsidRDefault="00203416" w:rsidP="007C7C7D">
      <w:pPr>
        <w:pStyle w:val="TableofFigures"/>
        <w:tabs>
          <w:tab w:val="right" w:leader="dot" w:pos="7643"/>
        </w:tabs>
        <w:rPr>
          <w:rFonts w:eastAsiaTheme="minorEastAsia" w:cs="Arial"/>
          <w:noProof/>
          <w:sz w:val="22"/>
          <w:szCs w:val="22"/>
          <w:lang w:eastAsia="en-GB"/>
        </w:rPr>
      </w:pPr>
      <w:hyperlink w:anchor="_Toc494734055" w:history="1">
        <w:r w:rsidR="007C7C7D" w:rsidRPr="007C7C7D">
          <w:rPr>
            <w:rStyle w:val="Hyperlink"/>
            <w:rFonts w:cs="Arial"/>
            <w:noProof/>
            <w:color w:val="auto"/>
            <w:u w:val="none"/>
          </w:rPr>
          <w:t>Table 2.1: Reaction mix.</w:t>
        </w:r>
        <w:r w:rsidR="007C7C7D" w:rsidRPr="007C7C7D">
          <w:rPr>
            <w:rFonts w:cs="Arial"/>
            <w:noProof/>
            <w:webHidden/>
          </w:rPr>
          <w:tab/>
        </w:r>
      </w:hyperlink>
      <w:r w:rsidR="007D5F92">
        <w:rPr>
          <w:rFonts w:cs="Arial"/>
          <w:noProof/>
        </w:rPr>
        <w:t>54</w:t>
      </w:r>
    </w:p>
    <w:p w:rsidR="007C7C7D" w:rsidRDefault="00203416" w:rsidP="007C7C7D">
      <w:pPr>
        <w:pStyle w:val="TableofFigures"/>
        <w:tabs>
          <w:tab w:val="right" w:leader="dot" w:pos="7643"/>
        </w:tabs>
        <w:rPr>
          <w:rStyle w:val="Hyperlink"/>
          <w:rFonts w:cs="Arial"/>
          <w:noProof/>
          <w:color w:val="auto"/>
          <w:u w:val="none"/>
        </w:rPr>
      </w:pPr>
      <w:hyperlink w:anchor="_Toc494734056" w:history="1">
        <w:r w:rsidR="007C7C7D" w:rsidRPr="007C7C7D">
          <w:rPr>
            <w:rStyle w:val="Hyperlink"/>
            <w:rFonts w:cs="Arial"/>
            <w:noProof/>
            <w:color w:val="auto"/>
            <w:u w:val="none"/>
          </w:rPr>
          <w:t>Table 2.2 Urea standards composition.</w:t>
        </w:r>
        <w:r w:rsidR="007C7C7D" w:rsidRPr="007C7C7D">
          <w:rPr>
            <w:rFonts w:cs="Arial"/>
            <w:noProof/>
            <w:webHidden/>
          </w:rPr>
          <w:tab/>
        </w:r>
      </w:hyperlink>
      <w:r w:rsidR="007D5F92">
        <w:rPr>
          <w:rFonts w:cs="Arial"/>
          <w:noProof/>
        </w:rPr>
        <w:t>55</w:t>
      </w:r>
    </w:p>
    <w:p w:rsidR="00FE71CA" w:rsidRPr="00FE71CA" w:rsidRDefault="00FE71CA" w:rsidP="00FE71CA">
      <w:r w:rsidRPr="00FE71CA">
        <w:rPr>
          <w:rFonts w:cs="Arial"/>
        </w:rPr>
        <w:t>Table 2.3. Composition of creatinine standards</w:t>
      </w:r>
      <w:r w:rsidR="007D5F92">
        <w:rPr>
          <w:rFonts w:cs="Arial"/>
        </w:rPr>
        <w:t>…………………………60</w:t>
      </w:r>
    </w:p>
    <w:p w:rsidR="007C7C7D" w:rsidRPr="007B3EEB" w:rsidRDefault="00203416" w:rsidP="007C7C7D">
      <w:pPr>
        <w:pStyle w:val="TableofFigures"/>
        <w:tabs>
          <w:tab w:val="right" w:leader="dot" w:pos="7643"/>
        </w:tabs>
        <w:rPr>
          <w:rStyle w:val="Hyperlink"/>
          <w:noProof/>
          <w:color w:val="auto"/>
          <w:u w:val="none"/>
        </w:rPr>
      </w:pPr>
      <w:hyperlink w:anchor="_Toc494734059" w:history="1">
        <w:r w:rsidR="007C7C7D" w:rsidRPr="007B3EEB">
          <w:rPr>
            <w:rStyle w:val="Hyperlink"/>
            <w:noProof/>
            <w:color w:val="auto"/>
            <w:u w:val="none"/>
          </w:rPr>
          <w:t>Table 2.4</w:t>
        </w:r>
        <w:r w:rsidR="00961B44" w:rsidRPr="007B3EEB">
          <w:rPr>
            <w:rStyle w:val="Hyperlink"/>
            <w:noProof/>
            <w:color w:val="auto"/>
            <w:u w:val="none"/>
          </w:rPr>
          <w:t>.</w:t>
        </w:r>
        <w:r w:rsidR="00961B44" w:rsidRPr="007B3EEB">
          <w:rPr>
            <w:rStyle w:val="SubtitleChar"/>
            <w:rFonts w:eastAsiaTheme="minorHAnsi"/>
          </w:rPr>
          <w:t xml:space="preserve"> Creatinine determination in urine</w:t>
        </w:r>
        <w:r w:rsidR="007C7C7D" w:rsidRPr="007B3EEB">
          <w:rPr>
            <w:noProof/>
            <w:webHidden/>
          </w:rPr>
          <w:tab/>
        </w:r>
      </w:hyperlink>
      <w:r w:rsidR="007D5F92">
        <w:rPr>
          <w:noProof/>
        </w:rPr>
        <w:t>61</w:t>
      </w:r>
    </w:p>
    <w:p w:rsidR="00FE71CA" w:rsidRPr="00FE71CA" w:rsidRDefault="00FE71CA" w:rsidP="00FE71CA">
      <w:pPr>
        <w:rPr>
          <w:lang w:eastAsia="en-GB"/>
        </w:rPr>
      </w:pPr>
      <w:r w:rsidRPr="00FE71CA">
        <w:t>Table 2.5.</w:t>
      </w:r>
      <w:r w:rsidRPr="00FE71CA">
        <w:rPr>
          <w:lang w:eastAsia="en-GB"/>
        </w:rPr>
        <w:t xml:space="preserve"> Setting up a standard curve from 0-2.5 mg/ml BSA</w:t>
      </w:r>
      <w:r w:rsidR="007D5F92">
        <w:rPr>
          <w:lang w:eastAsia="en-GB"/>
        </w:rPr>
        <w:t>………..64</w:t>
      </w:r>
    </w:p>
    <w:p w:rsidR="007C7C7D" w:rsidRPr="007C7C7D" w:rsidRDefault="00203416" w:rsidP="007C7C7D">
      <w:pPr>
        <w:pStyle w:val="TableofFigures"/>
        <w:tabs>
          <w:tab w:val="right" w:leader="dot" w:pos="7643"/>
        </w:tabs>
        <w:rPr>
          <w:rFonts w:asciiTheme="minorHAnsi" w:eastAsiaTheme="minorEastAsia" w:hAnsiTheme="minorHAnsi" w:cstheme="minorBidi"/>
          <w:noProof/>
          <w:sz w:val="22"/>
          <w:szCs w:val="22"/>
          <w:lang w:eastAsia="en-GB"/>
        </w:rPr>
      </w:pPr>
      <w:hyperlink w:anchor="_Toc494734063" w:history="1">
        <w:r w:rsidR="007C7C7D" w:rsidRPr="007C7C7D">
          <w:rPr>
            <w:rStyle w:val="Hyperlink"/>
            <w:noProof/>
            <w:color w:val="auto"/>
            <w:u w:val="none"/>
            <w:lang w:val="x-none"/>
          </w:rPr>
          <w:t>Table</w:t>
        </w:r>
        <w:r w:rsidR="007C7C7D" w:rsidRPr="007C7C7D">
          <w:rPr>
            <w:rStyle w:val="Hyperlink"/>
            <w:noProof/>
            <w:color w:val="auto"/>
            <w:u w:val="none"/>
          </w:rPr>
          <w:t xml:space="preserve"> 2.6 This shows the volume of DMMB solution, plus water and the volume of chondroitin-4-sulphate per cuvette.</w:t>
        </w:r>
      </w:hyperlink>
      <w:r w:rsidR="007B3EEB">
        <w:rPr>
          <w:noProof/>
        </w:rPr>
        <w:t>.........</w:t>
      </w:r>
      <w:r w:rsidR="007D5F92">
        <w:rPr>
          <w:noProof/>
        </w:rPr>
        <w:t>..............................67</w:t>
      </w:r>
      <w:r w:rsidR="007B3EEB" w:rsidRPr="007C7C7D">
        <w:rPr>
          <w:rFonts w:asciiTheme="minorHAnsi" w:eastAsiaTheme="minorEastAsia" w:hAnsiTheme="minorHAnsi" w:cstheme="minorBidi"/>
          <w:noProof/>
          <w:sz w:val="22"/>
          <w:szCs w:val="22"/>
          <w:lang w:eastAsia="en-GB"/>
        </w:rPr>
        <w:t xml:space="preserve"> </w:t>
      </w:r>
    </w:p>
    <w:p w:rsidR="007C7C7D" w:rsidRPr="007C7C7D" w:rsidRDefault="00203416" w:rsidP="007C7C7D">
      <w:pPr>
        <w:pStyle w:val="TableofFigures"/>
        <w:tabs>
          <w:tab w:val="right" w:leader="dot" w:pos="7643"/>
        </w:tabs>
        <w:rPr>
          <w:rFonts w:asciiTheme="minorHAnsi" w:eastAsiaTheme="minorEastAsia" w:hAnsiTheme="minorHAnsi" w:cstheme="minorBidi"/>
          <w:noProof/>
          <w:sz w:val="22"/>
          <w:szCs w:val="22"/>
          <w:lang w:eastAsia="en-GB"/>
        </w:rPr>
      </w:pPr>
      <w:hyperlink w:anchor="_Toc494734065" w:history="1">
        <w:r w:rsidR="007C7C7D" w:rsidRPr="007C7C7D">
          <w:rPr>
            <w:rStyle w:val="Hyperlink"/>
            <w:noProof/>
            <w:color w:val="auto"/>
            <w:u w:val="none"/>
          </w:rPr>
          <w:t>Table 2.7 Standard curve of heparan sulphate in the presence and absence of UK-396082</w:t>
        </w:r>
        <w:r w:rsidR="007C7C7D" w:rsidRPr="007C7C7D">
          <w:rPr>
            <w:noProof/>
            <w:webHidden/>
          </w:rPr>
          <w:tab/>
        </w:r>
      </w:hyperlink>
      <w:r w:rsidR="007D5F92">
        <w:rPr>
          <w:noProof/>
        </w:rPr>
        <w:t>70</w:t>
      </w:r>
    </w:p>
    <w:p w:rsidR="007C7C7D" w:rsidRPr="007C7C7D" w:rsidRDefault="00203416" w:rsidP="007C7C7D">
      <w:pPr>
        <w:pStyle w:val="TableofFigures"/>
        <w:tabs>
          <w:tab w:val="right" w:leader="dot" w:pos="7643"/>
        </w:tabs>
        <w:rPr>
          <w:rFonts w:asciiTheme="minorHAnsi" w:eastAsiaTheme="minorEastAsia" w:hAnsiTheme="minorHAnsi" w:cstheme="minorBidi"/>
          <w:noProof/>
          <w:sz w:val="22"/>
          <w:szCs w:val="22"/>
          <w:lang w:eastAsia="en-GB"/>
        </w:rPr>
      </w:pPr>
      <w:hyperlink w:anchor="_Toc494734066" w:history="1">
        <w:r w:rsidR="007C7C7D" w:rsidRPr="007C7C7D">
          <w:rPr>
            <w:rStyle w:val="Hyperlink"/>
            <w:noProof/>
            <w:color w:val="auto"/>
            <w:u w:val="none"/>
          </w:rPr>
          <w:t>Table 2.8 Composition in tubes investigating heparinase II activity on rat urine sample.</w:t>
        </w:r>
        <w:r w:rsidR="007C7C7D" w:rsidRPr="007C7C7D">
          <w:rPr>
            <w:noProof/>
            <w:webHidden/>
          </w:rPr>
          <w:tab/>
        </w:r>
      </w:hyperlink>
      <w:r w:rsidR="007D5F92">
        <w:rPr>
          <w:noProof/>
        </w:rPr>
        <w:t>72</w:t>
      </w:r>
    </w:p>
    <w:p w:rsidR="007C7C7D" w:rsidRDefault="00203416" w:rsidP="007C7C7D">
      <w:pPr>
        <w:pStyle w:val="TableofFigures"/>
        <w:tabs>
          <w:tab w:val="right" w:leader="dot" w:pos="7643"/>
        </w:tabs>
        <w:rPr>
          <w:rStyle w:val="Hyperlink"/>
          <w:noProof/>
          <w:color w:val="auto"/>
          <w:u w:val="none"/>
        </w:rPr>
      </w:pPr>
      <w:hyperlink w:anchor="_Toc494734067" w:history="1">
        <w:r w:rsidR="007C7C7D" w:rsidRPr="007C7C7D">
          <w:rPr>
            <w:rStyle w:val="Hyperlink"/>
            <w:noProof/>
            <w:color w:val="auto"/>
            <w:u w:val="none"/>
          </w:rPr>
          <w:t>Table 2.9 Heparinase III activity on urine sample from the prophylaxis group.</w:t>
        </w:r>
        <w:r w:rsidR="007C7C7D" w:rsidRPr="007C7C7D">
          <w:rPr>
            <w:noProof/>
            <w:webHidden/>
          </w:rPr>
          <w:tab/>
        </w:r>
      </w:hyperlink>
      <w:r w:rsidR="007D5F92">
        <w:rPr>
          <w:noProof/>
        </w:rPr>
        <w:t>73</w:t>
      </w:r>
    </w:p>
    <w:p w:rsidR="00D26D0F" w:rsidRDefault="00D26D0F" w:rsidP="00D26D0F">
      <w:pPr>
        <w:rPr>
          <w:rFonts w:eastAsia="Times New Roman" w:cs="Arial"/>
          <w:sz w:val="22"/>
          <w:szCs w:val="22"/>
        </w:rPr>
      </w:pPr>
      <w:r w:rsidRPr="00D26D0F">
        <w:rPr>
          <w:rFonts w:eastAsia="Times New Roman" w:cs="Arial"/>
        </w:rPr>
        <w:t>Table 3.1</w:t>
      </w:r>
      <w:r w:rsidRPr="00D26D0F">
        <w:rPr>
          <w:rFonts w:eastAsia="Times New Roman" w:cs="Arial"/>
          <w:sz w:val="22"/>
          <w:szCs w:val="22"/>
        </w:rPr>
        <w:t xml:space="preserve"> Kidney weight…………………………………………</w:t>
      </w:r>
      <w:r>
        <w:rPr>
          <w:rFonts w:eastAsia="Times New Roman" w:cs="Arial"/>
          <w:sz w:val="22"/>
          <w:szCs w:val="22"/>
        </w:rPr>
        <w:t>…</w:t>
      </w:r>
      <w:r w:rsidR="007D5F92">
        <w:rPr>
          <w:rFonts w:eastAsia="Times New Roman" w:cs="Arial"/>
          <w:sz w:val="22"/>
          <w:szCs w:val="22"/>
        </w:rPr>
        <w:t>…………….101</w:t>
      </w:r>
    </w:p>
    <w:p w:rsidR="00D26D0F" w:rsidRPr="00D26D0F" w:rsidRDefault="00D26D0F" w:rsidP="00D26D0F">
      <w:r w:rsidRPr="00047853">
        <w:rPr>
          <w:rFonts w:eastAsia="Times New Roman" w:cs="Arial"/>
        </w:rPr>
        <w:t>Table 3.2</w:t>
      </w:r>
      <w:r w:rsidRPr="00047853">
        <w:rPr>
          <w:rFonts w:eastAsia="Times New Roman" w:cs="Arial"/>
          <w:sz w:val="22"/>
          <w:szCs w:val="22"/>
        </w:rPr>
        <w:t xml:space="preserve"> Systolic blood pressure measurement</w:t>
      </w:r>
      <w:r w:rsidR="007D5F92">
        <w:rPr>
          <w:rFonts w:eastAsia="Calibri" w:cs="Arial"/>
          <w:sz w:val="22"/>
          <w:szCs w:val="22"/>
        </w:rPr>
        <w:t>……………………………...101</w:t>
      </w:r>
    </w:p>
    <w:p w:rsidR="007C7C7D" w:rsidRPr="007C7C7D" w:rsidRDefault="00203416" w:rsidP="007C7C7D">
      <w:pPr>
        <w:pStyle w:val="TableofFigures"/>
        <w:tabs>
          <w:tab w:val="right" w:leader="dot" w:pos="7643"/>
        </w:tabs>
        <w:rPr>
          <w:rFonts w:asciiTheme="minorHAnsi" w:eastAsiaTheme="minorEastAsia" w:hAnsiTheme="minorHAnsi" w:cstheme="minorBidi"/>
          <w:noProof/>
          <w:sz w:val="22"/>
          <w:szCs w:val="22"/>
          <w:lang w:eastAsia="en-GB"/>
        </w:rPr>
      </w:pPr>
      <w:hyperlink w:anchor="_Toc494734078" w:history="1">
        <w:r w:rsidR="007C7C7D" w:rsidRPr="007C7C7D">
          <w:rPr>
            <w:rStyle w:val="Hyperlink"/>
            <w:noProof/>
            <w:color w:val="auto"/>
            <w:u w:val="none"/>
          </w:rPr>
          <w:t>Table 3.3 Urinary glucose from monthly 24-hour urine samples.</w:t>
        </w:r>
        <w:r w:rsidR="007C7C7D" w:rsidRPr="007C7C7D">
          <w:rPr>
            <w:noProof/>
            <w:webHidden/>
          </w:rPr>
          <w:tab/>
        </w:r>
      </w:hyperlink>
      <w:r w:rsidR="007D5F92">
        <w:rPr>
          <w:noProof/>
        </w:rPr>
        <w:t>106</w:t>
      </w:r>
    </w:p>
    <w:p w:rsidR="007C7C7D" w:rsidRDefault="00203416" w:rsidP="007C7C7D">
      <w:pPr>
        <w:pStyle w:val="TableofFigures"/>
        <w:tabs>
          <w:tab w:val="right" w:leader="dot" w:pos="7643"/>
        </w:tabs>
        <w:rPr>
          <w:rFonts w:asciiTheme="minorHAnsi" w:eastAsiaTheme="minorEastAsia" w:hAnsiTheme="minorHAnsi" w:cstheme="minorBidi"/>
          <w:noProof/>
          <w:sz w:val="22"/>
          <w:szCs w:val="22"/>
          <w:lang w:eastAsia="en-GB"/>
        </w:rPr>
      </w:pPr>
      <w:hyperlink w:anchor="_Toc494734079" w:history="1">
        <w:r w:rsidR="007C7C7D" w:rsidRPr="007C7C7D">
          <w:rPr>
            <w:rStyle w:val="Hyperlink"/>
            <w:noProof/>
            <w:color w:val="auto"/>
            <w:u w:val="none"/>
          </w:rPr>
          <w:t>Table 3.4 pH of monthly 24-hour urine samples.</w:t>
        </w:r>
      </w:hyperlink>
      <w:r w:rsidR="009F3E9A">
        <w:rPr>
          <w:noProof/>
        </w:rPr>
        <w:t>...</w:t>
      </w:r>
      <w:r w:rsidR="007D5F92">
        <w:rPr>
          <w:noProof/>
        </w:rPr>
        <w:t>..............................107</w:t>
      </w:r>
      <w:r w:rsidR="009F3E9A">
        <w:rPr>
          <w:rFonts w:asciiTheme="minorHAnsi" w:eastAsiaTheme="minorEastAsia" w:hAnsiTheme="minorHAnsi" w:cstheme="minorBidi"/>
          <w:noProof/>
          <w:sz w:val="22"/>
          <w:szCs w:val="22"/>
          <w:lang w:eastAsia="en-GB"/>
        </w:rPr>
        <w:t xml:space="preserve"> </w:t>
      </w:r>
    </w:p>
    <w:p w:rsidR="007C7C7D" w:rsidRDefault="007C7C7D" w:rsidP="007C7C7D">
      <w:pPr>
        <w:ind w:left="2160" w:firstLine="720"/>
        <w:rPr>
          <w:sz w:val="32"/>
          <w:highlight w:val="lightGray"/>
          <w:lang w:eastAsia="en-GB"/>
        </w:rPr>
      </w:pPr>
    </w:p>
    <w:p w:rsidR="00704C2A" w:rsidRDefault="003B308D">
      <w:pPr>
        <w:spacing w:after="160" w:line="259" w:lineRule="auto"/>
        <w:jc w:val="left"/>
        <w:rPr>
          <w:sz w:val="32"/>
          <w:highlight w:val="lightGray"/>
          <w:lang w:eastAsia="en-GB"/>
        </w:rPr>
        <w:sectPr w:rsidR="00704C2A" w:rsidSect="00704C2A">
          <w:headerReference w:type="even" r:id="rId9"/>
          <w:headerReference w:type="default" r:id="rId10"/>
          <w:footerReference w:type="even" r:id="rId11"/>
          <w:footerReference w:type="default" r:id="rId12"/>
          <w:headerReference w:type="first" r:id="rId13"/>
          <w:footerReference w:type="first" r:id="rId14"/>
          <w:pgSz w:w="11906" w:h="16838"/>
          <w:pgMar w:top="1985" w:right="1985" w:bottom="1985" w:left="2268" w:header="709" w:footer="709" w:gutter="0"/>
          <w:pgNumType w:fmt="lowerRoman" w:start="1"/>
          <w:cols w:space="708"/>
          <w:bidi/>
          <w:docGrid w:linePitch="360"/>
        </w:sectPr>
      </w:pPr>
      <w:r>
        <w:rPr>
          <w:sz w:val="32"/>
          <w:highlight w:val="lightGray"/>
          <w:lang w:eastAsia="en-GB"/>
        </w:rPr>
        <w:br w:type="page"/>
      </w:r>
    </w:p>
    <w:p w:rsidR="00430D62" w:rsidRPr="00DD6972" w:rsidRDefault="00F4375E" w:rsidP="00430D62">
      <w:pPr>
        <w:pStyle w:val="Title1"/>
        <w:jc w:val="left"/>
        <w:rPr>
          <w:rFonts w:ascii="Arial" w:eastAsia="Calibri" w:hAnsi="Arial" w:cs="Arial"/>
          <w:lang w:val="en-US"/>
        </w:rPr>
      </w:pPr>
      <w:bookmarkStart w:id="2" w:name="_Toc484448809"/>
      <w:bookmarkEnd w:id="0"/>
      <w:r w:rsidRPr="00DD6972">
        <w:rPr>
          <w:rFonts w:ascii="Arial" w:eastAsia="Calibri" w:hAnsi="Arial" w:cs="Arial"/>
          <w:b/>
          <w:lang w:val="en-US"/>
        </w:rPr>
        <w:lastRenderedPageBreak/>
        <w:t>Chapter One</w:t>
      </w:r>
      <w:r w:rsidR="00430D62" w:rsidRPr="00DD6972">
        <w:rPr>
          <w:rFonts w:ascii="Arial" w:eastAsia="Calibri" w:hAnsi="Arial" w:cs="Arial"/>
          <w:lang w:val="en-US"/>
        </w:rPr>
        <w:br/>
      </w:r>
      <w:bookmarkEnd w:id="2"/>
      <w:r w:rsidRPr="00DD6972">
        <w:rPr>
          <w:rFonts w:ascii="Arial" w:eastAsia="Calibri" w:hAnsi="Arial" w:cs="Arial"/>
          <w:lang w:val="en-US"/>
        </w:rPr>
        <w:t>Introduction</w:t>
      </w:r>
    </w:p>
    <w:p w:rsidR="00430D62" w:rsidRPr="00392836" w:rsidRDefault="00430D62" w:rsidP="00430D62">
      <w:pPr>
        <w:rPr>
          <w:rFonts w:ascii="Times New Roman" w:eastAsia="Calibri" w:hAnsi="Times New Roman"/>
          <w:b/>
          <w:sz w:val="48"/>
          <w:szCs w:val="48"/>
          <w:lang w:val="en-US"/>
        </w:rPr>
      </w:pPr>
      <w:r>
        <w:rPr>
          <w:rFonts w:ascii="Times New Roman" w:eastAsia="Calibri" w:hAnsi="Times New Roman"/>
          <w:b/>
          <w:sz w:val="48"/>
          <w:szCs w:val="48"/>
          <w:lang w:val="en-US"/>
        </w:rPr>
        <w:br w:type="page"/>
      </w:r>
    </w:p>
    <w:p w:rsidR="00337248" w:rsidRPr="00337248" w:rsidRDefault="00337248" w:rsidP="00226FA5">
      <w:pPr>
        <w:pStyle w:val="Heading3"/>
        <w:ind w:firstLine="720"/>
      </w:pPr>
      <w:bookmarkStart w:id="3" w:name="_Toc506232283"/>
      <w:bookmarkStart w:id="4" w:name="_Toc419657258"/>
      <w:bookmarkStart w:id="5" w:name="_Toc419657330"/>
      <w:bookmarkStart w:id="6" w:name="_Toc419659335"/>
      <w:bookmarkStart w:id="7" w:name="_Toc419852030"/>
      <w:bookmarkStart w:id="8" w:name="_Toc484448810"/>
      <w:r w:rsidRPr="00337248">
        <w:lastRenderedPageBreak/>
        <w:t>1.1 Introduction</w:t>
      </w:r>
      <w:bookmarkEnd w:id="3"/>
      <w:r w:rsidRPr="00337248">
        <w:t xml:space="preserve"> </w:t>
      </w:r>
    </w:p>
    <w:p w:rsidR="00337248" w:rsidRPr="006F36EE" w:rsidRDefault="00337248" w:rsidP="00226FA5">
      <w:pPr>
        <w:ind w:left="720"/>
        <w:rPr>
          <w:rFonts w:eastAsia="Times New Roman" w:cs="Arial"/>
        </w:rPr>
      </w:pPr>
      <w:r w:rsidRPr="006F36EE">
        <w:rPr>
          <w:rFonts w:eastAsia="Times New Roman" w:cs="Arial"/>
        </w:rPr>
        <w:t xml:space="preserve">The aetiology of disease and its pathogenesis in humans are multi-factorial, and these include: biological (genetic) factors, environmental factors and physical factors. The interplay between these factors is complex and as such makes the management of diseases challenging with a huge burden. The effect of disease on mortality, morbidity and </w:t>
      </w:r>
      <w:r w:rsidRPr="00AD6A02">
        <w:rPr>
          <w:rFonts w:eastAsia="Times New Roman" w:cs="Arial"/>
        </w:rPr>
        <w:t xml:space="preserve">financial cost is enormous both on individuals and the society at large. A 2010 study on global burden of disease revealed an increase in life expectancy globally, </w:t>
      </w:r>
      <w:r w:rsidR="009B0697" w:rsidRPr="00AD6A02">
        <w:rPr>
          <w:rFonts w:eastAsia="Times New Roman" w:cs="Arial"/>
        </w:rPr>
        <w:t xml:space="preserve">and as such </w:t>
      </w:r>
      <w:r w:rsidRPr="00AD6A02">
        <w:rPr>
          <w:rFonts w:eastAsia="Times New Roman" w:cs="Arial"/>
        </w:rPr>
        <w:t>young</w:t>
      </w:r>
      <w:r w:rsidR="00CC3150" w:rsidRPr="00AD6A02">
        <w:rPr>
          <w:rFonts w:eastAsia="Times New Roman" w:cs="Arial"/>
        </w:rPr>
        <w:t xml:space="preserve"> adults </w:t>
      </w:r>
      <w:r w:rsidR="009B0697" w:rsidRPr="00AD6A02">
        <w:rPr>
          <w:rFonts w:eastAsia="Times New Roman" w:cs="Arial"/>
        </w:rPr>
        <w:t>grow into old age</w:t>
      </w:r>
      <w:r w:rsidR="00CC3150" w:rsidRPr="00AD6A02">
        <w:rPr>
          <w:rFonts w:eastAsia="Times New Roman" w:cs="Arial"/>
        </w:rPr>
        <w:t xml:space="preserve"> suffering</w:t>
      </w:r>
      <w:r w:rsidRPr="00AD6A02">
        <w:rPr>
          <w:rFonts w:eastAsia="Times New Roman" w:cs="Arial"/>
        </w:rPr>
        <w:t xml:space="preserve"> from diseases and injuries and as such spent more years living with chronic diseases</w:t>
      </w:r>
      <w:r w:rsidR="00B20D39" w:rsidRPr="00AD6A02">
        <w:rPr>
          <w:rFonts w:eastAsia="Times New Roman" w:cs="Arial"/>
        </w:rPr>
        <w:t xml:space="preserve"> </w:t>
      </w:r>
      <w:r w:rsidR="00096A8A" w:rsidRPr="00AD6A02">
        <w:rPr>
          <w:rFonts w:eastAsia="Times New Roman" w:cs="Arial"/>
        </w:rPr>
        <w:t>(Wang et al., 2012</w:t>
      </w:r>
      <w:r w:rsidRPr="00AD6A02">
        <w:rPr>
          <w:rFonts w:eastAsia="Times New Roman" w:cs="Arial"/>
        </w:rPr>
        <w:t xml:space="preserve">). Chronic </w:t>
      </w:r>
      <w:r w:rsidRPr="006F36EE">
        <w:rPr>
          <w:rFonts w:eastAsia="Times New Roman" w:cs="Arial"/>
        </w:rPr>
        <w:t>illnesses and their complications are often characterized by progressive fibrosis. In the population at large the majority of deaths are from chronic diseases, with cardiovascular disease, cancer, chronic respiratory disease and diabetes accounting for 29 million deaths worldwide in 2002 (Yach et al., 2004). A significant proportion of people living with chronic disease suffer complications that may be terminal, for example 30-40% of persons living with diabetes w</w:t>
      </w:r>
      <w:r w:rsidR="00F26308">
        <w:rPr>
          <w:rFonts w:eastAsia="Times New Roman" w:cs="Arial"/>
        </w:rPr>
        <w:t>ill develop</w:t>
      </w:r>
      <w:r w:rsidR="009B0697">
        <w:rPr>
          <w:rFonts w:eastAsia="Times New Roman" w:cs="Arial"/>
        </w:rPr>
        <w:t xml:space="preserve"> diabetic nephropathy</w:t>
      </w:r>
      <w:r w:rsidR="00F26308">
        <w:rPr>
          <w:rFonts w:eastAsia="Times New Roman" w:cs="Arial"/>
        </w:rPr>
        <w:t xml:space="preserve"> </w:t>
      </w:r>
      <w:r w:rsidR="009B0697">
        <w:rPr>
          <w:rFonts w:eastAsia="Times New Roman" w:cs="Arial"/>
        </w:rPr>
        <w:t>(</w:t>
      </w:r>
      <w:r w:rsidR="00F26308">
        <w:rPr>
          <w:rFonts w:eastAsia="Times New Roman" w:cs="Arial"/>
        </w:rPr>
        <w:t>DN</w:t>
      </w:r>
      <w:r w:rsidR="009B0697">
        <w:rPr>
          <w:rFonts w:eastAsia="Times New Roman" w:cs="Arial"/>
        </w:rPr>
        <w:t>)</w:t>
      </w:r>
      <w:r w:rsidRPr="006F36EE">
        <w:rPr>
          <w:rFonts w:eastAsia="Times New Roman" w:cs="Arial"/>
        </w:rPr>
        <w:t xml:space="preserve"> which frequently leads to end stage renal disease (ESRD) (Skill et al., 2004). The United States Renal Data (USRDS) 2004 reported a prevalence of 1: 10,000 for persons suffering from ESRD in the United Kingdom (UK), and 3.36:10,000 for the United States (US). There is also an estimated annual increment of 5-8% in prevalence of ESRD (Hamer and El Nahas, 2006). The same report estimated that over 1 million persons die annually from ESRD in the world with the majority of sufferers in the developing countries lacking adequate renal replacement therapy. Diabetes is a growing problem as it has been suggested that over 250 million people will be diabetic by 2025 with the majority in developing countries (Bello et al., 2005, Tabish, 2007). With more people living with chronic diseases, it has been reported globally that there would be a need for increased emergency care and emergency systems to address the emerging effect of chronic disease and its burden (Hargarten et al., 2013). </w:t>
      </w:r>
    </w:p>
    <w:p w:rsidR="00337248" w:rsidRDefault="00337248" w:rsidP="007864AD">
      <w:pPr>
        <w:ind w:left="720"/>
        <w:rPr>
          <w:rFonts w:eastAsia="Times New Roman" w:cs="Arial"/>
        </w:rPr>
      </w:pPr>
      <w:r w:rsidRPr="006F36EE">
        <w:rPr>
          <w:rFonts w:eastAsia="Times New Roman" w:cs="Arial"/>
        </w:rPr>
        <w:lastRenderedPageBreak/>
        <w:t xml:space="preserve">The impact of disease on young adults has resulted in a drop in economic productivity. Oliva-Moreno stated that in Spain, €37,969 million was lost to illnesses due to loss in labour productivity from accidents and health problems which was put at 4% in 2005 (Oliva-Moreno, 2012, Oliva- Moreno and Oliva-Moreno, 2012). Hamer and El Nahas (2006) estimated the treatment of ESRD to have cost $29bn in 2010 in the U.S. More studies have also established the huge financial burden of chronic diseases (Lopez-bastida et al., 2012). The major common diseases mentioned above all feature progressive fibrosis and loss of tissue architecture as key pathological features. For this reason understanding the renal system and the fibrotic pathway and development of new fibrotic therapies has become a major goal. </w:t>
      </w:r>
    </w:p>
    <w:p w:rsidR="005064F3" w:rsidRPr="00AD6A02" w:rsidRDefault="005064F3" w:rsidP="00D37FAB">
      <w:pPr>
        <w:pStyle w:val="Heading3"/>
        <w:ind w:firstLine="720"/>
        <w:rPr>
          <w:rFonts w:eastAsia="Times New Roman"/>
        </w:rPr>
      </w:pPr>
      <w:bookmarkStart w:id="9" w:name="_Toc506232284"/>
      <w:r w:rsidRPr="00AD6A02">
        <w:rPr>
          <w:rFonts w:eastAsia="Times New Roman"/>
        </w:rPr>
        <w:t>1.2 Chronic kidney disease (CKD)</w:t>
      </w:r>
      <w:bookmarkEnd w:id="9"/>
    </w:p>
    <w:p w:rsidR="005064F3" w:rsidRPr="00AD6A02" w:rsidRDefault="005064F3" w:rsidP="005064F3">
      <w:pPr>
        <w:ind w:left="720"/>
        <w:rPr>
          <w:rFonts w:eastAsia="Times New Roman" w:cs="Arial"/>
        </w:rPr>
      </w:pPr>
      <w:r w:rsidRPr="00AD6A02">
        <w:rPr>
          <w:rFonts w:eastAsia="Times New Roman" w:cs="Arial"/>
        </w:rPr>
        <w:t>This is a renal condition of progressive loss of kidney function spanning between months to several years. It has been estimated to affect close to 10% of the population (Eknoyan et al., 2004). The symptoms of CKD could be non-specific, however some risk factors such as diabetes and hypertension and family history of kidney disease have been identified. The disease could be silent for a period of time with its first diagnosis occurring with the appearance of its complications such as cardiovascular disease (Dousdampanis et al., 2012). It is differentiated from acute kidney disease by the persistence of progressive loss of kidney function over a period of at least 3 months. The diagnosis of CKD is usually by laboratory investigation for creatinine, where an elevated creatinine level is suggestive of a low glomerular filtration with decreased ability of the kidney to excrete waste products. However creatinine may be normal in the early stages of the disease and therefore CKD may be detected by simple urinalysis where the urine shows the presence of protein or red blood cells (Table 1.1).</w:t>
      </w:r>
    </w:p>
    <w:p w:rsidR="005064F3" w:rsidRPr="00F57A79" w:rsidRDefault="005064F3" w:rsidP="005064F3">
      <w:pPr>
        <w:rPr>
          <w:rFonts w:eastAsia="Times New Roman" w:cs="Arial"/>
          <w:color w:val="FF0000"/>
        </w:rPr>
      </w:pPr>
    </w:p>
    <w:p w:rsidR="005064F3" w:rsidRPr="00F57A79" w:rsidRDefault="005064F3" w:rsidP="005064F3">
      <w:pPr>
        <w:rPr>
          <w:rFonts w:eastAsia="Times New Roman" w:cs="Arial"/>
          <w:color w:val="FF0000"/>
        </w:rPr>
      </w:pPr>
      <w:r w:rsidRPr="00F57A79">
        <w:rPr>
          <w:rFonts w:eastAsia="Times New Roman" w:cs="Arial"/>
          <w:color w:val="FF0000"/>
        </w:rPr>
        <w:tab/>
        <w:t xml:space="preserve">  </w:t>
      </w:r>
    </w:p>
    <w:p w:rsidR="005064F3" w:rsidRPr="00AD6A02" w:rsidRDefault="005064F3" w:rsidP="00D37FAB">
      <w:pPr>
        <w:pStyle w:val="Heading3"/>
        <w:ind w:firstLine="720"/>
        <w:rPr>
          <w:rFonts w:eastAsia="Times New Roman"/>
        </w:rPr>
      </w:pPr>
      <w:bookmarkStart w:id="10" w:name="_Toc506232285"/>
      <w:r w:rsidRPr="00AD6A02">
        <w:rPr>
          <w:rFonts w:eastAsia="Times New Roman"/>
        </w:rPr>
        <w:lastRenderedPageBreak/>
        <w:t>1.2.1 Criteria for CKD</w:t>
      </w:r>
      <w:bookmarkEnd w:id="10"/>
      <w:r w:rsidRPr="00AD6A02">
        <w:rPr>
          <w:rFonts w:eastAsia="Times New Roman"/>
        </w:rPr>
        <w:t xml:space="preserve"> </w:t>
      </w:r>
    </w:p>
    <w:tbl>
      <w:tblPr>
        <w:tblW w:w="7600" w:type="dxa"/>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
        <w:gridCol w:w="3301"/>
        <w:gridCol w:w="4018"/>
      </w:tblGrid>
      <w:tr w:rsidR="00AD6A02" w:rsidRPr="00AD6A02" w:rsidTr="00D37FAB">
        <w:trPr>
          <w:trHeight w:val="2886"/>
        </w:trPr>
        <w:tc>
          <w:tcPr>
            <w:tcW w:w="281" w:type="dxa"/>
          </w:tcPr>
          <w:p w:rsidR="005064F3" w:rsidRPr="00AD6A02" w:rsidRDefault="005064F3" w:rsidP="005064F3">
            <w:pPr>
              <w:ind w:left="720"/>
              <w:rPr>
                <w:rFonts w:eastAsia="Times New Roman" w:cs="Arial"/>
              </w:rPr>
            </w:pPr>
            <w:r w:rsidRPr="00AD6A02">
              <w:rPr>
                <w:rFonts w:eastAsia="Times New Roman" w:cs="Arial"/>
              </w:rPr>
              <w:t>1</w:t>
            </w:r>
          </w:p>
        </w:tc>
        <w:tc>
          <w:tcPr>
            <w:tcW w:w="3301" w:type="dxa"/>
          </w:tcPr>
          <w:p w:rsidR="005064F3" w:rsidRPr="00AD6A02" w:rsidRDefault="005064F3" w:rsidP="005064F3">
            <w:pPr>
              <w:ind w:left="720"/>
              <w:rPr>
                <w:rFonts w:eastAsia="Times New Roman" w:cs="Arial"/>
              </w:rPr>
            </w:pPr>
            <w:r w:rsidRPr="00AD6A02">
              <w:rPr>
                <w:rFonts w:eastAsia="Times New Roman" w:cs="Arial"/>
              </w:rPr>
              <w:t>Markers of kidney damage (one or more)</w:t>
            </w:r>
          </w:p>
        </w:tc>
        <w:tc>
          <w:tcPr>
            <w:tcW w:w="4018" w:type="dxa"/>
          </w:tcPr>
          <w:p w:rsidR="005064F3" w:rsidRPr="00AD6A02" w:rsidRDefault="005064F3" w:rsidP="005064F3">
            <w:pPr>
              <w:ind w:left="720"/>
              <w:rPr>
                <w:rFonts w:eastAsia="Times New Roman" w:cs="Arial"/>
              </w:rPr>
            </w:pPr>
            <w:r w:rsidRPr="00AD6A02">
              <w:rPr>
                <w:rFonts w:eastAsia="Times New Roman" w:cs="Arial"/>
              </w:rPr>
              <w:t xml:space="preserve">Albuminuria (albumin excretion rate [AER] ≥30 mg/24 hours; albumin-to-creatinine ratio [ACR] ≥30 mg/g [≥3 mg/mmol]) </w:t>
            </w:r>
          </w:p>
          <w:p w:rsidR="005064F3" w:rsidRPr="00AD6A02" w:rsidRDefault="005064F3" w:rsidP="005064F3">
            <w:pPr>
              <w:ind w:left="720"/>
              <w:rPr>
                <w:rFonts w:eastAsia="Times New Roman" w:cs="Arial"/>
              </w:rPr>
            </w:pPr>
            <w:r w:rsidRPr="00AD6A02">
              <w:rPr>
                <w:rFonts w:eastAsia="Times New Roman" w:cs="Arial"/>
              </w:rPr>
              <w:t xml:space="preserve">Urine sediment abnormalities </w:t>
            </w:r>
          </w:p>
          <w:p w:rsidR="005064F3" w:rsidRPr="00AD6A02" w:rsidRDefault="005064F3" w:rsidP="005064F3">
            <w:pPr>
              <w:ind w:left="720"/>
              <w:rPr>
                <w:rFonts w:eastAsia="Times New Roman" w:cs="Arial"/>
              </w:rPr>
            </w:pPr>
            <w:r w:rsidRPr="00AD6A02">
              <w:rPr>
                <w:rFonts w:eastAsia="Times New Roman" w:cs="Arial"/>
              </w:rPr>
              <w:t xml:space="preserve">Electrolyte and other abnormalities due to tubular disorders </w:t>
            </w:r>
          </w:p>
          <w:p w:rsidR="005064F3" w:rsidRPr="00AD6A02" w:rsidRDefault="005064F3" w:rsidP="005064F3">
            <w:pPr>
              <w:ind w:left="720"/>
              <w:rPr>
                <w:rFonts w:eastAsia="Times New Roman" w:cs="Arial"/>
              </w:rPr>
            </w:pPr>
            <w:r w:rsidRPr="00AD6A02">
              <w:rPr>
                <w:rFonts w:eastAsia="Times New Roman" w:cs="Arial"/>
              </w:rPr>
              <w:t xml:space="preserve">Abnormalities detected by histology </w:t>
            </w:r>
          </w:p>
          <w:p w:rsidR="005064F3" w:rsidRPr="00AD6A02" w:rsidRDefault="005064F3" w:rsidP="005064F3">
            <w:pPr>
              <w:ind w:left="720"/>
              <w:rPr>
                <w:rFonts w:eastAsia="Times New Roman" w:cs="Arial"/>
              </w:rPr>
            </w:pPr>
            <w:r w:rsidRPr="00AD6A02">
              <w:rPr>
                <w:rFonts w:eastAsia="Times New Roman" w:cs="Arial"/>
              </w:rPr>
              <w:t xml:space="preserve">Structural abnormalities detected by imaging </w:t>
            </w:r>
          </w:p>
          <w:p w:rsidR="005064F3" w:rsidRPr="00AD6A02" w:rsidRDefault="005064F3" w:rsidP="005064F3">
            <w:pPr>
              <w:ind w:left="720"/>
              <w:rPr>
                <w:rFonts w:eastAsia="Times New Roman" w:cs="Arial"/>
              </w:rPr>
            </w:pPr>
            <w:r w:rsidRPr="00AD6A02">
              <w:rPr>
                <w:rFonts w:eastAsia="Times New Roman" w:cs="Arial"/>
              </w:rPr>
              <w:t xml:space="preserve">History of kidney transplantation </w:t>
            </w:r>
          </w:p>
        </w:tc>
      </w:tr>
      <w:tr w:rsidR="005064F3" w:rsidRPr="00AD6A02" w:rsidTr="00D37FAB">
        <w:trPr>
          <w:trHeight w:val="1186"/>
        </w:trPr>
        <w:tc>
          <w:tcPr>
            <w:tcW w:w="281" w:type="dxa"/>
          </w:tcPr>
          <w:p w:rsidR="005064F3" w:rsidRPr="00AD6A02" w:rsidRDefault="005064F3" w:rsidP="005064F3">
            <w:pPr>
              <w:ind w:left="720"/>
              <w:rPr>
                <w:rFonts w:eastAsia="Times New Roman" w:cs="Arial"/>
              </w:rPr>
            </w:pPr>
            <w:r w:rsidRPr="00AD6A02">
              <w:rPr>
                <w:rFonts w:eastAsia="Times New Roman" w:cs="Arial"/>
              </w:rPr>
              <w:t>2</w:t>
            </w:r>
          </w:p>
        </w:tc>
        <w:tc>
          <w:tcPr>
            <w:tcW w:w="3301" w:type="dxa"/>
          </w:tcPr>
          <w:p w:rsidR="005064F3" w:rsidRPr="00AD6A02" w:rsidRDefault="005064F3" w:rsidP="005064F3">
            <w:pPr>
              <w:ind w:left="720"/>
              <w:rPr>
                <w:rFonts w:eastAsia="Times New Roman" w:cs="Arial"/>
              </w:rPr>
            </w:pPr>
            <w:r w:rsidRPr="00AD6A02">
              <w:rPr>
                <w:rFonts w:eastAsia="Times New Roman" w:cs="Arial"/>
              </w:rPr>
              <w:t>Decreased glomerular filtration rate (GFR)</w:t>
            </w:r>
          </w:p>
        </w:tc>
        <w:tc>
          <w:tcPr>
            <w:tcW w:w="4018" w:type="dxa"/>
          </w:tcPr>
          <w:p w:rsidR="005064F3" w:rsidRPr="00AD6A02" w:rsidRDefault="005064F3" w:rsidP="005064F3">
            <w:pPr>
              <w:ind w:left="720"/>
              <w:rPr>
                <w:rFonts w:eastAsia="Times New Roman" w:cs="Arial"/>
              </w:rPr>
            </w:pPr>
            <w:r w:rsidRPr="00AD6A02">
              <w:rPr>
                <w:rFonts w:eastAsia="Times New Roman" w:cs="Arial"/>
              </w:rPr>
              <w:t>GFR &lt;60 ml/min/1.73 m</w:t>
            </w:r>
            <w:r w:rsidRPr="00AD6A02">
              <w:rPr>
                <w:rFonts w:eastAsia="Times New Roman" w:cs="Arial"/>
                <w:vertAlign w:val="superscript"/>
              </w:rPr>
              <w:t>2</w:t>
            </w:r>
            <w:r w:rsidRPr="00AD6A02">
              <w:rPr>
                <w:rFonts w:eastAsia="Times New Roman" w:cs="Arial"/>
              </w:rPr>
              <w:t xml:space="preserve"> (GFR categories G3a–G5</w:t>
            </w:r>
          </w:p>
        </w:tc>
      </w:tr>
    </w:tbl>
    <w:p w:rsidR="005064F3" w:rsidRPr="00AD6A02" w:rsidRDefault="005064F3" w:rsidP="005064F3">
      <w:pPr>
        <w:ind w:left="720"/>
        <w:rPr>
          <w:rFonts w:eastAsia="Times New Roman" w:cs="Arial"/>
          <w:lang w:val="x-none"/>
        </w:rPr>
      </w:pPr>
    </w:p>
    <w:p w:rsidR="005064F3" w:rsidRPr="00AD6A02" w:rsidRDefault="005064F3" w:rsidP="005064F3">
      <w:pPr>
        <w:ind w:left="720"/>
        <w:rPr>
          <w:rFonts w:eastAsia="Times New Roman" w:cs="Arial"/>
          <w:lang w:val="x-none"/>
        </w:rPr>
      </w:pPr>
    </w:p>
    <w:p w:rsidR="005064F3" w:rsidRPr="00AD6A02" w:rsidRDefault="001711B1" w:rsidP="001711B1">
      <w:pPr>
        <w:pStyle w:val="Table"/>
        <w:rPr>
          <w:color w:val="auto"/>
        </w:rPr>
      </w:pPr>
      <w:bookmarkStart w:id="11" w:name="_Toc494731214"/>
      <w:bookmarkStart w:id="12" w:name="_Toc494732949"/>
      <w:r w:rsidRPr="00AD6A02">
        <w:rPr>
          <w:color w:val="auto"/>
        </w:rPr>
        <w:t xml:space="preserve">           </w:t>
      </w:r>
      <w:r w:rsidR="005064F3" w:rsidRPr="00AD6A02">
        <w:rPr>
          <w:color w:val="auto"/>
        </w:rPr>
        <w:t>Table 1.1 CKD criteria.</w:t>
      </w:r>
      <w:bookmarkEnd w:id="11"/>
      <w:bookmarkEnd w:id="12"/>
      <w:r w:rsidR="005064F3" w:rsidRPr="00AD6A02">
        <w:rPr>
          <w:color w:val="auto"/>
        </w:rPr>
        <w:t xml:space="preserve"> </w:t>
      </w:r>
    </w:p>
    <w:p w:rsidR="005064F3" w:rsidRPr="00AD6A02" w:rsidRDefault="005064F3" w:rsidP="005064F3">
      <w:pPr>
        <w:ind w:left="720"/>
        <w:rPr>
          <w:rFonts w:eastAsia="Times New Roman" w:cs="Arial"/>
        </w:rPr>
      </w:pPr>
      <w:r w:rsidRPr="00AD6A02">
        <w:rPr>
          <w:rFonts w:eastAsia="Times New Roman" w:cs="Arial"/>
        </w:rPr>
        <w:t>The presence of either of the above for more than 3 months is diagnostic of CKD (https://www.guideline.gov/summaries/summary/46510).</w:t>
      </w:r>
    </w:p>
    <w:p w:rsidR="005064F3" w:rsidRPr="00AD6A02" w:rsidRDefault="005064F3" w:rsidP="005064F3">
      <w:pPr>
        <w:spacing w:after="160" w:line="259" w:lineRule="auto"/>
        <w:jc w:val="left"/>
        <w:rPr>
          <w:rFonts w:eastAsia="Times New Roman" w:cs="Arial"/>
        </w:rPr>
      </w:pPr>
      <w:r w:rsidRPr="00AD6A02">
        <w:rPr>
          <w:rFonts w:eastAsia="Times New Roman" w:cs="Arial"/>
        </w:rPr>
        <w:br w:type="page"/>
      </w:r>
    </w:p>
    <w:p w:rsidR="005064F3" w:rsidRPr="00AD6A02" w:rsidRDefault="005064F3" w:rsidP="00D37FAB">
      <w:pPr>
        <w:pStyle w:val="Heading3"/>
        <w:ind w:firstLine="720"/>
        <w:rPr>
          <w:rFonts w:eastAsia="Times New Roman"/>
        </w:rPr>
      </w:pPr>
      <w:bookmarkStart w:id="13" w:name="_Toc506232286"/>
      <w:r w:rsidRPr="00AD6A02">
        <w:rPr>
          <w:rFonts w:eastAsia="Times New Roman"/>
        </w:rPr>
        <w:lastRenderedPageBreak/>
        <w:t>1.2.2 CKD staging</w:t>
      </w:r>
      <w:bookmarkEnd w:id="13"/>
      <w:r w:rsidRPr="00AD6A02">
        <w:rPr>
          <w:rFonts w:eastAsia="Times New Roman"/>
        </w:rPr>
        <w:t xml:space="preserve">  </w:t>
      </w:r>
    </w:p>
    <w:p w:rsidR="005064F3" w:rsidRPr="00AD6A02" w:rsidRDefault="005064F3" w:rsidP="005064F3">
      <w:pPr>
        <w:ind w:left="720"/>
        <w:rPr>
          <w:rFonts w:eastAsia="Times New Roman" w:cs="Arial"/>
        </w:rPr>
      </w:pPr>
      <w:bookmarkStart w:id="14" w:name="gjdgxs" w:colFirst="0" w:colLast="0"/>
      <w:bookmarkEnd w:id="14"/>
      <w:r w:rsidRPr="00AD6A02">
        <w:rPr>
          <w:rFonts w:eastAsia="Times New Roman" w:cs="Arial"/>
        </w:rPr>
        <w:t>International guidelines have classified CKD based on cause, glomerular filtration rate and albuminuria categories (Kdigo, 2009). A glomerular filtration rate (GFR) of &lt;60 ml/min/1.73 m</w:t>
      </w:r>
      <w:r w:rsidRPr="00AD6A02">
        <w:rPr>
          <w:rFonts w:eastAsia="Times New Roman" w:cs="Arial"/>
          <w:vertAlign w:val="superscript"/>
        </w:rPr>
        <w:t>2</w:t>
      </w:r>
      <w:r w:rsidRPr="00AD6A02">
        <w:rPr>
          <w:rFonts w:eastAsia="Times New Roman" w:cs="Arial"/>
        </w:rPr>
        <w:t xml:space="preserve"> for 3 months is classified as CKD, because GFR at this level is suggestive of a loss of 50% or more in normal kidney function. (</w:t>
      </w:r>
      <w:r w:rsidRPr="00AD6A02">
        <w:rPr>
          <w:rFonts w:eastAsia="Times New Roman" w:cs="Arial"/>
          <w:i/>
          <w:iCs/>
        </w:rPr>
        <w:t>www2.kidney.org/professionals/kdoqi/guidelines_ckd/p4_class_g1.htm</w:t>
      </w:r>
      <w:r w:rsidRPr="00AD6A02">
        <w:rPr>
          <w:rFonts w:eastAsia="Times New Roman" w:cs="Arial"/>
        </w:rPr>
        <w:t>). The presence of protein in the urine is an indication of deteriorating kidney function. Further to this, the British guidelines used the letter “P” to indicate significant loss of protein in urine in the stages. (https://www.nice.org.uk/guidance/).</w:t>
      </w:r>
    </w:p>
    <w:p w:rsidR="005064F3" w:rsidRPr="00AD6A02" w:rsidRDefault="005064F3" w:rsidP="005064F3">
      <w:pPr>
        <w:ind w:left="720"/>
        <w:rPr>
          <w:rFonts w:eastAsia="Times New Roman" w:cs="Arial"/>
        </w:rPr>
      </w:pPr>
      <w:r w:rsidRPr="00AD6A02">
        <w:rPr>
          <w:rFonts w:eastAsia="Times New Roman" w:cs="Arial"/>
          <w:b/>
        </w:rPr>
        <w:t>Stage 1</w:t>
      </w:r>
      <w:r w:rsidRPr="00AD6A02">
        <w:rPr>
          <w:rFonts w:eastAsia="Times New Roman" w:cs="Arial"/>
        </w:rPr>
        <w:t>. In this stage there is slight kidney damage with marginal loss of kidney function detected in blood, urine or imaging investigations, with normal or high GFR (≥90 ml/min/1.73 m</w:t>
      </w:r>
      <w:r w:rsidRPr="00AD6A02">
        <w:rPr>
          <w:rFonts w:eastAsia="Times New Roman" w:cs="Arial"/>
          <w:vertAlign w:val="superscript"/>
        </w:rPr>
        <w:t>2</w:t>
      </w:r>
      <w:r w:rsidRPr="00AD6A02">
        <w:rPr>
          <w:rFonts w:eastAsia="Times New Roman" w:cs="Arial"/>
        </w:rPr>
        <w:t xml:space="preserve">).  </w:t>
      </w:r>
    </w:p>
    <w:p w:rsidR="005064F3" w:rsidRPr="00AD6A02" w:rsidRDefault="005064F3" w:rsidP="005064F3">
      <w:pPr>
        <w:ind w:left="720"/>
        <w:rPr>
          <w:rFonts w:eastAsia="Times New Roman" w:cs="Arial"/>
        </w:rPr>
      </w:pPr>
      <w:r w:rsidRPr="00AD6A02">
        <w:rPr>
          <w:rFonts w:eastAsia="Times New Roman" w:cs="Arial"/>
          <w:b/>
        </w:rPr>
        <w:t>Stage 2</w:t>
      </w:r>
      <w:r w:rsidRPr="00AD6A02">
        <w:rPr>
          <w:rFonts w:eastAsia="Times New Roman" w:cs="Arial"/>
        </w:rPr>
        <w:t>. This is categorised as mild kidney damage with abnormalities in blood, urine or kidney imaging laboratory results. There is reduced GFR (60–89 ml/min/1.73 m</w:t>
      </w:r>
      <w:r w:rsidRPr="00AD6A02">
        <w:rPr>
          <w:rFonts w:eastAsia="Times New Roman" w:cs="Arial"/>
          <w:vertAlign w:val="superscript"/>
        </w:rPr>
        <w:t>2</w:t>
      </w:r>
      <w:r w:rsidRPr="00AD6A02">
        <w:rPr>
          <w:rFonts w:eastAsia="Times New Roman" w:cs="Arial"/>
        </w:rPr>
        <w:t xml:space="preserve">). </w:t>
      </w:r>
    </w:p>
    <w:p w:rsidR="005064F3" w:rsidRPr="00AD6A02" w:rsidRDefault="005064F3" w:rsidP="005064F3">
      <w:pPr>
        <w:ind w:left="720"/>
        <w:rPr>
          <w:rFonts w:eastAsia="Times New Roman" w:cs="Arial"/>
        </w:rPr>
      </w:pPr>
      <w:r w:rsidRPr="00AD6A02">
        <w:rPr>
          <w:rFonts w:eastAsia="Times New Roman" w:cs="Arial"/>
          <w:b/>
        </w:rPr>
        <w:t>Stage 3</w:t>
      </w:r>
      <w:r w:rsidRPr="00AD6A02">
        <w:rPr>
          <w:rFonts w:eastAsia="Times New Roman" w:cs="Arial"/>
        </w:rPr>
        <w:t>. This stage is characterised by moderate reduction in GFR (30–59 ml/min/1.73 m</w:t>
      </w:r>
      <w:r w:rsidRPr="00AD6A02">
        <w:rPr>
          <w:rFonts w:eastAsia="Times New Roman" w:cs="Arial"/>
          <w:vertAlign w:val="superscript"/>
        </w:rPr>
        <w:t>2</w:t>
      </w:r>
      <w:r w:rsidRPr="00AD6A02">
        <w:rPr>
          <w:rFonts w:eastAsia="Times New Roman" w:cs="Arial"/>
        </w:rPr>
        <w:t>). For the purpose of screening and referral the British guidelines has divided this stage into stage 3A (GFR 45–59) and stage 3B (GFR 30–44) https://www.nice.org.uk/guidance/</w:t>
      </w:r>
    </w:p>
    <w:p w:rsidR="005064F3" w:rsidRPr="00AD6A02" w:rsidRDefault="005064F3" w:rsidP="005064F3">
      <w:pPr>
        <w:ind w:left="720"/>
        <w:rPr>
          <w:rFonts w:eastAsia="Times New Roman" w:cs="Arial"/>
        </w:rPr>
      </w:pPr>
      <w:r w:rsidRPr="00AD6A02">
        <w:rPr>
          <w:rFonts w:eastAsia="Times New Roman" w:cs="Arial"/>
          <w:b/>
        </w:rPr>
        <w:t>Stage 4</w:t>
      </w:r>
      <w:r w:rsidRPr="00AD6A02">
        <w:rPr>
          <w:rFonts w:eastAsia="Times New Roman" w:cs="Arial"/>
        </w:rPr>
        <w:t>. In this stage there is evidence of severe decline in GFR (15–29 ml/min/1.73 m</w:t>
      </w:r>
      <w:r w:rsidRPr="00AD6A02">
        <w:rPr>
          <w:rFonts w:eastAsia="Times New Roman" w:cs="Arial"/>
          <w:vertAlign w:val="superscript"/>
        </w:rPr>
        <w:t>2</w:t>
      </w:r>
      <w:r w:rsidRPr="00AD6A02">
        <w:rPr>
          <w:rFonts w:eastAsia="Times New Roman" w:cs="Arial"/>
        </w:rPr>
        <w:t>), usually advised for kidney transplant.</w:t>
      </w:r>
    </w:p>
    <w:p w:rsidR="005064F3" w:rsidRPr="00AD6A02" w:rsidRDefault="005064F3" w:rsidP="005064F3">
      <w:pPr>
        <w:ind w:left="720"/>
        <w:rPr>
          <w:rFonts w:eastAsia="Times New Roman" w:cs="Arial"/>
        </w:rPr>
      </w:pPr>
      <w:r w:rsidRPr="00AD6A02">
        <w:rPr>
          <w:rFonts w:eastAsia="Times New Roman" w:cs="Arial"/>
          <w:b/>
        </w:rPr>
        <w:t>Stage 5</w:t>
      </w:r>
      <w:r w:rsidRPr="00AD6A02">
        <w:rPr>
          <w:rFonts w:eastAsia="Times New Roman" w:cs="Arial"/>
        </w:rPr>
        <w:t>. This stage is also referred to as end-stage kidney disease, it is characterised by established kidney failure (GFR &lt;15 ml/min/1.73 m</w:t>
      </w:r>
      <w:r w:rsidRPr="00AD6A02">
        <w:rPr>
          <w:rFonts w:eastAsia="Times New Roman" w:cs="Arial"/>
          <w:vertAlign w:val="superscript"/>
        </w:rPr>
        <w:t>2</w:t>
      </w:r>
      <w:r w:rsidRPr="00AD6A02">
        <w:rPr>
          <w:rFonts w:eastAsia="Times New Roman" w:cs="Arial"/>
        </w:rPr>
        <w:t xml:space="preserve">). </w:t>
      </w:r>
    </w:p>
    <w:p w:rsidR="005064F3" w:rsidRPr="00AD6A02" w:rsidRDefault="005064F3" w:rsidP="007864AD">
      <w:pPr>
        <w:ind w:left="720"/>
        <w:rPr>
          <w:rFonts w:eastAsia="Times New Roman" w:cs="Arial"/>
        </w:rPr>
      </w:pPr>
    </w:p>
    <w:p w:rsidR="00337248" w:rsidRPr="00AD6A02" w:rsidRDefault="005064F3" w:rsidP="007864AD">
      <w:pPr>
        <w:pStyle w:val="Heading3"/>
        <w:ind w:firstLine="720"/>
        <w:rPr>
          <w:rFonts w:eastAsia="Times New Roman"/>
        </w:rPr>
      </w:pPr>
      <w:bookmarkStart w:id="15" w:name="_Toc506232287"/>
      <w:r w:rsidRPr="00AD6A02">
        <w:rPr>
          <w:rFonts w:eastAsia="Times New Roman"/>
        </w:rPr>
        <w:lastRenderedPageBreak/>
        <w:t>1.3</w:t>
      </w:r>
      <w:r w:rsidR="00337248" w:rsidRPr="00AD6A02">
        <w:rPr>
          <w:rFonts w:eastAsia="Times New Roman"/>
        </w:rPr>
        <w:t xml:space="preserve"> The renal system</w:t>
      </w:r>
      <w:bookmarkEnd w:id="15"/>
    </w:p>
    <w:p w:rsidR="00337248" w:rsidRPr="00AD6A02" w:rsidRDefault="00337248" w:rsidP="007864AD">
      <w:pPr>
        <w:pStyle w:val="Heading4"/>
        <w:ind w:firstLine="720"/>
        <w:rPr>
          <w:rFonts w:eastAsia="Times New Roman"/>
        </w:rPr>
      </w:pPr>
      <w:bookmarkStart w:id="16" w:name="_Toc506232288"/>
      <w:r w:rsidRPr="00AD6A02">
        <w:rPr>
          <w:rFonts w:eastAsia="Times New Roman"/>
        </w:rPr>
        <w:t>1.</w:t>
      </w:r>
      <w:r w:rsidR="005064F3" w:rsidRPr="00AD6A02">
        <w:rPr>
          <w:rFonts w:eastAsia="Times New Roman"/>
        </w:rPr>
        <w:t>3</w:t>
      </w:r>
      <w:r w:rsidRPr="00AD6A02">
        <w:rPr>
          <w:rFonts w:eastAsia="Times New Roman"/>
        </w:rPr>
        <w:t>.1 Anatomy of the kidney</w:t>
      </w:r>
      <w:bookmarkEnd w:id="16"/>
    </w:p>
    <w:p w:rsidR="00337248" w:rsidRPr="006F36EE" w:rsidRDefault="00337248" w:rsidP="007864AD">
      <w:pPr>
        <w:ind w:left="720"/>
        <w:rPr>
          <w:rFonts w:eastAsia="Times New Roman" w:cs="Arial"/>
        </w:rPr>
      </w:pPr>
      <w:r w:rsidRPr="00AD6A02">
        <w:rPr>
          <w:rFonts w:eastAsia="Times New Roman" w:cs="Arial"/>
        </w:rPr>
        <w:t xml:space="preserve">The renal system consists of the kidneys, ureters, bladder and the urethra. The kidneys are paired, bean shaped retroperitoneal organs, located between the transverse processes of vertebrae T12 and L3, with the superior pole of the right kidney next to the liver and that of the left kidney next to the spleen. The left kidney is typically located more superiorly than the right. The kidneys are more medially and posteriorly in the upper poles than the lower poles.  The evolution of the kidney is believed to have evolved </w:t>
      </w:r>
      <w:r w:rsidR="00A70060" w:rsidRPr="00AD6A02">
        <w:rPr>
          <w:rFonts w:eastAsia="Times New Roman" w:cs="Arial"/>
        </w:rPr>
        <w:t>from fresh water fish kidney with</w:t>
      </w:r>
      <w:r w:rsidRPr="00AD6A02">
        <w:rPr>
          <w:rFonts w:eastAsia="Times New Roman" w:cs="Arial"/>
        </w:rPr>
        <w:t xml:space="preserve"> the kidney consist</w:t>
      </w:r>
      <w:r w:rsidR="00724430" w:rsidRPr="00AD6A02">
        <w:rPr>
          <w:rFonts w:eastAsia="Times New Roman" w:cs="Arial"/>
        </w:rPr>
        <w:t>ing</w:t>
      </w:r>
      <w:r w:rsidRPr="00AD6A02">
        <w:rPr>
          <w:rFonts w:eastAsia="Times New Roman" w:cs="Arial"/>
        </w:rPr>
        <w:t xml:space="preserve"> of a million rep</w:t>
      </w:r>
      <w:r w:rsidRPr="006F36EE">
        <w:rPr>
          <w:rFonts w:eastAsia="Times New Roman" w:cs="Arial"/>
        </w:rPr>
        <w:t xml:space="preserve">eating units known as nephrons. </w:t>
      </w:r>
    </w:p>
    <w:p w:rsidR="00337248" w:rsidRPr="006F36EE" w:rsidRDefault="00337248" w:rsidP="007864AD">
      <w:pPr>
        <w:ind w:left="720"/>
        <w:rPr>
          <w:rFonts w:eastAsia="Times New Roman" w:cs="Arial"/>
        </w:rPr>
      </w:pPr>
      <w:r w:rsidRPr="006F36EE">
        <w:rPr>
          <w:rFonts w:eastAsia="Times New Roman" w:cs="Arial"/>
        </w:rPr>
        <w:t xml:space="preserve">The kidney has both convex and concave border. The concave border has the renal hilum which can be located at about its mid-zone from where the ureters and the renal veins exit and the renal artery supplies the kidney with its blood supply. The kidney has a fibrous capsule with a granular cortex and a striated medullar. It also consists of organized pyramid-like lobes where the outer part is the cortex and the inner part the medulla. The cortex is made of convoluted tubules and renal corpuscles (which produce filtered plasma) while the medulla is made of the loops of Henle and the collecting ducts. Kidney development also known as nephrogenesis starts from the intermediate mesoderm and goes through 3 developmental stages, with each stage progressing from a less immature kidney to a more mature kidney, </w:t>
      </w:r>
      <w:r w:rsidR="007864AD" w:rsidRPr="006F36EE">
        <w:rPr>
          <w:rFonts w:eastAsia="Times New Roman" w:cs="Arial"/>
        </w:rPr>
        <w:t>pronephron, mesonephros and metanephros.</w:t>
      </w:r>
      <w:r w:rsidRPr="006F36EE">
        <w:rPr>
          <w:rFonts w:eastAsia="Times New Roman" w:cs="Arial"/>
        </w:rPr>
        <w:t xml:space="preserve">  (http://www.hopkinsmedicine.org/mcp/education/300.713%20lectures/2014/byung_kang_humanembryology_09.15.2014.pdf).    </w:t>
      </w:r>
    </w:p>
    <w:p w:rsidR="00337248" w:rsidRPr="006F36EE" w:rsidRDefault="00337248" w:rsidP="007864AD">
      <w:pPr>
        <w:ind w:left="720"/>
        <w:rPr>
          <w:rFonts w:eastAsia="Times New Roman" w:cs="Arial"/>
        </w:rPr>
      </w:pPr>
      <w:r w:rsidRPr="006F36EE">
        <w:rPr>
          <w:rFonts w:eastAsia="Times New Roman" w:cs="Arial"/>
        </w:rPr>
        <w:t>Pronephros is the earliest phase and the most immature form while the metanephros is the last and most developed phase which persists into adult life.</w:t>
      </w:r>
    </w:p>
    <w:p w:rsidR="00337248" w:rsidRPr="006F36EE" w:rsidRDefault="00337248" w:rsidP="007864AD">
      <w:pPr>
        <w:ind w:left="720"/>
        <w:rPr>
          <w:rFonts w:eastAsia="Times New Roman" w:cs="Arial"/>
        </w:rPr>
      </w:pPr>
      <w:r w:rsidRPr="006F36EE">
        <w:rPr>
          <w:rFonts w:cs="Arial"/>
          <w:noProof/>
          <w:lang w:eastAsia="en-GB"/>
        </w:rPr>
        <mc:AlternateContent>
          <mc:Choice Requires="wps">
            <w:drawing>
              <wp:anchor distT="0" distB="0" distL="114300" distR="114300" simplePos="0" relativeHeight="251675648" behindDoc="0" locked="0" layoutInCell="1" hidden="0" allowOverlap="1" wp14:anchorId="3172ACDB" wp14:editId="175E0FF3">
                <wp:simplePos x="0" y="0"/>
                <wp:positionH relativeFrom="margin">
                  <wp:posOffset>8350250</wp:posOffset>
                </wp:positionH>
                <wp:positionV relativeFrom="paragraph">
                  <wp:posOffset>448945</wp:posOffset>
                </wp:positionV>
                <wp:extent cx="431800" cy="25400"/>
                <wp:effectExtent l="0" t="0" r="0" b="0"/>
                <wp:wrapNone/>
                <wp:docPr id="124" name="Freeform 124"/>
                <wp:cNvGraphicFramePr/>
                <a:graphic xmlns:a="http://schemas.openxmlformats.org/drawingml/2006/main">
                  <a:graphicData uri="http://schemas.microsoft.com/office/word/2010/wordprocessingShape">
                    <wps:wsp>
                      <wps:cNvSpPr/>
                      <wps:spPr>
                        <a:xfrm>
                          <a:off x="0" y="0"/>
                          <a:ext cx="431800" cy="25400"/>
                        </a:xfrm>
                        <a:custGeom>
                          <a:avLst/>
                          <a:gdLst/>
                          <a:ahLst/>
                          <a:cxnLst/>
                          <a:rect l="0" t="0" r="0" b="0"/>
                          <a:pathLst>
                            <a:path w="438150" h="9525" extrusionOk="0">
                              <a:moveTo>
                                <a:pt x="0" y="0"/>
                              </a:moveTo>
                              <a:lnTo>
                                <a:pt x="438150" y="9525"/>
                              </a:lnTo>
                            </a:path>
                          </a:pathLst>
                        </a:custGeom>
                        <a:solidFill>
                          <a:srgbClr val="FFFFFF"/>
                        </a:solidFill>
                        <a:ln w="9525" cap="flat" cmpd="sng">
                          <a:solidFill>
                            <a:srgbClr val="000000"/>
                          </a:solidFill>
                          <a:prstDash val="solid"/>
                          <a:miter/>
                          <a:headEnd type="none" w="med" len="med"/>
                          <a:tailEnd type="triangle" w="lg" len="lg"/>
                        </a:ln>
                      </wps:spPr>
                      <wps:bodyPr lIns="91425" tIns="91425" rIns="91425" bIns="91425" anchor="ctr" anchorCtr="0"/>
                    </wps:wsp>
                  </a:graphicData>
                </a:graphic>
              </wp:anchor>
            </w:drawing>
          </mc:Choice>
          <mc:Fallback>
            <w:pict>
              <v:shape w14:anchorId="6B8D3A6A" id="Freeform 124" o:spid="_x0000_s1026" style="position:absolute;margin-left:657.5pt;margin-top:35.35pt;width:34pt;height:2pt;z-index:251675648;visibility:visible;mso-wrap-style:square;mso-wrap-distance-left:9pt;mso-wrap-distance-top:0;mso-wrap-distance-right:9pt;mso-wrap-distance-bottom:0;mso-position-horizontal:absolute;mso-position-horizontal-relative:margin;mso-position-vertical:absolute;mso-position-vertical-relative:text;v-text-anchor:middle" coordsize="4381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3j2RgIAAO0EAAAOAAAAZHJzL2Uyb0RvYy54bWysVNuO0zAQfUfiHyy/06SlRbtV033YUoSE&#10;2JV2+QDXdhIL3zR2m/TvGTu9pAviAZEHZ8Yen5wzl6weeqPJQUJQzlZ0OikpkZY7oWxT0R+v2w93&#10;lITIrGDaWVnRowz0Yf3+3arzSzlzrdNCAkEQG5adr2gbo18WReCtNCxMnJcWD2sHhkV0oSkEsA7R&#10;jS5mZfmp6BwID47LEHB3MxzSdcava8njU10HGYmuKHKLeYW87tJarFds2QDzreInGuwfWBimLH70&#10;ArVhkZE9qN+gjOLggqvjhDtTuLpWXGYNqGZavlHz0jIvsxZMTvCXNIX/B8u/H56BKIG1m80pscxg&#10;kbYgZUo5SXuYoc6HJQa++Gc4eQHNJLevwaQ3CiF9zurxklXZR8Jxc/5xeldi7jkezRZzNBGkuN7l&#10;+xC/SJdx2OFbiENNxNli7dnivT2bgJX9a009i+leIpdM0iUid9MFEmkrer+YLbBT+wj71LlPPxPr&#10;FGvcQb66fCu+UYSUr6fajqPOyKgwIw8Chxi8lghkyRdSuDmWHZxWYqu0Th8O0OweNZADw57d5ueU&#10;sZswbZOmQQhnODq1ZhGzbDwWM9gmy7m5cQNc5udPwB5C3LDQDgQyQgpD9SpKyFYrmfhsBYlHj+1i&#10;cbJpImOkoERL/BEkK0dGpvQ1MoJittFDtG5OwWicE4ZZSs02tFeydk4csUH1V4tNfz+dp7LFsQNj&#10;Zzd2mOWtw1HnESgZnMeYRz99LYHjTOWynOY/De3Yz1HXv9T6FwAAAP//AwBQSwMEFAAGAAgAAAAh&#10;ALNbepTfAAAACwEAAA8AAABkcnMvZG93bnJldi54bWxMj0tPwzAQhO9I/AdrkbhRJySQEuJUCAFC&#10;vVGo2qMbbx7Cj8h20/Dv2Z7gOLOj2W+q1Ww0m9CHwVkB6SIBhrZxarCdgK/P15slsBClVVI7iwJ+&#10;MMCqvryoZKncyX7gtIkdoxIbSimgj3EsOQ9Nj0aGhRvR0q113shI0ndceXmicqP5bZLccyMHSx96&#10;OeJzj8335mgEvOXTexj3/mHn211o8+36JdVrIa6v5qdHYBHn+BeGMz6hQ01MB3e0KjBNOkvvaEwU&#10;UCQFsHMiW2bkHMjJC+B1xf9vqH8BAAD//wMAUEsBAi0AFAAGAAgAAAAhALaDOJL+AAAA4QEAABMA&#10;AAAAAAAAAAAAAAAAAAAAAFtDb250ZW50X1R5cGVzXS54bWxQSwECLQAUAAYACAAAACEAOP0h/9YA&#10;AACUAQAACwAAAAAAAAAAAAAAAAAvAQAAX3JlbHMvLnJlbHNQSwECLQAUAAYACAAAACEAgTt49kYC&#10;AADtBAAADgAAAAAAAAAAAAAAAAAuAgAAZHJzL2Uyb0RvYy54bWxQSwECLQAUAAYACAAAACEAs1t6&#10;lN8AAAALAQAADwAAAAAAAAAAAAAAAACgBAAAZHJzL2Rvd25yZXYueG1sUEsFBgAAAAAEAAQA8wAA&#10;AKwFAAAAAA==&#10;" path="m,l438150,9525e">
                <v:stroke endarrow="block" endarrowwidth="wide" endarrowlength="long" joinstyle="miter"/>
                <v:path arrowok="t" o:extrusionok="f" textboxrect="0,0,438150,9525"/>
                <w10:wrap anchorx="margin"/>
              </v:shape>
            </w:pict>
          </mc:Fallback>
        </mc:AlternateContent>
      </w:r>
      <w:r w:rsidRPr="006F36EE">
        <w:rPr>
          <w:rFonts w:cs="Arial"/>
          <w:noProof/>
          <w:lang w:eastAsia="en-GB"/>
        </w:rPr>
        <mc:AlternateContent>
          <mc:Choice Requires="wps">
            <w:drawing>
              <wp:anchor distT="0" distB="0" distL="114300" distR="114300" simplePos="0" relativeHeight="251676672" behindDoc="0" locked="0" layoutInCell="1" hidden="0" allowOverlap="1" wp14:anchorId="0E968E35" wp14:editId="40DA522F">
                <wp:simplePos x="0" y="0"/>
                <wp:positionH relativeFrom="margin">
                  <wp:posOffset>6550025</wp:posOffset>
                </wp:positionH>
                <wp:positionV relativeFrom="paragraph">
                  <wp:posOffset>696595</wp:posOffset>
                </wp:positionV>
                <wp:extent cx="431800" cy="25400"/>
                <wp:effectExtent l="0" t="0" r="0" b="0"/>
                <wp:wrapNone/>
                <wp:docPr id="117" name="Freeform 117"/>
                <wp:cNvGraphicFramePr/>
                <a:graphic xmlns:a="http://schemas.openxmlformats.org/drawingml/2006/main">
                  <a:graphicData uri="http://schemas.microsoft.com/office/word/2010/wordprocessingShape">
                    <wps:wsp>
                      <wps:cNvSpPr/>
                      <wps:spPr>
                        <a:xfrm>
                          <a:off x="0" y="0"/>
                          <a:ext cx="431800" cy="25400"/>
                        </a:xfrm>
                        <a:custGeom>
                          <a:avLst/>
                          <a:gdLst/>
                          <a:ahLst/>
                          <a:cxnLst/>
                          <a:rect l="0" t="0" r="0" b="0"/>
                          <a:pathLst>
                            <a:path w="438150" h="9525" extrusionOk="0">
                              <a:moveTo>
                                <a:pt x="0" y="0"/>
                              </a:moveTo>
                              <a:lnTo>
                                <a:pt x="438150" y="9525"/>
                              </a:lnTo>
                            </a:path>
                          </a:pathLst>
                        </a:custGeom>
                        <a:solidFill>
                          <a:srgbClr val="FFFFFF"/>
                        </a:solidFill>
                        <a:ln w="9525" cap="flat" cmpd="sng">
                          <a:solidFill>
                            <a:srgbClr val="000000"/>
                          </a:solidFill>
                          <a:prstDash val="solid"/>
                          <a:miter/>
                          <a:headEnd type="none" w="med" len="med"/>
                          <a:tailEnd type="triangle" w="lg" len="lg"/>
                        </a:ln>
                      </wps:spPr>
                      <wps:bodyPr lIns="91425" tIns="91425" rIns="91425" bIns="91425" anchor="ctr" anchorCtr="0"/>
                    </wps:wsp>
                  </a:graphicData>
                </a:graphic>
              </wp:anchor>
            </w:drawing>
          </mc:Choice>
          <mc:Fallback>
            <w:pict>
              <v:shape w14:anchorId="2708B090" id="Freeform 117" o:spid="_x0000_s1026" style="position:absolute;margin-left:515.75pt;margin-top:54.85pt;width:34pt;height:2pt;z-index:251676672;visibility:visible;mso-wrap-style:square;mso-wrap-distance-left:9pt;mso-wrap-distance-top:0;mso-wrap-distance-right:9pt;mso-wrap-distance-bottom:0;mso-position-horizontal:absolute;mso-position-horizontal-relative:margin;mso-position-vertical:absolute;mso-position-vertical-relative:text;v-text-anchor:middle" coordsize="4381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mNRgIAAO0EAAAOAAAAZHJzL2Uyb0RvYy54bWysVNuO0zAQfUfiHyy/0ySlhW7VdB+2FCEh&#10;dqVdPsB1nMTCN9luk/49M04v6S7iAZEHZ8Yen5wzl6zue63IQfggrSlpMckpEYbbSpqmpD9fth8W&#10;lITITMWUNaKkRxHo/fr9u1XnlmJqW6sq4QmAmLDsXEnbGN0yywJvhWZhYp0wcFhbr1kE1zdZ5VkH&#10;6Fpl0zz/lHXWV85bLkKA3c1wSNcJv64Fj491HUQkqqTALabVp3WHa7ZesWXjmWslP9Fg/8BCM2ng&#10;oxeoDYuM7L18A6Ul9zbYOk641Zmta8lF0gBqivyVmueWOZG0QHKCu6Qp/D9Y/uPw5ImsoHbFZ0oM&#10;01CkrRcCU05wDzLUubCEwGf35E9eABPl9rXX+AYhpE9ZPV6yKvpIOGzOPhaLHHLP4Wg6n4EJINn1&#10;Lt+H+FXYhMMO30McalKdLdaeLd6bs+mhsn+tqWMR7yE5NEmHRBbFHIi0Jb2bT+fQqX30e+zcx1/I&#10;GmO1PYgXm27FV4qA8vVUmXHUGRkUJuRB4BAD15BAknwhBZtj2cEqWW2lUvjh4Jvdg/LkwKBnt+k5&#10;ZewmTBnUNAjhDEanVixClrWDYgbTJDk3N26A8/T8Cdj5EDcstAOBhIBhoF5G4ZPVClZ9MRWJRwft&#10;YmCyKZLRoqJECfgRoJUiI5PqGhm9ZKZRQ7RqTsFgnBMGWcJmG9oLrZ2tjtCg6puBpr8rZli2OHb8&#10;2NmNHWZ4a2HUefSUDM5DTKOPX0NwmKlUltP849CO/RR1/UutfwMAAP//AwBQSwMEFAAGAAgAAAAh&#10;AKB6AL3fAAAADQEAAA8AAABkcnMvZG93bnJldi54bWxMj0tPwzAQhO9I/AdrkbhRO7RQEuJUCAFC&#10;vVFA5ejGm4fwI7LdNPx7Nie4zeyOZr8tN5M1bMQQe+8kZAsBDF3tde9aCR/vz1d3wGJSTivjHUr4&#10;wQib6vysVIX2J/eG4y61jEpcLJSELqWh4DzWHVoVF35AR7vGB6sS2dByHdSJyq3h10Lccqt6Rxc6&#10;NeBjh/X37mglvKzG1zh8hXwfmn1sVp/bp8xspby8mB7ugSWc0l8YZnxCh4qYDv7odGSGvFhmN5Sd&#10;Vb4GNkdEntPoQCpbroFXJf//RfULAAD//wMAUEsBAi0AFAAGAAgAAAAhALaDOJL+AAAA4QEAABMA&#10;AAAAAAAAAAAAAAAAAAAAAFtDb250ZW50X1R5cGVzXS54bWxQSwECLQAUAAYACAAAACEAOP0h/9YA&#10;AACUAQAACwAAAAAAAAAAAAAAAAAvAQAAX3JlbHMvLnJlbHNQSwECLQAUAAYACAAAACEA4nJJjUYC&#10;AADtBAAADgAAAAAAAAAAAAAAAAAuAgAAZHJzL2Uyb0RvYy54bWxQSwECLQAUAAYACAAAACEAoHoA&#10;vd8AAAANAQAADwAAAAAAAAAAAAAAAACgBAAAZHJzL2Rvd25yZXYueG1sUEsFBgAAAAAEAAQA8wAA&#10;AKwFAAAAAA==&#10;" path="m,l438150,9525e">
                <v:stroke endarrow="block" endarrowwidth="wide" endarrowlength="long" joinstyle="miter"/>
                <v:path arrowok="t" o:extrusionok="f" textboxrect="0,0,438150,9525"/>
                <w10:wrap anchorx="margin"/>
              </v:shape>
            </w:pict>
          </mc:Fallback>
        </mc:AlternateContent>
      </w:r>
      <w:r w:rsidRPr="006F36EE">
        <w:rPr>
          <w:rFonts w:eastAsia="Times New Roman" w:cs="Arial"/>
        </w:rPr>
        <w:t xml:space="preserve">The mesonephric kidney has some amount of urinary function, filtering blood from the glomeruli into the glomerular capsule which then flows into the tubules of the mesonephros where ions and other substances </w:t>
      </w:r>
      <w:r w:rsidRPr="006F36EE">
        <w:rPr>
          <w:rFonts w:eastAsia="Times New Roman" w:cs="Arial"/>
        </w:rPr>
        <w:lastRenderedPageBreak/>
        <w:t>are reabsorbed back to the blood. The mesonephros does not develop a medullary region and does not concentrate urine. The mesonephric regresses as the metanephric becomes active. However, the mesonephric ducts and mesonephric tubules become integrated into the genital duct system. At the 5</w:t>
      </w:r>
      <w:r w:rsidRPr="006F36EE">
        <w:rPr>
          <w:rFonts w:eastAsia="Times New Roman" w:cs="Arial"/>
          <w:vertAlign w:val="superscript"/>
        </w:rPr>
        <w:t>th</w:t>
      </w:r>
      <w:r w:rsidRPr="006F36EE">
        <w:rPr>
          <w:rFonts w:eastAsia="Times New Roman" w:cs="Arial"/>
        </w:rPr>
        <w:t xml:space="preserve"> week of gestation the mesonephric duct develops the ureteric bud which elongates to later form the ureter. The cranial end of the ureteric bud goes through elongation and branching to form the collecting duct of the kidney, major calyces, minor calyces and the renal pelvis. The metanephrogenic blastema which is the undifferentiated mesoderm then differentiates into the renal tubules, the renal tubules grow and join with the connecting tubules to create a continuous flow from the renal tubules into the collecting system. Concurrently, definitive cell</w:t>
      </w:r>
      <w:r w:rsidR="00724430">
        <w:rPr>
          <w:rFonts w:eastAsia="Times New Roman" w:cs="Arial"/>
        </w:rPr>
        <w:t>s</w:t>
      </w:r>
      <w:r w:rsidRPr="006F36EE">
        <w:rPr>
          <w:rFonts w:eastAsia="Times New Roman" w:cs="Arial"/>
        </w:rPr>
        <w:t xml:space="preserve"> of the glomerulus differentiate from the precursors of vascular endothelial cells found at the tip of the renal tubules. Between 32-36 weeks of gestation the nephrons are completely formed but immature. The maturity continues after birth.</w:t>
      </w:r>
    </w:p>
    <w:p w:rsidR="00337248" w:rsidRDefault="005064F3" w:rsidP="007864AD">
      <w:pPr>
        <w:pStyle w:val="Heading4"/>
        <w:ind w:firstLine="720"/>
        <w:rPr>
          <w:rFonts w:eastAsia="Times New Roman"/>
        </w:rPr>
      </w:pPr>
      <w:bookmarkStart w:id="17" w:name="_Toc506232289"/>
      <w:r>
        <w:rPr>
          <w:rFonts w:eastAsia="Times New Roman"/>
        </w:rPr>
        <w:t>1.3</w:t>
      </w:r>
      <w:r w:rsidR="002C4210">
        <w:rPr>
          <w:rFonts w:eastAsia="Times New Roman"/>
        </w:rPr>
        <w:t>.2 The n</w:t>
      </w:r>
      <w:r w:rsidR="00337248">
        <w:rPr>
          <w:rFonts w:eastAsia="Times New Roman"/>
        </w:rPr>
        <w:t>ephron and the urine flow system:</w:t>
      </w:r>
      <w:bookmarkEnd w:id="17"/>
      <w:r w:rsidR="00337248">
        <w:rPr>
          <w:rFonts w:eastAsia="Times New Roman"/>
        </w:rPr>
        <w:t xml:space="preserve"> </w:t>
      </w:r>
    </w:p>
    <w:p w:rsidR="00337248" w:rsidRPr="006F36EE" w:rsidRDefault="00337248" w:rsidP="007864AD">
      <w:pPr>
        <w:ind w:left="720"/>
        <w:rPr>
          <w:rFonts w:eastAsia="Times New Roman" w:cs="Arial"/>
        </w:rPr>
      </w:pPr>
      <w:r w:rsidRPr="006F36EE">
        <w:rPr>
          <w:rFonts w:eastAsia="Times New Roman" w:cs="Arial"/>
        </w:rPr>
        <w:t>The kidney is made of about 1 million nephrons linked to collecting tubules. These nephrons are the functional part of the kidney that are involved in the process of making urine by filtration of the blood, excretion and reabsorption. This involves the regulation of water and concentration of soluble substances such as ions, reabsorption of required substances and excretion of waste via uri</w:t>
      </w:r>
      <w:r w:rsidR="00502940" w:rsidRPr="006F36EE">
        <w:rPr>
          <w:rFonts w:eastAsia="Times New Roman" w:cs="Arial"/>
        </w:rPr>
        <w:t>ne. The nephron (Fig</w:t>
      </w:r>
      <w:r w:rsidRPr="006F36EE">
        <w:rPr>
          <w:rFonts w:eastAsia="Times New Roman" w:cs="Arial"/>
        </w:rPr>
        <w:t xml:space="preserve"> 1.1) spans through the cortex and the medulla and consists of renal tubes. The filtration starts from the renal corpuscle located in the cortex, followed by the renal tubules which spans from the cortex into the medullary pyramids. The renal corpuscle is made of two structures: </w:t>
      </w:r>
    </w:p>
    <w:p w:rsidR="00337248" w:rsidRPr="006F36EE" w:rsidRDefault="00337248" w:rsidP="00B702A5">
      <w:pPr>
        <w:numPr>
          <w:ilvl w:val="0"/>
          <w:numId w:val="17"/>
        </w:numPr>
        <w:pBdr>
          <w:top w:val="nil"/>
          <w:left w:val="nil"/>
          <w:bottom w:val="nil"/>
          <w:right w:val="nil"/>
          <w:between w:val="nil"/>
        </w:pBdr>
        <w:spacing w:after="0"/>
        <w:ind w:hanging="360"/>
        <w:contextualSpacing/>
        <w:jc w:val="left"/>
        <w:rPr>
          <w:rFonts w:eastAsia="Times New Roman" w:cs="Arial"/>
        </w:rPr>
      </w:pPr>
      <w:r w:rsidRPr="006F36EE">
        <w:rPr>
          <w:rFonts w:eastAsia="Times New Roman" w:cs="Arial"/>
          <w:color w:val="000000"/>
        </w:rPr>
        <w:t xml:space="preserve">The glomerulus which is made of tuft of capillaries and </w:t>
      </w:r>
    </w:p>
    <w:p w:rsidR="00337248" w:rsidRPr="006F36EE" w:rsidRDefault="00337248" w:rsidP="00B702A5">
      <w:pPr>
        <w:numPr>
          <w:ilvl w:val="0"/>
          <w:numId w:val="17"/>
        </w:numPr>
        <w:pBdr>
          <w:top w:val="nil"/>
          <w:left w:val="nil"/>
          <w:bottom w:val="nil"/>
          <w:right w:val="nil"/>
          <w:between w:val="nil"/>
        </w:pBdr>
        <w:spacing w:after="160"/>
        <w:ind w:hanging="360"/>
        <w:contextualSpacing/>
        <w:jc w:val="left"/>
        <w:rPr>
          <w:rFonts w:eastAsia="Times New Roman" w:cs="Arial"/>
        </w:rPr>
      </w:pPr>
      <w:r w:rsidRPr="006F36EE">
        <w:rPr>
          <w:rFonts w:eastAsia="Times New Roman" w:cs="Arial"/>
          <w:color w:val="000000"/>
        </w:rPr>
        <w:t xml:space="preserve">The Bowman’s capsule, which is cup-shaped and found </w:t>
      </w:r>
      <w:r w:rsidR="00080675">
        <w:rPr>
          <w:rFonts w:eastAsia="Times New Roman" w:cs="Arial"/>
          <w:color w:val="000000"/>
        </w:rPr>
        <w:t>i</w:t>
      </w:r>
      <w:r w:rsidRPr="006F36EE">
        <w:rPr>
          <w:rFonts w:eastAsia="Times New Roman" w:cs="Arial"/>
          <w:color w:val="000000"/>
        </w:rPr>
        <w:t>n the tubular component of the nephron</w:t>
      </w:r>
    </w:p>
    <w:p w:rsidR="00337248" w:rsidRPr="006F36EE" w:rsidRDefault="00337248" w:rsidP="007864AD">
      <w:pPr>
        <w:spacing w:before="120" w:after="280"/>
        <w:ind w:left="720"/>
        <w:rPr>
          <w:rFonts w:eastAsia="Times New Roman" w:cs="Arial"/>
        </w:rPr>
      </w:pPr>
      <w:r w:rsidRPr="006F36EE">
        <w:rPr>
          <w:rFonts w:eastAsia="Times New Roman" w:cs="Arial"/>
        </w:rPr>
        <w:t xml:space="preserve">A collection of renal tubules drain into a single collecting duct. The pyramidal tip empties urine into the minor calyx and the minor calyces </w:t>
      </w:r>
      <w:r w:rsidRPr="006F36EE">
        <w:rPr>
          <w:rFonts w:eastAsia="Times New Roman" w:cs="Arial"/>
        </w:rPr>
        <w:lastRenderedPageBreak/>
        <w:t xml:space="preserve">empties into the major calyces which drains into the renal pelvis and the renal pelvis become the ureter. </w:t>
      </w:r>
    </w:p>
    <w:p w:rsidR="00337248" w:rsidRPr="006F36EE" w:rsidRDefault="00337248" w:rsidP="00502940">
      <w:pPr>
        <w:spacing w:after="280"/>
        <w:ind w:firstLine="720"/>
        <w:rPr>
          <w:rFonts w:eastAsia="Times New Roman" w:cs="Arial"/>
        </w:rPr>
      </w:pPr>
      <w:r w:rsidRPr="006F36EE">
        <w:rPr>
          <w:rFonts w:eastAsia="Times New Roman" w:cs="Arial"/>
        </w:rPr>
        <w:t>The nephron can be divided into the following parts:</w:t>
      </w:r>
    </w:p>
    <w:p w:rsidR="00337248" w:rsidRPr="006F36EE" w:rsidRDefault="00337248" w:rsidP="00B702A5">
      <w:pPr>
        <w:numPr>
          <w:ilvl w:val="0"/>
          <w:numId w:val="16"/>
        </w:numPr>
        <w:pBdr>
          <w:top w:val="nil"/>
          <w:left w:val="nil"/>
          <w:bottom w:val="nil"/>
          <w:right w:val="nil"/>
          <w:between w:val="nil"/>
        </w:pBdr>
        <w:spacing w:after="0" w:line="240" w:lineRule="auto"/>
        <w:ind w:hanging="360"/>
        <w:jc w:val="left"/>
        <w:rPr>
          <w:rFonts w:cs="Arial"/>
        </w:rPr>
      </w:pPr>
      <w:r w:rsidRPr="006F36EE">
        <w:rPr>
          <w:rFonts w:eastAsia="Times New Roman" w:cs="Arial"/>
        </w:rPr>
        <w:t xml:space="preserve">Renal corpuscle (glomerulus) </w:t>
      </w:r>
    </w:p>
    <w:p w:rsidR="00337248" w:rsidRPr="006F36EE" w:rsidRDefault="00337248" w:rsidP="00B702A5">
      <w:pPr>
        <w:numPr>
          <w:ilvl w:val="0"/>
          <w:numId w:val="16"/>
        </w:numPr>
        <w:pBdr>
          <w:top w:val="nil"/>
          <w:left w:val="nil"/>
          <w:bottom w:val="nil"/>
          <w:right w:val="nil"/>
          <w:between w:val="nil"/>
        </w:pBdr>
        <w:spacing w:after="0" w:line="240" w:lineRule="auto"/>
        <w:ind w:hanging="360"/>
        <w:jc w:val="left"/>
        <w:rPr>
          <w:rFonts w:cs="Arial"/>
        </w:rPr>
      </w:pPr>
      <w:r w:rsidRPr="006F36EE">
        <w:rPr>
          <w:rFonts w:eastAsia="Times New Roman" w:cs="Arial"/>
        </w:rPr>
        <w:t xml:space="preserve">Proximal tubule </w:t>
      </w:r>
    </w:p>
    <w:p w:rsidR="00337248" w:rsidRPr="006F36EE" w:rsidRDefault="00337248" w:rsidP="00B702A5">
      <w:pPr>
        <w:numPr>
          <w:ilvl w:val="0"/>
          <w:numId w:val="16"/>
        </w:numPr>
        <w:pBdr>
          <w:top w:val="nil"/>
          <w:left w:val="nil"/>
          <w:bottom w:val="nil"/>
          <w:right w:val="nil"/>
          <w:between w:val="nil"/>
        </w:pBdr>
        <w:spacing w:after="0" w:line="240" w:lineRule="auto"/>
        <w:ind w:hanging="360"/>
        <w:jc w:val="left"/>
        <w:rPr>
          <w:rFonts w:cs="Arial"/>
        </w:rPr>
      </w:pPr>
      <w:r w:rsidRPr="006F36EE">
        <w:rPr>
          <w:rFonts w:eastAsia="Times New Roman" w:cs="Arial"/>
        </w:rPr>
        <w:t xml:space="preserve">Loop of Henle </w:t>
      </w:r>
    </w:p>
    <w:p w:rsidR="00337248" w:rsidRPr="006F36EE" w:rsidRDefault="00337248" w:rsidP="00B702A5">
      <w:pPr>
        <w:numPr>
          <w:ilvl w:val="0"/>
          <w:numId w:val="16"/>
        </w:numPr>
        <w:pBdr>
          <w:top w:val="nil"/>
          <w:left w:val="nil"/>
          <w:bottom w:val="nil"/>
          <w:right w:val="nil"/>
          <w:between w:val="nil"/>
        </w:pBdr>
        <w:spacing w:after="0" w:line="240" w:lineRule="auto"/>
        <w:ind w:hanging="360"/>
        <w:jc w:val="left"/>
        <w:rPr>
          <w:rFonts w:cs="Arial"/>
        </w:rPr>
      </w:pPr>
      <w:r w:rsidRPr="006F36EE">
        <w:rPr>
          <w:rFonts w:eastAsia="Times New Roman" w:cs="Arial"/>
        </w:rPr>
        <w:t xml:space="preserve">Distal tubule </w:t>
      </w:r>
    </w:p>
    <w:p w:rsidR="00782857" w:rsidRDefault="00337248" w:rsidP="00B702A5">
      <w:pPr>
        <w:numPr>
          <w:ilvl w:val="0"/>
          <w:numId w:val="16"/>
        </w:numPr>
        <w:pBdr>
          <w:top w:val="nil"/>
          <w:left w:val="nil"/>
          <w:bottom w:val="nil"/>
          <w:right w:val="nil"/>
          <w:between w:val="nil"/>
        </w:pBdr>
        <w:spacing w:after="280" w:line="240" w:lineRule="auto"/>
        <w:ind w:hanging="360"/>
        <w:jc w:val="left"/>
        <w:rPr>
          <w:rFonts w:eastAsia="Times New Roman" w:cs="Arial"/>
        </w:rPr>
      </w:pPr>
      <w:r w:rsidRPr="006F36EE">
        <w:rPr>
          <w:rFonts w:eastAsia="Times New Roman" w:cs="Arial"/>
        </w:rPr>
        <w:t>Collecting Duct</w:t>
      </w:r>
    </w:p>
    <w:p w:rsidR="00337248" w:rsidRPr="005064F3" w:rsidRDefault="00337248" w:rsidP="005064F3">
      <w:pPr>
        <w:spacing w:after="160" w:line="259" w:lineRule="auto"/>
        <w:jc w:val="left"/>
        <w:rPr>
          <w:rFonts w:eastAsia="Times New Roman" w:cs="Arial"/>
        </w:rPr>
      </w:pPr>
    </w:p>
    <w:p w:rsidR="00337248" w:rsidRDefault="00782857" w:rsidP="00F62EC7">
      <w:pPr>
        <w:spacing w:after="280" w:line="240" w:lineRule="auto"/>
        <w:ind w:firstLine="720"/>
        <w:rPr>
          <w:rFonts w:ascii="Times New Roman" w:eastAsia="Times New Roman" w:hAnsi="Times New Roman"/>
        </w:rPr>
      </w:pPr>
      <w:r>
        <w:rPr>
          <w:noProof/>
          <w:lang w:eastAsia="en-GB"/>
        </w:rPr>
        <w:drawing>
          <wp:inline distT="0" distB="0" distL="0" distR="0" wp14:anchorId="6BD53DD4" wp14:editId="3A96D178">
            <wp:extent cx="4943475" cy="3228975"/>
            <wp:effectExtent l="0" t="0" r="9525" b="9525"/>
            <wp:docPr id="360" name="Picture 36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cstate="print">
                      <a:extLst>
                        <a:ext uri="{28A0092B-C50C-407E-A947-70E740481C1C}">
                          <a14:useLocalDpi xmlns:a14="http://schemas.microsoft.com/office/drawing/2010/main" val="0"/>
                        </a:ext>
                      </a:extLst>
                    </a:blip>
                    <a:srcRect t="34064" r="13746" b="26116"/>
                    <a:stretch/>
                  </pic:blipFill>
                  <pic:spPr bwMode="auto">
                    <a:xfrm>
                      <a:off x="0" y="0"/>
                      <a:ext cx="4943475" cy="3228975"/>
                    </a:xfrm>
                    <a:prstGeom prst="rect">
                      <a:avLst/>
                    </a:prstGeom>
                    <a:noFill/>
                    <a:ln>
                      <a:noFill/>
                    </a:ln>
                    <a:extLst>
                      <a:ext uri="{53640926-AAD7-44D8-BBD7-CCE9431645EC}">
                        <a14:shadowObscured xmlns:a14="http://schemas.microsoft.com/office/drawing/2010/main"/>
                      </a:ext>
                    </a:extLst>
                  </pic:spPr>
                </pic:pic>
              </a:graphicData>
            </a:graphic>
          </wp:inline>
        </w:drawing>
      </w:r>
    </w:p>
    <w:p w:rsidR="00337248" w:rsidRPr="00EB4B38" w:rsidRDefault="00337248" w:rsidP="00EB4B38">
      <w:pPr>
        <w:pStyle w:val="LegText"/>
        <w:ind w:left="720"/>
        <w:rPr>
          <w:sz w:val="20"/>
          <w:szCs w:val="20"/>
        </w:rPr>
      </w:pPr>
      <w:bookmarkStart w:id="18" w:name="_Toc504640557"/>
      <w:r w:rsidRPr="00EB4B38">
        <w:rPr>
          <w:rStyle w:val="SubtitleChar"/>
        </w:rPr>
        <w:t>Figure 1.1 The nephron</w:t>
      </w:r>
      <w:bookmarkEnd w:id="18"/>
      <w:r>
        <w:t>.</w:t>
      </w:r>
      <w:r>
        <w:rPr>
          <w:sz w:val="20"/>
          <w:szCs w:val="20"/>
        </w:rPr>
        <w:t xml:space="preserve"> </w:t>
      </w:r>
      <w:r w:rsidR="002C4210">
        <w:t>The nephron showing</w:t>
      </w:r>
      <w:r>
        <w:t>: the Bowman's capsule, proximal tubule, loop of Henle, descending limb of loop of Henle, ascending limb of loop of Henle, distal tubule, and collecting duct.</w:t>
      </w:r>
    </w:p>
    <w:p w:rsidR="00337248" w:rsidRDefault="00337248" w:rsidP="00337248">
      <w:pPr>
        <w:spacing w:line="240" w:lineRule="auto"/>
        <w:rPr>
          <w:rFonts w:ascii="Times New Roman" w:eastAsia="Times New Roman" w:hAnsi="Times New Roman"/>
          <w:sz w:val="20"/>
          <w:szCs w:val="20"/>
        </w:rPr>
      </w:pPr>
    </w:p>
    <w:p w:rsidR="00337248" w:rsidRDefault="005064F3" w:rsidP="00EB4B38">
      <w:pPr>
        <w:pStyle w:val="Heading4"/>
        <w:ind w:firstLine="720"/>
        <w:rPr>
          <w:rFonts w:eastAsia="Times New Roman"/>
        </w:rPr>
      </w:pPr>
      <w:bookmarkStart w:id="19" w:name="_Toc506232290"/>
      <w:r>
        <w:rPr>
          <w:rFonts w:eastAsia="Times New Roman"/>
        </w:rPr>
        <w:t>1.3</w:t>
      </w:r>
      <w:r w:rsidR="00337248">
        <w:rPr>
          <w:rFonts w:eastAsia="Times New Roman"/>
        </w:rPr>
        <w:t>.3 Arterial and venous blood supply of the kidney</w:t>
      </w:r>
      <w:bookmarkEnd w:id="19"/>
    </w:p>
    <w:p w:rsidR="00337248" w:rsidRDefault="00337248" w:rsidP="00EB4B38">
      <w:pPr>
        <w:ind w:left="720"/>
      </w:pPr>
      <w:r>
        <w:t xml:space="preserve">The renal arteries are branches from the abdominal aorta that supply the kidneys with about 20% of the cardiac output. Each renal artery branches into segmental arteries which further divide into interlobar arteries, the interlobar arteries penetrate the capsule to supply blood to the arcuate arteries. The arcuate arteries run along the borders of the cortex and medulla that eventually supply the afferent arterioles which supply the glomeruli.  The glomerulus is a network of afferent arterioles </w:t>
      </w:r>
      <w:r>
        <w:lastRenderedPageBreak/>
        <w:t xml:space="preserve">enclosed within the Bowman’s capsule. The efferent arterioles emerge from the glomerulus splitting into peritubular capillaries that drain into the interlobular veins. This then drains into the arcuate vein, the arcuate vein then empties into the interlobar veins and then into the lobar vein. The lobar vein drains into the segmental vein while the segmental vein drains into the renal vein which finally flows into the inferior vena cava (Fig 1.2).  </w:t>
      </w:r>
    </w:p>
    <w:p w:rsidR="00337248" w:rsidRDefault="00337248" w:rsidP="00337248">
      <w:pPr>
        <w:spacing w:after="280" w:line="240" w:lineRule="auto"/>
        <w:rPr>
          <w:rFonts w:ascii="Times New Roman" w:eastAsia="Times New Roman" w:hAnsi="Times New Roman"/>
        </w:rPr>
      </w:pPr>
    </w:p>
    <w:p w:rsidR="00337248" w:rsidRDefault="00337248" w:rsidP="00F62EC7">
      <w:pPr>
        <w:spacing w:after="280" w:line="240" w:lineRule="auto"/>
        <w:ind w:firstLine="720"/>
        <w:rPr>
          <w:rFonts w:ascii="Times New Roman" w:eastAsia="Times New Roman" w:hAnsi="Times New Roman"/>
        </w:rPr>
      </w:pPr>
      <w:r>
        <w:rPr>
          <w:noProof/>
          <w:lang w:eastAsia="en-GB"/>
        </w:rPr>
        <w:drawing>
          <wp:inline distT="0" distB="0" distL="0" distR="0" wp14:anchorId="4CC188B8" wp14:editId="37A6D0DD">
            <wp:extent cx="4612766" cy="3663383"/>
            <wp:effectExtent l="0" t="0" r="0" b="0"/>
            <wp:docPr id="75" name="image150.jpg" descr="https://s3-us-west-2.amazonaws.com/courses-images-archive-read-only/wp-content/uploads/sites/403/2015/04/21031842/2612_Blood_Flow_in_the_Kidneys.jpg"/>
            <wp:cNvGraphicFramePr/>
            <a:graphic xmlns:a="http://schemas.openxmlformats.org/drawingml/2006/main">
              <a:graphicData uri="http://schemas.openxmlformats.org/drawingml/2006/picture">
                <pic:pic xmlns:pic="http://schemas.openxmlformats.org/drawingml/2006/picture">
                  <pic:nvPicPr>
                    <pic:cNvPr id="0" name="image150.jpg" descr="https://s3-us-west-2.amazonaws.com/courses-images-archive-read-only/wp-content/uploads/sites/403/2015/04/21031842/2612_Blood_Flow_in_the_Kidneys.jpg"/>
                    <pic:cNvPicPr preferRelativeResize="0"/>
                  </pic:nvPicPr>
                  <pic:blipFill>
                    <a:blip r:embed="rId16"/>
                    <a:srcRect/>
                    <a:stretch>
                      <a:fillRect/>
                    </a:stretch>
                  </pic:blipFill>
                  <pic:spPr>
                    <a:xfrm>
                      <a:off x="0" y="0"/>
                      <a:ext cx="4612766" cy="3663383"/>
                    </a:xfrm>
                    <a:prstGeom prst="rect">
                      <a:avLst/>
                    </a:prstGeom>
                    <a:ln/>
                  </pic:spPr>
                </pic:pic>
              </a:graphicData>
            </a:graphic>
          </wp:inline>
        </w:drawing>
      </w:r>
    </w:p>
    <w:p w:rsidR="00337248" w:rsidRDefault="00337248" w:rsidP="00EB4B38">
      <w:pPr>
        <w:pStyle w:val="LegText"/>
        <w:ind w:left="720"/>
      </w:pPr>
      <w:bookmarkStart w:id="20" w:name="_Toc504640558"/>
      <w:r w:rsidRPr="00EB4B38">
        <w:rPr>
          <w:rStyle w:val="SubtitleChar"/>
        </w:rPr>
        <w:t>Figure 1.2 T</w:t>
      </w:r>
      <w:r w:rsidR="00EB4B38" w:rsidRPr="00EB4B38">
        <w:rPr>
          <w:rStyle w:val="SubtitleChar"/>
        </w:rPr>
        <w:t>ransvers section of the kidney</w:t>
      </w:r>
      <w:bookmarkEnd w:id="20"/>
      <w:r w:rsidR="00EB4B38">
        <w:t xml:space="preserve">. </w:t>
      </w:r>
      <w:r>
        <w:t xml:space="preserve">The figure shows transverse section of the kidney, the glomerulus and the capillary beds. It also shows the circulation network of the kidney with the efferent arterioles and the peritubular capillaries. </w:t>
      </w:r>
      <w:r w:rsidR="003B3FFD">
        <w:t>(With permission under the licence of creative common attribution 3.0. Author OpenStax College).</w:t>
      </w:r>
    </w:p>
    <w:p w:rsidR="00337248" w:rsidRDefault="00337248" w:rsidP="00782857">
      <w:pPr>
        <w:pStyle w:val="LegText"/>
        <w:ind w:left="720"/>
      </w:pPr>
      <w:r>
        <w:t>(</w:t>
      </w:r>
      <w:hyperlink r:id="rId17" w:history="1">
        <w:r w:rsidR="008F0F1A" w:rsidRPr="00013F4E">
          <w:rPr>
            <w:rStyle w:val="Hyperlink"/>
            <w:color w:val="auto"/>
          </w:rPr>
          <w:t>https://courses.lumenlearning.com/ap2/chapter/gross-anatomy-of-the-kidney/</w:t>
        </w:r>
      </w:hyperlink>
      <w:r w:rsidRPr="00013F4E">
        <w:rPr>
          <w:color w:val="auto"/>
        </w:rPr>
        <w:t>)</w:t>
      </w:r>
    </w:p>
    <w:p w:rsidR="00EB4B38" w:rsidRDefault="00EB4B38" w:rsidP="00337248">
      <w:pPr>
        <w:pStyle w:val="LegText"/>
      </w:pPr>
    </w:p>
    <w:p w:rsidR="00337248" w:rsidRDefault="005064F3" w:rsidP="00EB4B38">
      <w:pPr>
        <w:pStyle w:val="Heading4"/>
        <w:ind w:firstLine="720"/>
      </w:pPr>
      <w:bookmarkStart w:id="21" w:name="_Toc506232291"/>
      <w:r>
        <w:t>1.3</w:t>
      </w:r>
      <w:r w:rsidR="00337248">
        <w:t>.4 Functions of the kidney</w:t>
      </w:r>
      <w:bookmarkEnd w:id="21"/>
    </w:p>
    <w:p w:rsidR="00337248" w:rsidRDefault="00337248" w:rsidP="00EB4B38">
      <w:pPr>
        <w:ind w:left="720"/>
        <w:rPr>
          <w:b/>
        </w:rPr>
      </w:pPr>
      <w:r>
        <w:t>Most of the kidney functions are based on principles of filtratio</w:t>
      </w:r>
      <w:r w:rsidR="001167B8">
        <w:t xml:space="preserve">n, reabsorption and secretion </w:t>
      </w:r>
      <w:r>
        <w:t>with these functions occurring in the nephron:</w:t>
      </w:r>
    </w:p>
    <w:p w:rsidR="00337248" w:rsidRDefault="00337248" w:rsidP="00EB4B38">
      <w:pPr>
        <w:ind w:left="720"/>
        <w:rPr>
          <w:b/>
        </w:rPr>
      </w:pPr>
      <w:r>
        <w:lastRenderedPageBreak/>
        <w:t xml:space="preserve">Excretion of waste: The process of metabolism leads to the production of by-products which are excreted into the urine by the nephron, for example urea from protein metabolism. The waste excretion process involves a robust countercurent mechanism involving, tight renal tubules, permeability of water and ion in the descending loop, permeability of water in the ascending loop, an active ion transport in the ascending loop and a passive countercurent exchange in the vessels supplying blood to the nephrons (Lashmet and Newburgh, 1932). </w:t>
      </w:r>
    </w:p>
    <w:p w:rsidR="00337248" w:rsidRDefault="00337248" w:rsidP="00EB4B38">
      <w:pPr>
        <w:ind w:left="720"/>
        <w:rPr>
          <w:b/>
        </w:rPr>
      </w:pPr>
      <w:r>
        <w:t xml:space="preserve">Reabsorption of nutrients: </w:t>
      </w:r>
      <w:r w:rsidR="001167B8">
        <w:t>For example a</w:t>
      </w:r>
      <w:r>
        <w:t>t normal plasma glucose levels there is complete glucose reabsorption in the proximal tubule via a Na</w:t>
      </w:r>
      <w:r w:rsidRPr="008F0F1A">
        <w:rPr>
          <w:vertAlign w:val="superscript"/>
        </w:rPr>
        <w:t>+</w:t>
      </w:r>
      <w:r>
        <w:t>/glucose cotransporter. However, at plasma glucose levels of 160</w:t>
      </w:r>
      <w:r w:rsidR="008F0F1A">
        <w:t xml:space="preserve"> </w:t>
      </w:r>
      <w:r>
        <w:t>mg/dl there is glucosuria, which is detectable with the urine dipstick and may be suggestive of diabetes, while plasma glucose levels of 350</w:t>
      </w:r>
      <w:r w:rsidR="008F0F1A">
        <w:t xml:space="preserve"> </w:t>
      </w:r>
      <w:r>
        <w:t>mg/dl upwards will result in the transport system being completely saturated and there will also be glucosuria. Na</w:t>
      </w:r>
      <w:r>
        <w:rPr>
          <w:vertAlign w:val="superscript"/>
        </w:rPr>
        <w:t>+</w:t>
      </w:r>
      <w:r>
        <w:t xml:space="preserve"> dependant transporters are found in the proximal tubules and they are responsible for the reabsorption of amino acids, while Na</w:t>
      </w:r>
      <w:r>
        <w:rPr>
          <w:vertAlign w:val="superscript"/>
        </w:rPr>
        <w:t>+</w:t>
      </w:r>
      <w:r>
        <w:t>, and Cl</w:t>
      </w:r>
      <w:r>
        <w:rPr>
          <w:vertAlign w:val="superscript"/>
        </w:rPr>
        <w:t>-</w:t>
      </w:r>
      <w:r>
        <w:t xml:space="preserve"> are reabsorbed in the distal convoluted tubules and water in the thin descending loop of Henle (Schnellmann, 2001).</w:t>
      </w:r>
    </w:p>
    <w:p w:rsidR="00337248" w:rsidRDefault="00337248" w:rsidP="00EB4B38">
      <w:pPr>
        <w:ind w:left="720"/>
        <w:rPr>
          <w:b/>
        </w:rPr>
      </w:pPr>
      <w:r>
        <w:t xml:space="preserve">Acid base homeostasis: Both the kidney and the lungs jointly maintain acid-base homeostasis. The kidneys reabsorb and generate bicarbonate and also excrete hydrogen ions into the urine while the lungs regulate carbon dioxide (Rose, 1977).     </w:t>
      </w:r>
    </w:p>
    <w:p w:rsidR="00337248" w:rsidRDefault="00337248" w:rsidP="00EB4B38">
      <w:pPr>
        <w:ind w:left="720"/>
        <w:rPr>
          <w:b/>
        </w:rPr>
      </w:pPr>
      <w:r>
        <w:t>Osmolality regulation: This is the process where water and salt in the body are maintained at a balanced level. An increase in osmolality causes increase in antidiuretic hormone (ADH) which will increase water reabsorption by the kidneys and a more concentrated urine.</w:t>
      </w:r>
    </w:p>
    <w:p w:rsidR="00337248" w:rsidRDefault="00337248" w:rsidP="00EB4B38">
      <w:pPr>
        <w:ind w:left="720"/>
        <w:rPr>
          <w:b/>
        </w:rPr>
      </w:pPr>
      <w:r>
        <w:t>Blood pressure regulation: The mechanism is based on the size of the extracellular compartment which is regulated by the plasma Na</w:t>
      </w:r>
      <w:r>
        <w:rPr>
          <w:vertAlign w:val="superscript"/>
        </w:rPr>
        <w:t>+</w:t>
      </w:r>
      <w:r>
        <w:t xml:space="preserve"> concentration via the renin-angiotensin system. Changes in renin </w:t>
      </w:r>
      <w:r>
        <w:lastRenderedPageBreak/>
        <w:t>results in altered levels of angiotensin II and aldosterone which collectively result in increased kidney reabsorption of NaCl resulting in expansion of the extracellular fluid compartment and increase in blood pressure. With a reduction in the leve</w:t>
      </w:r>
      <w:r w:rsidR="00883212">
        <w:t>l of renin the opposite happens,</w:t>
      </w:r>
      <w:r>
        <w:t xml:space="preserve"> there is a reduction in angiotensin II and aldosterone leading to a decrease in the extracellular fluid compartment and blood pressure (Crowley et al., 2005). </w:t>
      </w:r>
    </w:p>
    <w:p w:rsidR="00337248" w:rsidRDefault="00337248" w:rsidP="00EB4B38">
      <w:pPr>
        <w:ind w:left="720"/>
        <w:rPr>
          <w:b/>
        </w:rPr>
      </w:pPr>
      <w:r>
        <w:t xml:space="preserve">Hormone secretion. Both renin and erythropoietin are secreted by the kidneys. Erythropoietin is secreted in a state of hypoxia in renal circulation and this leads to erythropoiesis, while renin is secreted in regulation of aldosterone in renin-angiotensin-aldosterone system in regulation of the extracellular fluid compartment in blood pressure regulation (Davis and Freeman, 1976). </w:t>
      </w:r>
    </w:p>
    <w:p w:rsidR="00337248" w:rsidRDefault="005064F3" w:rsidP="00EB4B38">
      <w:pPr>
        <w:pStyle w:val="Heading4"/>
        <w:ind w:firstLine="720"/>
      </w:pPr>
      <w:bookmarkStart w:id="22" w:name="_Toc506232292"/>
      <w:r>
        <w:t>1.3</w:t>
      </w:r>
      <w:r w:rsidR="00337248">
        <w:t>.5 Extracellular matrix (ECM)</w:t>
      </w:r>
      <w:bookmarkEnd w:id="22"/>
      <w:r w:rsidR="00337248">
        <w:t xml:space="preserve"> </w:t>
      </w:r>
    </w:p>
    <w:p w:rsidR="00337248" w:rsidRPr="00081F3C" w:rsidRDefault="00337248" w:rsidP="00EB4B38">
      <w:pPr>
        <w:ind w:left="720"/>
      </w:pPr>
      <w:r w:rsidRPr="00081F3C">
        <w:t xml:space="preserve">The ECM is found in neighbouring spaces between cells, its secretion and packaging occurs locally within this space and constitutes part of tissue volume. Its constituents are fibrous structural proteins (collagen and elastin), adhesive glycoproteins, proteoglycans and hyaluronic acid which are found on cell surface and intercellular junctions.  </w:t>
      </w:r>
    </w:p>
    <w:p w:rsidR="00337248" w:rsidRPr="00081F3C" w:rsidRDefault="00337248" w:rsidP="00EB4B38">
      <w:pPr>
        <w:ind w:left="720"/>
      </w:pPr>
      <w:r w:rsidRPr="00081F3C">
        <w:t>ECM is made of a mixture of proteins and proteoglycans. There are three classes of materials found in the ECM:</w:t>
      </w:r>
    </w:p>
    <w:p w:rsidR="00337248" w:rsidRPr="00081F3C" w:rsidRDefault="00337248" w:rsidP="00EB4B38">
      <w:pPr>
        <w:ind w:firstLine="720"/>
      </w:pPr>
      <w:r w:rsidRPr="00081F3C">
        <w:rPr>
          <w:color w:val="000000"/>
        </w:rPr>
        <w:t>Glycosaminoglycans and their proteoglycans.</w:t>
      </w:r>
    </w:p>
    <w:p w:rsidR="00337248" w:rsidRPr="00081F3C" w:rsidRDefault="00337248" w:rsidP="00EB4B38">
      <w:pPr>
        <w:ind w:left="720"/>
      </w:pPr>
      <w:r w:rsidRPr="00081F3C">
        <w:t xml:space="preserve">Glycosaminoglycans (GAGs): GAGs are linear polysaccharides made of repeating amino sugars which can either be N-acetyl-D-glucosamine (D-GlcNAc) or N-acetyl-D-galactosamine (D-GalNAc) and uronic acid which can also be D-glucuronic acid (D-GlcA) or L-iduronic acid (L-IdoA). These compounds can be epimerized, sulphated or deacetylated and their specificity and functionality are determined by the carbohydrate chain and chemical modification (Taylor and Gallo, 2006). Keratan sulphate, dermatan sulphate, heparan sulphate and chondroitin sulphate are examples of GAGs that are covalently </w:t>
      </w:r>
      <w:r w:rsidRPr="00081F3C">
        <w:lastRenderedPageBreak/>
        <w:t xml:space="preserve">attached to proteins to form proteoglycans, while hyaluronan is non-sulphated and the simplest of the GAGs and is not covalently attached to a protein. Most GAGs are highly negatively charged because they are sulphated and contain uronic acid. The sulphated GAGs are made of repeating disaccharide units and a protein core that are linked by a glycosidic linkage via a serine residue. </w:t>
      </w:r>
    </w:p>
    <w:p w:rsidR="00337248" w:rsidRPr="00081F3C" w:rsidRDefault="00337248" w:rsidP="00EB4B38">
      <w:pPr>
        <w:ind w:left="720"/>
      </w:pPr>
      <w:r w:rsidRPr="00081F3C">
        <w:t>Proteoglycan</w:t>
      </w:r>
      <w:r w:rsidR="00F91A7D">
        <w:t>s</w:t>
      </w:r>
      <w:r w:rsidRPr="00081F3C">
        <w:t xml:space="preserve"> </w:t>
      </w:r>
      <w:r w:rsidR="00724430">
        <w:t xml:space="preserve">(PG) </w:t>
      </w:r>
      <w:r w:rsidRPr="00081F3C">
        <w:t>are molecules with a core protein attached covalently to glycosaminoglycan (Platt et al., 1998). PG can be divided into;</w:t>
      </w:r>
    </w:p>
    <w:p w:rsidR="00337248" w:rsidRPr="00081F3C" w:rsidRDefault="00337248" w:rsidP="00F91A7D">
      <w:pPr>
        <w:ind w:left="720"/>
      </w:pPr>
      <w:r w:rsidRPr="00081F3C">
        <w:rPr>
          <w:color w:val="000000"/>
        </w:rPr>
        <w:t>Large aggregating PGs, versicans, perlecan, glypican, syndecans</w:t>
      </w:r>
      <w:r w:rsidR="00F91A7D">
        <w:rPr>
          <w:color w:val="000000"/>
        </w:rPr>
        <w:t xml:space="preserve"> aggrecan, agrin</w:t>
      </w:r>
      <w:r w:rsidRPr="00081F3C">
        <w:rPr>
          <w:color w:val="000000"/>
        </w:rPr>
        <w:t>.</w:t>
      </w:r>
    </w:p>
    <w:p w:rsidR="00337248" w:rsidRPr="00081F3C" w:rsidRDefault="00337248" w:rsidP="00EB4B38">
      <w:pPr>
        <w:ind w:left="720"/>
      </w:pPr>
      <w:r w:rsidRPr="00081F3C">
        <w:rPr>
          <w:color w:val="000000"/>
        </w:rPr>
        <w:t xml:space="preserve">Small non-aggregating proteoglycans. They have </w:t>
      </w:r>
      <w:r w:rsidR="00F91A7D">
        <w:rPr>
          <w:color w:val="000000"/>
        </w:rPr>
        <w:t xml:space="preserve">a </w:t>
      </w:r>
      <w:r w:rsidRPr="00081F3C">
        <w:rPr>
          <w:color w:val="000000"/>
        </w:rPr>
        <w:t xml:space="preserve">molecular weight less than 200 kDa, examples are biglycan, decorin and fibromodulin. Their functions include binding to collagen, regulating fibrillogenesis and collagen organization. </w:t>
      </w:r>
    </w:p>
    <w:p w:rsidR="00337248" w:rsidRPr="00081F3C" w:rsidRDefault="00F91A7D" w:rsidP="00F91A7D">
      <w:pPr>
        <w:ind w:left="720"/>
      </w:pPr>
      <w:r w:rsidRPr="00081F3C">
        <w:t>The matrix proteins, mostly PGs</w:t>
      </w:r>
      <w:r w:rsidR="00724430">
        <w:t>,</w:t>
      </w:r>
      <w:r w:rsidRPr="00081F3C">
        <w:t xml:space="preserve"> sequester water for soft tissue turgor and minerals for skeletal tissue rigidity. It also serves as storage for growth factors. The matrix is in a constant equilibrium of synthesis and degradation, loss of this equilibrium results in loss or accumulation of the matrix and a disease state. Morphogenesis, wound healing and chronic fibrotic processes are the events involved in the dynamic of</w:t>
      </w:r>
      <w:r>
        <w:t xml:space="preserve"> ECM synthesis and degradation.</w:t>
      </w:r>
    </w:p>
    <w:p w:rsidR="00337248" w:rsidRPr="00081F3C" w:rsidRDefault="00337248" w:rsidP="00EB4B38">
      <w:pPr>
        <w:ind w:firstLine="720"/>
      </w:pPr>
      <w:r w:rsidRPr="00081F3C">
        <w:rPr>
          <w:color w:val="000000"/>
        </w:rPr>
        <w:t>Glycoproteins such as laminin, fibronectin, tenascin, nidogen</w:t>
      </w:r>
    </w:p>
    <w:p w:rsidR="00337248" w:rsidRPr="00081F3C" w:rsidRDefault="00337248" w:rsidP="00EB4B38">
      <w:pPr>
        <w:ind w:left="720"/>
      </w:pPr>
      <w:r w:rsidRPr="00081F3C">
        <w:t xml:space="preserve">Glycoproteins. These are proteins with oligosaccharide chains and are covalently attached to polypeptide side chains. The protein is attached to the carbohydrate. Examples are laminin, fibronectin, tenascin, and nidogen. Laminin has three types of chains; α, β, and γ chains. The α chains G domain is made of 3 LG domains LG1-LG3 which is linked to two other LG domains LG4 &amp;LG5. Heparan sulphate binds to LG4. </w:t>
      </w:r>
      <w:r w:rsidRPr="00081F3C">
        <w:lastRenderedPageBreak/>
        <w:t>Fibronectin has a molecular weight of 270 kDa. It binds to heparin, collagen, and cell surface integrins (Rhodes and Simons, 2007).</w:t>
      </w:r>
    </w:p>
    <w:p w:rsidR="00337248" w:rsidRPr="00081F3C" w:rsidRDefault="00337248" w:rsidP="00EB4B38">
      <w:pPr>
        <w:ind w:firstLine="720"/>
      </w:pPr>
      <w:r w:rsidRPr="00081F3C">
        <w:t xml:space="preserve">Fibrous proteins: collagens, elastin </w:t>
      </w:r>
    </w:p>
    <w:p w:rsidR="00337248" w:rsidRPr="00081F3C" w:rsidRDefault="00337248" w:rsidP="00EB4B38">
      <w:pPr>
        <w:ind w:left="720"/>
      </w:pPr>
      <w:r w:rsidRPr="00081F3C">
        <w:t>The major structural component of the ECM is collagen (Khoshnoodi et al., 2006). Collagens are found as triple helical proteins made from homotrimers or heterotrimers of polypeptide chains known as α-chains. About twenty-eight (I-XXVIII) collagens have been identified in vertebrae (Khoshnoodi et al., 2006) and they can be divided into:</w:t>
      </w:r>
    </w:p>
    <w:p w:rsidR="00337248" w:rsidRPr="00081F3C" w:rsidRDefault="00337248" w:rsidP="00EB4B38">
      <w:pPr>
        <w:ind w:left="720"/>
      </w:pPr>
      <w:r w:rsidRPr="00081F3C">
        <w:rPr>
          <w:color w:val="000000"/>
        </w:rPr>
        <w:t>Fibrillar (I, II, III, V, XI, XXIV and XXVII)</w:t>
      </w:r>
      <w:r w:rsidR="008E50E7">
        <w:rPr>
          <w:color w:val="000000"/>
        </w:rPr>
        <w:t>.</w:t>
      </w:r>
      <w:r w:rsidRPr="00081F3C">
        <w:rPr>
          <w:color w:val="000000"/>
        </w:rPr>
        <w:t xml:space="preserve"> They constitute about 90% of collagen in the body</w:t>
      </w:r>
      <w:r w:rsidR="00EB4B38">
        <w:rPr>
          <w:color w:val="000000"/>
        </w:rPr>
        <w:t>.</w:t>
      </w:r>
    </w:p>
    <w:p w:rsidR="00337248" w:rsidRPr="00081F3C" w:rsidRDefault="00337248" w:rsidP="00EB4B38">
      <w:pPr>
        <w:ind w:left="720"/>
      </w:pPr>
      <w:r w:rsidRPr="00081F3C">
        <w:rPr>
          <w:color w:val="000000"/>
        </w:rPr>
        <w:t xml:space="preserve">Fibril-associated (FACIT) (IX, XII, </w:t>
      </w:r>
      <w:r w:rsidR="008E50E7">
        <w:rPr>
          <w:color w:val="000000"/>
        </w:rPr>
        <w:t>XIV, XVI, XIX, XX, XXI, XXII); t</w:t>
      </w:r>
      <w:r w:rsidRPr="00081F3C">
        <w:rPr>
          <w:color w:val="000000"/>
        </w:rPr>
        <w:t>hese collagens do not form fibrils but rather they attach to fibril-forming collagen and arrange the fibrils in the matrix</w:t>
      </w:r>
      <w:r w:rsidR="00EB4B38">
        <w:rPr>
          <w:color w:val="000000"/>
        </w:rPr>
        <w:t>.</w:t>
      </w:r>
    </w:p>
    <w:p w:rsidR="00337248" w:rsidRPr="00081F3C" w:rsidRDefault="00337248" w:rsidP="00EB4B38">
      <w:pPr>
        <w:ind w:firstLine="720"/>
      </w:pPr>
      <w:r w:rsidRPr="00081F3C">
        <w:rPr>
          <w:color w:val="000000"/>
        </w:rPr>
        <w:t>Beaded filament (IV)</w:t>
      </w:r>
      <w:r w:rsidR="008E50E7">
        <w:rPr>
          <w:color w:val="000000"/>
        </w:rPr>
        <w:t xml:space="preserve">; the major collagen of basement membranes. </w:t>
      </w:r>
    </w:p>
    <w:p w:rsidR="00337248" w:rsidRPr="00081F3C" w:rsidRDefault="00337248" w:rsidP="00EB4B38">
      <w:pPr>
        <w:ind w:left="720"/>
      </w:pPr>
      <w:r w:rsidRPr="00081F3C">
        <w:rPr>
          <w:color w:val="000000"/>
        </w:rPr>
        <w:t>Network forming: They interact with anchoring fibrils (VII) that link the basement membrane to collagen and laminin within the ECM.</w:t>
      </w:r>
    </w:p>
    <w:p w:rsidR="00337248" w:rsidRPr="00081F3C" w:rsidRDefault="001167B8" w:rsidP="00EB4B38">
      <w:pPr>
        <w:ind w:left="720"/>
      </w:pPr>
      <w:r>
        <w:rPr>
          <w:color w:val="000000"/>
        </w:rPr>
        <w:t>Transmembrane collagens (XIII, XVII</w:t>
      </w:r>
      <w:r w:rsidR="00337248" w:rsidRPr="00081F3C">
        <w:rPr>
          <w:color w:val="000000"/>
        </w:rPr>
        <w:t>, XXIII, XXV); they function in cell adhesion, differentiation, and integrity.</w:t>
      </w:r>
    </w:p>
    <w:p w:rsidR="00337248" w:rsidRPr="00081F3C" w:rsidRDefault="00337248" w:rsidP="00EB4B38">
      <w:pPr>
        <w:ind w:left="720"/>
      </w:pPr>
      <w:r w:rsidRPr="00081F3C">
        <w:t>They provide a surface for the binding of laminin, proteoglycans and also act as receptors (Khoshnoodi et al., 2006).</w:t>
      </w:r>
    </w:p>
    <w:p w:rsidR="00337248" w:rsidRPr="00081F3C" w:rsidRDefault="00337248" w:rsidP="00EB4B38">
      <w:pPr>
        <w:ind w:left="720"/>
      </w:pPr>
      <w:r w:rsidRPr="00081F3C">
        <w:t xml:space="preserve">Elastin: It is secreted as a precursor protein by the cell. Within the cell it crosslinks with other elastin molecules to produce fibres that confers the ECM with its elasticity. </w:t>
      </w:r>
    </w:p>
    <w:p w:rsidR="00337248" w:rsidRDefault="005064F3" w:rsidP="00EB4B38">
      <w:pPr>
        <w:pStyle w:val="Heading4"/>
        <w:ind w:firstLine="720"/>
      </w:pPr>
      <w:bookmarkStart w:id="23" w:name="_Toc506232293"/>
      <w:r>
        <w:t>1.3</w:t>
      </w:r>
      <w:r w:rsidR="00337248">
        <w:t>.6 Basement membrane (BM)</w:t>
      </w:r>
      <w:bookmarkEnd w:id="23"/>
      <w:r w:rsidR="00337248">
        <w:t xml:space="preserve"> </w:t>
      </w:r>
    </w:p>
    <w:p w:rsidR="00337248" w:rsidRDefault="00724430" w:rsidP="00EB4B38">
      <w:pPr>
        <w:ind w:left="720"/>
      </w:pPr>
      <w:r>
        <w:t xml:space="preserve">The basement membrane </w:t>
      </w:r>
      <w:r w:rsidR="00337248">
        <w:t xml:space="preserve">is a thin matrix of tissue that separates the epithelium, endothelium or mesothelium from the connective tissue.  A good example is the glomerular basement membrane of the </w:t>
      </w:r>
      <w:hyperlink r:id="rId18">
        <w:r w:rsidR="00337248">
          <w:t>kidney</w:t>
        </w:r>
      </w:hyperlink>
      <w:r w:rsidR="00337248">
        <w:t>. The BM i</w:t>
      </w:r>
      <w:r w:rsidR="00081F3C">
        <w:t>s composed of two layers (Fig</w:t>
      </w:r>
      <w:r w:rsidR="00337248">
        <w:t xml:space="preserve"> 1.3):</w:t>
      </w:r>
    </w:p>
    <w:p w:rsidR="00337248" w:rsidRDefault="00337248" w:rsidP="00EB4B38">
      <w:pPr>
        <w:ind w:left="720"/>
      </w:pPr>
      <w:r>
        <w:lastRenderedPageBreak/>
        <w:t>1) The basal lamina: this is further divided into lamina lucida (a clear layer and close to the epithelium) and lamina densa (a dense layer close to the connective tissue).</w:t>
      </w:r>
      <w:r w:rsidR="00724430">
        <w:t xml:space="preserve"> The lamina densa consist of</w:t>
      </w:r>
      <w:r>
        <w:t xml:space="preserve"> collagen IV fibrils and macromolecules. The collagen fibres in lamina densa is coated with perleca</w:t>
      </w:r>
      <w:r w:rsidR="00724430">
        <w:t>n heparan sulphate proteoglycan</w:t>
      </w:r>
      <w:r>
        <w:t xml:space="preserve">.  </w:t>
      </w:r>
    </w:p>
    <w:p w:rsidR="00337248" w:rsidRDefault="00337248" w:rsidP="00EB4B38">
      <w:pPr>
        <w:ind w:left="720"/>
      </w:pPr>
      <w:r>
        <w:t>2) The reticular connective tissue: This network of collagen thin fibres are synthesized by fibroblast like cells.</w:t>
      </w:r>
    </w:p>
    <w:p w:rsidR="00337248" w:rsidRDefault="00337248" w:rsidP="00EB4B38">
      <w:pPr>
        <w:ind w:left="720"/>
      </w:pPr>
      <w:r>
        <w:t xml:space="preserve">Both basal lamina and the reticular connective tissue are joined by collagen VII, fibrils and fibrillin microfibrils. </w:t>
      </w:r>
    </w:p>
    <w:p w:rsidR="00337248" w:rsidRDefault="00337248" w:rsidP="00F62EC7">
      <w:pPr>
        <w:ind w:firstLine="720"/>
        <w:rPr>
          <w:rFonts w:ascii="Times New Roman" w:eastAsia="Times New Roman" w:hAnsi="Times New Roman"/>
        </w:rPr>
      </w:pPr>
      <w:r>
        <w:rPr>
          <w:noProof/>
          <w:lang w:eastAsia="en-GB"/>
        </w:rPr>
        <w:drawing>
          <wp:inline distT="0" distB="0" distL="0" distR="0" wp14:anchorId="15A775D8" wp14:editId="5460A4DA">
            <wp:extent cx="5112385" cy="2505075"/>
            <wp:effectExtent l="0" t="0" r="0" b="9525"/>
            <wp:docPr id="74" name="image148.jpg" descr="http://img.tfd.com/dorland/membrane_basement.jpg"/>
            <wp:cNvGraphicFramePr/>
            <a:graphic xmlns:a="http://schemas.openxmlformats.org/drawingml/2006/main">
              <a:graphicData uri="http://schemas.openxmlformats.org/drawingml/2006/picture">
                <pic:pic xmlns:pic="http://schemas.openxmlformats.org/drawingml/2006/picture">
                  <pic:nvPicPr>
                    <pic:cNvPr id="0" name="image148.jpg" descr="http://img.tfd.com/dorland/membrane_basement.jpg"/>
                    <pic:cNvPicPr preferRelativeResize="0"/>
                  </pic:nvPicPr>
                  <pic:blipFill>
                    <a:blip r:embed="rId19"/>
                    <a:srcRect/>
                    <a:stretch>
                      <a:fillRect/>
                    </a:stretch>
                  </pic:blipFill>
                  <pic:spPr>
                    <a:xfrm>
                      <a:off x="0" y="0"/>
                      <a:ext cx="5112385" cy="2505075"/>
                    </a:xfrm>
                    <a:prstGeom prst="rect">
                      <a:avLst/>
                    </a:prstGeom>
                    <a:ln/>
                  </pic:spPr>
                </pic:pic>
              </a:graphicData>
            </a:graphic>
          </wp:inline>
        </w:drawing>
      </w:r>
      <w:r>
        <w:rPr>
          <w:rFonts w:ascii="Times New Roman" w:eastAsia="Times New Roman" w:hAnsi="Times New Roman"/>
        </w:rPr>
        <w:t xml:space="preserve"> </w:t>
      </w:r>
    </w:p>
    <w:p w:rsidR="00437989" w:rsidRDefault="00337248" w:rsidP="00437989">
      <w:pPr>
        <w:pStyle w:val="LegText"/>
        <w:ind w:left="720"/>
      </w:pPr>
      <w:bookmarkStart w:id="24" w:name="_Toc504640559"/>
      <w:r w:rsidRPr="00EB4B38">
        <w:rPr>
          <w:rStyle w:val="SubtitleChar"/>
        </w:rPr>
        <w:t xml:space="preserve">Figure 1.3 </w:t>
      </w:r>
      <w:r w:rsidR="00EB4B38" w:rsidRPr="00EB4B38">
        <w:rPr>
          <w:rStyle w:val="SubtitleChar"/>
        </w:rPr>
        <w:t>Basement membrane</w:t>
      </w:r>
      <w:bookmarkEnd w:id="24"/>
      <w:r w:rsidR="00EB4B38">
        <w:t xml:space="preserve">. </w:t>
      </w:r>
      <w:r w:rsidR="00081F3C">
        <w:t xml:space="preserve">It shows </w:t>
      </w:r>
      <w:r>
        <w:t>the various components of the basement membrane: reticular lamina and basal lamina which cons</w:t>
      </w:r>
      <w:r w:rsidR="00437989">
        <w:t xml:space="preserve">ist of lamina lucida and lamina </w:t>
      </w:r>
      <w:r>
        <w:t>densa.</w:t>
      </w:r>
    </w:p>
    <w:p w:rsidR="00337248" w:rsidRDefault="00437989" w:rsidP="00437989">
      <w:pPr>
        <w:pStyle w:val="LegText"/>
        <w:ind w:left="720"/>
      </w:pPr>
      <w:r>
        <w:t>(</w:t>
      </w:r>
      <w:r w:rsidR="00E76416" w:rsidRPr="00E76416">
        <w:t>https://www.slideshare.net/theintun/basement-membrane-integrity-in-oral-cancer-repair</w:t>
      </w:r>
      <w:r>
        <w:t xml:space="preserve">) </w:t>
      </w:r>
      <w:r w:rsidR="00013F4E">
        <w:t xml:space="preserve">                                                  </w:t>
      </w:r>
    </w:p>
    <w:p w:rsidR="00081F3C" w:rsidRDefault="00081F3C" w:rsidP="00081F3C">
      <w:pPr>
        <w:pStyle w:val="LegText"/>
      </w:pPr>
    </w:p>
    <w:p w:rsidR="00337248" w:rsidRDefault="005064F3" w:rsidP="00EB4B38">
      <w:pPr>
        <w:pStyle w:val="Heading4"/>
        <w:ind w:firstLine="720"/>
      </w:pPr>
      <w:bookmarkStart w:id="25" w:name="_Toc506232294"/>
      <w:r>
        <w:t>1.3</w:t>
      </w:r>
      <w:r w:rsidR="00337248">
        <w:t>.7 Functions</w:t>
      </w:r>
      <w:r w:rsidR="009503A6">
        <w:t xml:space="preserve"> of b</w:t>
      </w:r>
      <w:r w:rsidR="00337248">
        <w:t>asement membrane</w:t>
      </w:r>
      <w:bookmarkEnd w:id="25"/>
      <w:r w:rsidR="00337248">
        <w:t xml:space="preserve"> </w:t>
      </w:r>
    </w:p>
    <w:p w:rsidR="00337248" w:rsidRDefault="00337248" w:rsidP="00EB4B38">
      <w:pPr>
        <w:ind w:left="720"/>
      </w:pPr>
      <w:r>
        <w:t>The principal function of the basement membrane is to anchor the epithelium to the underneath connective tissue by cell matrix adhesions. It serves as a mechanical barrier protecting the deeper structures (Liotta et al., 1980) and its</w:t>
      </w:r>
      <w:r w:rsidR="00081F3C">
        <w:t xml:space="preserve"> protein increases the rate of </w:t>
      </w:r>
      <w:r>
        <w:t>differentiation of endothelial cells (Kubota et al., 1988)</w:t>
      </w:r>
    </w:p>
    <w:p w:rsidR="00337248" w:rsidRDefault="005064F3" w:rsidP="00EB4B38">
      <w:pPr>
        <w:pStyle w:val="Heading4"/>
        <w:ind w:firstLine="720"/>
      </w:pPr>
      <w:bookmarkStart w:id="26" w:name="_Toc506232295"/>
      <w:r>
        <w:lastRenderedPageBreak/>
        <w:t>1.3</w:t>
      </w:r>
      <w:r w:rsidR="00337248">
        <w:t>.8 Glomerular basement membrane (GBM)</w:t>
      </w:r>
      <w:bookmarkEnd w:id="26"/>
    </w:p>
    <w:p w:rsidR="00337248" w:rsidRDefault="00337248" w:rsidP="00EB4B38">
      <w:pPr>
        <w:ind w:left="720"/>
      </w:pPr>
      <w:r>
        <w:t>The glomerular basement membrane (GBM) is a specialised basem</w:t>
      </w:r>
      <w:r w:rsidR="00081F3C">
        <w:t xml:space="preserve">ent membrane with </w:t>
      </w:r>
      <w:r>
        <w:t>heparan sulphate</w:t>
      </w:r>
      <w:r w:rsidR="001167B8">
        <w:t>,</w:t>
      </w:r>
      <w:r>
        <w:t xml:space="preserve"> proteoglycans, laminin, type IV collagen and nidogen as the components (Miner, 2012). These Components are synthesized by both the podocytes and endothelial cells. (John and Abrahamson, 2001). These cell layers both secrete ECM components into the extracellular space which makes the GBM thicker than other basement membrane. During the process of synthesis both the podocyte and endothelium fuse to form the GBM. Therefore the podocytes, endothelial cells, and the GBM are all interwoven and therefore any defect or alteration in the synthesis can result in altered structural integrity subsequently affecting the glomerular filtration barrier and its functions.</w:t>
      </w:r>
    </w:p>
    <w:p w:rsidR="00337248" w:rsidRPr="004D6986" w:rsidRDefault="00337248" w:rsidP="004D6986">
      <w:pPr>
        <w:ind w:left="720"/>
      </w:pPr>
      <w:r>
        <w:t>The GBM is between 250-400 nm thick, it serves as a filtration barrier and provides steadiness for the filtration exercise, with fenestration between the endothelial cells and filtration slits between the foot pr</w:t>
      </w:r>
      <w:r w:rsidR="0036601B">
        <w:t>ocesses of the podocytes (Fig</w:t>
      </w:r>
      <w:r>
        <w:t xml:space="preserve"> 1.4). The podocytes are specialized cells and are the visceral covering of the Bowman’s capsule as their foot projections envelop the glomerular capillaries. They constitute part of the glomerular filtration barrier and function in the maintenance of the barrier. Structural defects in the components of the GBM can lead to diseases such as Alport syndrome (genetic disease characterized with kidney disease, and defects in membranes found in the eye and ear leading to eye problems and hearing difficulty), familial benign heamaturia and Pierson syndrome (characterized with congenital nephrotic syndrome, ocular defect with small pupils).</w:t>
      </w:r>
      <w:r w:rsidR="004D6986">
        <w:t xml:space="preserve"> </w:t>
      </w:r>
    </w:p>
    <w:p w:rsidR="00337248" w:rsidRDefault="00337248" w:rsidP="00337248">
      <w:pPr>
        <w:rPr>
          <w:rFonts w:ascii="Times New Roman" w:eastAsia="Times New Roman" w:hAnsi="Times New Roman"/>
        </w:rPr>
      </w:pPr>
      <w:r>
        <w:rPr>
          <w:rFonts w:ascii="Times New Roman" w:eastAsia="Times New Roman" w:hAnsi="Times New Roman"/>
        </w:rPr>
        <w:lastRenderedPageBreak/>
        <w:t xml:space="preserve">                 </w:t>
      </w:r>
      <w:r>
        <w:rPr>
          <w:noProof/>
          <w:lang w:eastAsia="en-GB"/>
        </w:rPr>
        <w:drawing>
          <wp:inline distT="0" distB="0" distL="0" distR="0" wp14:anchorId="1AA120AE" wp14:editId="326F72C0">
            <wp:extent cx="3943350" cy="2581275"/>
            <wp:effectExtent l="0" t="0" r="0" b="9525"/>
            <wp:docPr id="77" name="image154.jpg" descr="C:\Users\UOS\Desktop\Fig 1.3.jpg"/>
            <wp:cNvGraphicFramePr/>
            <a:graphic xmlns:a="http://schemas.openxmlformats.org/drawingml/2006/main">
              <a:graphicData uri="http://schemas.openxmlformats.org/drawingml/2006/picture">
                <pic:pic xmlns:pic="http://schemas.openxmlformats.org/drawingml/2006/picture">
                  <pic:nvPicPr>
                    <pic:cNvPr id="0" name="image154.jpg" descr="C:\Users\UOS\Desktop\Fig 1.3.jpg"/>
                    <pic:cNvPicPr preferRelativeResize="0"/>
                  </pic:nvPicPr>
                  <pic:blipFill>
                    <a:blip r:embed="rId20"/>
                    <a:srcRect/>
                    <a:stretch>
                      <a:fillRect/>
                    </a:stretch>
                  </pic:blipFill>
                  <pic:spPr>
                    <a:xfrm>
                      <a:off x="0" y="0"/>
                      <a:ext cx="3943350" cy="2581275"/>
                    </a:xfrm>
                    <a:prstGeom prst="rect">
                      <a:avLst/>
                    </a:prstGeom>
                    <a:ln/>
                  </pic:spPr>
                </pic:pic>
              </a:graphicData>
            </a:graphic>
          </wp:inline>
        </w:drawing>
      </w:r>
    </w:p>
    <w:p w:rsidR="00437989" w:rsidRDefault="00337248" w:rsidP="00E53550">
      <w:pPr>
        <w:pStyle w:val="LegText"/>
        <w:ind w:left="720"/>
      </w:pPr>
      <w:bookmarkStart w:id="27" w:name="_Toc504640560"/>
      <w:r w:rsidRPr="00E53550">
        <w:rPr>
          <w:rStyle w:val="SubtitleChar"/>
        </w:rPr>
        <w:t xml:space="preserve">Figure 1.4 </w:t>
      </w:r>
      <w:r w:rsidR="00E53550" w:rsidRPr="00E53550">
        <w:rPr>
          <w:rStyle w:val="SubtitleChar"/>
        </w:rPr>
        <w:t>Filtration mechanism</w:t>
      </w:r>
      <w:bookmarkEnd w:id="27"/>
      <w:r w:rsidR="00E53550">
        <w:t xml:space="preserve">. </w:t>
      </w:r>
      <w:r>
        <w:t>The diagram shows the foot processes of the podocytes, fenestrae and the filtration slits.</w:t>
      </w:r>
    </w:p>
    <w:p w:rsidR="00081F3C" w:rsidRDefault="00437989" w:rsidP="00E53550">
      <w:pPr>
        <w:pStyle w:val="LegText"/>
        <w:ind w:left="720"/>
      </w:pPr>
      <w:r>
        <w:t>(</w:t>
      </w:r>
      <w:r w:rsidRPr="00437989">
        <w:t>https://courses.washington.edu/conj/bess/filtration/filtration-web3.png</w:t>
      </w:r>
      <w:r>
        <w:t>)</w:t>
      </w:r>
    </w:p>
    <w:p w:rsidR="00337248" w:rsidRDefault="00337248" w:rsidP="00081F3C">
      <w:pPr>
        <w:pStyle w:val="LegText"/>
      </w:pPr>
      <w:r>
        <w:t xml:space="preserve"> </w:t>
      </w:r>
    </w:p>
    <w:p w:rsidR="00337248" w:rsidRDefault="00337248" w:rsidP="00E53550">
      <w:pPr>
        <w:ind w:left="720"/>
      </w:pPr>
      <w:r>
        <w:t>The GBM acts as a filter with the slit diaphragms responsible for most of the glomerular permselectivity (Farquhar, 1975, Suh and Miner, 2013). The GBM is a size- and charge-selective permissive barrier (Farquhar et al., 1999) and therefore restricts molecules larger than albumin within the glomerular capillary loops preventing these molecules from crossing the GBM. Similarly, negatively charged molecules also have the least permissibility in crossing the GBM (Menzel and Moeller, 2011).</w:t>
      </w:r>
    </w:p>
    <w:p w:rsidR="00337248" w:rsidRDefault="00337248" w:rsidP="00E53550">
      <w:pPr>
        <w:ind w:left="720"/>
      </w:pPr>
      <w:r>
        <w:t>The glomerular endothelial cell glycocalyx is composed of proteoglycan core proteins, glycosaminoglycan (GAG) chains, and sialoglycoproteins (Singh et al., 2011). The glomerular endothelial cell glycocalyx lines the luminal surfaces of the glomerular vessels (Singh e</w:t>
      </w:r>
      <w:r w:rsidR="00386B35">
        <w:t>t al., 2007). The sulphated GAG</w:t>
      </w:r>
      <w:r>
        <w:t xml:space="preserve"> chains provide the negative charge for the endothelial surface layer which results to the regulation of permeability across and the membrane and thereby restricting the passage of molecules based on their charge (Kolářová et al., 2014). The glomerular endothelial cell glycocalyx plays a key role in the selective filtration action of the glomerular capillary wall where it acts as a barrier to the passage of alb</w:t>
      </w:r>
      <w:r w:rsidR="00081F3C">
        <w:t>umin across the membrane (Fig</w:t>
      </w:r>
      <w:r>
        <w:t xml:space="preserve"> 1.5). Destruction of the endothelial </w:t>
      </w:r>
      <w:r>
        <w:lastRenderedPageBreak/>
        <w:t>glycocalyx in the glomerulus alters the permeability of capillary beds, which c</w:t>
      </w:r>
      <w:r w:rsidR="00081F3C">
        <w:t>an result to albuminuria (Fig</w:t>
      </w:r>
      <w:r>
        <w:t xml:space="preserve"> 1.5) (Salmon and Satchell, 2012</w:t>
      </w:r>
      <w:r w:rsidR="00A40DE9">
        <w:t>). In early DN</w:t>
      </w:r>
      <w:r>
        <w:t xml:space="preserve">, damage to the endothelial glycocalyx manifested as early loss of charge selectivity and microalbuminuria (Deckert et al., 1993, Jeansson and Haraldsson, 2005). Several mechanisms have been suggested to be responsible for the hyperglycemia-induced glycocalyx degradation in pathological states and of interest to us is the altered heparan sulphate biosynthesis (Singh et al., 2011). With high glucose concentration there is alteration in the glycocalyx structure due to a marked decline in the synthesis of GAG subsequently leading to increased passage of albumin across the layer. Proteases like matrix metalloproteinases (MMPs) are stored in endothelium and are released and activated in inflammatory conditions such as diabetes. These activated proteases cleave the syndecans domain with the attached GAG resulting in the breaking of the glycocalyx (Lipowsky, 2011). </w:t>
      </w:r>
      <w:r w:rsidRPr="004D6986">
        <w:t xml:space="preserve">Another fascinating fact about the MMPs is their affinity to </w:t>
      </w:r>
      <w:r w:rsidR="0009558C" w:rsidRPr="004D6986">
        <w:t>heparan sulphate (</w:t>
      </w:r>
      <w:r w:rsidRPr="004D6986">
        <w:t>HS</w:t>
      </w:r>
      <w:r w:rsidR="0009558C" w:rsidRPr="004D6986">
        <w:t>)</w:t>
      </w:r>
      <w:r w:rsidRPr="004D6986">
        <w:t xml:space="preserve"> forming the HS-MMP complex on the glycocalyx which also damages the glycocalyx (Yu and Woessner, 2000). Finally MMPs can directly cleave HS and proteoglycan syndecan-1</w:t>
      </w:r>
      <w:r w:rsidR="0009558C" w:rsidRPr="004D6986">
        <w:t xml:space="preserve"> </w:t>
      </w:r>
      <w:r w:rsidRPr="004D6986">
        <w:t>(Endo et al., 2003).</w:t>
      </w:r>
    </w:p>
    <w:p w:rsidR="004D6986" w:rsidRDefault="004D6986" w:rsidP="00E53550">
      <w:pPr>
        <w:ind w:left="720"/>
      </w:pPr>
    </w:p>
    <w:p w:rsidR="005064F3" w:rsidRDefault="005064F3" w:rsidP="00E53550">
      <w:pPr>
        <w:ind w:left="720"/>
      </w:pPr>
    </w:p>
    <w:p w:rsidR="00337248" w:rsidRDefault="00337248" w:rsidP="00E53550">
      <w:pPr>
        <w:spacing w:after="280"/>
        <w:ind w:left="120" w:firstLine="600"/>
        <w:rPr>
          <w:rFonts w:ascii="Times New Roman" w:eastAsia="Times New Roman" w:hAnsi="Times New Roman"/>
        </w:rPr>
      </w:pPr>
      <w:r>
        <w:rPr>
          <w:noProof/>
          <w:lang w:eastAsia="en-GB"/>
        </w:rPr>
        <w:lastRenderedPageBreak/>
        <w:drawing>
          <wp:inline distT="0" distB="0" distL="0" distR="0" wp14:anchorId="78920AC9" wp14:editId="15B4B576">
            <wp:extent cx="3587168" cy="2851949"/>
            <wp:effectExtent l="0" t="0" r="0" b="0"/>
            <wp:docPr id="76" name="image152.jpg" descr="http://ars.els-cdn.com/content/image/1-s2.0-S0085253815556767-gr1.jpg"/>
            <wp:cNvGraphicFramePr/>
            <a:graphic xmlns:a="http://schemas.openxmlformats.org/drawingml/2006/main">
              <a:graphicData uri="http://schemas.openxmlformats.org/drawingml/2006/picture">
                <pic:pic xmlns:pic="http://schemas.openxmlformats.org/drawingml/2006/picture">
                  <pic:nvPicPr>
                    <pic:cNvPr id="0" name="image152.jpg" descr="http://ars.els-cdn.com/content/image/1-s2.0-S0085253815556767-gr1.jpg"/>
                    <pic:cNvPicPr preferRelativeResize="0"/>
                  </pic:nvPicPr>
                  <pic:blipFill>
                    <a:blip r:embed="rId21"/>
                    <a:srcRect/>
                    <a:stretch>
                      <a:fillRect/>
                    </a:stretch>
                  </pic:blipFill>
                  <pic:spPr>
                    <a:xfrm>
                      <a:off x="0" y="0"/>
                      <a:ext cx="3587168" cy="2851949"/>
                    </a:xfrm>
                    <a:prstGeom prst="rect">
                      <a:avLst/>
                    </a:prstGeom>
                    <a:ln/>
                  </pic:spPr>
                </pic:pic>
              </a:graphicData>
            </a:graphic>
          </wp:inline>
        </w:drawing>
      </w:r>
    </w:p>
    <w:p w:rsidR="00306F6F" w:rsidRDefault="00337248" w:rsidP="00306F6F">
      <w:pPr>
        <w:pStyle w:val="LegText"/>
        <w:ind w:left="720"/>
      </w:pPr>
      <w:bookmarkStart w:id="28" w:name="_Toc504640561"/>
      <w:r w:rsidRPr="00E53550">
        <w:rPr>
          <w:rStyle w:val="SubtitleChar"/>
        </w:rPr>
        <w:t xml:space="preserve">Figure 1.5. </w:t>
      </w:r>
      <w:r w:rsidR="0036601B" w:rsidRPr="00E53550">
        <w:rPr>
          <w:rStyle w:val="SubtitleChar"/>
        </w:rPr>
        <w:t>Glomerular endothelium</w:t>
      </w:r>
      <w:bookmarkEnd w:id="28"/>
      <w:r w:rsidR="00E53550">
        <w:t xml:space="preserve">. </w:t>
      </w:r>
      <w:r>
        <w:t xml:space="preserve">The </w:t>
      </w:r>
      <w:r w:rsidR="0036601B">
        <w:t>“</w:t>
      </w:r>
      <w:r>
        <w:t>a</w:t>
      </w:r>
      <w:r w:rsidR="0036601B">
        <w:t>”</w:t>
      </w:r>
      <w:r>
        <w:t xml:space="preserve"> part shows intact glycocalyx, fenestrated endothelium, and intact slit diaphragms. The </w:t>
      </w:r>
      <w:r w:rsidR="0036601B">
        <w:t>“</w:t>
      </w:r>
      <w:r>
        <w:t>b</w:t>
      </w:r>
      <w:r w:rsidR="0036601B">
        <w:t>”</w:t>
      </w:r>
      <w:r>
        <w:t xml:space="preserve"> part shows reduced glycocalyx, thickened glomerular basement membrane and widened foot processes. </w:t>
      </w:r>
      <w:r w:rsidR="00387B4B">
        <w:t>(with permission from copyright clearance centre)</w:t>
      </w:r>
    </w:p>
    <w:p w:rsidR="00337248" w:rsidRDefault="00306F6F" w:rsidP="00306F6F">
      <w:pPr>
        <w:pStyle w:val="LegText"/>
        <w:ind w:left="720"/>
      </w:pPr>
      <w:bookmarkStart w:id="29" w:name="_Toc504638831"/>
      <w:bookmarkStart w:id="30" w:name="_Toc504640562"/>
      <w:r>
        <w:rPr>
          <w:rStyle w:val="SubtitleChar"/>
        </w:rPr>
        <w:t>(</w:t>
      </w:r>
      <w:bookmarkEnd w:id="29"/>
      <w:bookmarkEnd w:id="30"/>
      <w:r w:rsidRPr="00306F6F">
        <w:t>http://www.kidney-international.org/cms/attachment/2043441967/2056058632/gr1.jpg</w:t>
      </w:r>
      <w:r>
        <w:t>)</w:t>
      </w:r>
      <w:r w:rsidR="00337248">
        <w:t xml:space="preserve">  </w:t>
      </w:r>
    </w:p>
    <w:p w:rsidR="0036601B" w:rsidRDefault="0036601B" w:rsidP="0036601B">
      <w:pPr>
        <w:pStyle w:val="LegText"/>
      </w:pPr>
    </w:p>
    <w:p w:rsidR="00337248" w:rsidRDefault="00D37FAB" w:rsidP="00E53550">
      <w:pPr>
        <w:pStyle w:val="Heading4"/>
        <w:ind w:firstLine="720"/>
      </w:pPr>
      <w:bookmarkStart w:id="31" w:name="_Toc506232296"/>
      <w:r>
        <w:t>1.3</w:t>
      </w:r>
      <w:r w:rsidR="00337248">
        <w:t>.9 The Bowman’s capsule.</w:t>
      </w:r>
      <w:bookmarkEnd w:id="31"/>
      <w:r w:rsidR="00337248">
        <w:t xml:space="preserve"> </w:t>
      </w:r>
    </w:p>
    <w:p w:rsidR="00337248" w:rsidRDefault="00337248" w:rsidP="00E53550">
      <w:pPr>
        <w:ind w:left="720"/>
        <w:rPr>
          <w:color w:val="FF0000"/>
        </w:rPr>
      </w:pPr>
      <w:r>
        <w:t>The Bowman’s capsule covers the glomerulus with a layer of epithelium, this epithelium is flat and covers the glomerular capillaries with the podocytes. The Bowman’s capsule performs the initial step of outward filtration in the process of making urine.</w:t>
      </w:r>
    </w:p>
    <w:p w:rsidR="00337248" w:rsidRDefault="00D37FAB" w:rsidP="00E53550">
      <w:pPr>
        <w:pStyle w:val="Heading4"/>
        <w:ind w:firstLine="720"/>
      </w:pPr>
      <w:bookmarkStart w:id="32" w:name="_Toc506232297"/>
      <w:r>
        <w:t>1.3</w:t>
      </w:r>
      <w:r w:rsidR="00337248">
        <w:t>.10 Glomerular endothelial cells</w:t>
      </w:r>
      <w:bookmarkEnd w:id="32"/>
    </w:p>
    <w:p w:rsidR="00337248" w:rsidRDefault="00337248" w:rsidP="00E53550">
      <w:pPr>
        <w:ind w:left="720"/>
      </w:pPr>
      <w:r>
        <w:t>The glomerular endothelial cells are also flat and they have regular pores with a diameter ranging between 50-100 nm.</w:t>
      </w:r>
    </w:p>
    <w:p w:rsidR="00337248" w:rsidRDefault="00D37FAB" w:rsidP="00E53550">
      <w:pPr>
        <w:pStyle w:val="Heading4"/>
        <w:ind w:firstLine="720"/>
      </w:pPr>
      <w:bookmarkStart w:id="33" w:name="_Toc506232298"/>
      <w:r>
        <w:t>1.3</w:t>
      </w:r>
      <w:r w:rsidR="00337248">
        <w:t>.11 Renal glomerular mesangium (RGM)</w:t>
      </w:r>
      <w:bookmarkEnd w:id="33"/>
    </w:p>
    <w:p w:rsidR="00337248" w:rsidRDefault="00337248" w:rsidP="00E53550">
      <w:pPr>
        <w:ind w:left="720"/>
        <w:rPr>
          <w:color w:val="FF0000"/>
        </w:rPr>
      </w:pPr>
      <w:r>
        <w:t xml:space="preserve">The RGM is made of cells and a matrix, it is located between the glomerular capillaries and the extraglomerular space. The RGM functions as a contractile membrane with microfilaments. Its contractions regulate and sustain the glomerular filtration pressure. </w:t>
      </w:r>
    </w:p>
    <w:p w:rsidR="00337248" w:rsidRDefault="00D37FAB" w:rsidP="000C7F72">
      <w:pPr>
        <w:pStyle w:val="Heading3"/>
        <w:ind w:firstLine="720"/>
      </w:pPr>
      <w:bookmarkStart w:id="34" w:name="_Toc506232299"/>
      <w:r>
        <w:lastRenderedPageBreak/>
        <w:t>1.4</w:t>
      </w:r>
      <w:r w:rsidR="00337248">
        <w:t xml:space="preserve"> Investigations in chronic kidney disease</w:t>
      </w:r>
      <w:bookmarkEnd w:id="34"/>
      <w:r w:rsidR="00337248">
        <w:t xml:space="preserve"> </w:t>
      </w:r>
    </w:p>
    <w:p w:rsidR="00337248" w:rsidRDefault="00337248" w:rsidP="00235C59">
      <w:pPr>
        <w:ind w:left="720"/>
      </w:pPr>
      <w:r>
        <w:t xml:space="preserve">In order to make a diagnosis, treat and offer prognosis, there is a spectrum of laboratory investigations. </w:t>
      </w:r>
    </w:p>
    <w:p w:rsidR="00337248" w:rsidRDefault="00337248" w:rsidP="00235C59">
      <w:pPr>
        <w:ind w:left="720"/>
      </w:pPr>
      <w:r>
        <w:rPr>
          <w:color w:val="000000"/>
        </w:rPr>
        <w:t xml:space="preserve">Urine examination. This involves macroscopic appearance of urine, microscopic examination and dip stick testing which include pH, glucose, specific gravity, nitrite, protein, blood and leucocytes.  </w:t>
      </w:r>
    </w:p>
    <w:p w:rsidR="00337248" w:rsidRDefault="00337248" w:rsidP="00235C59">
      <w:pPr>
        <w:ind w:left="720"/>
      </w:pPr>
      <w:r>
        <w:rPr>
          <w:color w:val="000000"/>
        </w:rPr>
        <w:t>Protein estimation. This is used to monitor progression of kidney disease to end stage renal disease, and can be done by 24-hr protein estimation in urine. However, collection and assessment of 24-hour urine protein may be cumbersome and unrewarding therefore this can be replaced by albumin:creatinine ratio in urine. A study has reported that urine albumin is more robust than total urine protein measurement in assessing glomerular protein (Ballantyne et al., 1</w:t>
      </w:r>
      <w:r w:rsidR="00A30161">
        <w:rPr>
          <w:color w:val="000000"/>
        </w:rPr>
        <w:t xml:space="preserve">993). There is another thought </w:t>
      </w:r>
      <w:r>
        <w:rPr>
          <w:color w:val="000000"/>
        </w:rPr>
        <w:t>that screening for urinary albumin will miss out on tubular proteins (Lamb et al., 2009). We however investigated both urinary p</w:t>
      </w:r>
      <w:r w:rsidR="00BA4E6D">
        <w:rPr>
          <w:color w:val="000000"/>
        </w:rPr>
        <w:t>rotein and albumin (Sections 2.4.5 and 2.4.3</w:t>
      </w:r>
      <w:r>
        <w:rPr>
          <w:color w:val="000000"/>
        </w:rPr>
        <w:t xml:space="preserve">). </w:t>
      </w:r>
    </w:p>
    <w:p w:rsidR="005532D2" w:rsidRDefault="00337248" w:rsidP="00FE5FEC">
      <w:pPr>
        <w:ind w:left="720"/>
        <w:rPr>
          <w:color w:val="000000"/>
        </w:rPr>
      </w:pPr>
      <w:r>
        <w:rPr>
          <w:color w:val="000000"/>
        </w:rPr>
        <w:t xml:space="preserve">Glomerular filtration rate. GFR helps in detecting renal impairment and also in the monitoring of patients who have suffered renal impairment or are at risk of suffering renal disease. Plasma creatinine measurement remains a standard laboratory investigation used to measure renal function. It is used in the estimation of GFR (eGFR). However its use depends on the knowledge of the patients’ age, sex and ethnicity as these parameters are important in the calculation of eGFR and the interpretation of the results. Unfortunately this estimation still suffers some limitation as it has not been validated for some parameters such as muscle wasting disorders, oedematous states and extremes of age. </w:t>
      </w:r>
    </w:p>
    <w:p w:rsidR="00185605" w:rsidRDefault="005532D2" w:rsidP="004709E6">
      <w:pPr>
        <w:ind w:left="720"/>
        <w:rPr>
          <w:rFonts w:cs="Arial"/>
        </w:rPr>
      </w:pPr>
      <w:r>
        <w:rPr>
          <w:color w:val="000000"/>
        </w:rPr>
        <w:t>Another method used to measure the func</w:t>
      </w:r>
      <w:r w:rsidR="00185605">
        <w:rPr>
          <w:color w:val="000000"/>
        </w:rPr>
        <w:t>tionality of the kidney i</w:t>
      </w:r>
      <w:r>
        <w:rPr>
          <w:color w:val="000000"/>
        </w:rPr>
        <w:t>s to measure</w:t>
      </w:r>
      <w:r w:rsidR="00A3328C">
        <w:rPr>
          <w:color w:val="000000"/>
        </w:rPr>
        <w:t xml:space="preserve"> blood urea nitrogen</w:t>
      </w:r>
      <w:r w:rsidR="00783F60">
        <w:rPr>
          <w:color w:val="000000"/>
        </w:rPr>
        <w:t xml:space="preserve"> (BUN)</w:t>
      </w:r>
      <w:r w:rsidR="00A3328C">
        <w:rPr>
          <w:color w:val="000000"/>
        </w:rPr>
        <w:t>. T</w:t>
      </w:r>
      <w:r w:rsidR="00783F60">
        <w:rPr>
          <w:color w:val="000000"/>
        </w:rPr>
        <w:t>his involves the measurement of</w:t>
      </w:r>
      <w:r w:rsidR="00A3328C">
        <w:rPr>
          <w:color w:val="000000"/>
        </w:rPr>
        <w:t xml:space="preserve"> the nitrogen component of </w:t>
      </w:r>
      <w:r>
        <w:rPr>
          <w:color w:val="000000"/>
        </w:rPr>
        <w:t xml:space="preserve">urea which is </w:t>
      </w:r>
      <w:r w:rsidR="00185605">
        <w:rPr>
          <w:color w:val="000000"/>
        </w:rPr>
        <w:t xml:space="preserve">the </w:t>
      </w:r>
      <w:r>
        <w:rPr>
          <w:color w:val="000000"/>
        </w:rPr>
        <w:t>by-product of protein catabolism.</w:t>
      </w:r>
      <w:r w:rsidR="00A3328C">
        <w:rPr>
          <w:color w:val="000000"/>
        </w:rPr>
        <w:t xml:space="preserve"> Urea is synthesised</w:t>
      </w:r>
      <w:r w:rsidR="00783F60">
        <w:rPr>
          <w:color w:val="000000"/>
        </w:rPr>
        <w:t xml:space="preserve"> by the liver and</w:t>
      </w:r>
      <w:r w:rsidR="00A3328C">
        <w:rPr>
          <w:color w:val="000000"/>
        </w:rPr>
        <w:t xml:space="preserve"> excreted by the </w:t>
      </w:r>
      <w:r w:rsidR="00A3328C">
        <w:rPr>
          <w:color w:val="000000"/>
        </w:rPr>
        <w:lastRenderedPageBreak/>
        <w:t>kidneys</w:t>
      </w:r>
      <w:r w:rsidR="005D33BD">
        <w:rPr>
          <w:color w:val="000000"/>
        </w:rPr>
        <w:t>.</w:t>
      </w:r>
      <w:r w:rsidR="00783F60">
        <w:rPr>
          <w:color w:val="000000"/>
        </w:rPr>
        <w:t xml:space="preserve"> </w:t>
      </w:r>
      <w:r w:rsidR="005D33BD">
        <w:rPr>
          <w:color w:val="000000"/>
        </w:rPr>
        <w:t>T</w:t>
      </w:r>
      <w:r w:rsidR="00783F60">
        <w:rPr>
          <w:color w:val="000000"/>
        </w:rPr>
        <w:t>his forms the bases for its use for assessing the excretory function of the kidney</w:t>
      </w:r>
      <w:r w:rsidR="00A3328C">
        <w:rPr>
          <w:color w:val="000000"/>
        </w:rPr>
        <w:t>.</w:t>
      </w:r>
      <w:r w:rsidR="0036119F">
        <w:rPr>
          <w:color w:val="000000"/>
        </w:rPr>
        <w:t xml:space="preserve"> BUN </w:t>
      </w:r>
      <w:r w:rsidR="005D33BD">
        <w:rPr>
          <w:color w:val="000000"/>
        </w:rPr>
        <w:t xml:space="preserve">has been </w:t>
      </w:r>
      <w:r w:rsidR="0036119F">
        <w:rPr>
          <w:color w:val="000000"/>
        </w:rPr>
        <w:t xml:space="preserve">reported as an early marker of kidney </w:t>
      </w:r>
      <w:r w:rsidR="0036119F" w:rsidRPr="00783F60">
        <w:rPr>
          <w:rFonts w:cs="Arial"/>
          <w:color w:val="000000"/>
        </w:rPr>
        <w:t>disease</w:t>
      </w:r>
      <w:r w:rsidR="00783F60" w:rsidRPr="00783F60">
        <w:rPr>
          <w:rFonts w:cs="Arial"/>
          <w:color w:val="000000"/>
        </w:rPr>
        <w:t xml:space="preserve"> </w:t>
      </w:r>
      <w:r w:rsidR="004709E6" w:rsidRPr="00783F60">
        <w:rPr>
          <w:rFonts w:cs="Arial"/>
        </w:rPr>
        <w:fldChar w:fldCharType="begin"/>
      </w:r>
      <w:r w:rsidR="004709E6" w:rsidRPr="00783F60">
        <w:rPr>
          <w:rFonts w:cs="Arial"/>
        </w:rPr>
        <w:instrText xml:space="preserve"> ADDIN EN.CITE &lt;EndNote&gt;&lt;Cite&gt;&lt;Author&gt;Yale&lt;/Author&gt;&lt;Year&gt;2013&lt;/Year&gt;&lt;IDText&gt;Efficacy and safety of canagliflozin in subjects with type 2 diabetes and chronic kidney disease&lt;/IDText&gt;&lt;DisplayText&gt;(Yale et al., 2013)&lt;/DisplayText&gt;&lt;record&gt;&lt;isbn&gt;1463-1326&lt;/isbn&gt;&lt;titles&gt;&lt;title&gt;Efficacy and safety of canagliflozin in subjects with type 2 diabetes and chronic kidney disease&lt;/title&gt;&lt;secondary-title&gt;Diabetes, Obesity and Metabolism&lt;/secondary-title&gt;&lt;/titles&gt;&lt;pages&gt;463-473&lt;/pages&gt;&lt;number&gt;5&lt;/number&gt;&lt;contributors&gt;&lt;authors&gt;&lt;author&gt;Yale, J</w:instrText>
      </w:r>
      <w:r w:rsidR="004709E6" w:rsidRPr="00783F60">
        <w:rPr>
          <w:rFonts w:ascii="Cambria Math" w:hAnsi="Cambria Math" w:cs="Cambria Math"/>
        </w:rPr>
        <w:instrText>‐</w:instrText>
      </w:r>
      <w:r w:rsidR="004709E6" w:rsidRPr="00783F60">
        <w:rPr>
          <w:rFonts w:cs="Arial"/>
        </w:rPr>
        <w:instrText>F&lt;/author&gt;&lt;author&gt;Bakris, George&lt;/author&gt;&lt;author&gt;Cariou, Bertrand&lt;/author&gt;&lt;author&gt;Yue, Dennis&lt;/author&gt;&lt;author&gt;David</w:instrText>
      </w:r>
      <w:r w:rsidR="004709E6" w:rsidRPr="00783F60">
        <w:rPr>
          <w:rFonts w:ascii="Cambria Math" w:hAnsi="Cambria Math" w:cs="Cambria Math"/>
        </w:rPr>
        <w:instrText>‐</w:instrText>
      </w:r>
      <w:r w:rsidR="004709E6" w:rsidRPr="00783F60">
        <w:rPr>
          <w:rFonts w:cs="Arial"/>
        </w:rPr>
        <w:instrText>Neto, Elias&lt;/author&gt;&lt;author&gt;Xi, Liwen&lt;/author&gt;&lt;author&gt;Figueroa, Katherine&lt;/author&gt;&lt;author&gt;Wajs, Ewa&lt;/author&gt;&lt;author&gt;Usiskin, Keith&lt;/author&gt;&lt;author&gt;Meininger, Gary&lt;/author&gt;&lt;/authors&gt;&lt;/contributors&gt;&lt;added-date format="utc"&gt;1503876988&lt;/added-date&gt;&lt;ref-type name="Journal Article"&gt;17&lt;/ref-type&gt;&lt;dates&gt;&lt;year&gt;2013&lt;/year&gt;&lt;/dates&gt;&lt;rec-number&gt;1953&lt;/rec-number&gt;&lt;last-updated-date format="utc"&gt;1503876988&lt;/last-updated-date&gt;&lt;volume&gt;15&lt;/volume&gt;&lt;/record&gt;&lt;/Cite&gt;&lt;/EndNote&gt;</w:instrText>
      </w:r>
      <w:r w:rsidR="004709E6" w:rsidRPr="00783F60">
        <w:rPr>
          <w:rFonts w:cs="Arial"/>
        </w:rPr>
        <w:fldChar w:fldCharType="separate"/>
      </w:r>
      <w:r w:rsidR="004709E6" w:rsidRPr="00783F60">
        <w:rPr>
          <w:rFonts w:cs="Arial"/>
          <w:noProof/>
        </w:rPr>
        <w:t>(Yale et al., 2013)</w:t>
      </w:r>
      <w:r w:rsidR="004709E6" w:rsidRPr="00783F60">
        <w:rPr>
          <w:rFonts w:cs="Arial"/>
        </w:rPr>
        <w:fldChar w:fldCharType="end"/>
      </w:r>
      <w:r w:rsidR="005D33BD">
        <w:rPr>
          <w:rFonts w:cs="Arial"/>
        </w:rPr>
        <w:t>.</w:t>
      </w:r>
      <w:r w:rsidR="004709E6" w:rsidRPr="004709E6">
        <w:rPr>
          <w:rFonts w:cs="Arial"/>
        </w:rPr>
        <w:t xml:space="preserve"> </w:t>
      </w:r>
    </w:p>
    <w:p w:rsidR="00337248" w:rsidRPr="004709E6" w:rsidRDefault="005D33BD" w:rsidP="004709E6">
      <w:pPr>
        <w:ind w:left="720"/>
        <w:rPr>
          <w:rFonts w:ascii="Times New Roman" w:hAnsi="Times New Roman"/>
        </w:rPr>
      </w:pPr>
      <w:r>
        <w:rPr>
          <w:rFonts w:cs="Arial"/>
        </w:rPr>
        <w:t>The measurement and accuracy of these parameters</w:t>
      </w:r>
      <w:r w:rsidR="00337248">
        <w:rPr>
          <w:color w:val="000000"/>
        </w:rPr>
        <w:t xml:space="preserve"> in rats has posed some challenges but a study has developed a formula for its calculation (Pestel et al., 2007): </w:t>
      </w:r>
    </w:p>
    <w:p w:rsidR="00337248" w:rsidRDefault="00337248" w:rsidP="00FE5FEC">
      <w:pPr>
        <w:ind w:firstLine="720"/>
      </w:pPr>
      <w:r>
        <w:rPr>
          <w:color w:val="000000"/>
        </w:rPr>
        <w:t>GFR = mean of (creatinine clearance</w:t>
      </w:r>
      <w:r w:rsidR="005064F3">
        <w:rPr>
          <w:color w:val="000000"/>
        </w:rPr>
        <w:t xml:space="preserve"> X</w:t>
      </w:r>
      <w:r>
        <w:rPr>
          <w:color w:val="000000"/>
        </w:rPr>
        <w:t xml:space="preserve"> BUN clearance) where </w:t>
      </w:r>
    </w:p>
    <w:p w:rsidR="00337248" w:rsidRPr="006B1F2C" w:rsidRDefault="006B1F2C" w:rsidP="006B1F2C">
      <w:pPr>
        <w:ind w:left="720"/>
        <w:rPr>
          <w:b/>
        </w:rPr>
      </w:pPr>
      <w:r>
        <w:t xml:space="preserve">Creatinine clearance = </w:t>
      </w:r>
      <w:r w:rsidR="00337248">
        <w:t>1000 * urine volume * concentration of creatinine in urine</w:t>
      </w:r>
      <w:r>
        <w:t xml:space="preserve"> </w:t>
      </w:r>
      <w:r w:rsidR="00337248" w:rsidRPr="006B1F2C">
        <w:rPr>
          <w:b/>
        </w:rPr>
        <w:t>/</w:t>
      </w:r>
      <w:r>
        <w:rPr>
          <w:b/>
        </w:rPr>
        <w:t xml:space="preserve"> </w:t>
      </w:r>
      <w:r w:rsidR="00337248">
        <w:t>concentration of creatinine in serum</w:t>
      </w:r>
    </w:p>
    <w:p w:rsidR="00337248" w:rsidRDefault="00337248" w:rsidP="00D1093F">
      <w:r>
        <w:t xml:space="preserve"> </w:t>
      </w:r>
      <w:r w:rsidR="006B1F2C">
        <w:tab/>
      </w:r>
      <w:r>
        <w:t xml:space="preserve">and </w:t>
      </w:r>
    </w:p>
    <w:p w:rsidR="00337248" w:rsidRDefault="006B1F2C" w:rsidP="006B1F2C">
      <w:pPr>
        <w:ind w:firstLine="720"/>
      </w:pPr>
      <w:r>
        <w:t xml:space="preserve">BUN </w:t>
      </w:r>
      <w:r w:rsidR="00337248">
        <w:t xml:space="preserve">clearance = urine volume * concentration of BUN in urine                                                                                                        .                                                      </w:t>
      </w:r>
      <w:r w:rsidRPr="006B1F2C">
        <w:rPr>
          <w:b/>
        </w:rPr>
        <w:t>/</w:t>
      </w:r>
      <w:r w:rsidR="00337248">
        <w:t>concentration of BUN in serum</w:t>
      </w:r>
    </w:p>
    <w:p w:rsidR="00337248" w:rsidRDefault="00337248" w:rsidP="00FE5FEC">
      <w:pPr>
        <w:ind w:left="720"/>
      </w:pPr>
      <w:r>
        <w:t>The above formula (GFR) is cumbersome and creates gaps for errors as it is a multi-steps process which involves calculating serum creatinine, serum BUN, urine creatinine and urine BUN. Therefore, to keep the process simple we decided to use c</w:t>
      </w:r>
      <w:r w:rsidR="00BA4E6D">
        <w:t>reatinine clearance (Section 2.4</w:t>
      </w:r>
      <w:r>
        <w:t xml:space="preserve">.7) as the estimation of creatinine clearance in 24-hour urine is a useful test when GFR is practically </w:t>
      </w:r>
      <w:r w:rsidR="005D33BD">
        <w:t xml:space="preserve">difficult or its result </w:t>
      </w:r>
      <w:r>
        <w:t xml:space="preserve">doubtful (http://oxfordmedicine.com/view/10.1093/med/9780199204854.001.1/med-9780199204854-chapter-2104).  </w:t>
      </w:r>
    </w:p>
    <w:p w:rsidR="00337248" w:rsidRPr="00114ED1" w:rsidRDefault="00337248" w:rsidP="00114ED1">
      <w:pPr>
        <w:ind w:left="720"/>
        <w:rPr>
          <w:rFonts w:cs="Arial"/>
        </w:rPr>
      </w:pPr>
      <w:r>
        <w:rPr>
          <w:color w:val="000000"/>
        </w:rPr>
        <w:t>Renal biopsy. Its importance is valuable where clinical information and laboratory investigation has been inconclusive. Unfortunately it has the potential of increased morbidity and mortality</w:t>
      </w:r>
      <w:r w:rsidR="00114ED1">
        <w:rPr>
          <w:color w:val="000000"/>
        </w:rPr>
        <w:t xml:space="preserve"> in the presence of co-morbidity </w:t>
      </w:r>
      <w:r w:rsidR="00114ED1" w:rsidRPr="00114ED1">
        <w:rPr>
          <w:rFonts w:cs="Arial"/>
        </w:rPr>
        <w:fldChar w:fldCharType="begin"/>
      </w:r>
      <w:r w:rsidR="00114ED1" w:rsidRPr="00114ED1">
        <w:rPr>
          <w:rFonts w:cs="Arial"/>
        </w:rPr>
        <w:instrText xml:space="preserve"> ADDIN EN.CITE &lt;EndNote&gt;&lt;Cite&gt;&lt;Author&gt;Chen&lt;/Author&gt;&lt;Year&gt;2012&lt;/Year&gt;&lt;IDText&gt;Predictors of kidney biopsy complication among patients with systemic lupus erythematosus&lt;/IDText&gt;&lt;DisplayText&gt;(Chen et al., 2012)&lt;/DisplayText&gt;&lt;record&gt;&lt;isbn&gt;0961-2033&lt;/isbn&gt;&lt;titles&gt;&lt;title&gt;Predictors of kidney biopsy complication among patients with systemic lupus erythematosus&lt;/title&gt;&lt;secondary-title&gt;Lupus&lt;/secondary-title&gt;&lt;/titles&gt;&lt;pages&gt;848-854&lt;/pages&gt;&lt;number&gt;8&lt;/number&gt;&lt;contributors&gt;&lt;authors&gt;&lt;author&gt;Chen, TK&lt;/author&gt;&lt;author&gt;Estrella, MM&lt;/author&gt;&lt;author&gt;Fine, DM&lt;/author&gt;&lt;/authors&gt;&lt;/contributors&gt;&lt;added-date format="utc"&gt;1503878593&lt;/added-date&gt;&lt;ref-type name="Journal Article"&gt;17&lt;/ref-type&gt;&lt;dates&gt;&lt;year&gt;2012&lt;/year&gt;&lt;/dates&gt;&lt;rec-number&gt;1954&lt;/rec-number&gt;&lt;last-updated-date format="utc"&gt;1503878593&lt;/last-updated-date&gt;&lt;volume&gt;21&lt;/volume&gt;&lt;/record&gt;&lt;/Cite&gt;&lt;/EndNote&gt;</w:instrText>
      </w:r>
      <w:r w:rsidR="00114ED1" w:rsidRPr="00114ED1">
        <w:rPr>
          <w:rFonts w:cs="Arial"/>
        </w:rPr>
        <w:fldChar w:fldCharType="separate"/>
      </w:r>
      <w:r w:rsidR="00114ED1" w:rsidRPr="00114ED1">
        <w:rPr>
          <w:rFonts w:cs="Arial"/>
          <w:noProof/>
        </w:rPr>
        <w:t>(Chen et al., 2012)</w:t>
      </w:r>
      <w:r w:rsidR="00114ED1" w:rsidRPr="00114ED1">
        <w:rPr>
          <w:rFonts w:cs="Arial"/>
        </w:rPr>
        <w:fldChar w:fldCharType="end"/>
      </w:r>
      <w:r w:rsidR="00114ED1">
        <w:rPr>
          <w:rFonts w:cs="Arial"/>
        </w:rPr>
        <w:t>.</w:t>
      </w:r>
      <w:r w:rsidR="00114ED1" w:rsidRPr="00114ED1">
        <w:rPr>
          <w:rFonts w:cs="Arial"/>
        </w:rPr>
        <w:t xml:space="preserve">  </w:t>
      </w:r>
      <w:r>
        <w:rPr>
          <w:color w:val="000000"/>
        </w:rPr>
        <w:t xml:space="preserve"> </w:t>
      </w:r>
    </w:p>
    <w:p w:rsidR="00337248" w:rsidRDefault="00337248" w:rsidP="00FE5FEC">
      <w:pPr>
        <w:ind w:left="720"/>
      </w:pPr>
      <w:bookmarkStart w:id="35" w:name="_30j0zll" w:colFirst="0" w:colLast="0"/>
      <w:bookmarkEnd w:id="35"/>
      <w:r>
        <w:rPr>
          <w:color w:val="000000"/>
        </w:rPr>
        <w:t>Renal imaging. This includes non-invasive techniques such as ultrasonography, CT scanning, MRI, nuclear medicine scanning and fluorodeoxyglucose</w:t>
      </w:r>
      <w:r>
        <w:rPr>
          <w:color w:val="FF0000"/>
        </w:rPr>
        <w:t xml:space="preserve"> </w:t>
      </w:r>
      <w:r>
        <w:rPr>
          <w:color w:val="000000"/>
        </w:rPr>
        <w:t>positron emission</w:t>
      </w:r>
      <w:r>
        <w:rPr>
          <w:rFonts w:ascii="Calibri" w:eastAsia="Calibri" w:hAnsi="Calibri" w:cs="Calibri"/>
          <w:color w:val="000000"/>
          <w:sz w:val="20"/>
          <w:szCs w:val="20"/>
        </w:rPr>
        <w:t xml:space="preserve"> </w:t>
      </w:r>
      <w:r>
        <w:rPr>
          <w:color w:val="000000"/>
        </w:rPr>
        <w:t>tomography (FDG-PET) scanning</w:t>
      </w:r>
      <w:r w:rsidR="00114ED1">
        <w:rPr>
          <w:color w:val="000000"/>
        </w:rPr>
        <w:t xml:space="preserve"> </w:t>
      </w:r>
      <w:r w:rsidR="00114ED1">
        <w:rPr>
          <w:rFonts w:cs="Arial"/>
        </w:rPr>
        <w:fldChar w:fldCharType="begin"/>
      </w:r>
      <w:r w:rsidR="00114ED1">
        <w:rPr>
          <w:rFonts w:cs="Arial"/>
        </w:rPr>
        <w:instrText xml:space="preserve"> ADDIN EN.CITE &lt;EndNote&gt;&lt;Cite&gt;&lt;Author&gt;Toriihara&lt;/Author&gt;&lt;Year&gt;2015&lt;/Year&gt;&lt;IDText&gt;Comparison of FDG-PET/CT images between chronic renal failure patients on hemodialysis and controls&lt;/IDText&gt;&lt;DisplayText&gt;(Toriihara et al., 2015)&lt;/DisplayText&gt;&lt;record&gt;&lt;titles&gt;&lt;title&gt;Comparison of FDG-PET/CT images between chronic renal failure patients on hemodialysis and controls&lt;/title&gt;&lt;secondary-title&gt;American journal of nuclear medicine and molecular imaging&lt;/secondary-title&gt;&lt;/titles&gt;&lt;pages&gt;204&lt;/pages&gt;&lt;number&gt;2&lt;/number&gt;&lt;contributors&gt;&lt;authors&gt;&lt;author&gt;Toriihara, Akira&lt;/author&gt;&lt;author&gt;Kitazume, Yoshio&lt;/author&gt;&lt;author&gt;Nishida, Hidenori&lt;/author&gt;&lt;author&gt;Kubota, Kazunori&lt;/author&gt;&lt;author&gt;Nakadate, Masashi&lt;/author&gt;&lt;author&gt;Tateishi, Ukihide&lt;/author&gt;&lt;/authors&gt;&lt;/contributors&gt;&lt;added-date format="utc"&gt;1503879123&lt;/added-date&gt;&lt;ref-type name="Journal Article"&gt;17&lt;/ref-type&gt;&lt;dates&gt;&lt;year&gt;2015&lt;/year&gt;&lt;/dates&gt;&lt;rec-number&gt;1955&lt;/rec-number&gt;&lt;last-updated-date format="utc"&gt;1503879123&lt;/last-updated-date&gt;&lt;volume&gt;5&lt;/volume&gt;&lt;/record&gt;&lt;/Cite&gt;&lt;/EndNote&gt;</w:instrText>
      </w:r>
      <w:r w:rsidR="00114ED1">
        <w:rPr>
          <w:rFonts w:cs="Arial"/>
        </w:rPr>
        <w:fldChar w:fldCharType="separate"/>
      </w:r>
      <w:r w:rsidR="00114ED1">
        <w:rPr>
          <w:rFonts w:cs="Arial"/>
          <w:noProof/>
        </w:rPr>
        <w:t>(Toriihara et al., 2015</w:t>
      </w:r>
      <w:r w:rsidR="00114ED1">
        <w:rPr>
          <w:rFonts w:cs="Arial"/>
        </w:rPr>
        <w:fldChar w:fldCharType="begin"/>
      </w:r>
      <w:r w:rsidR="00114ED1">
        <w:rPr>
          <w:rFonts w:cs="Arial"/>
        </w:rPr>
        <w:instrText xml:space="preserve"> ADDIN EN.CITE &lt;EndNote&gt;&lt;Cite&gt;&lt;Author&gt;Meola&lt;/Author&gt;&lt;Year&gt;2016&lt;/Year&gt;&lt;IDText&gt;Imaging in chronic kidney disease&lt;/IDText&gt;&lt;DisplayText&gt;(Meola et al., 2016)&lt;/DisplayText&gt;&lt;record&gt;&lt;titles&gt;&lt;title&gt;Imaging in chronic kidney disease&lt;/title&gt;&lt;secondary-title&gt;Ultrasound Imaging in Acute and Chronic Kidney Disease&lt;/secondary-title&gt;&lt;/titles&gt;&lt;pages&gt;69-80&lt;/pages&gt;&lt;contributors&gt;&lt;authors&gt;&lt;author&gt;Meola, Mario&lt;/author&gt;&lt;author&gt;Samoni, Sara&lt;/author&gt;&lt;author&gt;Petrucci, Ilaria&lt;/author&gt;&lt;/authors&gt;&lt;/contributors&gt;&lt;added-date format="utc"&gt;1503879362&lt;/added-date&gt;&lt;ref-type name="Book Section"&gt;5&lt;/ref-type&gt;&lt;dates&gt;&lt;year&gt;2016&lt;/year&gt;&lt;/dates&gt;&lt;rec-number&gt;1956&lt;/rec-number&gt;&lt;publisher&gt;Karger Publishers&lt;/publisher&gt;&lt;last-updated-date format="utc"&gt;1503879362&lt;/last-updated-date&gt;&lt;volume&gt;188&lt;/volume&gt;&lt;/record&gt;&lt;/Cite&gt;&lt;/EndNote&gt;</w:instrText>
      </w:r>
      <w:r w:rsidR="00114ED1">
        <w:rPr>
          <w:rFonts w:cs="Arial"/>
        </w:rPr>
        <w:fldChar w:fldCharType="separate"/>
      </w:r>
      <w:r w:rsidR="00114ED1">
        <w:rPr>
          <w:rFonts w:cs="Arial"/>
          <w:noProof/>
        </w:rPr>
        <w:t xml:space="preserve"> Meola et al., 2016)</w:t>
      </w:r>
      <w:r w:rsidR="00114ED1">
        <w:rPr>
          <w:rFonts w:cs="Arial"/>
        </w:rPr>
        <w:fldChar w:fldCharType="end"/>
      </w:r>
      <w:r w:rsidR="00114ED1">
        <w:rPr>
          <w:rFonts w:cs="Arial"/>
        </w:rPr>
        <w:fldChar w:fldCharType="end"/>
      </w:r>
      <w:r>
        <w:rPr>
          <w:color w:val="000000"/>
        </w:rPr>
        <w:t>.</w:t>
      </w:r>
    </w:p>
    <w:p w:rsidR="00337248" w:rsidRDefault="00A36DF9" w:rsidP="00FE5FEC">
      <w:pPr>
        <w:pStyle w:val="Heading3"/>
        <w:ind w:firstLine="720"/>
        <w:rPr>
          <w:rFonts w:eastAsia="Times New Roman"/>
        </w:rPr>
      </w:pPr>
      <w:bookmarkStart w:id="36" w:name="_Toc506232300"/>
      <w:r>
        <w:rPr>
          <w:rFonts w:eastAsia="Times New Roman"/>
        </w:rPr>
        <w:lastRenderedPageBreak/>
        <w:t>1.5</w:t>
      </w:r>
      <w:r w:rsidR="00337248">
        <w:rPr>
          <w:rFonts w:eastAsia="Times New Roman"/>
        </w:rPr>
        <w:t xml:space="preserve"> Pathobiology </w:t>
      </w:r>
      <w:r w:rsidR="008E5F7F">
        <w:rPr>
          <w:rFonts w:eastAsia="Times New Roman"/>
        </w:rPr>
        <w:t>of f</w:t>
      </w:r>
      <w:r w:rsidR="00337248">
        <w:rPr>
          <w:rFonts w:eastAsia="Times New Roman"/>
        </w:rPr>
        <w:t>ibrosis</w:t>
      </w:r>
      <w:bookmarkEnd w:id="36"/>
    </w:p>
    <w:p w:rsidR="00337248" w:rsidRDefault="008E5F7F" w:rsidP="00FE5FEC">
      <w:pPr>
        <w:ind w:left="720"/>
      </w:pPr>
      <w:r>
        <w:t>The ECM</w:t>
      </w:r>
      <w:r w:rsidR="00337248">
        <w:t xml:space="preserve"> is composed of proteins, proteoglycans, and glycoproteins. Formation and deg</w:t>
      </w:r>
      <w:r>
        <w:t>radation of ECM</w:t>
      </w:r>
      <w:r w:rsidR="00337248">
        <w:t xml:space="preserve"> is a dynamic p</w:t>
      </w:r>
      <w:r w:rsidR="00BA4E6D">
        <w:t>hysiological process (Section1.3.5</w:t>
      </w:r>
      <w:r w:rsidR="00337248">
        <w:t xml:space="preserve">) with a balance between formation and degradation of the components within the matrix. The imbalance in this dynamic </w:t>
      </w:r>
      <w:r>
        <w:t xml:space="preserve">process </w:t>
      </w:r>
      <w:r w:rsidR="00337248">
        <w:t>results in loss or accu</w:t>
      </w:r>
      <w:r>
        <w:t>mulation of ECM,</w:t>
      </w:r>
      <w:r w:rsidR="00337248">
        <w:t xml:space="preserve"> with the latter leading to fibrosis. Therefore, at the molecular level fibrosis is often the replacement of functional tissue with primarily type 1 collagen. Fibrosis is a pathologic</w:t>
      </w:r>
      <w:r>
        <w:t>al</w:t>
      </w:r>
      <w:r w:rsidR="00337248">
        <w:t xml:space="preserve"> process which results in scarring and overpr</w:t>
      </w:r>
      <w:r>
        <w:t>oduction of ECM</w:t>
      </w:r>
      <w:r w:rsidR="00337248">
        <w:t>, and has been implicated in morbidity and mortality linked to organ failures in chronic diseases, such as hypertrophic scar or keloids in the skin, cirrhosis in the liver and gall bladder, and fibrosis of the kidney, lungs and heart. Fibrosis is an irreversible event that compromises the structure and functions of the affected organs. Clinicians have used various anti-inflammatory and immunosuppressive agents in its management. However, these were usually unrewarding, (Selman, 2002) and has therefore, left us with the option of developing anti-fibrotic agents to attack different points of the pathogenesis of fibrosis at the molecular level.</w:t>
      </w:r>
    </w:p>
    <w:p w:rsidR="00337248" w:rsidRDefault="00337248" w:rsidP="00FE5FEC">
      <w:pPr>
        <w:ind w:left="720"/>
      </w:pPr>
      <w:r>
        <w:t xml:space="preserve">Cell growth and proliferation is essential in embryogenesis and normal homeostasis, but poor control of cell proliferation and abnormal ECM turnover </w:t>
      </w:r>
      <w:r w:rsidR="00114ED1">
        <w:t>may lead to</w:t>
      </w:r>
      <w:r>
        <w:t xml:space="preserve"> fibrosis. Proliferation of fibroblasts with resultant increase in</w:t>
      </w:r>
      <w:r w:rsidR="008E5F7F">
        <w:t xml:space="preserve"> quantity of ECM</w:t>
      </w:r>
      <w:r>
        <w:t xml:space="preserve"> is key in the pathogenesis of fibrosis. Wound healing is an example of healthy fibrosis which still leads to scarring.</w:t>
      </w:r>
      <w:r w:rsidR="005A5BEF">
        <w:t xml:space="preserve"> While wound healing is a</w:t>
      </w:r>
      <w:r>
        <w:t xml:space="preserve"> physiological proce</w:t>
      </w:r>
      <w:r w:rsidR="009C2F36">
        <w:t>ss resulting in scar formation,</w:t>
      </w:r>
      <w:r w:rsidR="005A5BEF">
        <w:t xml:space="preserve"> </w:t>
      </w:r>
      <w:r>
        <w:t xml:space="preserve">fibrosis </w:t>
      </w:r>
      <w:r w:rsidR="009C2F36">
        <w:t>will</w:t>
      </w:r>
      <w:r w:rsidR="005A5BEF">
        <w:t xml:space="preserve"> occur</w:t>
      </w:r>
      <w:r>
        <w:t xml:space="preserve"> when the process is incompletely controlled</w:t>
      </w:r>
      <w:r w:rsidR="009C2F36">
        <w:t xml:space="preserve"> and this</w:t>
      </w:r>
      <w:r w:rsidR="005A5BEF">
        <w:t xml:space="preserve"> leads</w:t>
      </w:r>
      <w:r>
        <w:t xml:space="preserve"> to replacement of functional tissues with myofibroblasts and fibroblast</w:t>
      </w:r>
      <w:r w:rsidR="00114ED1">
        <w:t>s</w:t>
      </w:r>
      <w:r>
        <w:t xml:space="preserve"> (Section 1.8) and excess de</w:t>
      </w:r>
      <w:r w:rsidR="005A5BEF">
        <w:t>position of ECM</w:t>
      </w:r>
      <w:r>
        <w:t xml:space="preserve">. </w:t>
      </w:r>
    </w:p>
    <w:p w:rsidR="00337248" w:rsidRDefault="00337248" w:rsidP="00FE5FEC">
      <w:pPr>
        <w:ind w:left="720"/>
      </w:pPr>
      <w:r>
        <w:t>Epithelial to mesenchymal transition (EMT) is</w:t>
      </w:r>
      <w:r w:rsidR="009C2F36">
        <w:t xml:space="preserve"> a controversial pathway in</w:t>
      </w:r>
      <w:r>
        <w:t xml:space="preserve"> chronic fibrosis. EMT is a cellular event where epithelial cells are transformed </w:t>
      </w:r>
      <w:r w:rsidR="00543D15">
        <w:t>into myofibroblasts (Section 1.9</w:t>
      </w:r>
      <w:r>
        <w:t xml:space="preserve">) which are components of </w:t>
      </w:r>
      <w:r>
        <w:lastRenderedPageBreak/>
        <w:t xml:space="preserve">scar tissue, as evidenced by </w:t>
      </w:r>
      <w:r>
        <w:rPr>
          <w:i/>
        </w:rPr>
        <w:t>in vivo</w:t>
      </w:r>
      <w:r>
        <w:t xml:space="preserve"> studies (Kim et al., 2006). During physiological wound healing EMT is activated, and deactivated once healing is established, but with continuous injury or assault, growth factors are elevated, and there is dysfunctional signalling. EMT is therefore sustained, more myofibroblasts are formed with a concurrent increase in extracellular </w:t>
      </w:r>
      <w:r w:rsidR="00156F6A">
        <w:t xml:space="preserve">matrix </w:t>
      </w:r>
      <w:r>
        <w:t xml:space="preserve">deposition and finally fibrosis </w:t>
      </w:r>
      <w:r w:rsidR="009C2F36">
        <w:t xml:space="preserve">sets in </w:t>
      </w:r>
      <w:r>
        <w:t xml:space="preserve">which results in loss of structural integrity and dysfunction of tissue or organs (Schroer and Merryman, 2015). </w:t>
      </w:r>
    </w:p>
    <w:p w:rsidR="002339D9" w:rsidRPr="002339D9" w:rsidRDefault="00337248" w:rsidP="002339D9">
      <w:pPr>
        <w:ind w:left="720"/>
        <w:rPr>
          <w:rFonts w:cs="Arial"/>
        </w:rPr>
      </w:pPr>
      <w:r>
        <w:t>Some polypeptide hormones or growth hormones are known to be responsible for the replacement of functional epithelial tissue with non-functional scar</w:t>
      </w:r>
      <w:r w:rsidR="002339D9">
        <w:t xml:space="preserve"> </w:t>
      </w:r>
      <w:r w:rsidR="002339D9" w:rsidRPr="002339D9">
        <w:rPr>
          <w:rFonts w:cs="Arial"/>
        </w:rPr>
        <w:fldChar w:fldCharType="begin"/>
      </w:r>
      <w:r w:rsidR="002339D9" w:rsidRPr="002339D9">
        <w:rPr>
          <w:rFonts w:cs="Arial"/>
        </w:rPr>
        <w:instrText xml:space="preserve"> ADDIN EN.CITE &lt;EndNote&gt;&lt;Cite&gt;&lt;Author&gt;Krafts&lt;/Author&gt;&lt;Year&gt;2010&lt;/Year&gt;&lt;IDText&gt;Tissue repair: The hidden drama&lt;/IDText&gt;&lt;DisplayText&gt;(Krafts, 2010)&lt;/DisplayText&gt;&lt;record&gt;&lt;dates&gt;&lt;pub-dates&gt;&lt;date&gt;Oct-Dec&amp;#xD;//Oct-Dec&amp;#xD;05/01/received&amp;#xD;06/01/accepted&lt;/date&gt;&lt;/pub-dates&gt;&lt;year&gt;2010&lt;/year&gt;&lt;/dates&gt;&lt;urls&gt;&lt;related-urls&gt;&lt;url&gt;http://www.ncbi.nlm.nih.gov/pmc/articles/PMC3055648/&lt;/url&gt;&lt;/related-urls&gt;&lt;/urls&gt;&lt;isbn&gt;1547-6278&amp;#xD;1555-8592&lt;/isbn&gt;&lt;titles&gt;&lt;title&gt;Tissue repair: The hidden drama&lt;/title&gt;&lt;secondary-title&gt;Organogenesis&lt;/secondary-title&gt;&lt;/titles&gt;&lt;pages&gt;225-233&lt;/pages&gt;&lt;number&gt;4&lt;/number&gt;&lt;contributors&gt;&lt;authors&gt;&lt;author&gt;Krafts, Kristine P.&lt;/author&gt;&lt;/authors&gt;&lt;/contributors&gt;&lt;added-date format="utc"&gt;1503881760&lt;/added-date&gt;&lt;ref-type name="Journal Article"&gt;17&lt;/ref-type&gt;&lt;rec-number&gt;1957&lt;/rec-number&gt;&lt;publisher&gt;Landes Bioscience&lt;/publisher&gt;&lt;last-updated-date format="utc"&gt;1503881760&lt;/last-updated-date&gt;&lt;accession-num&gt;PMC3055648&lt;/accession-num&gt;&lt;electronic-resource-num&gt;10.4161/org.6.4.12555&lt;/electronic-resource-num&gt;&lt;volume&gt;6&lt;/volume&gt;&lt;remote-database-name&gt;PMC&lt;/remote-database-name&gt;&lt;/record&gt;&lt;/Cite&gt;&lt;/EndNote&gt;</w:instrText>
      </w:r>
      <w:r w:rsidR="002339D9" w:rsidRPr="002339D9">
        <w:rPr>
          <w:rFonts w:cs="Arial"/>
        </w:rPr>
        <w:fldChar w:fldCharType="separate"/>
      </w:r>
      <w:r w:rsidR="002339D9" w:rsidRPr="002339D9">
        <w:rPr>
          <w:rFonts w:cs="Arial"/>
          <w:noProof/>
        </w:rPr>
        <w:t>(Krafts, 2010)</w:t>
      </w:r>
      <w:r w:rsidR="002339D9" w:rsidRPr="002339D9">
        <w:rPr>
          <w:rFonts w:cs="Arial"/>
        </w:rPr>
        <w:fldChar w:fldCharType="end"/>
      </w:r>
      <w:r w:rsidR="002339D9">
        <w:rPr>
          <w:rFonts w:cs="Arial"/>
        </w:rPr>
        <w:t>.</w:t>
      </w:r>
    </w:p>
    <w:p w:rsidR="00337248" w:rsidRDefault="00337248" w:rsidP="00FE5FEC">
      <w:pPr>
        <w:ind w:left="720"/>
        <w:rPr>
          <w:b/>
          <w:sz w:val="27"/>
          <w:szCs w:val="27"/>
        </w:rPr>
      </w:pPr>
      <w:r>
        <w:t>These polypeptide hormones may act singly or collectively even though they are cell or tissue selective. Locally active growth factors have been implicated in the pathogenesis of many diseases (Edwards et al., 2008)</w:t>
      </w:r>
      <w:r>
        <w:rPr>
          <w:b/>
          <w:sz w:val="27"/>
          <w:szCs w:val="27"/>
        </w:rPr>
        <w:t xml:space="preserve"> </w:t>
      </w:r>
    </w:p>
    <w:p w:rsidR="00337248" w:rsidRDefault="00A36DF9" w:rsidP="00FE5FEC">
      <w:pPr>
        <w:pStyle w:val="Heading3"/>
        <w:ind w:firstLine="720"/>
        <w:rPr>
          <w:rFonts w:eastAsia="Times New Roman"/>
        </w:rPr>
      </w:pPr>
      <w:bookmarkStart w:id="37" w:name="_1fob9te" w:colFirst="0" w:colLast="0"/>
      <w:bookmarkStart w:id="38" w:name="_Toc506232301"/>
      <w:bookmarkEnd w:id="37"/>
      <w:r>
        <w:rPr>
          <w:rFonts w:eastAsia="Times New Roman"/>
        </w:rPr>
        <w:t>1.6</w:t>
      </w:r>
      <w:r w:rsidR="00337248">
        <w:rPr>
          <w:rFonts w:eastAsia="Times New Roman"/>
        </w:rPr>
        <w:t xml:space="preserve"> Wound healing</w:t>
      </w:r>
      <w:bookmarkEnd w:id="38"/>
    </w:p>
    <w:p w:rsidR="00337248" w:rsidRDefault="00337248" w:rsidP="00FE5FEC">
      <w:pPr>
        <w:ind w:left="720"/>
      </w:pPr>
      <w:r>
        <w:t>This can either be regenerative or scar forming. The cellular events that occur in wound healing are aimed at achieving the following:</w:t>
      </w:r>
    </w:p>
    <w:p w:rsidR="00337248" w:rsidRDefault="00337248" w:rsidP="00FE5FEC">
      <w:pPr>
        <w:ind w:left="720"/>
      </w:pPr>
      <w:r>
        <w:t xml:space="preserve">Migration </w:t>
      </w:r>
      <w:r w:rsidR="00731A06">
        <w:t xml:space="preserve">and </w:t>
      </w:r>
      <w:r>
        <w:t>proliferation of cells (fibroblasts, epithelial cells and endothelial cells) involved in the wound repair to the site of injury.</w:t>
      </w:r>
    </w:p>
    <w:p w:rsidR="00337248" w:rsidRDefault="00337248" w:rsidP="00FE5FEC">
      <w:pPr>
        <w:ind w:firstLine="720"/>
      </w:pPr>
      <w:r>
        <w:t>Synthesis of an appropriate ECM.</w:t>
      </w:r>
    </w:p>
    <w:p w:rsidR="00337248" w:rsidRDefault="00337248" w:rsidP="00FE5FEC">
      <w:pPr>
        <w:ind w:left="720"/>
      </w:pPr>
      <w:r>
        <w:t xml:space="preserve">These cellular events are guided by a number of factors broadly grouped into two: </w:t>
      </w:r>
    </w:p>
    <w:p w:rsidR="00337248" w:rsidRDefault="00337248" w:rsidP="00FE5FEC">
      <w:pPr>
        <w:ind w:left="720"/>
      </w:pPr>
      <w:r>
        <w:rPr>
          <w:color w:val="000000"/>
        </w:rPr>
        <w:t>Those that exert a mitogenic effect</w:t>
      </w:r>
      <w:r w:rsidR="002339D9">
        <w:rPr>
          <w:color w:val="000000"/>
        </w:rPr>
        <w:t>, or lead to cell differentiation</w:t>
      </w:r>
      <w:r>
        <w:rPr>
          <w:color w:val="000000"/>
        </w:rPr>
        <w:t xml:space="preserve"> on the cells to which they bind (growth factors);</w:t>
      </w:r>
    </w:p>
    <w:p w:rsidR="00337248" w:rsidRDefault="00337248" w:rsidP="00FE5FEC">
      <w:pPr>
        <w:ind w:left="720"/>
      </w:pPr>
      <w:r>
        <w:rPr>
          <w:color w:val="000000"/>
        </w:rPr>
        <w:t>Cytokines and chemokines derived largely from inflammatory cells that have other regulatory functions</w:t>
      </w:r>
      <w:r w:rsidR="00F7718E" w:rsidRPr="00F7718E">
        <w:rPr>
          <w:rFonts w:cs="Arial"/>
          <w:noProof/>
        </w:rPr>
        <w:t xml:space="preserve"> </w:t>
      </w:r>
      <w:r w:rsidR="00F7718E">
        <w:rPr>
          <w:rFonts w:cs="Arial"/>
          <w:noProof/>
        </w:rPr>
        <w:t>(Alfano and Poli, 2005).</w:t>
      </w:r>
      <w:r w:rsidR="002339D9">
        <w:rPr>
          <w:color w:val="000000"/>
        </w:rPr>
        <w:t xml:space="preserve"> </w:t>
      </w:r>
    </w:p>
    <w:p w:rsidR="00337248" w:rsidRPr="0066166A" w:rsidRDefault="00A36DF9" w:rsidP="00FE5FEC">
      <w:pPr>
        <w:pStyle w:val="Heading3"/>
        <w:ind w:firstLine="720"/>
      </w:pPr>
      <w:bookmarkStart w:id="39" w:name="_3znysh7" w:colFirst="0" w:colLast="0"/>
      <w:bookmarkStart w:id="40" w:name="_Toc506232302"/>
      <w:bookmarkEnd w:id="39"/>
      <w:r>
        <w:t>1.7</w:t>
      </w:r>
      <w:r w:rsidR="00337248" w:rsidRPr="0066166A">
        <w:t xml:space="preserve"> Growth </w:t>
      </w:r>
      <w:r w:rsidR="00CA42B4">
        <w:t>f</w:t>
      </w:r>
      <w:r w:rsidR="00337248" w:rsidRPr="0066166A">
        <w:t>actors</w:t>
      </w:r>
      <w:bookmarkEnd w:id="40"/>
    </w:p>
    <w:p w:rsidR="00337248" w:rsidRDefault="00337248" w:rsidP="00FE5FEC">
      <w:pPr>
        <w:ind w:left="720"/>
      </w:pPr>
      <w:r>
        <w:t>These are peptides capable of stimulating cellular growth, proliferation and cellular differentiation.</w:t>
      </w:r>
      <w:r w:rsidR="001234C9">
        <w:t xml:space="preserve"> Examples are</w:t>
      </w:r>
      <w:r>
        <w:t xml:space="preserve"> </w:t>
      </w:r>
      <w:r w:rsidR="001234C9">
        <w:t xml:space="preserve">platelet derived growth factor </w:t>
      </w:r>
      <w:r w:rsidR="001234C9">
        <w:lastRenderedPageBreak/>
        <w:t>(PDGF), transforming growth factor (TGF)</w:t>
      </w:r>
      <w:r w:rsidR="00731A06">
        <w:t>, epidermal growth factor (EGF).</w:t>
      </w:r>
      <w:r w:rsidR="001234C9">
        <w:t xml:space="preserve"> </w:t>
      </w:r>
      <w:r>
        <w:t xml:space="preserve">They are vital in regulating cellular processes and act as </w:t>
      </w:r>
      <w:r w:rsidR="006F7E77">
        <w:t>signalling</w:t>
      </w:r>
      <w:r>
        <w:t xml:space="preserve"> molecules between cells via any of these pathways:</w:t>
      </w:r>
    </w:p>
    <w:p w:rsidR="006F7E77" w:rsidRDefault="00337248" w:rsidP="00FE5FEC">
      <w:pPr>
        <w:ind w:left="720"/>
      </w:pPr>
      <w:r>
        <w:t xml:space="preserve">1) Endocrine Pathway: Growth factors are secreted at a distance far from their target and are transported via the blood stream to the target site for example, </w:t>
      </w:r>
      <w:r w:rsidR="006F7E77">
        <w:t xml:space="preserve">epidermal growth factor (EGF) </w:t>
      </w:r>
      <w:r>
        <w:t xml:space="preserve">and </w:t>
      </w:r>
      <w:r w:rsidR="00FE1EA0">
        <w:t>insulin-like growth factor</w:t>
      </w:r>
      <w:r w:rsidR="006F7E77">
        <w:t xml:space="preserve"> (IGF)</w:t>
      </w:r>
      <w:r w:rsidR="006F7E77" w:rsidRPr="006F7E77">
        <w:rPr>
          <w:rFonts w:cs="Arial"/>
        </w:rPr>
        <w:t xml:space="preserve"> </w:t>
      </w:r>
      <w:r w:rsidR="006F7E77">
        <w:rPr>
          <w:rFonts w:cs="Arial"/>
        </w:rPr>
        <w:fldChar w:fldCharType="begin"/>
      </w:r>
      <w:r w:rsidR="006F7E77">
        <w:rPr>
          <w:rFonts w:cs="Arial"/>
        </w:rPr>
        <w:instrText xml:space="preserve"> ADDIN EN.CITE &lt;EndNote&gt;&lt;Cite&gt;&lt;Author&gt;Voudouri&lt;/Author&gt;&lt;Year&gt;2015&lt;/Year&gt;&lt;IDText&gt;Insulin-Like Growth Factor and Epidermal Growth Factor Signaling in Breast Cancer Cell Growth: Focus on Endocrine Resistant Disease&lt;/IDText&gt;&lt;DisplayText&gt;(Voudouri et al., 2015)&lt;/DisplayText&gt;&lt;record&gt;&lt;dates&gt;&lt;pub-dates&gt;&lt;date&gt;07/15&amp;#xD;04/30/received&amp;#xD;07/05/accepted&lt;/date&gt;&lt;/pub-dates&gt;&lt;year&gt;2015&lt;/year&gt;&lt;/dates&gt;&lt;urls&gt;&lt;related-urls&gt;&lt;url&gt;http://www.ncbi.nlm.nih.gov/pmc/articles/PMC4518167/&lt;/url&gt;&lt;/related-urls&gt;&lt;/urls&gt;&lt;isbn&gt;2210-7177&amp;#xD;2210-7185&lt;/isbn&gt;&lt;titles&gt;&lt;title&gt;Insulin-Like Growth Factor and Epidermal Growth Factor Signaling in Breast Cancer Cell Growth: Focus on Endocrine Resistant Disease&lt;/title&gt;&lt;secondary-title&gt;Analytical Cellular Pathology (Amsterdam)&lt;/secondary-title&gt;&lt;/titles&gt;&lt;pages&gt;975495&lt;/pages&gt;&lt;contributors&gt;&lt;authors&gt;&lt;author&gt;Voudouri, Kallirroi&lt;/author&gt;&lt;author&gt;Berdiaki, Aikaterini&lt;/author&gt;&lt;author&gt;Tzardi, Maria&lt;/author&gt;&lt;author&gt;Tzanakakis, George N.&lt;/author&gt;&lt;author&gt;Nikitovic, Dragana&lt;/author&gt;&lt;/authors&gt;&lt;/contributors&gt;&lt;added-date format="utc"&gt;1503883954&lt;/added-date&gt;&lt;ref-type name="Journal Article"&gt;17&lt;/ref-type&gt;&lt;rec-number&gt;1959&lt;/rec-number&gt;&lt;publisher&gt;Hindawi Publishing Corporation&lt;/publisher&gt;&lt;last-updated-date format="utc"&gt;1503883954&lt;/last-updated-date&gt;&lt;accession-num&gt;PMC4518167&lt;/accession-num&gt;&lt;electronic-resource-num&gt;10.1155/2015/975495&lt;/electronic-resource-num&gt;&lt;volume&gt;2015&lt;/volume&gt;&lt;remote-database-name&gt;PMC&lt;/remote-database-name&gt;&lt;/record&gt;&lt;/Cite&gt;&lt;/EndNote&gt;</w:instrText>
      </w:r>
      <w:r w:rsidR="006F7E77">
        <w:rPr>
          <w:rFonts w:cs="Arial"/>
        </w:rPr>
        <w:fldChar w:fldCharType="separate"/>
      </w:r>
      <w:r w:rsidR="006F7E77">
        <w:rPr>
          <w:rFonts w:cs="Arial"/>
          <w:noProof/>
        </w:rPr>
        <w:t>(Voudouri et al., 2015)</w:t>
      </w:r>
      <w:r w:rsidR="006F7E77">
        <w:rPr>
          <w:rFonts w:cs="Arial"/>
        </w:rPr>
        <w:fldChar w:fldCharType="end"/>
      </w:r>
      <w:r w:rsidR="006F7E77">
        <w:rPr>
          <w:rFonts w:cs="Arial"/>
        </w:rPr>
        <w:t>.</w:t>
      </w:r>
      <w:r w:rsidR="00FE1EA0">
        <w:t xml:space="preserve"> </w:t>
      </w:r>
    </w:p>
    <w:p w:rsidR="00337248" w:rsidRDefault="006F7E77" w:rsidP="00FE5FEC">
      <w:pPr>
        <w:ind w:left="720"/>
      </w:pPr>
      <w:r>
        <w:t>2) Paracrine: Growth f</w:t>
      </w:r>
      <w:r w:rsidR="00337248">
        <w:t>actor</w:t>
      </w:r>
      <w:r>
        <w:t>s</w:t>
      </w:r>
      <w:r w:rsidR="00337248">
        <w:t xml:space="preserve"> are synthesized and released by cells that are in close proximity to their target.</w:t>
      </w:r>
    </w:p>
    <w:p w:rsidR="00337248" w:rsidRDefault="00337248" w:rsidP="00FE5FEC">
      <w:pPr>
        <w:ind w:firstLine="720"/>
      </w:pPr>
      <w:r>
        <w:t>3) Autocrine: The same cell synthesizes and uses the growth factor.</w:t>
      </w:r>
    </w:p>
    <w:p w:rsidR="00337248" w:rsidRDefault="00337248" w:rsidP="00FE5FEC">
      <w:pPr>
        <w:ind w:firstLine="720"/>
      </w:pPr>
      <w:r>
        <w:t xml:space="preserve">Growth factors can be divided into two: </w:t>
      </w:r>
    </w:p>
    <w:p w:rsidR="00337248" w:rsidRDefault="00337248" w:rsidP="00B702A5">
      <w:pPr>
        <w:pStyle w:val="ListParagraph"/>
        <w:numPr>
          <w:ilvl w:val="0"/>
          <w:numId w:val="28"/>
        </w:numPr>
      </w:pPr>
      <w:r>
        <w:t>Competence growth factors which move the cell from G</w:t>
      </w:r>
      <w:r w:rsidRPr="00615E31">
        <w:rPr>
          <w:vertAlign w:val="subscript"/>
        </w:rPr>
        <w:t>O</w:t>
      </w:r>
      <w:r>
        <w:t xml:space="preserve"> phase back into the cell cycle. Examples are PDGF, fibroblast growth factors</w:t>
      </w:r>
      <w:r w:rsidR="006F7E77">
        <w:t xml:space="preserve"> (FGF)</w:t>
      </w:r>
      <w:r>
        <w:t xml:space="preserve">. </w:t>
      </w:r>
    </w:p>
    <w:p w:rsidR="00337248" w:rsidRDefault="00337248" w:rsidP="00B702A5">
      <w:pPr>
        <w:pStyle w:val="ListParagraph"/>
        <w:numPr>
          <w:ilvl w:val="0"/>
          <w:numId w:val="28"/>
        </w:numPr>
      </w:pPr>
      <w:r>
        <w:t>Progression growth factors, which have a mitogenic effect on cells that are not in the G</w:t>
      </w:r>
      <w:r w:rsidRPr="00615E31">
        <w:rPr>
          <w:vertAlign w:val="subscript"/>
        </w:rPr>
        <w:t xml:space="preserve">O </w:t>
      </w:r>
      <w:r>
        <w:t xml:space="preserve">phase, examples are Insulin-like growth factors 1 and 2 (somatomadins) and epidermal growth factor (Christopoulos et al., 2015). </w:t>
      </w:r>
    </w:p>
    <w:p w:rsidR="00337248" w:rsidRPr="0066166A" w:rsidRDefault="00A36DF9" w:rsidP="00FE5FEC">
      <w:pPr>
        <w:pStyle w:val="Heading4"/>
        <w:ind w:firstLine="720"/>
      </w:pPr>
      <w:bookmarkStart w:id="41" w:name="_2et92p0" w:colFirst="0" w:colLast="0"/>
      <w:bookmarkStart w:id="42" w:name="_Toc506232303"/>
      <w:bookmarkEnd w:id="41"/>
      <w:r>
        <w:t>1.7</w:t>
      </w:r>
      <w:r w:rsidR="00BE05AE">
        <w:t>.1</w:t>
      </w:r>
      <w:r w:rsidR="00CA42B4">
        <w:t xml:space="preserve"> Platelet derived growth f</w:t>
      </w:r>
      <w:r w:rsidR="00337248" w:rsidRPr="0066166A">
        <w:t>actor (PDGF)</w:t>
      </w:r>
      <w:bookmarkEnd w:id="42"/>
    </w:p>
    <w:p w:rsidR="0066166A" w:rsidRDefault="00337248" w:rsidP="00FE5FEC">
      <w:pPr>
        <w:ind w:left="720"/>
        <w:rPr>
          <w:rFonts w:eastAsia="Arial" w:cs="Arial"/>
        </w:rPr>
      </w:pPr>
      <w:r>
        <w:t xml:space="preserve">PDGF is a peptide regulatory factor secreted by platelets, activated monocytes, derived macrophages and vascular endothelial cells (Ross, 1989). It has a molecular weight of about 30,000 </w:t>
      </w:r>
      <w:r w:rsidR="004D55C2">
        <w:t xml:space="preserve">kDa </w:t>
      </w:r>
      <w:r>
        <w:t xml:space="preserve">and consists of two peptide chains: A and B with molecular weight of 16,000 and 14,000 respectively. There are three isoforms: PDGF-AA, PDGF-BB, and PDGF-AB. Its activation is via binding to subunits of receptors on the cell surface. These receptors are specific cell surface high affinity receptors. Any of the PDGF isoforms can bind to a receptor subunits, which is either α or β and the dimers are formed of PDGF couples two receptor sub-units together to develop a mature receptor. The peptide chains of PDGF are joined by inter and intramolecular disulphide bonds. </w:t>
      </w:r>
      <w:r>
        <w:lastRenderedPageBreak/>
        <w:t>Under certain conditions, the secretion of PDGF can also be induced by fibroblasts and smooth muscle cells (Libby et al., 1988). PDGF plays an important role in normal growth and development, wound repair, and inflammatory reactions associated with fibroproliferative disorders. It is therefore believed that PDGF is mainly a mitogen for connective tissue cells like fibroblasts (Alvarez et al., 2006). Macrophages play a crucial role in chronic inflammation and are numerous in inflammatory diseases and their stimulation results in secretion of PDGF. It is also known that PDGF-AB and PDGF-BB can induce fibroblast or smooth muscle proliferation (Bornfeldt et al., 1994). The proliferation of these fibroblast and smooth muscle cells may result in fibrosis. PDGF is a mitogen and it attracts mesenchymal cells to a wound site (except endothelial cell that do not have PDGF receptor), stimulate protein production, cell proliferation and fibrosis.</w:t>
      </w:r>
      <w:r>
        <w:rPr>
          <w:rFonts w:eastAsia="Arial" w:cs="Arial"/>
        </w:rPr>
        <w:t xml:space="preserve"> </w:t>
      </w:r>
    </w:p>
    <w:p w:rsidR="00337248" w:rsidRDefault="00A36DF9" w:rsidP="00FE5FEC">
      <w:pPr>
        <w:pStyle w:val="Heading3"/>
        <w:ind w:firstLine="720"/>
        <w:rPr>
          <w:rFonts w:eastAsia="Times New Roman"/>
        </w:rPr>
      </w:pPr>
      <w:bookmarkStart w:id="43" w:name="_tyjcwt" w:colFirst="0" w:colLast="0"/>
      <w:bookmarkStart w:id="44" w:name="_Toc506232304"/>
      <w:bookmarkEnd w:id="43"/>
      <w:r>
        <w:rPr>
          <w:rFonts w:eastAsia="Times New Roman"/>
        </w:rPr>
        <w:t>1.8</w:t>
      </w:r>
      <w:r w:rsidR="00337248">
        <w:rPr>
          <w:rFonts w:eastAsia="Times New Roman"/>
        </w:rPr>
        <w:t xml:space="preserve"> Cytokines</w:t>
      </w:r>
      <w:bookmarkEnd w:id="44"/>
    </w:p>
    <w:p w:rsidR="00337248" w:rsidRDefault="00337248" w:rsidP="00FE5FEC">
      <w:pPr>
        <w:ind w:left="720"/>
      </w:pPr>
      <w:r>
        <w:t>Cytokines are a group of protein cell regulators, produced by platelets, monocytes,</w:t>
      </w:r>
      <w:r w:rsidR="001234C9">
        <w:t xml:space="preserve"> macrophages,</w:t>
      </w:r>
      <w:r>
        <w:t xml:space="preserve"> T- cells, and other inflammatory cells at the site of inflammation.</w:t>
      </w:r>
      <w:r w:rsidR="00C932E8">
        <w:t xml:space="preserve"> (Clark, 1985, Ihn and Ihn</w:t>
      </w:r>
      <w:r>
        <w:t xml:space="preserve"> 2002)  Cytokines production can occur either during physiological and pathological processes a</w:t>
      </w:r>
      <w:r w:rsidR="001234C9">
        <w:t>nd it is</w:t>
      </w:r>
      <w:r>
        <w:t xml:space="preserve"> mediated by either resident of recruited cells. They are low molecular weight proteins that regulate inflammation, immune responses, dermal fibroblast proliferation and extracellular matrix breakdown </w:t>
      </w:r>
      <w:r w:rsidR="00693102">
        <w:t>or deposition (Ihn and Ihn,</w:t>
      </w:r>
      <w:r>
        <w:t xml:space="preserve"> 2002). They are immunomodulatory proteins and are responsible for the modulation of effector functions of immune system and amplification of immune response. </w:t>
      </w:r>
    </w:p>
    <w:p w:rsidR="00337248" w:rsidRDefault="00337248" w:rsidP="00FE5FEC">
      <w:pPr>
        <w:ind w:left="720"/>
      </w:pPr>
      <w:r>
        <w:t>Examples are interleukin IL-1 alpha and beta, tumour necrosis factor, (TNF) alpha and beta, IL-4, IL-6, and oncostatin M (OSM). Their mechanism of action is either via an autocrine pathway or paracrine pathway.</w:t>
      </w:r>
    </w:p>
    <w:p w:rsidR="00337248" w:rsidRPr="00AD6A02" w:rsidRDefault="00A36DF9" w:rsidP="00FE5FEC">
      <w:pPr>
        <w:pStyle w:val="Heading4"/>
        <w:ind w:firstLine="720"/>
        <w:rPr>
          <w:rFonts w:eastAsia="Times New Roman"/>
        </w:rPr>
      </w:pPr>
      <w:bookmarkStart w:id="45" w:name="_3dy6vkm" w:colFirst="0" w:colLast="0"/>
      <w:bookmarkStart w:id="46" w:name="_Toc506232305"/>
      <w:bookmarkEnd w:id="45"/>
      <w:r w:rsidRPr="00AD6A02">
        <w:rPr>
          <w:rFonts w:eastAsia="Times New Roman"/>
        </w:rPr>
        <w:lastRenderedPageBreak/>
        <w:t>1.8</w:t>
      </w:r>
      <w:r w:rsidR="00337248" w:rsidRPr="00AD6A02">
        <w:rPr>
          <w:rFonts w:eastAsia="Times New Roman"/>
        </w:rPr>
        <w:t>.1 Tran</w:t>
      </w:r>
      <w:r w:rsidR="0066166A" w:rsidRPr="00AD6A02">
        <w:rPr>
          <w:rFonts w:eastAsia="Times New Roman"/>
        </w:rPr>
        <w:t>sforming g</w:t>
      </w:r>
      <w:r w:rsidR="00693102" w:rsidRPr="00AD6A02">
        <w:rPr>
          <w:rFonts w:eastAsia="Times New Roman"/>
        </w:rPr>
        <w:t>rowth f</w:t>
      </w:r>
      <w:r w:rsidR="00337248" w:rsidRPr="00AD6A02">
        <w:rPr>
          <w:rFonts w:eastAsia="Times New Roman"/>
        </w:rPr>
        <w:t>actor β (TGFβ)</w:t>
      </w:r>
      <w:bookmarkEnd w:id="46"/>
    </w:p>
    <w:p w:rsidR="006A336B" w:rsidRPr="00AD6A02" w:rsidRDefault="00337248" w:rsidP="00FE5FEC">
      <w:pPr>
        <w:ind w:left="720"/>
        <w:rPr>
          <w:rFonts w:cs="Arial"/>
        </w:rPr>
      </w:pPr>
      <w:r w:rsidRPr="00AD6A02">
        <w:t xml:space="preserve">TGFβ is </w:t>
      </w:r>
      <w:r w:rsidR="001234C9" w:rsidRPr="00AD6A02">
        <w:t xml:space="preserve">a major mediator of fibrosis, </w:t>
      </w:r>
      <w:r w:rsidR="00DF1A25" w:rsidRPr="00AD6A02">
        <w:t xml:space="preserve">it </w:t>
      </w:r>
      <w:r w:rsidR="00614211" w:rsidRPr="00AD6A02">
        <w:t xml:space="preserve">belongs to </w:t>
      </w:r>
      <w:r w:rsidR="00DF1A25" w:rsidRPr="00AD6A02">
        <w:t>a superfamily</w:t>
      </w:r>
      <w:r w:rsidR="00614211" w:rsidRPr="00AD6A02">
        <w:t xml:space="preserve"> known as</w:t>
      </w:r>
      <w:r w:rsidR="00614211" w:rsidRPr="00AD6A02">
        <w:rPr>
          <w:rFonts w:eastAsia="Times New Roman"/>
        </w:rPr>
        <w:t xml:space="preserve"> </w:t>
      </w:r>
      <w:r w:rsidR="00614211" w:rsidRPr="00AD6A02">
        <w:t xml:space="preserve">TGFβ superfamily. The superfamily </w:t>
      </w:r>
      <w:r w:rsidR="00DF1A25" w:rsidRPr="00AD6A02">
        <w:t>consist of</w:t>
      </w:r>
      <w:r w:rsidR="00614211" w:rsidRPr="00AD6A02">
        <w:t xml:space="preserve"> transforming growth factor beta family,</w:t>
      </w:r>
      <w:r w:rsidR="00614211" w:rsidRPr="00AD6A02">
        <w:rPr>
          <w:rFonts w:cs="Arial"/>
        </w:rPr>
        <w:t xml:space="preserve"> bone morphogenetic proteins (BMPs), growth and differentiation factors (GDFs), activins (ACTs), inhibins (INHs), and glial-derived neurotrophic factors (GDNFs). </w:t>
      </w:r>
    </w:p>
    <w:p w:rsidR="00337248" w:rsidRPr="00AD6A02" w:rsidRDefault="00614211" w:rsidP="00FE5FEC">
      <w:pPr>
        <w:ind w:left="720"/>
      </w:pPr>
      <w:r w:rsidRPr="00AD6A02">
        <w:rPr>
          <w:rFonts w:cs="Arial"/>
        </w:rPr>
        <w:t>TGFβ</w:t>
      </w:r>
      <w:r w:rsidR="006A336B" w:rsidRPr="00AD6A02">
        <w:rPr>
          <w:rFonts w:cs="Arial"/>
        </w:rPr>
        <w:t xml:space="preserve"> family includes its three isoforms</w:t>
      </w:r>
      <w:r w:rsidR="006A336B" w:rsidRPr="00AD6A02">
        <w:t xml:space="preserve"> </w:t>
      </w:r>
      <w:r w:rsidR="006A336B" w:rsidRPr="00AD6A02">
        <w:rPr>
          <w:rFonts w:cs="Arial"/>
        </w:rPr>
        <w:t xml:space="preserve">TGF-β1, TGF-β2, and TGF-β3, it </w:t>
      </w:r>
      <w:r w:rsidR="001234C9" w:rsidRPr="00AD6A02">
        <w:t xml:space="preserve">is </w:t>
      </w:r>
      <w:r w:rsidR="00337248" w:rsidRPr="00AD6A02">
        <w:t>a group of 3 genes that are produced by fibroblasts, smooth muscle cells, endothelial cells, monocytes, macrophages and T-cells. The primary structures of TGFβ isoforms (β1,</w:t>
      </w:r>
      <w:r w:rsidR="0066166A" w:rsidRPr="00AD6A02">
        <w:t xml:space="preserve"> β2 and β3) </w:t>
      </w:r>
      <w:r w:rsidR="00337248" w:rsidRPr="00AD6A02">
        <w:t>are similar, with each having 20-30 amino acids at the N terminus and 112-114 amino acid at the C terminal. TGFβ has 9 cysteine residues of which 8 are held together by disulfide bonds to form a disulfide knot while the equivalent cysteine residue binds to the 9th cysteine residue of another TGFβ to form a dimer (Daopin et al., 1992). TGFβ is secreted in a latent form by macrophages and thereafter complexed with two polypeptides: Latent TGFβ (LTBP) and latency associated peptide (LAP). LTBP localizes with microfibrils in fibrillogenesis. The mechanism of TGFβ in fibrosis is the p</w:t>
      </w:r>
      <w:r w:rsidR="001234C9" w:rsidRPr="00AD6A02">
        <w:t>romotion of matrix deposition by</w:t>
      </w:r>
      <w:r w:rsidR="00337248" w:rsidRPr="00AD6A02">
        <w:t xml:space="preserve"> mesenchymal cells leading to expression of ECM genes and inhibition of matrix metalloproteinase activity which degrade ECM (Wynn, 2008), LAP binds to fibrillin in the ECM and promotes cell differentiation. Plasmin catalyses the release of active TGFβ from the latent complex. TGFβ, therefore is a mitogen in the presence of TGFα, a chemoattractant, and plays significant role in cell proliferation and differentiation.</w:t>
      </w:r>
    </w:p>
    <w:p w:rsidR="00586198" w:rsidRPr="00AD6A02" w:rsidRDefault="00586198" w:rsidP="00FE5FEC">
      <w:pPr>
        <w:ind w:left="720"/>
        <w:rPr>
          <w:b/>
        </w:rPr>
      </w:pPr>
      <w:r w:rsidRPr="00AD6A02">
        <w:rPr>
          <w:rFonts w:eastAsia="Times New Roman"/>
          <w:b/>
        </w:rPr>
        <w:t xml:space="preserve">Transforming growth factor β (TGFβ) signalling </w:t>
      </w:r>
      <w:r w:rsidRPr="00AD6A02">
        <w:rPr>
          <w:b/>
        </w:rPr>
        <w:t>pathway.</w:t>
      </w:r>
    </w:p>
    <w:p w:rsidR="00586198" w:rsidRPr="00AD6A02" w:rsidRDefault="00586198" w:rsidP="00586198">
      <w:pPr>
        <w:ind w:left="720"/>
      </w:pPr>
      <w:r w:rsidRPr="00AD6A02">
        <w:t xml:space="preserve">The </w:t>
      </w:r>
      <w:r w:rsidRPr="00AD6A02">
        <w:rPr>
          <w:bCs/>
        </w:rPr>
        <w:t>transforming growth factor beta (TGFβ) signalling pathway</w:t>
      </w:r>
      <w:r w:rsidRPr="00AD6A02">
        <w:t xml:space="preserve"> is seen in many cellular processes of cell growth, differentiation, homeostasis and fibrosis. This pathway serves as a regulatory mechanism in many cellular processes. </w:t>
      </w:r>
      <w:r w:rsidR="00496787" w:rsidRPr="00AD6A02">
        <w:t>Intracellular TGF-β has both canonical and non-canonical signalling pathways. The canonical pathway</w:t>
      </w:r>
      <w:r w:rsidRPr="00AD6A02">
        <w:t xml:space="preserve"> involves the binding of TGFβ superfamily such as bone morphogenetic proteins </w:t>
      </w:r>
      <w:r w:rsidRPr="00AD6A02">
        <w:lastRenderedPageBreak/>
        <w:t xml:space="preserve">((BMPs) and growth and differentiation factors (GDFs) to a type II receptor (serine/threonine receptor kinase). This results to recruitment and subsequently phosphorylates a type I receptor which further phosphorylates receptor regulated SMADs (R-SMADs). </w:t>
      </w:r>
    </w:p>
    <w:p w:rsidR="00586198" w:rsidRPr="00AD6A02" w:rsidRDefault="00586198" w:rsidP="00586198">
      <w:pPr>
        <w:ind w:left="720"/>
      </w:pPr>
      <w:r w:rsidRPr="00AD6A02">
        <w:t xml:space="preserve">R-SMADs binds with a coSMAD (SMAD4) to form a complex R-SMAD/coSMAD. Theses complexes accumulate within the nucleus and function as transcription factor of DNA thereby participating in the regulation of target gene expression. </w:t>
      </w:r>
    </w:p>
    <w:p w:rsidR="00586198" w:rsidRPr="00AD6A02" w:rsidRDefault="00586198" w:rsidP="00586198">
      <w:pPr>
        <w:ind w:left="720"/>
      </w:pPr>
      <w:r w:rsidRPr="00AD6A02">
        <w:t>BMP are involved in the transcription of mRNAs in cellular processes such as cell differentiation by binding to bone morphogenetic protein receptor type-2 (BMPR2). TGF betas begin the transcription of mRNAs involved in cell differentiation and extracellular matrix dynamics by binding to TGF-beta receptor type-2 (TGFBR2).</w:t>
      </w:r>
    </w:p>
    <w:p w:rsidR="0017141B" w:rsidRPr="00AD6A02" w:rsidRDefault="00586198" w:rsidP="00586198">
      <w:pPr>
        <w:ind w:left="720"/>
      </w:pPr>
      <w:r w:rsidRPr="00AD6A02">
        <w:t>The TGF beta signalling pathway is well regulated by mechanisms that either modulate the pathway positively or negatively. This involves agonists for ligands and R-SMADs, ubiquinated R-SMADs and receptors and also decoy receptors.</w:t>
      </w:r>
    </w:p>
    <w:p w:rsidR="00586198" w:rsidRPr="00AD6A02" w:rsidRDefault="0017141B" w:rsidP="0017141B">
      <w:pPr>
        <w:ind w:left="720"/>
      </w:pPr>
      <w:r w:rsidRPr="00AD6A02">
        <w:t xml:space="preserve">The non-canonical pathway to the nucleus include mitogen-activated protein kinases (MAPK), phosphatidylinositol-4,5-bisphosphate 3-kinase (PI3K), AKT/PKB pathway and GTP-binding proteins (Ras, RhoA, Rac1, CDC42, and mTOR). </w:t>
      </w:r>
      <w:r w:rsidR="00586198" w:rsidRPr="00AD6A02">
        <w:t xml:space="preserve"> </w:t>
      </w:r>
    </w:p>
    <w:p w:rsidR="00337248" w:rsidRPr="00AD6A02" w:rsidRDefault="00A36DF9" w:rsidP="00FE5FEC">
      <w:pPr>
        <w:pStyle w:val="Heading4"/>
        <w:ind w:firstLine="720"/>
        <w:rPr>
          <w:rFonts w:eastAsia="Times New Roman"/>
        </w:rPr>
      </w:pPr>
      <w:bookmarkStart w:id="47" w:name="_1t3h5sf" w:colFirst="0" w:colLast="0"/>
      <w:bookmarkStart w:id="48" w:name="_Toc506232306"/>
      <w:bookmarkEnd w:id="47"/>
      <w:r w:rsidRPr="00AD6A02">
        <w:rPr>
          <w:rFonts w:eastAsia="Times New Roman"/>
        </w:rPr>
        <w:t>1.8</w:t>
      </w:r>
      <w:r w:rsidR="00693102" w:rsidRPr="00AD6A02">
        <w:rPr>
          <w:rFonts w:eastAsia="Times New Roman"/>
        </w:rPr>
        <w:t>.2 Connective tissue growth f</w:t>
      </w:r>
      <w:r w:rsidR="00337248" w:rsidRPr="00AD6A02">
        <w:rPr>
          <w:rFonts w:eastAsia="Times New Roman"/>
        </w:rPr>
        <w:t>actor (CTGF CNN2)</w:t>
      </w:r>
      <w:bookmarkEnd w:id="48"/>
    </w:p>
    <w:p w:rsidR="00337248" w:rsidRDefault="00337248" w:rsidP="00FE5FEC">
      <w:pPr>
        <w:ind w:left="720"/>
      </w:pPr>
      <w:r w:rsidRPr="00AD6A02">
        <w:t xml:space="preserve">CTGF is a member of the CCN chemokine gene family (CNN2) (Moussad and Brigstock, 2000). They are matricellular proteins that are crucial in the signalling and regulatory role of molecules, and are also involved in biological functions such as cell proliferation, wound healing and angiogenesis (Holbourn et al., 2008). The CCN family regulates chemotaxis, vascularization, mitogenesis of fibroblasts, angiogenesis, adhesion and ECM dynamics in wound healing (Holbourn et al., 2008). CTGF is known to cause mesangial hypertrophy </w:t>
      </w:r>
      <w:r>
        <w:t>in fibrotic diseases like diabetic nephropathy (Wahab et al., 2002, Wahab et al., 2001),</w:t>
      </w:r>
      <w:r w:rsidR="0033609A">
        <w:t xml:space="preserve"> and</w:t>
      </w:r>
      <w:r>
        <w:t xml:space="preserve"> its </w:t>
      </w:r>
      <w:r>
        <w:lastRenderedPageBreak/>
        <w:t xml:space="preserve">concentration is increased in diseased kidneys evidenced by high level of tropomoysin receptor kinase A activity (TrKA), (Fragiadaki et al., 2012). CTGF causes increased ECM synthesis, hypertrophy, and glomerulointerstitial fibrosis (Mason, 2013).  Conclusively, CTGF contributes to fibrosis of major organs in fibroproliferative diseases, and remodelling of physiological activities within the ECM. </w:t>
      </w:r>
    </w:p>
    <w:p w:rsidR="00337248" w:rsidRDefault="00A36DF9" w:rsidP="00FE5FEC">
      <w:pPr>
        <w:pStyle w:val="Heading3"/>
        <w:ind w:firstLine="720"/>
        <w:rPr>
          <w:rFonts w:eastAsia="Times New Roman"/>
        </w:rPr>
      </w:pPr>
      <w:bookmarkStart w:id="49" w:name="_4d34og8" w:colFirst="0" w:colLast="0"/>
      <w:bookmarkStart w:id="50" w:name="_Toc506232307"/>
      <w:bookmarkEnd w:id="49"/>
      <w:r>
        <w:rPr>
          <w:rFonts w:eastAsia="Times New Roman"/>
        </w:rPr>
        <w:t>1.9</w:t>
      </w:r>
      <w:r w:rsidR="00337248">
        <w:rPr>
          <w:rFonts w:eastAsia="Times New Roman"/>
        </w:rPr>
        <w:t xml:space="preserve"> Myofibroblasts</w:t>
      </w:r>
      <w:bookmarkEnd w:id="50"/>
    </w:p>
    <w:p w:rsidR="00337248" w:rsidRPr="00C073AE" w:rsidRDefault="00337248" w:rsidP="00FE5FEC">
      <w:pPr>
        <w:ind w:left="720"/>
      </w:pPr>
      <w:r w:rsidRPr="00C073AE">
        <w:t>Myofibroblasts are of dive</w:t>
      </w:r>
      <w:r w:rsidR="00042598">
        <w:t>rse and controversial origin.</w:t>
      </w:r>
      <w:r w:rsidRPr="00C073AE">
        <w:t xml:space="preserve"> </w:t>
      </w:r>
      <w:r w:rsidR="00042598">
        <w:t>T</w:t>
      </w:r>
      <w:r w:rsidRPr="00C073AE">
        <w:t>here is migration and differentiation of bone marrow mesenchymal stem cells to myofibroblasts at an injury site, dedifferentiation to mesenchyma markers by epithelial cells via EMT, and expansion and activation of resident tissue fibroblasts to myofibroblasts (Piera-Velazquez et al., 2011, Hu and Phan, 2013). Duffield, (2012) reported that myofibroblasts are not migratory but rather are di</w:t>
      </w:r>
      <w:r w:rsidR="00326D7E">
        <w:t>fferentiated</w:t>
      </w:r>
      <w:r w:rsidRPr="00C073AE">
        <w:t xml:space="preserve"> from resident mesenchymal cells (Duffield, 2012), while Hinz et al. 2007 are of the opinion that myofibroblasts are usually not normal constituents of tissues but may be found in some specialized tissues (Hinz et al., 2007). Conclusively, they are found at site of injury and disappear after wound healing by apoptosis, but, with persistent injury myofibroblasts may persist at an injury site and lead to chronic fibrosis (Hu and Phan, 2013). They are therefore, one </w:t>
      </w:r>
      <w:r w:rsidR="006701E7">
        <w:t>of the players responsible for ECM</w:t>
      </w:r>
      <w:r w:rsidRPr="00C073AE">
        <w:t xml:space="preserve"> synthesis in fibrotic diseases. </w:t>
      </w:r>
    </w:p>
    <w:p w:rsidR="00337248" w:rsidRDefault="00A36DF9" w:rsidP="00FE5FEC">
      <w:pPr>
        <w:pStyle w:val="Heading3"/>
        <w:ind w:firstLine="720"/>
        <w:rPr>
          <w:rFonts w:eastAsia="Times New Roman"/>
        </w:rPr>
      </w:pPr>
      <w:bookmarkStart w:id="51" w:name="_2s8eyo1" w:colFirst="0" w:colLast="0"/>
      <w:bookmarkStart w:id="52" w:name="_Toc506232308"/>
      <w:bookmarkEnd w:id="51"/>
      <w:r>
        <w:rPr>
          <w:rFonts w:eastAsia="Times New Roman"/>
        </w:rPr>
        <w:t>1.10</w:t>
      </w:r>
      <w:r w:rsidR="00337248">
        <w:rPr>
          <w:rFonts w:eastAsia="Times New Roman"/>
        </w:rPr>
        <w:t xml:space="preserve"> Other fibrogenic factors involved in diseases</w:t>
      </w:r>
      <w:bookmarkEnd w:id="52"/>
    </w:p>
    <w:p w:rsidR="00337248" w:rsidRDefault="00337248" w:rsidP="00FE5FEC">
      <w:pPr>
        <w:ind w:left="720"/>
      </w:pPr>
      <w:r>
        <w:t>These are proteins involved in the pathogenesis of fibrosis. Examples are the enzymes carboxypeptidase B</w:t>
      </w:r>
      <w:r w:rsidR="00326D7E">
        <w:t>2</w:t>
      </w:r>
      <w:r>
        <w:t>, tranglutaminase (TG), and</w:t>
      </w:r>
      <w:r>
        <w:rPr>
          <w:b/>
        </w:rPr>
        <w:t xml:space="preserve"> </w:t>
      </w:r>
      <w:r>
        <w:t>the non-enzymic formation of advanced glycation end-products (AGEs).</w:t>
      </w:r>
    </w:p>
    <w:p w:rsidR="00337248" w:rsidRDefault="00A36DF9" w:rsidP="00FE5FEC">
      <w:pPr>
        <w:pStyle w:val="Heading4"/>
        <w:ind w:firstLine="720"/>
        <w:rPr>
          <w:rFonts w:eastAsia="Times New Roman"/>
        </w:rPr>
      </w:pPr>
      <w:bookmarkStart w:id="53" w:name="_17dp8vu" w:colFirst="0" w:colLast="0"/>
      <w:bookmarkStart w:id="54" w:name="_Toc506232309"/>
      <w:bookmarkEnd w:id="53"/>
      <w:r>
        <w:rPr>
          <w:rFonts w:eastAsia="Times New Roman"/>
        </w:rPr>
        <w:t>1.10</w:t>
      </w:r>
      <w:r w:rsidR="00337248">
        <w:rPr>
          <w:rFonts w:eastAsia="Times New Roman"/>
        </w:rPr>
        <w:t>.1 Transglutaminase 2 (TG2)</w:t>
      </w:r>
      <w:bookmarkEnd w:id="54"/>
    </w:p>
    <w:p w:rsidR="00337248" w:rsidRDefault="00337248" w:rsidP="00FE5FEC">
      <w:pPr>
        <w:ind w:left="720"/>
      </w:pPr>
      <w:r>
        <w:t xml:space="preserve">Also known as tissue transglutaminase, it is an enzyme involved in covalent bond formation between a free amine group and an acyl group with the formation of ammonia. This bond is resistant to proteolysis. TG2 forms extensive, insoluble, stable cross linked polymers (ε-(γ-glutamyl)lysine) in the ECM, clots, and in scar tissue. TG2 can also </w:t>
      </w:r>
      <w:r>
        <w:lastRenderedPageBreak/>
        <w:t>enhance migration and activation of LTBP (TGF-β1) found in fibrosis. ECM crosslinked by TG2 is thought to be resistant to the action of proteinases (Bains, 2013).</w:t>
      </w:r>
    </w:p>
    <w:p w:rsidR="00337248" w:rsidRDefault="00526456" w:rsidP="00FE5FEC">
      <w:pPr>
        <w:ind w:firstLine="720"/>
      </w:pPr>
      <w:r>
        <w:t>Role</w:t>
      </w:r>
      <w:r w:rsidR="00337248">
        <w:t>s of Transglutaminase 2</w:t>
      </w:r>
    </w:p>
    <w:p w:rsidR="00337248" w:rsidRDefault="00337248" w:rsidP="00B702A5">
      <w:pPr>
        <w:pStyle w:val="ListParagraph"/>
        <w:numPr>
          <w:ilvl w:val="0"/>
          <w:numId w:val="29"/>
        </w:numPr>
      </w:pPr>
      <w:r>
        <w:t xml:space="preserve">Chronic diabetic nephropathy: The polymer formed by TG2 causes thickening of the basement membrane and expansion of renal epithelial cells with increase in ECM (Huang et al., 2009, Skill et al., 2004). </w:t>
      </w:r>
    </w:p>
    <w:p w:rsidR="00526456" w:rsidRDefault="00337248" w:rsidP="00B702A5">
      <w:pPr>
        <w:pStyle w:val="ListParagraph"/>
        <w:numPr>
          <w:ilvl w:val="0"/>
          <w:numId w:val="29"/>
        </w:numPr>
      </w:pPr>
      <w:r>
        <w:t>Diagnostic /Predictive tool: Urin</w:t>
      </w:r>
      <w:r w:rsidR="008D5F2A">
        <w:t>ary TG2:</w:t>
      </w:r>
      <w:r>
        <w:t>creatinine ratio has been suggested by some researchers to be a better non-invasive predictor i</w:t>
      </w:r>
      <w:r w:rsidR="008D5F2A">
        <w:t>n progressive CKD than albumin:</w:t>
      </w:r>
      <w:r>
        <w:t xml:space="preserve">creatinine ratio (Lodge et al., 2013). </w:t>
      </w:r>
    </w:p>
    <w:p w:rsidR="00337248" w:rsidRDefault="00337248" w:rsidP="00B702A5">
      <w:pPr>
        <w:pStyle w:val="ListParagraph"/>
        <w:numPr>
          <w:ilvl w:val="0"/>
          <w:numId w:val="29"/>
        </w:numPr>
      </w:pPr>
      <w:r>
        <w:t xml:space="preserve">Inhibition of TG2 also reduces ECM deposition (Skill et al., 2004). </w:t>
      </w:r>
    </w:p>
    <w:p w:rsidR="00337248" w:rsidRPr="00C073AE" w:rsidRDefault="00A36DF9" w:rsidP="00FE5FEC">
      <w:pPr>
        <w:pStyle w:val="Heading4"/>
        <w:ind w:firstLine="720"/>
      </w:pPr>
      <w:bookmarkStart w:id="55" w:name="_3rdcrjn" w:colFirst="0" w:colLast="0"/>
      <w:bookmarkStart w:id="56" w:name="_Toc506232310"/>
      <w:bookmarkEnd w:id="55"/>
      <w:r>
        <w:t>1.10</w:t>
      </w:r>
      <w:r w:rsidR="00337248" w:rsidRPr="00C073AE">
        <w:t>.2 Advanced glycation end-products (AGEs)</w:t>
      </w:r>
      <w:bookmarkEnd w:id="56"/>
    </w:p>
    <w:p w:rsidR="00337248" w:rsidRDefault="00337248" w:rsidP="00FE5FEC">
      <w:pPr>
        <w:ind w:left="720"/>
      </w:pPr>
      <w:r>
        <w:t xml:space="preserve">AGEs are formed by the Maillard reaction. A reducing sugar, for example glucose, reacts with an amino group of a protein, lipid or nucleic acid non-enzymatically, to form Schiff bases and Amadori products. The rearrangement of Amadori products either through an oxidative or non-oxidative pathway yields advanced glycation end-products (Singh et al., 2001). However, degradation of glucose and Schiff base, and reaction of Amadori products can also yield AGEs (α-oxoaldehydes) (Odani et al., 1999, Singh et al., 2001). AGEs formation is favoured by a high concentration of glucose in the early Maillard reaction and this is what happens in diabetes (Furth, 1997). As with TG2 the formation of covalent bonds between ECM components confers resistance to proteinases. The rate of glycation is faster with intracellular sugars such as glucose -6-phosphate, or fructose when compared to glucose. The basement membrane is the prime extracellular target of AGEs but myelin, plasminogen activators and fibrinogen are also affected. Affected cells are less pliable, more rigid and subjected to damage. In chronic diseases like diabetes and its </w:t>
      </w:r>
      <w:r>
        <w:lastRenderedPageBreak/>
        <w:t>complicat</w:t>
      </w:r>
      <w:r w:rsidR="00B621DF">
        <w:t>ion such as DN</w:t>
      </w:r>
      <w:r>
        <w:t xml:space="preserve"> increasing AGEs accumulation correlates with severity of the disease (Sugiyama et al., 1996, Singh et al., 2001, Vistoli et al., 2013). </w:t>
      </w:r>
    </w:p>
    <w:p w:rsidR="00337248" w:rsidRDefault="00337248" w:rsidP="00FE5FEC">
      <w:pPr>
        <w:ind w:left="720"/>
      </w:pPr>
      <w:r>
        <w:t xml:space="preserve">Its pathology is increased by its signaling pathway with the binding of AGEs to receptors (RAGE) which are found on almost all cells and subsequent accumulation of AGEs (Shaikh and Nicholson, 2008). </w:t>
      </w:r>
    </w:p>
    <w:p w:rsidR="00337248" w:rsidRDefault="00A36DF9" w:rsidP="00FE5FEC">
      <w:pPr>
        <w:pStyle w:val="Heading4"/>
        <w:ind w:firstLine="720"/>
        <w:rPr>
          <w:rFonts w:eastAsia="Times New Roman"/>
        </w:rPr>
      </w:pPr>
      <w:bookmarkStart w:id="57" w:name="_26in1rg" w:colFirst="0" w:colLast="0"/>
      <w:bookmarkStart w:id="58" w:name="_Toc506232311"/>
      <w:bookmarkEnd w:id="57"/>
      <w:r>
        <w:rPr>
          <w:rFonts w:eastAsia="Times New Roman"/>
        </w:rPr>
        <w:t>1.10</w:t>
      </w:r>
      <w:r w:rsidR="00337248">
        <w:rPr>
          <w:rFonts w:eastAsia="Times New Roman"/>
        </w:rPr>
        <w:t>.3 Tissue inhibit</w:t>
      </w:r>
      <w:r w:rsidR="00246F07">
        <w:rPr>
          <w:rFonts w:eastAsia="Times New Roman"/>
        </w:rPr>
        <w:t>ion of metalloproteinases (TIMPs</w:t>
      </w:r>
      <w:r w:rsidR="00337248">
        <w:rPr>
          <w:rFonts w:eastAsia="Times New Roman"/>
        </w:rPr>
        <w:t>)</w:t>
      </w:r>
      <w:bookmarkEnd w:id="58"/>
    </w:p>
    <w:p w:rsidR="00337248" w:rsidRDefault="00337248" w:rsidP="00FE5FEC">
      <w:pPr>
        <w:ind w:left="720"/>
      </w:pPr>
      <w:bookmarkStart w:id="59" w:name="_lnxbz9" w:colFirst="0" w:colLast="0"/>
      <w:bookmarkEnd w:id="59"/>
      <w:r>
        <w:t xml:space="preserve">These are inhibitors of some metallopeptidases of the matrixin group (matrixins) </w:t>
      </w:r>
      <w:r w:rsidR="00AA3BF5">
        <w:t>(George, 1998)</w:t>
      </w:r>
      <w:r>
        <w:rPr>
          <w:color w:val="FF0000"/>
        </w:rPr>
        <w:t xml:space="preserve"> </w:t>
      </w:r>
      <w:r>
        <w:t>for example MMPs, ADAMs, ADAMTs. Four gene products exist in human: TIMP-1, TIMP-2, TIMP-3 and TIM</w:t>
      </w:r>
      <w:r w:rsidR="00FE5FEC">
        <w:t>P-4. They belong to clan IT and</w:t>
      </w:r>
      <w:r>
        <w:t xml:space="preserve"> family I35 in the Merops cl</w:t>
      </w:r>
      <w:r w:rsidR="00CE66EE">
        <w:t xml:space="preserve">assification, (Rawlings et al., </w:t>
      </w:r>
      <w:r>
        <w:t>2014). TIMPs were first discovered in 1975 by fractionation of human serum proteins (Woolley et al., 1975). They are endogenous inhibitors of matrix metalloproteinases (MMPs) and disintegrin me</w:t>
      </w:r>
      <w:r w:rsidR="00246F07">
        <w:t>talloproteinases (ADAMs and ADAMTs</w:t>
      </w:r>
      <w:r>
        <w:t>). The effect of TIMPs on phenotype is important as it influences ECM accumulation, adhesion of molecules, cytokines, chemokines and growth factor activity (Murphy, 2011). They are non-selective in their inhibitory activity, which occurs by inserting its N-terminal domain into the active site of the enzyme. The absence of TIMPs may result in worsening of disease state, for example the absence of TIMP-3 can</w:t>
      </w:r>
      <w:r w:rsidR="00E97D5A">
        <w:t xml:space="preserve"> exacerbate DN</w:t>
      </w:r>
      <w:r>
        <w:t xml:space="preserve"> (Basu et al., 2012), while absence of TIMP-1 enhances deterioration of allergic asthma (Sands et al., 2009). A recent study has also shown that TIMPS have non-inhibitory functions in mammals (Murphy, 2011). </w:t>
      </w:r>
    </w:p>
    <w:p w:rsidR="00337248" w:rsidRPr="006D389E" w:rsidRDefault="00A36DF9" w:rsidP="00FE5FEC">
      <w:pPr>
        <w:pStyle w:val="Heading3"/>
        <w:ind w:firstLine="720"/>
      </w:pPr>
      <w:bookmarkStart w:id="60" w:name="_Toc506232312"/>
      <w:r>
        <w:t>1.11</w:t>
      </w:r>
      <w:r w:rsidR="00337248" w:rsidRPr="006D389E">
        <w:t xml:space="preserve"> Carboxypeptidase B2: structure and characteristics.</w:t>
      </w:r>
      <w:bookmarkEnd w:id="60"/>
    </w:p>
    <w:p w:rsidR="00337248" w:rsidRDefault="00337248" w:rsidP="00FE5FEC">
      <w:pPr>
        <w:ind w:left="720"/>
        <w:rPr>
          <w:u w:val="single"/>
        </w:rPr>
      </w:pPr>
      <w:r>
        <w:t xml:space="preserve">Carboxypeptidase B2 is also known as arginine carboxypeptidase, </w:t>
      </w:r>
      <w:r w:rsidR="00326D7E">
        <w:t xml:space="preserve">carboxypeptidase U, </w:t>
      </w:r>
      <w:r>
        <w:t>brain specific carboxypeptidase B, plasma carboxypeptidase B, and thrombin activatable fibrinolysis inhibitor (TAFI). It is a peptidase, that belongs to clan MC, family M14 (Carboxypeptidase A family), and subfamily M14.009 with NC-IUBMB 3.4.17.20 (Rawlings et al., 2014). Members of this</w:t>
      </w:r>
      <w:r w:rsidR="00804842">
        <w:t xml:space="preserve"> family of carboxypeptidases were</w:t>
      </w:r>
      <w:r>
        <w:t xml:space="preserve"> first discovered in 1929, and crystallized in </w:t>
      </w:r>
      <w:r>
        <w:lastRenderedPageBreak/>
        <w:t xml:space="preserve">1935 (Annon, 1935). Carboxypeptidase B was first purified in 1958. It was then largely assumed to be a digestive enzyme secreted by the pancreas (Eaton et al., 1991). The carboxypeptidase A family (M14) contains metallocarboxypeptidases with a zinc ion at the active site, which is coordinated tetrahedrally to two histidine residues, a glutamate and a water molecule. It is synthesized as an inactive zymogen which is activated by proteolytic cleavage to an active enzyme. </w:t>
      </w:r>
    </w:p>
    <w:p w:rsidR="00337248" w:rsidRPr="006D389E" w:rsidRDefault="00337248" w:rsidP="00FE5FEC">
      <w:pPr>
        <w:ind w:left="720"/>
      </w:pPr>
      <w:r>
        <w:t>Most of the peptidases in family M14</w:t>
      </w:r>
      <w:r w:rsidR="00326D7E">
        <w:t xml:space="preserve"> are carboxypeptidases hydrolysing</w:t>
      </w:r>
      <w:r>
        <w:t xml:space="preserve"> single, C- terminal amino acids from polypeptide chains. </w:t>
      </w:r>
      <w:r w:rsidRPr="006D389E">
        <w:t xml:space="preserve">Carboxypeptidase B2 hydrolyses C- terminal peptide bonds to release a lysine or arginine. It has a </w:t>
      </w:r>
      <w:r w:rsidR="00326D7E">
        <w:t>recognition site for the free C-</w:t>
      </w:r>
      <w:r w:rsidR="00FF6277">
        <w:t>t</w:t>
      </w:r>
      <w:r w:rsidRPr="006D389E">
        <w:t>erminal group in proteins and this is a key determinant of specificity. The knowledge of the activity of carboxypeptidase B2 was first reported in 1988 as labile carboxypeptidase (Hendriks et al., 1989, Bouma and Meijers, 2003). It was demonstrated that ion-exchange chromatography separation of fresh human serum yielded two peaks of basic carboxyp</w:t>
      </w:r>
      <w:r w:rsidR="00804842">
        <w:t>eptidase activities with one</w:t>
      </w:r>
      <w:r w:rsidRPr="006D389E">
        <w:t xml:space="preserve"> unstable at 37°C and was </w:t>
      </w:r>
      <w:r w:rsidR="00FF6277" w:rsidRPr="006D389E">
        <w:t>labelled</w:t>
      </w:r>
      <w:r w:rsidRPr="006D389E">
        <w:t xml:space="preserve"> carboxypeptidase U due to its instability, while the other was carboxypeptidase N (Bouma and Meijers, 2003). Bajzar et al showed that carboxypeptidase B2 was activated by thrombin found in the blood clot and therefore called it thrombin activatable fibrinolysis inhibitor (TAFI) (Bajzar et al., 1995).</w:t>
      </w:r>
    </w:p>
    <w:p w:rsidR="00337248" w:rsidRDefault="00A36DF9" w:rsidP="00A73C13">
      <w:pPr>
        <w:pStyle w:val="Heading4"/>
        <w:ind w:firstLine="720"/>
      </w:pPr>
      <w:bookmarkStart w:id="61" w:name="_35nkun2" w:colFirst="0" w:colLast="0"/>
      <w:bookmarkStart w:id="62" w:name="_Toc506232313"/>
      <w:bookmarkEnd w:id="61"/>
      <w:r>
        <w:t>1.11</w:t>
      </w:r>
      <w:r w:rsidR="006D389E">
        <w:t>.1</w:t>
      </w:r>
      <w:r w:rsidR="00337248">
        <w:t xml:space="preserve"> Activation of carboxypeptidase B2 </w:t>
      </w:r>
      <w:r w:rsidR="00C16C91">
        <w:t>(CPB2)</w:t>
      </w:r>
      <w:bookmarkEnd w:id="62"/>
    </w:p>
    <w:p w:rsidR="00337248" w:rsidRDefault="00337248" w:rsidP="00A73C13">
      <w:pPr>
        <w:ind w:left="720"/>
      </w:pPr>
      <w:r>
        <w:t>Carboxypeptidase B2 is synthesized in the liver by megakaryocytes as a prepropeptide, with a plasma concentration of 4-15 µg/ml. However, a very low amount may also be found in the platelet, said to be less than 0.1% of total amount in blood (Colucci and Semeraro, 2012)</w:t>
      </w:r>
      <w:r w:rsidR="00326D7E">
        <w:t>, it is also made by the kidney cells (Section</w:t>
      </w:r>
      <w:r w:rsidR="00AD74C1">
        <w:t xml:space="preserve"> 5.3)</w:t>
      </w:r>
      <w:r>
        <w:t xml:space="preserve">. The molecule has a molecular weight of 55 kDa and contains 423 amino acids, it consists of a pro-peptide moiety (activation peptide), which is about 25% of the entire length of the peptidase. The activation peptide is glycosylated and therefore gives it more stability and increases the half-life (Bouma </w:t>
      </w:r>
      <w:r>
        <w:lastRenderedPageBreak/>
        <w:t xml:space="preserve">and Meijers, 2003). The signal peptide is removed cotranslationally and the propeptidase is secreted to yield carboxypeptidase B2 with 401 aa. This is proteolytically activated by cleaving the procarboxypeptidase at Arg-92 </w:t>
      </w:r>
      <w:r w:rsidR="00326D7E">
        <w:t xml:space="preserve">by </w:t>
      </w:r>
      <w:r>
        <w:t>plasmin, thrombin or trypsin to yield active carboxypeptidase with 309 aa, an</w:t>
      </w:r>
      <w:r w:rsidR="006D389E">
        <w:t>d the activation peptide (Fig</w:t>
      </w:r>
      <w:r>
        <w:t xml:space="preserve"> 1.6).</w:t>
      </w:r>
    </w:p>
    <w:p w:rsidR="00386020" w:rsidRDefault="00337248" w:rsidP="00A73C13">
      <w:pPr>
        <w:ind w:left="720"/>
      </w:pPr>
      <w:r w:rsidRPr="006D389E">
        <w:t>Plasmin and thrombin have low catalytic activity on carboxypeptidase B2 (Colucci and Semeraro, 2012). It would therefore require a high concentration to carry out its activity. However, this can be improved with thrombomodulin combined with thrombin and glycosaminoglycans with plasmin. These combinations increase the efficiency of thrombin by &gt; 1000 fold and that of plasmin by 15 fold (Leurs and Hendriks, 2005, Colucci and Semeraro, 2012).</w:t>
      </w:r>
    </w:p>
    <w:p w:rsidR="00A73C13" w:rsidRPr="006D389E" w:rsidRDefault="00A73C13" w:rsidP="00586198">
      <w:pPr>
        <w:spacing w:after="160" w:line="259" w:lineRule="auto"/>
        <w:jc w:val="left"/>
      </w:pPr>
    </w:p>
    <w:p w:rsidR="00DF3639" w:rsidRPr="00624651" w:rsidRDefault="0001115D" w:rsidP="0001115D">
      <w:pPr>
        <w:spacing w:after="0"/>
        <w:rPr>
          <w:sz w:val="32"/>
          <w:szCs w:val="32"/>
        </w:rPr>
      </w:pPr>
      <w:r>
        <w:rPr>
          <w:sz w:val="32"/>
          <w:szCs w:val="32"/>
        </w:rPr>
        <w:t xml:space="preserve">      </w:t>
      </w:r>
      <w:r w:rsidR="00DF3639" w:rsidRPr="00624651">
        <w:rPr>
          <w:noProof/>
          <w:sz w:val="32"/>
          <w:szCs w:val="32"/>
          <w:lang w:eastAsia="en-GB"/>
        </w:rPr>
        <w:drawing>
          <wp:inline distT="0" distB="0" distL="0" distR="0" wp14:anchorId="5383C568" wp14:editId="0588A687">
            <wp:extent cx="4610100" cy="1685925"/>
            <wp:effectExtent l="0" t="0" r="0" b="0"/>
            <wp:docPr id="363" name="Picture 36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2"/>
                    <a:srcRect t="20914" r="287" b="21755"/>
                    <a:stretch/>
                  </pic:blipFill>
                  <pic:spPr bwMode="auto">
                    <a:xfrm>
                      <a:off x="0" y="0"/>
                      <a:ext cx="4610100" cy="1685925"/>
                    </a:xfrm>
                    <a:prstGeom prst="rect">
                      <a:avLst/>
                    </a:prstGeom>
                    <a:ln>
                      <a:noFill/>
                    </a:ln>
                    <a:extLst>
                      <a:ext uri="{53640926-AAD7-44D8-BBD7-CCE9431645EC}">
                        <a14:shadowObscured xmlns:a14="http://schemas.microsoft.com/office/drawing/2010/main"/>
                      </a:ext>
                    </a:extLst>
                  </pic:spPr>
                </pic:pic>
              </a:graphicData>
            </a:graphic>
          </wp:inline>
        </w:drawing>
      </w:r>
      <w:r w:rsidR="00337248" w:rsidRPr="00624651">
        <w:rPr>
          <w:sz w:val="32"/>
          <w:szCs w:val="32"/>
        </w:rPr>
        <w:t xml:space="preserve">    </w:t>
      </w:r>
    </w:p>
    <w:p w:rsidR="00337248" w:rsidRDefault="0001115D" w:rsidP="00624651">
      <w:pPr>
        <w:spacing w:after="0"/>
        <w:rPr>
          <w:sz w:val="20"/>
          <w:szCs w:val="20"/>
        </w:rPr>
      </w:pPr>
      <w:r>
        <w:rPr>
          <w:sz w:val="32"/>
          <w:szCs w:val="32"/>
        </w:rPr>
        <w:t xml:space="preserve">    </w:t>
      </w:r>
      <w:r>
        <w:rPr>
          <w:sz w:val="32"/>
          <w:szCs w:val="32"/>
        </w:rPr>
        <w:tab/>
      </w:r>
      <w:r w:rsidR="00624651">
        <w:rPr>
          <w:sz w:val="32"/>
          <w:szCs w:val="32"/>
        </w:rPr>
        <w:t xml:space="preserve">  </w:t>
      </w:r>
      <w:r w:rsidR="00DF3639">
        <w:rPr>
          <w:noProof/>
          <w:lang w:eastAsia="en-GB"/>
        </w:rPr>
        <w:drawing>
          <wp:inline distT="0" distB="0" distL="0" distR="0" wp14:anchorId="4FE09473" wp14:editId="75ABE693">
            <wp:extent cx="4238625" cy="647700"/>
            <wp:effectExtent l="0" t="0" r="0" b="0"/>
            <wp:docPr id="364" name="Picture 36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2"/>
                    <a:srcRect t="77884" r="16241" b="-1682"/>
                    <a:stretch/>
                  </pic:blipFill>
                  <pic:spPr bwMode="auto">
                    <a:xfrm>
                      <a:off x="0" y="0"/>
                      <a:ext cx="4238625" cy="647700"/>
                    </a:xfrm>
                    <a:prstGeom prst="rect">
                      <a:avLst/>
                    </a:prstGeom>
                    <a:ln>
                      <a:noFill/>
                    </a:ln>
                    <a:extLst>
                      <a:ext uri="{53640926-AAD7-44D8-BBD7-CCE9431645EC}">
                        <a14:shadowObscured xmlns:a14="http://schemas.microsoft.com/office/drawing/2010/main"/>
                      </a:ext>
                    </a:extLst>
                  </pic:spPr>
                </pic:pic>
              </a:graphicData>
            </a:graphic>
          </wp:inline>
        </w:drawing>
      </w:r>
    </w:p>
    <w:p w:rsidR="00337248" w:rsidRDefault="00337248" w:rsidP="00337248">
      <w:pPr>
        <w:spacing w:after="0"/>
        <w:rPr>
          <w:sz w:val="20"/>
          <w:szCs w:val="20"/>
        </w:rPr>
      </w:pPr>
    </w:p>
    <w:p w:rsidR="00337248" w:rsidRDefault="006D389E" w:rsidP="00A73C13">
      <w:pPr>
        <w:pStyle w:val="LegText"/>
        <w:ind w:left="720"/>
      </w:pPr>
      <w:bookmarkStart w:id="63" w:name="_Toc504640563"/>
      <w:r w:rsidRPr="00A73C13">
        <w:rPr>
          <w:rStyle w:val="SubtitleChar"/>
        </w:rPr>
        <w:t xml:space="preserve">Figure </w:t>
      </w:r>
      <w:r w:rsidR="00337248" w:rsidRPr="00A73C13">
        <w:rPr>
          <w:rStyle w:val="SubtitleChar"/>
        </w:rPr>
        <w:t>1.6 Schematic representation of activation of carboxypeptidase B2.</w:t>
      </w:r>
      <w:bookmarkEnd w:id="63"/>
      <w:r w:rsidR="00A73C13">
        <w:rPr>
          <w:rStyle w:val="SubtitleChar"/>
        </w:rPr>
        <w:t xml:space="preserve"> </w:t>
      </w:r>
      <w:r w:rsidR="00337248">
        <w:t>Schematic representation of Pre carboxypepdidase B2, carboxypeptidase B2 and activated carboxypeptidase B2. Proteolytic cleavage liberat</w:t>
      </w:r>
      <w:r w:rsidR="00A268AC">
        <w:t xml:space="preserve">es the signal peptide </w:t>
      </w:r>
      <w:r w:rsidR="00337248">
        <w:t>and CPB2 from pre-CPB2. Thrombin±thrombomodulin, plasmin±polysaccharide, or trypsin cleaves CPB2 to releases the activation peptide and active CPB2 (Bajzar, 2000).</w:t>
      </w:r>
    </w:p>
    <w:p w:rsidR="00337248" w:rsidRDefault="00337248" w:rsidP="00337248">
      <w:pPr>
        <w:spacing w:after="0"/>
        <w:rPr>
          <w:rFonts w:eastAsia="Arial" w:cs="Arial"/>
          <w:sz w:val="20"/>
          <w:szCs w:val="20"/>
        </w:rPr>
      </w:pPr>
    </w:p>
    <w:p w:rsidR="00337248" w:rsidRDefault="00A36DF9" w:rsidP="00A73C13">
      <w:pPr>
        <w:pStyle w:val="Heading4"/>
        <w:ind w:firstLine="720"/>
        <w:rPr>
          <w:rFonts w:eastAsia="Times New Roman"/>
        </w:rPr>
      </w:pPr>
      <w:bookmarkStart w:id="64" w:name="_1ksv4uv" w:colFirst="0" w:colLast="0"/>
      <w:bookmarkStart w:id="65" w:name="_Toc506232314"/>
      <w:bookmarkEnd w:id="64"/>
      <w:r>
        <w:rPr>
          <w:rFonts w:eastAsia="Times New Roman"/>
        </w:rPr>
        <w:t>1.11</w:t>
      </w:r>
      <w:r w:rsidR="00337248">
        <w:rPr>
          <w:rFonts w:eastAsia="Times New Roman"/>
        </w:rPr>
        <w:t>.2 Inactivation of carboxypeptidase B2</w:t>
      </w:r>
      <w:bookmarkEnd w:id="65"/>
    </w:p>
    <w:p w:rsidR="00337248" w:rsidRDefault="00154641" w:rsidP="00A73C13">
      <w:pPr>
        <w:ind w:left="720"/>
      </w:pPr>
      <w:r>
        <w:t>Active CP</w:t>
      </w:r>
      <w:r w:rsidR="00337248">
        <w:t xml:space="preserve">B2 can </w:t>
      </w:r>
      <w:r w:rsidR="00AD74C1">
        <w:t>be inactivated by a temperature-</w:t>
      </w:r>
      <w:r w:rsidR="00337248">
        <w:t xml:space="preserve">dependent conformational change, with a proteolytic cleavage at Arg-302 to yield an inactive 25 kDa and 11 kDa fragments (Bouma and Meijers, 2003, </w:t>
      </w:r>
      <w:r w:rsidR="00337248">
        <w:lastRenderedPageBreak/>
        <w:t>Marx et al.</w:t>
      </w:r>
      <w:r w:rsidR="003F3C50">
        <w:t>, 2000). Active CP</w:t>
      </w:r>
      <w:r w:rsidR="00337248">
        <w:t>B2 demonstrated a variable half-life with difference in temperature</w:t>
      </w:r>
      <w:r w:rsidR="00AD74C1">
        <w:t xml:space="preserve"> </w:t>
      </w:r>
      <w:r w:rsidR="00AD74C1">
        <w:rPr>
          <w:rFonts w:cs="Arial"/>
        </w:rPr>
        <w:fldChar w:fldCharType="begin"/>
      </w:r>
      <w:r w:rsidR="00AD74C1">
        <w:rPr>
          <w:rFonts w:cs="Arial"/>
        </w:rPr>
        <w:instrText xml:space="preserve"> ADDIN EN.CITE &lt;EndNote&gt;&lt;Cite&gt;&lt;Author&gt;Boffa&lt;/Author&gt;&lt;Year&gt;1998&lt;/Year&gt;&lt;IDText&gt;Plasma and recombinant thrombin-activable fibrinolysis inhibitor (TAFI) and activated TAFI compared with respect to glycosylation, thrombin/thrombomodulin-dependent activation, thermal stability, and enzymatic properties&lt;/IDText&gt;&lt;DisplayText&gt;(Boffa et al., 1998)&lt;/DisplayText&gt;&lt;record&gt;&lt;isbn&gt;0021-9258&lt;/isbn&gt;&lt;titles&gt;&lt;title&gt;Plasma and recombinant thrombin-activable fibrinolysis inhibitor (TAFI) and activated TAFI compared with respect to glycosylation, thrombin/thrombomodulin-dependent activation, thermal stability, and enzymatic properties&lt;/title&gt;&lt;secondary-title&gt;Journal of Biological Chemistry&lt;/secondary-title&gt;&lt;/titles&gt;&lt;pages&gt;2127-2135&lt;/pages&gt;&lt;number&gt;4&lt;/number&gt;&lt;contributors&gt;&lt;authors&gt;&lt;author&gt;Boffa, Michael B&lt;/author&gt;&lt;author&gt;Wang, Wei&lt;/author&gt;&lt;author&gt;Bajzar, Laszlo&lt;/author&gt;&lt;author&gt;Nesheim, Michael E&lt;/author&gt;&lt;/authors&gt;&lt;/contributors&gt;&lt;added-date format="utc"&gt;1503941109&lt;/added-date&gt;&lt;ref-type name="Journal Article"&gt;17&lt;/ref-type&gt;&lt;dates&gt;&lt;year&gt;1998&lt;/year&gt;&lt;/dates&gt;&lt;rec-number&gt;1960&lt;/rec-number&gt;&lt;last-updated-date format="utc"&gt;1503941109&lt;/last-updated-date&gt;&lt;volume&gt;273&lt;/volume&gt;&lt;/record&gt;&lt;/Cite&gt;&lt;/EndNote&gt;</w:instrText>
      </w:r>
      <w:r w:rsidR="00AD74C1">
        <w:rPr>
          <w:rFonts w:cs="Arial"/>
        </w:rPr>
        <w:fldChar w:fldCharType="separate"/>
      </w:r>
      <w:r w:rsidR="00AD74C1">
        <w:rPr>
          <w:rFonts w:cs="Arial"/>
          <w:noProof/>
        </w:rPr>
        <w:t>(Boffa et al., 1998)</w:t>
      </w:r>
      <w:r w:rsidR="00AD74C1">
        <w:rPr>
          <w:rFonts w:cs="Arial"/>
        </w:rPr>
        <w:fldChar w:fldCharType="end"/>
      </w:r>
      <w:r w:rsidR="00337248">
        <w:t xml:space="preserve"> (Table 1.2). This also emphasizes the thermal insta</w:t>
      </w:r>
      <w:r w:rsidR="003F3C50">
        <w:t>bility of CP</w:t>
      </w:r>
      <w:r w:rsidR="00337248">
        <w:t>B2. GEMSA and anti-coagulants like heparin may improve t</w:t>
      </w:r>
      <w:r w:rsidR="003F3C50">
        <w:t>he stability of CP</w:t>
      </w:r>
      <w:r w:rsidR="00337248">
        <w:t>B2 (Boffa et al., 2000, Bouma and Meijers, 2003).</w:t>
      </w:r>
    </w:p>
    <w:p w:rsidR="00337248" w:rsidRDefault="00337248" w:rsidP="004B5B2B">
      <w:pPr>
        <w:spacing w:after="160" w:line="259" w:lineRule="auto"/>
        <w:jc w:val="left"/>
        <w:rPr>
          <w:rFonts w:eastAsia="Arial" w:cs="Arial"/>
        </w:rPr>
      </w:pPr>
    </w:p>
    <w:tbl>
      <w:tblPr>
        <w:tblW w:w="7065"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55"/>
        <w:gridCol w:w="3510"/>
      </w:tblGrid>
      <w:tr w:rsidR="00337248" w:rsidTr="00386020">
        <w:trPr>
          <w:trHeight w:val="502"/>
        </w:trPr>
        <w:tc>
          <w:tcPr>
            <w:tcW w:w="3555" w:type="dxa"/>
          </w:tcPr>
          <w:p w:rsidR="00337248" w:rsidRDefault="00337248" w:rsidP="00337248">
            <w:pPr>
              <w:rPr>
                <w:rFonts w:eastAsia="Arial" w:cs="Arial"/>
              </w:rPr>
            </w:pPr>
            <w:r>
              <w:rPr>
                <w:rFonts w:eastAsia="Arial" w:cs="Arial"/>
              </w:rPr>
              <w:t>Temperature (Celsius )</w:t>
            </w:r>
          </w:p>
        </w:tc>
        <w:tc>
          <w:tcPr>
            <w:tcW w:w="3510" w:type="dxa"/>
          </w:tcPr>
          <w:p w:rsidR="00337248" w:rsidRDefault="00337248" w:rsidP="00337248">
            <w:pPr>
              <w:rPr>
                <w:rFonts w:eastAsia="Arial" w:cs="Arial"/>
              </w:rPr>
            </w:pPr>
            <w:r>
              <w:rPr>
                <w:rFonts w:eastAsia="Arial" w:cs="Arial"/>
              </w:rPr>
              <w:t>T</w:t>
            </w:r>
            <w:r>
              <w:rPr>
                <w:rFonts w:eastAsia="Arial" w:cs="Arial"/>
                <w:vertAlign w:val="subscript"/>
              </w:rPr>
              <w:t>0.5</w:t>
            </w:r>
          </w:p>
        </w:tc>
      </w:tr>
      <w:tr w:rsidR="00337248" w:rsidTr="00386020">
        <w:trPr>
          <w:trHeight w:val="490"/>
        </w:trPr>
        <w:tc>
          <w:tcPr>
            <w:tcW w:w="3555" w:type="dxa"/>
          </w:tcPr>
          <w:p w:rsidR="00337248" w:rsidRDefault="00337248" w:rsidP="00337248">
            <w:pPr>
              <w:rPr>
                <w:rFonts w:eastAsia="Arial" w:cs="Arial"/>
              </w:rPr>
            </w:pPr>
            <w:r>
              <w:rPr>
                <w:rFonts w:eastAsia="Arial" w:cs="Arial"/>
              </w:rPr>
              <w:t>37</w:t>
            </w:r>
            <w:r>
              <w:rPr>
                <w:rFonts w:eastAsia="Arial" w:cs="Arial"/>
                <w:vertAlign w:val="superscript"/>
              </w:rPr>
              <w:t>o</w:t>
            </w:r>
          </w:p>
        </w:tc>
        <w:tc>
          <w:tcPr>
            <w:tcW w:w="3510" w:type="dxa"/>
          </w:tcPr>
          <w:p w:rsidR="00337248" w:rsidRDefault="00337248" w:rsidP="00337248">
            <w:pPr>
              <w:rPr>
                <w:rFonts w:eastAsia="Arial" w:cs="Arial"/>
              </w:rPr>
            </w:pPr>
            <w:r>
              <w:rPr>
                <w:rFonts w:eastAsia="Arial" w:cs="Arial"/>
              </w:rPr>
              <w:t>10 min</w:t>
            </w:r>
          </w:p>
        </w:tc>
      </w:tr>
      <w:tr w:rsidR="00337248" w:rsidTr="00386020">
        <w:trPr>
          <w:trHeight w:val="502"/>
        </w:trPr>
        <w:tc>
          <w:tcPr>
            <w:tcW w:w="3555" w:type="dxa"/>
          </w:tcPr>
          <w:p w:rsidR="00337248" w:rsidRDefault="00337248" w:rsidP="00337248">
            <w:pPr>
              <w:rPr>
                <w:rFonts w:eastAsia="Arial" w:cs="Arial"/>
              </w:rPr>
            </w:pPr>
            <w:r>
              <w:rPr>
                <w:rFonts w:eastAsia="Arial" w:cs="Arial"/>
              </w:rPr>
              <w:t>30</w:t>
            </w:r>
            <w:r>
              <w:rPr>
                <w:rFonts w:eastAsia="Arial" w:cs="Arial"/>
                <w:vertAlign w:val="superscript"/>
              </w:rPr>
              <w:t>o</w:t>
            </w:r>
          </w:p>
        </w:tc>
        <w:tc>
          <w:tcPr>
            <w:tcW w:w="3510" w:type="dxa"/>
          </w:tcPr>
          <w:p w:rsidR="00337248" w:rsidRDefault="00337248" w:rsidP="00337248">
            <w:pPr>
              <w:rPr>
                <w:rFonts w:eastAsia="Arial" w:cs="Arial"/>
              </w:rPr>
            </w:pPr>
            <w:r>
              <w:rPr>
                <w:rFonts w:eastAsia="Arial" w:cs="Arial"/>
              </w:rPr>
              <w:t>45 min</w:t>
            </w:r>
          </w:p>
        </w:tc>
      </w:tr>
      <w:tr w:rsidR="00337248" w:rsidTr="00386020">
        <w:trPr>
          <w:trHeight w:val="490"/>
        </w:trPr>
        <w:tc>
          <w:tcPr>
            <w:tcW w:w="3555" w:type="dxa"/>
          </w:tcPr>
          <w:p w:rsidR="00337248" w:rsidRDefault="00337248" w:rsidP="00337248">
            <w:pPr>
              <w:rPr>
                <w:rFonts w:eastAsia="Arial" w:cs="Arial"/>
              </w:rPr>
            </w:pPr>
            <w:r>
              <w:rPr>
                <w:rFonts w:eastAsia="Arial" w:cs="Arial"/>
              </w:rPr>
              <w:t>22</w:t>
            </w:r>
            <w:r>
              <w:rPr>
                <w:rFonts w:eastAsia="Arial" w:cs="Arial"/>
                <w:vertAlign w:val="superscript"/>
              </w:rPr>
              <w:t>o</w:t>
            </w:r>
          </w:p>
        </w:tc>
        <w:tc>
          <w:tcPr>
            <w:tcW w:w="3510" w:type="dxa"/>
          </w:tcPr>
          <w:p w:rsidR="00337248" w:rsidRDefault="00337248" w:rsidP="00337248">
            <w:pPr>
              <w:rPr>
                <w:rFonts w:eastAsia="Arial" w:cs="Arial"/>
              </w:rPr>
            </w:pPr>
            <w:r>
              <w:rPr>
                <w:rFonts w:eastAsia="Arial" w:cs="Arial"/>
              </w:rPr>
              <w:t>Several hours</w:t>
            </w:r>
          </w:p>
        </w:tc>
      </w:tr>
      <w:tr w:rsidR="00337248" w:rsidTr="00386020">
        <w:trPr>
          <w:trHeight w:val="502"/>
        </w:trPr>
        <w:tc>
          <w:tcPr>
            <w:tcW w:w="3555" w:type="dxa"/>
          </w:tcPr>
          <w:p w:rsidR="00337248" w:rsidRDefault="00337248" w:rsidP="00337248">
            <w:pPr>
              <w:rPr>
                <w:rFonts w:eastAsia="Arial" w:cs="Arial"/>
              </w:rPr>
            </w:pPr>
            <w:r>
              <w:rPr>
                <w:rFonts w:eastAsia="Arial" w:cs="Arial"/>
              </w:rPr>
              <w:t>0</w:t>
            </w:r>
            <w:r>
              <w:rPr>
                <w:rFonts w:eastAsia="Arial" w:cs="Arial"/>
                <w:vertAlign w:val="superscript"/>
              </w:rPr>
              <w:t>o</w:t>
            </w:r>
          </w:p>
        </w:tc>
        <w:tc>
          <w:tcPr>
            <w:tcW w:w="3510" w:type="dxa"/>
          </w:tcPr>
          <w:p w:rsidR="00337248" w:rsidRDefault="00337248" w:rsidP="00337248">
            <w:pPr>
              <w:rPr>
                <w:rFonts w:eastAsia="Arial" w:cs="Arial"/>
              </w:rPr>
            </w:pPr>
            <w:r>
              <w:rPr>
                <w:rFonts w:eastAsia="Arial" w:cs="Arial"/>
              </w:rPr>
              <w:t>stable</w:t>
            </w:r>
          </w:p>
        </w:tc>
      </w:tr>
    </w:tbl>
    <w:p w:rsidR="00337248" w:rsidRDefault="00337248" w:rsidP="00337248">
      <w:pPr>
        <w:spacing w:after="0"/>
        <w:ind w:left="375"/>
        <w:rPr>
          <w:rFonts w:eastAsia="Arial" w:cs="Arial"/>
        </w:rPr>
      </w:pPr>
      <w:r>
        <w:rPr>
          <w:rFonts w:eastAsia="Arial" w:cs="Arial"/>
        </w:rPr>
        <w:t xml:space="preserve"> </w:t>
      </w:r>
    </w:p>
    <w:p w:rsidR="00337248" w:rsidRPr="007C7C7D" w:rsidRDefault="00337248" w:rsidP="001711B1">
      <w:pPr>
        <w:pStyle w:val="Table"/>
        <w:ind w:left="720"/>
      </w:pPr>
      <w:r w:rsidRPr="007C7C7D">
        <w:t xml:space="preserve">Table 1.2 The half-life of carboxypeptidase B2 and its thermal </w:t>
      </w:r>
      <w:r w:rsidR="001711B1">
        <w:t xml:space="preserve">      </w:t>
      </w:r>
      <w:r w:rsidRPr="007C7C7D">
        <w:t>instability</w:t>
      </w:r>
      <w:r w:rsidR="00386020">
        <w:t>.</w:t>
      </w:r>
    </w:p>
    <w:p w:rsidR="006D389E" w:rsidRDefault="006D389E" w:rsidP="00337248">
      <w:pPr>
        <w:spacing w:after="0"/>
        <w:ind w:left="375"/>
        <w:rPr>
          <w:rFonts w:ascii="Times New Roman" w:eastAsia="Times New Roman" w:hAnsi="Times New Roman"/>
        </w:rPr>
      </w:pPr>
    </w:p>
    <w:p w:rsidR="00337248" w:rsidRDefault="00A36DF9" w:rsidP="00215DAE">
      <w:pPr>
        <w:pStyle w:val="Heading4"/>
        <w:ind w:firstLine="720"/>
        <w:rPr>
          <w:rFonts w:eastAsia="Times New Roman"/>
        </w:rPr>
      </w:pPr>
      <w:bookmarkStart w:id="66" w:name="_44sinio" w:colFirst="0" w:colLast="0"/>
      <w:bookmarkStart w:id="67" w:name="_Toc506232315"/>
      <w:bookmarkEnd w:id="66"/>
      <w:r>
        <w:rPr>
          <w:rFonts w:eastAsia="Times New Roman"/>
        </w:rPr>
        <w:t>1.11</w:t>
      </w:r>
      <w:r w:rsidR="00337248">
        <w:rPr>
          <w:rFonts w:eastAsia="Times New Roman"/>
        </w:rPr>
        <w:t>.3 Interaction between plasmin and carboxypeptidase B2</w:t>
      </w:r>
      <w:bookmarkEnd w:id="67"/>
    </w:p>
    <w:p w:rsidR="00337248" w:rsidRDefault="00337248" w:rsidP="00215DAE">
      <w:pPr>
        <w:ind w:left="720"/>
      </w:pPr>
      <w:r>
        <w:t>The unst</w:t>
      </w:r>
      <w:r w:rsidR="003F3C50">
        <w:t>able nature of CP</w:t>
      </w:r>
      <w:r>
        <w:t xml:space="preserve">B2 makes it a complicated substance to study (Walker and Bajzar, 2004). In fibrinolysis, the binding of tissue-type plasminogen activator (tPA) and plasminogen to fibrin via the C-terminal lysine is crucial and a prerequisite in the generation of plasmin (Kovacs et al., 2014). The generated plasmin now acts in a positive feedback manner exposing more C- terminal lysine and continuous fibrinolysis. The mechanism of CPB2 in anti-fibrinolysis is the cleaving of the terminal lysine residue found in fibrin (Kovacs et al., 2014). This terminal lysine is needed for the binding of fibrin to tPA and plasminogen to generate plasmin needed for fibrinolysis.                             </w:t>
      </w:r>
    </w:p>
    <w:p w:rsidR="00337248" w:rsidRDefault="00A36DF9" w:rsidP="00215DAE">
      <w:pPr>
        <w:pStyle w:val="Heading4"/>
        <w:ind w:firstLine="720"/>
        <w:rPr>
          <w:rFonts w:eastAsia="Times New Roman"/>
        </w:rPr>
      </w:pPr>
      <w:bookmarkStart w:id="68" w:name="_2jxsxqh" w:colFirst="0" w:colLast="0"/>
      <w:bookmarkStart w:id="69" w:name="_Toc506232316"/>
      <w:bookmarkEnd w:id="68"/>
      <w:r>
        <w:rPr>
          <w:rFonts w:eastAsia="Times New Roman"/>
        </w:rPr>
        <w:t>1.11</w:t>
      </w:r>
      <w:r w:rsidR="00337248">
        <w:rPr>
          <w:rFonts w:eastAsia="Times New Roman"/>
        </w:rPr>
        <w:t>.4 Functions of carboxypeptidase B2:</w:t>
      </w:r>
      <w:bookmarkEnd w:id="69"/>
    </w:p>
    <w:p w:rsidR="00337248" w:rsidRDefault="00337248" w:rsidP="00B702A5">
      <w:pPr>
        <w:pStyle w:val="ListParagraph"/>
        <w:numPr>
          <w:ilvl w:val="0"/>
          <w:numId w:val="18"/>
        </w:numPr>
      </w:pPr>
      <w:r>
        <w:t>Th</w:t>
      </w:r>
      <w:r w:rsidR="003F3C50">
        <w:t>e inhibition of</w:t>
      </w:r>
      <w:r>
        <w:t xml:space="preserve"> </w:t>
      </w:r>
      <w:r w:rsidR="003F3C50">
        <w:t>CP</w:t>
      </w:r>
      <w:r>
        <w:t>B2 is said to reduce ECM accumulation in fibrotic diseases such as chronic kidney disease (Atkinson et al., 2013).</w:t>
      </w:r>
    </w:p>
    <w:p w:rsidR="00337248" w:rsidRPr="00DE7957" w:rsidRDefault="00337248" w:rsidP="00B702A5">
      <w:pPr>
        <w:pStyle w:val="ListParagraph"/>
        <w:numPr>
          <w:ilvl w:val="0"/>
          <w:numId w:val="18"/>
        </w:numPr>
        <w:rPr>
          <w:rFonts w:cs="Arial"/>
        </w:rPr>
      </w:pPr>
      <w:r>
        <w:lastRenderedPageBreak/>
        <w:t xml:space="preserve">Anti-fibrinolytic activity: an important event in fibrinolysis is the binding of plasminogen and its activator tissue type-plasminogen activator (t-PA) to the fibrin surface through the recognition of C- terminal lysine residues of partially degraded fibrin. This terminal </w:t>
      </w:r>
      <w:r w:rsidRPr="00DE7957">
        <w:rPr>
          <w:rFonts w:cs="Arial"/>
        </w:rPr>
        <w:t>lysine is cle</w:t>
      </w:r>
      <w:r w:rsidR="003F3C50">
        <w:rPr>
          <w:rFonts w:cs="Arial"/>
        </w:rPr>
        <w:t>aved by active CP</w:t>
      </w:r>
      <w:r w:rsidRPr="00DE7957">
        <w:rPr>
          <w:rFonts w:cs="Arial"/>
        </w:rPr>
        <w:t>B2 and therefore leads to inhibition of fibrinolysis.</w:t>
      </w:r>
    </w:p>
    <w:p w:rsidR="00337248" w:rsidRPr="00DE7957" w:rsidRDefault="00337248" w:rsidP="00B702A5">
      <w:pPr>
        <w:pStyle w:val="ListParagraph"/>
        <w:numPr>
          <w:ilvl w:val="0"/>
          <w:numId w:val="18"/>
        </w:numPr>
        <w:rPr>
          <w:rFonts w:cs="Arial"/>
        </w:rPr>
      </w:pPr>
      <w:r w:rsidRPr="00DE7957">
        <w:rPr>
          <w:rFonts w:eastAsia="Times New Roman" w:cs="Arial"/>
        </w:rPr>
        <w:t>Anti-inflammatory activity: the removal of C- terminal argi</w:t>
      </w:r>
      <w:r w:rsidR="00610ED4">
        <w:rPr>
          <w:rFonts w:eastAsia="Times New Roman" w:cs="Arial"/>
        </w:rPr>
        <w:t>nine by active CP</w:t>
      </w:r>
      <w:r w:rsidRPr="00DE7957">
        <w:rPr>
          <w:rFonts w:eastAsia="Times New Roman" w:cs="Arial"/>
        </w:rPr>
        <w:t xml:space="preserve">B2 inactivates inflammatory mediators and bioactive peptides, for example the inhibition of plasmin generation is anti-inflammatory because plasmin and plasmin-activated enzymes play crucial roles in cell migration, wound healing and angiogenesis. </w:t>
      </w:r>
    </w:p>
    <w:p w:rsidR="00337248" w:rsidRPr="00DE7957" w:rsidRDefault="00337248" w:rsidP="00B702A5">
      <w:pPr>
        <w:pStyle w:val="ListParagraph"/>
        <w:numPr>
          <w:ilvl w:val="0"/>
          <w:numId w:val="18"/>
        </w:numPr>
        <w:rPr>
          <w:rFonts w:cs="Arial"/>
        </w:rPr>
      </w:pPr>
      <w:r w:rsidRPr="00DE7957">
        <w:rPr>
          <w:rFonts w:eastAsia="Times New Roman" w:cs="Arial"/>
        </w:rPr>
        <w:t xml:space="preserve">Processes β-Amyloid Precursor Protein (APP) to β-amyloid: An </w:t>
      </w:r>
      <w:r w:rsidRPr="00DE7957">
        <w:rPr>
          <w:rFonts w:eastAsia="Times New Roman" w:cs="Arial"/>
          <w:i/>
        </w:rPr>
        <w:t>in vitro</w:t>
      </w:r>
      <w:r w:rsidRPr="00DE7957">
        <w:rPr>
          <w:rFonts w:eastAsia="Times New Roman" w:cs="Arial"/>
        </w:rPr>
        <w:t xml:space="preserve"> study </w:t>
      </w:r>
      <w:r w:rsidR="00610ED4">
        <w:rPr>
          <w:rFonts w:eastAsia="Times New Roman" w:cs="Arial"/>
        </w:rPr>
        <w:t>has shown that CPB2</w:t>
      </w:r>
      <w:r w:rsidRPr="00DE7957">
        <w:rPr>
          <w:rFonts w:eastAsia="Times New Roman" w:cs="Arial"/>
        </w:rPr>
        <w:t xml:space="preserve"> in the hippocampus of the brain improves the prognosis of Alzheimer’s disease, where its role is the conversion of APP to β-amyloid (Matsumoto et al., 2000).</w:t>
      </w:r>
    </w:p>
    <w:p w:rsidR="00337248" w:rsidRPr="00DE7957" w:rsidRDefault="00337248" w:rsidP="00B702A5">
      <w:pPr>
        <w:pStyle w:val="ListParagraph"/>
        <w:numPr>
          <w:ilvl w:val="0"/>
          <w:numId w:val="18"/>
        </w:numPr>
        <w:rPr>
          <w:rFonts w:cs="Arial"/>
        </w:rPr>
      </w:pPr>
      <w:r w:rsidRPr="00DE7957">
        <w:rPr>
          <w:rFonts w:eastAsia="Times New Roman" w:cs="Arial"/>
        </w:rPr>
        <w:t>Diagnostic /Pr</w:t>
      </w:r>
      <w:r w:rsidR="00610ED4">
        <w:rPr>
          <w:rFonts w:eastAsia="Times New Roman" w:cs="Arial"/>
        </w:rPr>
        <w:t>ognostic tool: CP</w:t>
      </w:r>
      <w:r w:rsidRPr="00DE7957">
        <w:rPr>
          <w:rFonts w:eastAsia="Times New Roman" w:cs="Arial"/>
        </w:rPr>
        <w:t>B2 exhibits genetic dimor</w:t>
      </w:r>
      <w:r w:rsidR="00AD74C1">
        <w:rPr>
          <w:rFonts w:eastAsia="Times New Roman" w:cs="Arial"/>
        </w:rPr>
        <w:t>phism i.e. Thr325Ile dimorphism.</w:t>
      </w:r>
      <w:r w:rsidRPr="00DE7957">
        <w:rPr>
          <w:rFonts w:eastAsia="Times New Roman" w:cs="Arial"/>
        </w:rPr>
        <w:t xml:space="preserve"> In meningococcal sepsis, (a disease characterized by disseminated intravascular coagulation, fibrin deposition and microthrombi formation) the</w:t>
      </w:r>
      <w:r w:rsidR="00AD74C1">
        <w:rPr>
          <w:rFonts w:eastAsia="Times New Roman" w:cs="Arial"/>
        </w:rPr>
        <w:t xml:space="preserve"> prognosis is said to be worse </w:t>
      </w:r>
      <w:r w:rsidRPr="00DE7957">
        <w:rPr>
          <w:rFonts w:eastAsia="Times New Roman" w:cs="Arial"/>
        </w:rPr>
        <w:t>in patients with the Thr325Ile form bec</w:t>
      </w:r>
      <w:r w:rsidR="00610ED4">
        <w:rPr>
          <w:rFonts w:eastAsia="Times New Roman" w:cs="Arial"/>
        </w:rPr>
        <w:t>ause activated CP</w:t>
      </w:r>
      <w:r w:rsidRPr="00DE7957">
        <w:rPr>
          <w:rFonts w:eastAsia="Times New Roman" w:cs="Arial"/>
        </w:rPr>
        <w:t>B2 is more stable, and therefore inhibits fibri</w:t>
      </w:r>
      <w:r w:rsidR="00AD74C1">
        <w:rPr>
          <w:rFonts w:eastAsia="Times New Roman" w:cs="Arial"/>
        </w:rPr>
        <w:t>nolysis longer.</w:t>
      </w:r>
      <w:r w:rsidRPr="00DE7957">
        <w:rPr>
          <w:rFonts w:eastAsia="Times New Roman" w:cs="Arial"/>
        </w:rPr>
        <w:t xml:space="preserve"> </w:t>
      </w:r>
      <w:r w:rsidR="00AD74C1">
        <w:rPr>
          <w:rFonts w:eastAsia="Times New Roman" w:cs="Arial"/>
        </w:rPr>
        <w:t>L</w:t>
      </w:r>
      <w:r w:rsidRPr="00DE7957">
        <w:rPr>
          <w:rFonts w:eastAsia="Times New Roman" w:cs="Arial"/>
        </w:rPr>
        <w:t>ikewise persons whose parents are carriers of Thr325/Ile allele have a 1.6 fold higher risk to inherit the disease and a 3.1 fold increased risk of dying from the disease. (Kremer Hovinga et al., 2004)</w:t>
      </w:r>
    </w:p>
    <w:p w:rsidR="00337248" w:rsidRPr="00DE7957" w:rsidRDefault="00337248" w:rsidP="00B702A5">
      <w:pPr>
        <w:pStyle w:val="ListParagraph"/>
        <w:numPr>
          <w:ilvl w:val="0"/>
          <w:numId w:val="18"/>
        </w:numPr>
        <w:rPr>
          <w:rFonts w:cs="Arial"/>
        </w:rPr>
      </w:pPr>
      <w:r w:rsidRPr="00DE7957">
        <w:rPr>
          <w:rFonts w:eastAsia="Times New Roman" w:cs="Arial"/>
        </w:rPr>
        <w:t>Splanchnic Vein Thrombosis (SVT) is characterized with hypercoagulabilty, and liver insufficiency, which affect</w:t>
      </w:r>
      <w:r w:rsidR="00DA6978">
        <w:rPr>
          <w:rFonts w:eastAsia="Times New Roman" w:cs="Arial"/>
        </w:rPr>
        <w:t>s the plasma level of CP</w:t>
      </w:r>
      <w:r w:rsidRPr="00DE7957">
        <w:rPr>
          <w:rFonts w:eastAsia="Times New Roman" w:cs="Arial"/>
        </w:rPr>
        <w:t>B2. The relationship between SVT and single nucleotide polymorphism</w:t>
      </w:r>
      <w:r w:rsidR="00DA6978">
        <w:rPr>
          <w:rFonts w:eastAsia="Times New Roman" w:cs="Arial"/>
        </w:rPr>
        <w:t xml:space="preserve"> (SNPs) within CP</w:t>
      </w:r>
      <w:r w:rsidRPr="00DE7957">
        <w:rPr>
          <w:rFonts w:eastAsia="Times New Roman" w:cs="Arial"/>
        </w:rPr>
        <w:t xml:space="preserve">B2 was studied. The risk for SVT was decreased in 147Thr/Thr homozygotes but insignificantly raised in carriers of the 325Ile allele (de Bruijne et al., 2007).    </w:t>
      </w:r>
    </w:p>
    <w:p w:rsidR="00337248" w:rsidRDefault="00DA6978" w:rsidP="00215DAE">
      <w:pPr>
        <w:ind w:left="720"/>
      </w:pPr>
      <w:r>
        <w:t>The role CP</w:t>
      </w:r>
      <w:r w:rsidR="00337248">
        <w:t xml:space="preserve">B2 plays in the pathogenesis of coagulation and fibrotic diseases is an area for much investigation so as to develop new therapies in the management of fibrosis and chronic diseases. </w:t>
      </w:r>
    </w:p>
    <w:p w:rsidR="00337248" w:rsidRDefault="00A36DF9" w:rsidP="00215DAE">
      <w:pPr>
        <w:pStyle w:val="Heading3"/>
        <w:ind w:firstLine="720"/>
        <w:rPr>
          <w:rFonts w:eastAsia="Times New Roman"/>
        </w:rPr>
      </w:pPr>
      <w:bookmarkStart w:id="70" w:name="_z337ya" w:colFirst="0" w:colLast="0"/>
      <w:bookmarkStart w:id="71" w:name="_Toc506232317"/>
      <w:bookmarkEnd w:id="70"/>
      <w:r>
        <w:rPr>
          <w:rFonts w:eastAsia="Times New Roman"/>
        </w:rPr>
        <w:lastRenderedPageBreak/>
        <w:t>1.12</w:t>
      </w:r>
      <w:r w:rsidR="00337248">
        <w:rPr>
          <w:rFonts w:eastAsia="Times New Roman"/>
        </w:rPr>
        <w:t xml:space="preserve"> Plasmin</w:t>
      </w:r>
      <w:bookmarkEnd w:id="71"/>
    </w:p>
    <w:p w:rsidR="00337248" w:rsidRDefault="00337248" w:rsidP="00215DAE">
      <w:pPr>
        <w:ind w:left="720"/>
      </w:pPr>
      <w:r>
        <w:t>It is a serine protease</w:t>
      </w:r>
      <w:r>
        <w:rPr>
          <w:b/>
        </w:rPr>
        <w:t xml:space="preserve"> </w:t>
      </w:r>
      <w:r>
        <w:t>which</w:t>
      </w:r>
      <w:r>
        <w:rPr>
          <w:b/>
        </w:rPr>
        <w:t xml:space="preserve"> </w:t>
      </w:r>
      <w:r>
        <w:t>belongs to the clan PA Sub clan PA(S) Family S1 (MEROPS)</w:t>
      </w:r>
      <w:r w:rsidR="00675548">
        <w:t>, (</w:t>
      </w:r>
      <w:r w:rsidR="00675548" w:rsidRPr="00675548">
        <w:t>https://www.ebi.ac.uk/merops/cgi-bin/pepsum?id=S01.233</w:t>
      </w:r>
      <w:r w:rsidR="00675548">
        <w:t>)</w:t>
      </w:r>
      <w:r>
        <w:t>. Plasmin is found in the blood in an inactive form called plasminogen. Plasminogen and tissue-type plasminogen ac</w:t>
      </w:r>
      <w:r w:rsidR="00675548">
        <w:t>tivator (tPA) both have kringle</w:t>
      </w:r>
      <w:r>
        <w:t xml:space="preserve"> domain</w:t>
      </w:r>
      <w:r w:rsidR="00675548">
        <w:t>s</w:t>
      </w:r>
      <w:r>
        <w:t xml:space="preserve"> which recognise C-terminal lysine residues on fibrin. Both tPA and plasminogen form a ternary complex with fibrin and this is vital in the generation of plasmin. (Bunnage et al., 2007). As a serine protease it is involved in the degradation of fibrin clots. It breaks down fibrin to soluble fibrin degradation products (FDPs). </w:t>
      </w:r>
    </w:p>
    <w:p w:rsidR="00337248" w:rsidRDefault="00337248" w:rsidP="00215DAE">
      <w:pPr>
        <w:ind w:left="720"/>
      </w:pPr>
      <w:r>
        <w:t>Plasmin also plays a key role in the degr</w:t>
      </w:r>
      <w:r w:rsidR="00675548">
        <w:t>adation of ECM</w:t>
      </w:r>
      <w:r w:rsidR="00A73C13">
        <w:t xml:space="preserve"> </w:t>
      </w:r>
      <w:r>
        <w:t>(Wong et al., 1992), It does this by two different proteolytic mechanisms (Lijnen, 2001). It can directly degrade the ECM breaking down laminin, fibronectin, entactin, tenascin, thrombospondin and perlecan or activate the matrix metalloprotenases (MMPs) which br</w:t>
      </w:r>
      <w:r w:rsidR="00A73C13">
        <w:t xml:space="preserve">eak down collagen, elastin and </w:t>
      </w:r>
      <w:r>
        <w:t xml:space="preserve">glycoproteins (Montgomery et al., 1993) (Figure 1.7). </w:t>
      </w:r>
    </w:p>
    <w:p w:rsidR="00DE7957" w:rsidRDefault="00DE7957" w:rsidP="00DE7957"/>
    <w:p w:rsidR="00337248" w:rsidRDefault="00337248" w:rsidP="00337248">
      <w:r>
        <w:rPr>
          <w:noProof/>
          <w:lang w:eastAsia="en-GB"/>
        </w:rPr>
        <w:drawing>
          <wp:inline distT="0" distB="0" distL="0" distR="0" wp14:anchorId="3E642DA9" wp14:editId="243888C8">
            <wp:extent cx="5943600" cy="2373630"/>
            <wp:effectExtent l="0" t="0" r="0" b="0"/>
            <wp:docPr id="7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3"/>
                    <a:srcRect l="22427" t="21869" r="26243" b="32197"/>
                    <a:stretch>
                      <a:fillRect/>
                    </a:stretch>
                  </pic:blipFill>
                  <pic:spPr>
                    <a:xfrm>
                      <a:off x="0" y="0"/>
                      <a:ext cx="5943600" cy="2373630"/>
                    </a:xfrm>
                    <a:prstGeom prst="rect">
                      <a:avLst/>
                    </a:prstGeom>
                    <a:ln/>
                  </pic:spPr>
                </pic:pic>
              </a:graphicData>
            </a:graphic>
          </wp:inline>
        </w:drawing>
      </w:r>
    </w:p>
    <w:p w:rsidR="00DE7957" w:rsidRDefault="00337248" w:rsidP="007B3EEB">
      <w:pPr>
        <w:pStyle w:val="Subtitle"/>
      </w:pPr>
      <w:bookmarkStart w:id="72" w:name="_Toc504640564"/>
      <w:r>
        <w:t>Fig</w:t>
      </w:r>
      <w:r w:rsidR="00675548">
        <w:t>ure 1.7: The inter</w:t>
      </w:r>
      <w:r w:rsidR="00DE7957">
        <w:t>action of CPB2</w:t>
      </w:r>
      <w:r>
        <w:t xml:space="preserve"> and plasmin in ECM breakdown</w:t>
      </w:r>
      <w:bookmarkEnd w:id="72"/>
    </w:p>
    <w:p w:rsidR="00DE7957" w:rsidRPr="00DE7957" w:rsidRDefault="00DE7957" w:rsidP="00DE7957">
      <w:pPr>
        <w:rPr>
          <w:lang w:val="en-US"/>
        </w:rPr>
      </w:pPr>
    </w:p>
    <w:p w:rsidR="00337248" w:rsidRDefault="00A36DF9" w:rsidP="00A73C13">
      <w:pPr>
        <w:pStyle w:val="Heading3"/>
        <w:ind w:firstLine="720"/>
      </w:pPr>
      <w:bookmarkStart w:id="73" w:name="_3j2qqm3" w:colFirst="0" w:colLast="0"/>
      <w:bookmarkStart w:id="74" w:name="_Toc506232318"/>
      <w:bookmarkEnd w:id="73"/>
      <w:r>
        <w:rPr>
          <w:rFonts w:eastAsia="Times New Roman"/>
        </w:rPr>
        <w:lastRenderedPageBreak/>
        <w:t>1.13</w:t>
      </w:r>
      <w:r w:rsidR="00337248">
        <w:rPr>
          <w:rFonts w:eastAsia="Times New Roman"/>
        </w:rPr>
        <w:t xml:space="preserve"> Serpins</w:t>
      </w:r>
      <w:bookmarkEnd w:id="74"/>
    </w:p>
    <w:p w:rsidR="00337248" w:rsidRDefault="00337248" w:rsidP="00A73C13">
      <w:pPr>
        <w:ind w:left="720"/>
      </w:pPr>
      <w:r>
        <w:t>These are proteins that inhibit the action of some serine proteases, including plasmin. Serpins are known to be specific for their respective serine proteases and therefore mirror the 3-dimensional structure of serine protease, this results to competitive binding to the serpin in place of the normal substrate. For example, α-2-antiplasmin is the serpin for the serine protease plasmin</w:t>
      </w:r>
      <w:r w:rsidR="00675548">
        <w:t xml:space="preserve"> </w:t>
      </w:r>
      <w:r w:rsidR="00675548">
        <w:rPr>
          <w:rFonts w:cs="Arial"/>
          <w:noProof/>
        </w:rPr>
        <w:t>(Aoki and Yamanaka, 1978</w:t>
      </w:r>
      <w:r w:rsidR="00A90A5E">
        <w:rPr>
          <w:rFonts w:cs="Arial"/>
          <w:noProof/>
        </w:rPr>
        <w:t>)</w:t>
      </w:r>
      <w:r>
        <w:t>.</w:t>
      </w:r>
    </w:p>
    <w:p w:rsidR="00337248" w:rsidRDefault="00A36DF9" w:rsidP="00A73C13">
      <w:pPr>
        <w:pStyle w:val="Heading3"/>
        <w:ind w:firstLine="720"/>
        <w:rPr>
          <w:rFonts w:eastAsia="Times New Roman"/>
        </w:rPr>
      </w:pPr>
      <w:bookmarkStart w:id="75" w:name="_1y810tw" w:colFirst="0" w:colLast="0"/>
      <w:bookmarkStart w:id="76" w:name="_Toc506232319"/>
      <w:bookmarkEnd w:id="75"/>
      <w:r>
        <w:rPr>
          <w:rFonts w:eastAsia="Times New Roman"/>
        </w:rPr>
        <w:t>1.14</w:t>
      </w:r>
      <w:r w:rsidR="00337248">
        <w:rPr>
          <w:rFonts w:eastAsia="Times New Roman"/>
        </w:rPr>
        <w:t xml:space="preserve"> C</w:t>
      </w:r>
      <w:r w:rsidR="00A90A5E">
        <w:rPr>
          <w:rFonts w:eastAsia="Times New Roman"/>
        </w:rPr>
        <w:t>arboxypeptidase B2 inhibitor UK-</w:t>
      </w:r>
      <w:r w:rsidR="00337248">
        <w:rPr>
          <w:rFonts w:eastAsia="Times New Roman"/>
        </w:rPr>
        <w:t>396082</w:t>
      </w:r>
      <w:bookmarkEnd w:id="76"/>
    </w:p>
    <w:p w:rsidR="00337248" w:rsidRDefault="00337248" w:rsidP="00A73C13">
      <w:pPr>
        <w:ind w:left="720"/>
      </w:pPr>
      <w:r>
        <w:rPr>
          <w:b/>
        </w:rPr>
        <w:t>(</w:t>
      </w:r>
      <w:r>
        <w:t>(2S)-5-Amino-2-[(1-n-propyl-1-H-imidazole-4-yl)methyl]pentanoic Acid</w:t>
      </w:r>
      <w:r>
        <w:rPr>
          <w:b/>
        </w:rPr>
        <w:t>)</w:t>
      </w:r>
      <w:r>
        <w:t>. This is an imidazolepropionic acid that has demonstrated appreciable competitive inhibitory potency a</w:t>
      </w:r>
      <w:r w:rsidR="00675548">
        <w:t>gainst active carboxypeptidase B2</w:t>
      </w:r>
      <w:r>
        <w:t xml:space="preserve"> and over 1000 fold selectivity for carboxypeptidase B2 when compared against carboxypeptidase N with a Ki=10nM (Bunnage et al., 2007). It has a low molecular weight of 239, high hydrophilicity with paracellular absorption and low clearance</w:t>
      </w:r>
      <w:r w:rsidR="00B51600">
        <w:t xml:space="preserve"> (Bunnage et al., 2007)</w:t>
      </w:r>
      <w:r>
        <w:t xml:space="preserve"> which will position it as a desirable pharmaceutical product. </w:t>
      </w:r>
      <w:r w:rsidR="00DE7957">
        <w:t>See chemical structure in Fig</w:t>
      </w:r>
      <w:r>
        <w:t>1.8.</w:t>
      </w:r>
    </w:p>
    <w:p w:rsidR="00170ABF" w:rsidRDefault="00337248" w:rsidP="00170ABF">
      <w:pPr>
        <w:ind w:left="720"/>
      </w:pPr>
      <w:r>
        <w:t>Crystallography has shown that the catalyt</w:t>
      </w:r>
      <w:r w:rsidR="00DC3F59">
        <w:t>ic zinc within CP</w:t>
      </w:r>
      <w:r>
        <w:t>B2 structure is the point where the imidazole moiety binds to and inhibits the enzyme.</w:t>
      </w:r>
    </w:p>
    <w:p w:rsidR="004B5B2B" w:rsidRDefault="004B5B2B">
      <w:pPr>
        <w:spacing w:after="160" w:line="259" w:lineRule="auto"/>
        <w:jc w:val="left"/>
      </w:pPr>
      <w:r>
        <w:br w:type="page"/>
      </w:r>
    </w:p>
    <w:p w:rsidR="004B5B2B" w:rsidRPr="00E944E7" w:rsidRDefault="004B5B2B" w:rsidP="00170ABF">
      <w:pPr>
        <w:ind w:left="720"/>
      </w:pPr>
    </w:p>
    <w:p w:rsidR="00170ABF" w:rsidRPr="00355FEA" w:rsidRDefault="00337248" w:rsidP="00355FEA">
      <w:pPr>
        <w:spacing w:after="0"/>
        <w:ind w:firstLine="720"/>
        <w:rPr>
          <w:rStyle w:val="SubtitleChar"/>
          <w:rFonts w:eastAsia="Arial"/>
          <w:lang w:val="en-GB" w:eastAsia="en-US"/>
        </w:rPr>
      </w:pPr>
      <w:r>
        <w:rPr>
          <w:rFonts w:eastAsia="Arial" w:cs="Arial"/>
          <w:b/>
        </w:rPr>
        <w:t xml:space="preserve"> </w:t>
      </w:r>
      <w:r w:rsidR="00355FEA">
        <w:rPr>
          <w:noProof/>
          <w:lang w:eastAsia="en-GB"/>
        </w:rPr>
        <w:drawing>
          <wp:inline distT="0" distB="0" distL="0" distR="0" wp14:anchorId="297441FB" wp14:editId="3639495A">
            <wp:extent cx="3862387" cy="2574925"/>
            <wp:effectExtent l="0" t="0" r="0" b="0"/>
            <wp:docPr id="274" name="Picture 274" descr="http://img.bocsci.com/structure/33570-0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bocsci.com/structure/33570-04-6.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9816" cy="2579877"/>
                    </a:xfrm>
                    <a:prstGeom prst="rect">
                      <a:avLst/>
                    </a:prstGeom>
                    <a:noFill/>
                    <a:ln>
                      <a:noFill/>
                    </a:ln>
                  </pic:spPr>
                </pic:pic>
              </a:graphicData>
            </a:graphic>
          </wp:inline>
        </w:drawing>
      </w:r>
    </w:p>
    <w:p w:rsidR="00170ABF" w:rsidRDefault="00170ABF" w:rsidP="00194310">
      <w:pPr>
        <w:pStyle w:val="LegText"/>
        <w:ind w:left="720"/>
        <w:rPr>
          <w:rStyle w:val="SubtitleChar"/>
        </w:rPr>
      </w:pPr>
    </w:p>
    <w:p w:rsidR="00337248" w:rsidRDefault="00877DEA" w:rsidP="00194310">
      <w:pPr>
        <w:pStyle w:val="LegText"/>
        <w:ind w:left="720"/>
      </w:pPr>
      <w:bookmarkStart w:id="77" w:name="_Toc504640565"/>
      <w:r>
        <w:rPr>
          <w:rStyle w:val="SubtitleChar"/>
        </w:rPr>
        <w:t xml:space="preserve">Figure 1.8: The structure </w:t>
      </w:r>
      <w:r w:rsidR="00F4375E">
        <w:rPr>
          <w:rStyle w:val="SubtitleChar"/>
        </w:rPr>
        <w:t>of UK-</w:t>
      </w:r>
      <w:r w:rsidR="00337248" w:rsidRPr="00DE7957">
        <w:rPr>
          <w:rStyle w:val="SubtitleChar"/>
        </w:rPr>
        <w:t>396082</w:t>
      </w:r>
      <w:bookmarkEnd w:id="77"/>
      <w:r>
        <w:rPr>
          <w:rStyle w:val="SubtitleChar"/>
        </w:rPr>
        <w:t xml:space="preserve"> </w:t>
      </w:r>
      <w:r>
        <w:t>(2S)-5-amino-2-[(1-propylimidazol-4-yl)methyl]pentanoic acid</w:t>
      </w:r>
      <w:r w:rsidR="00170ABF">
        <w:t xml:space="preserve">). </w:t>
      </w:r>
      <w:r>
        <w:t xml:space="preserve">With permission from BOC sciences </w:t>
      </w:r>
      <w:r w:rsidR="00170ABF">
        <w:t>(</w:t>
      </w:r>
      <w:r w:rsidR="00355FEA" w:rsidRPr="00355FEA">
        <w:t>http://img.bocsci.com/structure/33570-04-6.gif</w:t>
      </w:r>
      <w:r w:rsidR="00170ABF">
        <w:t>)</w:t>
      </w:r>
      <w:r>
        <w:t>.</w:t>
      </w:r>
      <w:r w:rsidRPr="00877DEA">
        <w:t xml:space="preserve"> </w:t>
      </w:r>
    </w:p>
    <w:p w:rsidR="00337248" w:rsidRDefault="00337248" w:rsidP="00337248">
      <w:pPr>
        <w:rPr>
          <w:rFonts w:eastAsia="Arial" w:cs="Arial"/>
        </w:rPr>
      </w:pPr>
    </w:p>
    <w:p w:rsidR="00337248" w:rsidRPr="00DE7957" w:rsidRDefault="00A36DF9" w:rsidP="00194310">
      <w:pPr>
        <w:pStyle w:val="Heading3"/>
        <w:ind w:firstLine="720"/>
      </w:pPr>
      <w:bookmarkStart w:id="78" w:name="_4i7ojhp" w:colFirst="0" w:colLast="0"/>
      <w:bookmarkStart w:id="79" w:name="_Toc506232320"/>
      <w:bookmarkEnd w:id="78"/>
      <w:r>
        <w:t>1.15</w:t>
      </w:r>
      <w:r w:rsidR="00337248" w:rsidRPr="00DE7957">
        <w:t xml:space="preserve"> Hypothesis</w:t>
      </w:r>
      <w:bookmarkEnd w:id="79"/>
    </w:p>
    <w:p w:rsidR="00337248" w:rsidRDefault="00337248" w:rsidP="00194310">
      <w:pPr>
        <w:ind w:left="720"/>
        <w:rPr>
          <w:b/>
          <w:u w:val="single"/>
        </w:rPr>
      </w:pPr>
      <w:r>
        <w:t xml:space="preserve">In </w:t>
      </w:r>
      <w:r>
        <w:rPr>
          <w:i/>
        </w:rPr>
        <w:t>in vitro</w:t>
      </w:r>
      <w:r>
        <w:t xml:space="preserve"> and </w:t>
      </w:r>
      <w:r>
        <w:rPr>
          <w:i/>
        </w:rPr>
        <w:t>in vivo</w:t>
      </w:r>
      <w:r>
        <w:t xml:space="preserve"> rat models, renal fibrosis can be reduced by increasing plasmin activity through</w:t>
      </w:r>
      <w:r w:rsidR="00DC3F59">
        <w:t xml:space="preserve"> inhibition of CP</w:t>
      </w:r>
      <w:r>
        <w:t xml:space="preserve">B2 activity with UK-396082-    </w:t>
      </w:r>
      <w:r w:rsidR="00DC3F59">
        <w:t>a selective CP</w:t>
      </w:r>
      <w:r>
        <w:t>B2 inhibitor (Bunnage et al., 2007).</w:t>
      </w:r>
    </w:p>
    <w:p w:rsidR="00337248" w:rsidRDefault="00A36DF9" w:rsidP="00194310">
      <w:pPr>
        <w:pStyle w:val="Heading3"/>
        <w:ind w:firstLine="720"/>
        <w:rPr>
          <w:rFonts w:eastAsia="Times New Roman"/>
        </w:rPr>
      </w:pPr>
      <w:bookmarkStart w:id="80" w:name="_2xcytpi" w:colFirst="0" w:colLast="0"/>
      <w:bookmarkStart w:id="81" w:name="_Toc506232321"/>
      <w:bookmarkEnd w:id="80"/>
      <w:r>
        <w:rPr>
          <w:rFonts w:eastAsia="Times New Roman"/>
        </w:rPr>
        <w:t>1.16</w:t>
      </w:r>
      <w:r w:rsidR="00337248">
        <w:rPr>
          <w:rFonts w:eastAsia="Times New Roman"/>
        </w:rPr>
        <w:t xml:space="preserve"> Aims</w:t>
      </w:r>
      <w:bookmarkEnd w:id="81"/>
    </w:p>
    <w:p w:rsidR="00337248" w:rsidRDefault="00337248" w:rsidP="00194310">
      <w:pPr>
        <w:ind w:left="720"/>
        <w:rPr>
          <w:color w:val="1287C3"/>
        </w:rPr>
      </w:pPr>
      <w:r>
        <w:t xml:space="preserve">To determine if long term treatment </w:t>
      </w:r>
      <w:r>
        <w:rPr>
          <w:i/>
        </w:rPr>
        <w:t xml:space="preserve">in vivo </w:t>
      </w:r>
      <w:r w:rsidR="00DC3F59">
        <w:t>models of DN</w:t>
      </w:r>
      <w:r>
        <w:t xml:space="preserve"> with UK-396082 will result in reduction of fibrosis.</w:t>
      </w:r>
    </w:p>
    <w:p w:rsidR="00337248" w:rsidRDefault="00337248" w:rsidP="00194310">
      <w:pPr>
        <w:ind w:left="720"/>
        <w:rPr>
          <w:color w:val="1287C3"/>
        </w:rPr>
      </w:pPr>
      <w:r>
        <w:t>To assay the levels of uPA, tPA, p</w:t>
      </w:r>
      <w:r w:rsidR="00DC3F59">
        <w:t>lasmin and CP</w:t>
      </w:r>
      <w:r>
        <w:t>B2, in rat kidney epithelial, fibroblast and mesangial cells, in the presence and absence of fibrin.</w:t>
      </w:r>
    </w:p>
    <w:p w:rsidR="00337248" w:rsidRDefault="00337248" w:rsidP="00194310">
      <w:pPr>
        <w:ind w:left="720"/>
        <w:rPr>
          <w:color w:val="1287C3"/>
        </w:rPr>
      </w:pPr>
      <w:r>
        <w:t xml:space="preserve">To </w:t>
      </w:r>
      <w:r w:rsidR="00E944E7">
        <w:t xml:space="preserve">compare </w:t>
      </w:r>
      <w:r>
        <w:t xml:space="preserve">plasmin level </w:t>
      </w:r>
      <w:r w:rsidR="00E944E7">
        <w:t xml:space="preserve">of kidney cell culture medium </w:t>
      </w:r>
      <w:r>
        <w:t xml:space="preserve">in the presence </w:t>
      </w:r>
      <w:r w:rsidR="00E944E7">
        <w:t xml:space="preserve">and absence </w:t>
      </w:r>
      <w:r>
        <w:t xml:space="preserve">of UK-396082 in </w:t>
      </w:r>
      <w:r w:rsidR="00E944E7">
        <w:t xml:space="preserve">high and normal glucose culture conditions as an </w:t>
      </w:r>
      <w:r>
        <w:rPr>
          <w:i/>
        </w:rPr>
        <w:t>in vitro</w:t>
      </w:r>
      <w:r w:rsidR="00E944E7">
        <w:t xml:space="preserve"> model</w:t>
      </w:r>
      <w:r w:rsidR="00194310">
        <w:t>.</w:t>
      </w:r>
      <w:r>
        <w:t xml:space="preserve"> </w:t>
      </w:r>
    </w:p>
    <w:p w:rsidR="00337248" w:rsidRDefault="00337248" w:rsidP="00337248">
      <w:pPr>
        <w:rPr>
          <w:color w:val="1287C3"/>
        </w:rPr>
      </w:pPr>
      <w:r>
        <w:br w:type="page"/>
      </w:r>
    </w:p>
    <w:p w:rsidR="00F4375E" w:rsidRPr="00DD6972" w:rsidRDefault="00F4375E" w:rsidP="00F4375E">
      <w:pPr>
        <w:pStyle w:val="Title1"/>
        <w:jc w:val="left"/>
        <w:rPr>
          <w:rFonts w:ascii="Arial" w:eastAsia="Calibri" w:hAnsi="Arial" w:cs="Arial"/>
          <w:lang w:val="en-US"/>
        </w:rPr>
      </w:pPr>
      <w:r w:rsidRPr="00DD6972">
        <w:rPr>
          <w:rFonts w:ascii="Arial" w:eastAsia="Calibri" w:hAnsi="Arial" w:cs="Arial"/>
          <w:b/>
          <w:lang w:val="en-US"/>
        </w:rPr>
        <w:lastRenderedPageBreak/>
        <w:t>Chapter Two</w:t>
      </w:r>
      <w:r w:rsidRPr="00DD6972">
        <w:rPr>
          <w:rFonts w:ascii="Arial" w:eastAsia="Calibri" w:hAnsi="Arial" w:cs="Arial"/>
          <w:lang w:val="en-US"/>
        </w:rPr>
        <w:br/>
        <w:t>Materials and Methods</w:t>
      </w:r>
    </w:p>
    <w:p w:rsidR="00337248" w:rsidRDefault="00337248" w:rsidP="00337248">
      <w:pPr>
        <w:pStyle w:val="Heading3"/>
      </w:pPr>
    </w:p>
    <w:p w:rsidR="00337248" w:rsidRPr="007E149C" w:rsidRDefault="00337248" w:rsidP="00337248">
      <w:pPr>
        <w:rPr>
          <w:rFonts w:eastAsia="Arial" w:cs="Arial"/>
          <w:b/>
          <w:sz w:val="96"/>
          <w:szCs w:val="96"/>
        </w:rPr>
      </w:pPr>
      <w:r>
        <w:rPr>
          <w:rFonts w:eastAsia="Arial" w:cs="Arial"/>
          <w:b/>
          <w:sz w:val="96"/>
          <w:szCs w:val="96"/>
        </w:rPr>
        <w:t xml:space="preserve">    </w:t>
      </w:r>
      <w:r w:rsidR="00F4375E">
        <w:rPr>
          <w:rFonts w:eastAsia="Arial" w:cs="Arial"/>
          <w:b/>
          <w:sz w:val="96"/>
          <w:szCs w:val="96"/>
        </w:rPr>
        <w:br w:type="page"/>
      </w:r>
    </w:p>
    <w:p w:rsidR="00430D62" w:rsidRPr="007E149C" w:rsidRDefault="00430D62" w:rsidP="0099028F">
      <w:pPr>
        <w:pStyle w:val="Heading3"/>
        <w:ind w:firstLine="720"/>
      </w:pPr>
      <w:bookmarkStart w:id="82" w:name="_Toc506232322"/>
      <w:r w:rsidRPr="007E149C">
        <w:lastRenderedPageBreak/>
        <w:t>2.1 Reagents</w:t>
      </w:r>
      <w:bookmarkEnd w:id="4"/>
      <w:bookmarkEnd w:id="5"/>
      <w:bookmarkEnd w:id="6"/>
      <w:bookmarkEnd w:id="7"/>
      <w:bookmarkEnd w:id="8"/>
      <w:r w:rsidR="00621EEF">
        <w:t xml:space="preserve"> and consumables</w:t>
      </w:r>
      <w:bookmarkEnd w:id="82"/>
      <w:r w:rsidR="00621EEF">
        <w:t xml:space="preserve"> </w:t>
      </w:r>
    </w:p>
    <w:p w:rsidR="00A41685" w:rsidRDefault="00430D62" w:rsidP="0099028F">
      <w:pPr>
        <w:ind w:left="720"/>
        <w:rPr>
          <w:lang w:val="en-US"/>
        </w:rPr>
      </w:pPr>
      <w:r w:rsidRPr="00392836">
        <w:rPr>
          <w:lang w:val="en-US"/>
        </w:rPr>
        <w:t>Fibrinogen from bovine plasma (F8630), thrombin from bovine plasma (T4648), plasmin substrate (D-Val-Leu-Lys 4-nitroanilide dihydrochloride), Trypan blue solution, 1,9-dimethylmethylene blu</w:t>
      </w:r>
      <w:r w:rsidR="00621EEF">
        <w:rPr>
          <w:lang w:val="en-US"/>
        </w:rPr>
        <w:t>e, dimethylsulphoxide (DMSO),</w:t>
      </w:r>
      <w:r w:rsidRPr="00392836">
        <w:rPr>
          <w:lang w:val="en-US"/>
        </w:rPr>
        <w:t xml:space="preserve"> streptozocin powder (S0130)</w:t>
      </w:r>
      <w:r w:rsidR="00621EEF">
        <w:rPr>
          <w:lang w:val="en-US"/>
        </w:rPr>
        <w:t>,</w:t>
      </w:r>
      <w:r w:rsidRPr="00392836">
        <w:rPr>
          <w:lang w:val="en-US"/>
        </w:rPr>
        <w:t xml:space="preserve"> </w:t>
      </w:r>
      <w:r w:rsidR="00505DDD" w:rsidRPr="00392836">
        <w:rPr>
          <w:lang w:eastAsia="en-GB"/>
        </w:rPr>
        <w:t xml:space="preserve">100 nM urea standard </w:t>
      </w:r>
      <w:r w:rsidR="00621EEF">
        <w:rPr>
          <w:lang w:val="en-US"/>
        </w:rPr>
        <w:t xml:space="preserve">and </w:t>
      </w:r>
      <w:r w:rsidR="00621EEF">
        <w:rPr>
          <w:lang w:val="en" w:eastAsia="en-GB"/>
        </w:rPr>
        <w:t>c</w:t>
      </w:r>
      <w:r w:rsidR="00621EEF" w:rsidRPr="00392836">
        <w:rPr>
          <w:lang w:val="en" w:eastAsia="en-GB"/>
        </w:rPr>
        <w:t xml:space="preserve">reatinine assay kit </w:t>
      </w:r>
      <w:r w:rsidR="00621EEF" w:rsidRPr="00392836">
        <w:rPr>
          <w:lang w:val="en-US"/>
        </w:rPr>
        <w:t xml:space="preserve">MAK080-1KT </w:t>
      </w:r>
      <w:r w:rsidRPr="00392836">
        <w:rPr>
          <w:lang w:val="en-US"/>
        </w:rPr>
        <w:t xml:space="preserve">were all purchased from Sigma-Aldrich Company Ltd, United Kingdom. </w:t>
      </w:r>
      <w:r w:rsidR="00E14E5A">
        <w:rPr>
          <w:rFonts w:eastAsia="Times New Roman"/>
          <w:lang w:val="en-US" w:eastAsia="en-GB"/>
        </w:rPr>
        <w:t>Chondroitin-4-sulphate and</w:t>
      </w:r>
      <w:r w:rsidR="000B02F4" w:rsidRPr="000B02F4">
        <w:rPr>
          <w:lang w:val="en-US" w:eastAsia="en-GB"/>
        </w:rPr>
        <w:t xml:space="preserve"> </w:t>
      </w:r>
      <w:r w:rsidR="000B02F4" w:rsidRPr="00392836">
        <w:rPr>
          <w:lang w:val="en-US" w:eastAsia="en-GB"/>
        </w:rPr>
        <w:t>dimethymethylene blue</w:t>
      </w:r>
      <w:r w:rsidR="000B02F4">
        <w:rPr>
          <w:rFonts w:eastAsia="Times New Roman"/>
          <w:lang w:val="en-US" w:eastAsia="en-GB"/>
        </w:rPr>
        <w:t xml:space="preserve"> were gifts from </w:t>
      </w:r>
      <w:r w:rsidR="00103E6A">
        <w:rPr>
          <w:rFonts w:eastAsia="Times New Roman"/>
          <w:lang w:val="en-US" w:eastAsia="en-GB"/>
        </w:rPr>
        <w:t>Dr Aileen C</w:t>
      </w:r>
      <w:r w:rsidR="000B02F4">
        <w:rPr>
          <w:rFonts w:eastAsia="Times New Roman"/>
          <w:lang w:val="en-US" w:eastAsia="en-GB"/>
        </w:rPr>
        <w:t>ra</w:t>
      </w:r>
      <w:r w:rsidR="00103E6A">
        <w:rPr>
          <w:rFonts w:eastAsia="Times New Roman"/>
          <w:lang w:val="en-US" w:eastAsia="en-GB"/>
        </w:rPr>
        <w:t>w</w:t>
      </w:r>
      <w:r w:rsidR="000B02F4">
        <w:rPr>
          <w:rFonts w:eastAsia="Times New Roman"/>
          <w:lang w:val="en-US" w:eastAsia="en-GB"/>
        </w:rPr>
        <w:t>ford of the dental school</w:t>
      </w:r>
      <w:r w:rsidR="00103E6A">
        <w:rPr>
          <w:rFonts w:eastAsia="Times New Roman"/>
          <w:lang w:val="en-US" w:eastAsia="en-GB"/>
        </w:rPr>
        <w:t>,</w:t>
      </w:r>
      <w:r w:rsidR="000B02F4">
        <w:rPr>
          <w:rFonts w:eastAsia="Times New Roman"/>
          <w:lang w:val="en-US" w:eastAsia="en-GB"/>
        </w:rPr>
        <w:t xml:space="preserve"> University of Sheffield.</w:t>
      </w:r>
      <w:r w:rsidRPr="00392836">
        <w:rPr>
          <w:rFonts w:eastAsia="Times New Roman"/>
          <w:lang w:val="en-US" w:eastAsia="en-GB"/>
        </w:rPr>
        <w:t xml:space="preserve"> </w:t>
      </w:r>
      <w:r w:rsidR="000B02F4">
        <w:rPr>
          <w:rFonts w:eastAsia="Times New Roman"/>
          <w:lang w:val="en-US" w:eastAsia="en-GB"/>
        </w:rPr>
        <w:t>H</w:t>
      </w:r>
      <w:r w:rsidRPr="00392836">
        <w:rPr>
          <w:rFonts w:eastAsia="Times New Roman"/>
          <w:lang w:val="en-US" w:eastAsia="en-GB"/>
        </w:rPr>
        <w:t>eparan sulphate, heparinase II and heparinase III were purchased from Iduron, United Kingdom.</w:t>
      </w:r>
      <w:r w:rsidRPr="00392836">
        <w:rPr>
          <w:lang w:val="en-US"/>
        </w:rPr>
        <w:t xml:space="preserve"> Dulbecco’s modification of Eagle’s medium (DMEM), phenol red-free DMEM, 0.1M phosphate buffered saline (PBS) at pH7.4 and 0.05% trypsin-ethylenediaaminetetraacetic acid (EDTA) were purchased from Biowhitaker, United Kingdom. Pyro Glu-Gly-Arg-</w:t>
      </w:r>
      <w:r w:rsidRPr="00392836">
        <w:rPr>
          <w:i/>
          <w:lang w:val="en-US"/>
        </w:rPr>
        <w:t>p</w:t>
      </w:r>
      <w:r w:rsidRPr="00392836">
        <w:rPr>
          <w:lang w:val="en-US"/>
        </w:rPr>
        <w:t>NA was purchased from Hyphen Biomed, France, while H-D-Ile-Pro-Arg</w:t>
      </w:r>
      <w:r w:rsidRPr="00392836">
        <w:rPr>
          <w:i/>
          <w:lang w:val="en-US"/>
        </w:rPr>
        <w:t>-p</w:t>
      </w:r>
      <w:r w:rsidRPr="00392836">
        <w:rPr>
          <w:lang w:val="en-US"/>
        </w:rPr>
        <w:t>NA was purchased from Chromogenix, Molndal,</w:t>
      </w:r>
      <w:r w:rsidR="00621EEF">
        <w:rPr>
          <w:lang w:val="en-US"/>
        </w:rPr>
        <w:t xml:space="preserve"> Sweden. The CP</w:t>
      </w:r>
      <w:r w:rsidRPr="00392836">
        <w:rPr>
          <w:lang w:val="en-US"/>
        </w:rPr>
        <w:t xml:space="preserve">B2 assay kit (Pefakit) was bought from Pentapharm, Basel, Switzerland. Carboxypeptidase B2 inhibitor UK-396082 </w:t>
      </w:r>
      <w:r w:rsidRPr="00392836">
        <w:rPr>
          <w:b/>
          <w:lang w:val="en-US"/>
        </w:rPr>
        <w:t>(</w:t>
      </w:r>
      <w:r w:rsidRPr="00392836">
        <w:rPr>
          <w:lang w:val="en-US"/>
        </w:rPr>
        <w:t>(2S)-5-Amino-2-[(1-n-propyl-1-H-imidazole-4-yl)methyl]pentanoic Acid</w:t>
      </w:r>
      <w:r w:rsidRPr="00392836">
        <w:rPr>
          <w:b/>
          <w:lang w:val="en-US"/>
        </w:rPr>
        <w:t>)</w:t>
      </w:r>
      <w:r w:rsidRPr="00392836">
        <w:rPr>
          <w:lang w:val="en-US"/>
        </w:rPr>
        <w:t xml:space="preserve"> </w:t>
      </w:r>
      <w:r w:rsidRPr="00392836">
        <w:rPr>
          <w:lang w:val="en-US"/>
        </w:rPr>
        <w:fldChar w:fldCharType="begin"/>
      </w:r>
      <w:r w:rsidRPr="00392836">
        <w:rPr>
          <w:lang w:val="en-US"/>
        </w:rPr>
        <w:instrText xml:space="preserve"> ADDIN EN.CITE &lt;EndNote&gt;&lt;Cite&gt;&lt;Author&gt;Bunnage&lt;/Author&gt;&lt;Year&gt;2007&lt;/Year&gt;&lt;RecNum&gt;0&lt;/RecNum&gt;&lt;IDText&gt;Discovery of potent &amp;amp; selective inhibitors of activated thrombin-activatable fibrinolysis inhibitor for the treatment of thrombosis&lt;/IDText&gt;&lt;DisplayText&gt;(Bunnage et al., 2007)&lt;/DisplayText&gt;&lt;record&gt;&lt;dates&gt;&lt;pub-dates&gt;&lt;date&gt;Nov 29&lt;/date&gt;&lt;/pub-dates&gt;&lt;year&gt;2007&lt;/year&gt;&lt;/dates&gt;&lt;urls&gt;&lt;related-urls&gt;&lt;url&gt;&amp;lt;Go to ISI&amp;gt;://WOS:000251181900026&lt;/url&gt;&lt;/related-urls&gt;&lt;/urls&gt;&lt;isbn&gt;0022-2623&lt;/isbn&gt;&lt;titles&gt;&lt;title&gt;Discovery of potent &amp;amp; selective inhibitors of activated thrombin-activatable fibrinolysis inhibitor for the treatment of thrombosis&lt;/title&gt;&lt;secondary-title&gt;Journal of Medicinal Chemistry&lt;/secondary-title&gt;&lt;/titles&gt;&lt;pages&gt;6095-6103&lt;/pages&gt;&lt;number&gt;24&lt;/number&gt;&lt;contributors&gt;&lt;authors&gt;&lt;author&gt;Bunnage, Mark E.&lt;/author&gt;&lt;author&gt;Blagg, Julian&lt;/author&gt;&lt;author&gt;Steele, John&lt;/author&gt;&lt;author&gt;Owen, Dafydd R.&lt;/author&gt;&lt;author&gt;Allerton, Charlotte&lt;/author&gt;&lt;author&gt;MeElroy, Andrew B.&lt;/author&gt;&lt;author&gt;Miller, Duncan&lt;/author&gt;&lt;author&gt;Ringer, Tracy&lt;/author&gt;&lt;author&gt;Butcher, Ken&lt;/author&gt;&lt;author&gt;Beaumont, Kevin&lt;/author&gt;&lt;author&gt;Evans, Karen&lt;/author&gt;&lt;author&gt;Gray, Andrew J.&lt;/author&gt;&lt;author&gt;Holland, Stephen J.&lt;/author&gt;&lt;author&gt;Feeder, Neil&lt;/author&gt;&lt;author&gt;Moore, Robert S.&lt;/author&gt;&lt;author&gt;Brown, David G.&lt;/author&gt;&lt;/authors&gt;&lt;/contributors&gt;&lt;added-date format="utc"&gt;1406642064&lt;/added-date&gt;&lt;ref-type name="Journal Article"&gt;17&lt;/ref-type&gt;&lt;rec-number&gt;156&lt;/rec-number&gt;&lt;last-updated-date format="utc"&gt;1406642064&lt;/last-updated-date&gt;&lt;accession-num&gt;WOS:000251181900026&lt;/accession-num&gt;&lt;electronic-resource-num&gt;10.1021/jm0702433&lt;/electronic-resource-num&gt;&lt;volume&gt;50&lt;/volume&gt;&lt;/record&gt;&lt;/Cite&gt;&lt;/EndNote&gt;</w:instrText>
      </w:r>
      <w:r w:rsidRPr="00392836">
        <w:rPr>
          <w:lang w:val="en-US"/>
        </w:rPr>
        <w:fldChar w:fldCharType="separate"/>
      </w:r>
      <w:r w:rsidRPr="00392836">
        <w:rPr>
          <w:noProof/>
          <w:lang w:val="en-US"/>
        </w:rPr>
        <w:t>(Bunnage et al., 2007)</w:t>
      </w:r>
      <w:r w:rsidRPr="00392836">
        <w:rPr>
          <w:lang w:val="en-US"/>
        </w:rPr>
        <w:fldChar w:fldCharType="end"/>
      </w:r>
      <w:r w:rsidRPr="00392836">
        <w:rPr>
          <w:lang w:val="en-US"/>
        </w:rPr>
        <w:t xml:space="preserve"> was supplied by Pfizer.</w:t>
      </w:r>
      <w:r w:rsidRPr="00392836">
        <w:rPr>
          <w:b/>
          <w:lang w:val="en-US"/>
        </w:rPr>
        <w:t xml:space="preserve"> </w:t>
      </w:r>
      <w:r w:rsidRPr="00392836">
        <w:rPr>
          <w:lang w:val="en-US"/>
        </w:rPr>
        <w:t xml:space="preserve">Rat albumin ELISA kit was purchased from </w:t>
      </w:r>
      <w:r w:rsidRPr="00392836">
        <w:rPr>
          <w:lang w:eastAsia="en-GB"/>
        </w:rPr>
        <w:t xml:space="preserve">Bethyl laboratories inc, </w:t>
      </w:r>
      <w:r w:rsidRPr="00392836">
        <w:rPr>
          <w:lang w:val="en-US"/>
        </w:rPr>
        <w:t>Montgomery,</w:t>
      </w:r>
      <w:r w:rsidRPr="00392836">
        <w:t xml:space="preserve"> P</w:t>
      </w:r>
      <w:r w:rsidR="00621EEF">
        <w:t>ierce BCA Protein Assay Kit</w:t>
      </w:r>
      <w:r w:rsidR="00A74EFB">
        <w:t>,</w:t>
      </w:r>
      <w:r w:rsidR="00352BBA" w:rsidRPr="00392836">
        <w:rPr>
          <w:b/>
          <w:bCs/>
          <w:kern w:val="36"/>
          <w:lang w:val="en-US"/>
        </w:rPr>
        <w:t xml:space="preserve"> </w:t>
      </w:r>
      <w:r w:rsidR="00352BBA" w:rsidRPr="00392836">
        <w:rPr>
          <w:lang w:val="en-US"/>
        </w:rPr>
        <w:t>Optimal Cutting Temperat</w:t>
      </w:r>
      <w:r w:rsidR="00352BBA">
        <w:rPr>
          <w:lang w:val="en-US"/>
        </w:rPr>
        <w:t>ure compound,</w:t>
      </w:r>
      <w:r w:rsidR="00352BBA" w:rsidRPr="00392836">
        <w:rPr>
          <w:lang w:val="en-US"/>
        </w:rPr>
        <w:t xml:space="preserve"> </w:t>
      </w:r>
      <w:r w:rsidR="00A74EFB">
        <w:t>T25 and T75 flasks</w:t>
      </w:r>
      <w:r w:rsidR="00621EEF">
        <w:t xml:space="preserve"> and c</w:t>
      </w:r>
      <w:r w:rsidR="00621EEF">
        <w:rPr>
          <w:lang w:val="en-US"/>
        </w:rPr>
        <w:t>ytoseal 60 were purchased from Thermos S</w:t>
      </w:r>
      <w:r w:rsidRPr="00392836">
        <w:rPr>
          <w:lang w:val="en-US"/>
        </w:rPr>
        <w:t>cientific.</w:t>
      </w:r>
      <w:bookmarkStart w:id="83" w:name="_Toc484448811"/>
    </w:p>
    <w:p w:rsidR="00352BBA" w:rsidRPr="000B02F4" w:rsidRDefault="00352BBA" w:rsidP="0099028F">
      <w:pPr>
        <w:ind w:left="720"/>
        <w:rPr>
          <w:rFonts w:cs="Arial"/>
          <w:lang w:val="en-US"/>
        </w:rPr>
      </w:pPr>
      <w:r>
        <w:rPr>
          <w:lang w:val="en-US"/>
        </w:rPr>
        <w:t xml:space="preserve">5% Dextrose water, 0.9% </w:t>
      </w:r>
      <w:r w:rsidR="00C640E6">
        <w:rPr>
          <w:rFonts w:cs="Arial"/>
          <w:lang w:val="en-US"/>
        </w:rPr>
        <w:t>n</w:t>
      </w:r>
      <w:r w:rsidRPr="000B02F4">
        <w:rPr>
          <w:rFonts w:cs="Arial"/>
          <w:lang w:val="en-US"/>
        </w:rPr>
        <w:t>ormal saline</w:t>
      </w:r>
      <w:r w:rsidR="000B02F4" w:rsidRPr="000B02F4">
        <w:rPr>
          <w:rFonts w:cs="Arial"/>
          <w:lang w:val="en-US"/>
        </w:rPr>
        <w:t>,</w:t>
      </w:r>
      <w:r w:rsidR="00C640E6" w:rsidRPr="00C640E6">
        <w:rPr>
          <w:lang w:val="en-US"/>
        </w:rPr>
        <w:t xml:space="preserve"> </w:t>
      </w:r>
      <w:r w:rsidR="00C640E6" w:rsidRPr="00392836">
        <w:rPr>
          <w:lang w:val="en-US"/>
        </w:rPr>
        <w:t>chlorhexidine</w:t>
      </w:r>
      <w:r w:rsidR="00C640E6">
        <w:rPr>
          <w:lang w:val="en-US"/>
        </w:rPr>
        <w:t>,</w:t>
      </w:r>
      <w:r w:rsidR="00C640E6" w:rsidRPr="00C640E6">
        <w:rPr>
          <w:lang w:val="en-US"/>
        </w:rPr>
        <w:t xml:space="preserve"> </w:t>
      </w:r>
      <w:r w:rsidR="00C640E6">
        <w:rPr>
          <w:lang w:val="en-US"/>
        </w:rPr>
        <w:t>b</w:t>
      </w:r>
      <w:r w:rsidR="00C640E6" w:rsidRPr="00392836">
        <w:rPr>
          <w:lang w:val="en-US"/>
        </w:rPr>
        <w:t>uprenorphine</w:t>
      </w:r>
      <w:r w:rsidR="00C640E6">
        <w:rPr>
          <w:lang w:val="en-US"/>
        </w:rPr>
        <w:t>,</w:t>
      </w:r>
      <w:r w:rsidR="00C640E6" w:rsidRPr="00392836">
        <w:rPr>
          <w:lang w:val="en-US"/>
        </w:rPr>
        <w:t xml:space="preserve"> povidone iodine</w:t>
      </w:r>
      <w:r w:rsidR="00C640E6">
        <w:rPr>
          <w:lang w:val="en-US"/>
        </w:rPr>
        <w:t>,</w:t>
      </w:r>
      <w:r w:rsidR="000B02F4" w:rsidRPr="000B02F4">
        <w:rPr>
          <w:rFonts w:cs="Arial"/>
        </w:rPr>
        <w:t xml:space="preserve"> Urispec Plus Vet 10 plus dipstick strip</w:t>
      </w:r>
      <w:r w:rsidR="000B02F4">
        <w:rPr>
          <w:rFonts w:cs="Arial"/>
        </w:rPr>
        <w:t xml:space="preserve">s, </w:t>
      </w:r>
      <w:r w:rsidR="00603236">
        <w:rPr>
          <w:lang w:val="en-US"/>
        </w:rPr>
        <w:t>23 G butterfly cannula</w:t>
      </w:r>
      <w:r w:rsidR="00103E6A">
        <w:rPr>
          <w:rFonts w:cs="Arial"/>
        </w:rPr>
        <w:t>, scalpel</w:t>
      </w:r>
      <w:r w:rsidR="00D100F6">
        <w:rPr>
          <w:rFonts w:cs="Arial"/>
        </w:rPr>
        <w:t>, sterile surgical gloves</w:t>
      </w:r>
      <w:r w:rsidR="000B02F4">
        <w:rPr>
          <w:rFonts w:cs="Arial"/>
        </w:rPr>
        <w:t xml:space="preserve"> and</w:t>
      </w:r>
      <w:r w:rsidR="00103E6A">
        <w:rPr>
          <w:rFonts w:cs="Arial"/>
        </w:rPr>
        <w:t xml:space="preserve"> 5%</w:t>
      </w:r>
      <w:r w:rsidR="000B02F4">
        <w:rPr>
          <w:rFonts w:cs="Arial"/>
        </w:rPr>
        <w:t xml:space="preserve"> isoflurane</w:t>
      </w:r>
      <w:r w:rsidRPr="000B02F4">
        <w:rPr>
          <w:rFonts w:cs="Arial"/>
          <w:lang w:val="en-US"/>
        </w:rPr>
        <w:t xml:space="preserve"> wer</w:t>
      </w:r>
      <w:r w:rsidR="00D100F6">
        <w:rPr>
          <w:rFonts w:cs="Arial"/>
          <w:lang w:val="en-US"/>
        </w:rPr>
        <w:t>e purchased through the BSU of U</w:t>
      </w:r>
      <w:r w:rsidRPr="000B02F4">
        <w:rPr>
          <w:rFonts w:cs="Arial"/>
          <w:lang w:val="en-US"/>
        </w:rPr>
        <w:t>niversit</w:t>
      </w:r>
      <w:r w:rsidR="00D100F6">
        <w:rPr>
          <w:rFonts w:cs="Arial"/>
          <w:lang w:val="en-US"/>
        </w:rPr>
        <w:t xml:space="preserve">y of Sheffield, while </w:t>
      </w:r>
      <w:r w:rsidR="00603236">
        <w:rPr>
          <w:rFonts w:cs="Arial"/>
          <w:lang w:val="en-US"/>
        </w:rPr>
        <w:t>theater</w:t>
      </w:r>
      <w:r w:rsidR="00D100F6">
        <w:rPr>
          <w:rFonts w:cs="Arial"/>
          <w:lang w:val="en-US"/>
        </w:rPr>
        <w:t xml:space="preserve"> gowns and surgical equipment were supplied by BSU of U</w:t>
      </w:r>
      <w:r w:rsidR="00D100F6" w:rsidRPr="000B02F4">
        <w:rPr>
          <w:rFonts w:cs="Arial"/>
          <w:lang w:val="en-US"/>
        </w:rPr>
        <w:t>niversit</w:t>
      </w:r>
      <w:r w:rsidR="00D100F6">
        <w:rPr>
          <w:rFonts w:cs="Arial"/>
          <w:lang w:val="en-US"/>
        </w:rPr>
        <w:t>y of Sheffield.</w:t>
      </w:r>
    </w:p>
    <w:p w:rsidR="00EE392F" w:rsidRPr="000B02F4" w:rsidRDefault="00EE392F" w:rsidP="0099028F">
      <w:pPr>
        <w:ind w:left="720"/>
        <w:rPr>
          <w:rFonts w:cs="Arial"/>
          <w:lang w:val="en-US"/>
        </w:rPr>
      </w:pPr>
      <w:r w:rsidRPr="000B02F4">
        <w:rPr>
          <w:rFonts w:cs="Arial"/>
          <w:lang w:val="en-US"/>
        </w:rPr>
        <w:t>Other reagents which were of highest purity were purchased from registered suppliers of the University of Sheffield.</w:t>
      </w:r>
    </w:p>
    <w:p w:rsidR="00A41685" w:rsidRDefault="00A41685" w:rsidP="00A41685">
      <w:pPr>
        <w:rPr>
          <w:lang w:val="en-US"/>
        </w:rPr>
      </w:pPr>
      <w:r>
        <w:rPr>
          <w:lang w:val="en-US"/>
        </w:rPr>
        <w:br w:type="page"/>
      </w:r>
    </w:p>
    <w:p w:rsidR="00430D62" w:rsidRPr="00392836" w:rsidRDefault="00430D62" w:rsidP="0099028F">
      <w:pPr>
        <w:pStyle w:val="Heading3"/>
        <w:ind w:firstLine="720"/>
        <w:rPr>
          <w:lang w:val="en-US"/>
        </w:rPr>
      </w:pPr>
      <w:bookmarkStart w:id="84" w:name="_Toc506232323"/>
      <w:r>
        <w:rPr>
          <w:lang w:val="en-US"/>
        </w:rPr>
        <w:lastRenderedPageBreak/>
        <w:t>2.</w:t>
      </w:r>
      <w:r w:rsidRPr="00392836">
        <w:rPr>
          <w:lang w:val="en-US"/>
        </w:rPr>
        <w:t>2 Equipment</w:t>
      </w:r>
      <w:bookmarkEnd w:id="83"/>
      <w:bookmarkEnd w:id="84"/>
      <w:r w:rsidRPr="00392836">
        <w:rPr>
          <w:lang w:val="en-US"/>
        </w:rPr>
        <w:t xml:space="preserve"> </w:t>
      </w:r>
    </w:p>
    <w:tbl>
      <w:tblPr>
        <w:tblStyle w:val="TableGrid"/>
        <w:tblW w:w="0" w:type="auto"/>
        <w:tblInd w:w="720" w:type="dxa"/>
        <w:tblLook w:val="04A0" w:firstRow="1" w:lastRow="0" w:firstColumn="1" w:lastColumn="0" w:noHBand="0" w:noVBand="1"/>
      </w:tblPr>
      <w:tblGrid>
        <w:gridCol w:w="3808"/>
        <w:gridCol w:w="3660"/>
      </w:tblGrid>
      <w:tr w:rsidR="00430D62" w:rsidRPr="00392836" w:rsidTr="007D497A">
        <w:tc>
          <w:tcPr>
            <w:tcW w:w="4508" w:type="dxa"/>
          </w:tcPr>
          <w:p w:rsidR="00430D62" w:rsidRPr="00C640E6" w:rsidRDefault="00430D62" w:rsidP="007D497A">
            <w:pPr>
              <w:spacing w:before="100" w:beforeAutospacing="1" w:after="100" w:afterAutospacing="1"/>
              <w:outlineLvl w:val="2"/>
              <w:rPr>
                <w:rFonts w:cs="Arial"/>
                <w:b/>
                <w:bCs/>
                <w:lang w:val="en-US"/>
              </w:rPr>
            </w:pPr>
            <w:r w:rsidRPr="00C640E6">
              <w:rPr>
                <w:rFonts w:cs="Arial"/>
                <w:b/>
                <w:bCs/>
                <w:lang w:val="en-US"/>
              </w:rPr>
              <w:t xml:space="preserve">Equipment </w:t>
            </w:r>
          </w:p>
        </w:tc>
        <w:tc>
          <w:tcPr>
            <w:tcW w:w="4508" w:type="dxa"/>
          </w:tcPr>
          <w:p w:rsidR="00430D62" w:rsidRPr="00C640E6" w:rsidRDefault="00430D62" w:rsidP="007D497A">
            <w:pPr>
              <w:spacing w:before="100" w:beforeAutospacing="1" w:after="100" w:afterAutospacing="1"/>
              <w:outlineLvl w:val="2"/>
              <w:rPr>
                <w:rFonts w:cs="Arial"/>
                <w:b/>
                <w:bCs/>
                <w:lang w:val="en-US"/>
              </w:rPr>
            </w:pPr>
            <w:r w:rsidRPr="00C640E6">
              <w:rPr>
                <w:rFonts w:cs="Arial"/>
                <w:b/>
                <w:bCs/>
                <w:lang w:val="en-US"/>
              </w:rPr>
              <w:t>Manufacturer</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Anaesthetic machine</w:t>
            </w:r>
          </w:p>
        </w:tc>
        <w:tc>
          <w:tcPr>
            <w:tcW w:w="4508" w:type="dxa"/>
          </w:tcPr>
          <w:p w:rsidR="00430D62" w:rsidRPr="00C640E6" w:rsidRDefault="00C96844" w:rsidP="007D497A">
            <w:pPr>
              <w:spacing w:before="100" w:beforeAutospacing="1" w:after="100" w:afterAutospacing="1"/>
              <w:outlineLvl w:val="2"/>
              <w:rPr>
                <w:rFonts w:cs="Arial"/>
                <w:bCs/>
                <w:lang w:val="en-US"/>
              </w:rPr>
            </w:pPr>
            <w:r>
              <w:rPr>
                <w:rFonts w:cs="Arial"/>
                <w:bCs/>
                <w:lang w:val="en-US"/>
              </w:rPr>
              <w:t>Nuvo lite AW Anaesthesia services limited</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Biomate 5 spectrophotometer</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Thermo Electron Corporation</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 xml:space="preserve">Centrifuge </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Mikro 120 Hettich</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Freezer (-20°C)</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 xml:space="preserve">Frigidaires </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Freezer (-80°C)</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Sanyo ultra-low</w:t>
            </w:r>
          </w:p>
        </w:tc>
      </w:tr>
      <w:tr w:rsidR="00430D62" w:rsidRPr="00392836" w:rsidTr="007D497A">
        <w:trPr>
          <w:trHeight w:val="65"/>
        </w:trPr>
        <w:tc>
          <w:tcPr>
            <w:tcW w:w="4508" w:type="dxa"/>
          </w:tcPr>
          <w:p w:rsidR="00430D62" w:rsidRPr="00C640E6" w:rsidRDefault="00A74EFB" w:rsidP="00A74EFB">
            <w:pPr>
              <w:spacing w:before="100" w:beforeAutospacing="1" w:after="100" w:afterAutospacing="1"/>
              <w:outlineLvl w:val="2"/>
              <w:rPr>
                <w:rFonts w:cs="Arial"/>
                <w:bCs/>
                <w:lang w:val="en-US"/>
              </w:rPr>
            </w:pPr>
            <w:r w:rsidRPr="00C640E6">
              <w:rPr>
                <w:rFonts w:cs="Arial"/>
                <w:bCs/>
                <w:lang w:val="en-US"/>
              </w:rPr>
              <w:t>Refrigerator</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medicool</w:t>
            </w:r>
          </w:p>
        </w:tc>
      </w:tr>
      <w:tr w:rsidR="00430D62" w:rsidRPr="00392836" w:rsidTr="007D497A">
        <w:tc>
          <w:tcPr>
            <w:tcW w:w="4508" w:type="dxa"/>
          </w:tcPr>
          <w:p w:rsidR="00430D62" w:rsidRPr="00C640E6" w:rsidRDefault="00A74EFB" w:rsidP="007D497A">
            <w:pPr>
              <w:spacing w:before="100" w:beforeAutospacing="1" w:after="100" w:afterAutospacing="1"/>
              <w:outlineLvl w:val="2"/>
              <w:rPr>
                <w:rFonts w:cs="Arial"/>
                <w:bCs/>
                <w:lang w:val="en-US"/>
              </w:rPr>
            </w:pPr>
            <w:r w:rsidRPr="00C640E6">
              <w:rPr>
                <w:rFonts w:cs="Arial"/>
                <w:bCs/>
                <w:lang w:val="en-US"/>
              </w:rPr>
              <w:t>CO</w:t>
            </w:r>
            <w:r w:rsidRPr="00C640E6">
              <w:rPr>
                <w:rFonts w:cs="Arial"/>
                <w:bCs/>
                <w:vertAlign w:val="subscript"/>
                <w:lang w:val="en-US"/>
              </w:rPr>
              <w:t xml:space="preserve">2 </w:t>
            </w:r>
            <w:r w:rsidR="00430D62" w:rsidRPr="00C640E6">
              <w:rPr>
                <w:rFonts w:cs="Arial"/>
                <w:bCs/>
                <w:lang w:val="en-US"/>
              </w:rPr>
              <w:t>Incubator</w:t>
            </w:r>
          </w:p>
        </w:tc>
        <w:tc>
          <w:tcPr>
            <w:tcW w:w="4508" w:type="dxa"/>
          </w:tcPr>
          <w:p w:rsidR="00430D62" w:rsidRPr="00C640E6" w:rsidRDefault="00C96844" w:rsidP="00C96844">
            <w:pPr>
              <w:spacing w:before="100" w:beforeAutospacing="1" w:after="100" w:afterAutospacing="1"/>
              <w:outlineLvl w:val="2"/>
              <w:rPr>
                <w:rFonts w:cs="Arial"/>
                <w:bCs/>
                <w:lang w:val="en-US"/>
              </w:rPr>
            </w:pPr>
            <w:r>
              <w:rPr>
                <w:rFonts w:cs="Arial"/>
                <w:bCs/>
                <w:lang w:val="en-US"/>
              </w:rPr>
              <w:t>New Brunswick, galaxy 170s</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 xml:space="preserve">Magnetic stirrer </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BIBBY Scientific UK</w:t>
            </w:r>
          </w:p>
        </w:tc>
      </w:tr>
      <w:tr w:rsidR="00430D62" w:rsidRPr="00392836" w:rsidTr="00C640E6">
        <w:trPr>
          <w:trHeight w:val="519"/>
        </w:trPr>
        <w:tc>
          <w:tcPr>
            <w:tcW w:w="4508" w:type="dxa"/>
          </w:tcPr>
          <w:p w:rsidR="00430D62" w:rsidRPr="00C640E6" w:rsidRDefault="00397021" w:rsidP="007D497A">
            <w:pPr>
              <w:spacing w:before="100" w:beforeAutospacing="1" w:after="100" w:afterAutospacing="1"/>
              <w:outlineLvl w:val="2"/>
              <w:rPr>
                <w:rFonts w:cs="Arial"/>
                <w:bCs/>
                <w:lang w:val="en-US"/>
              </w:rPr>
            </w:pPr>
            <w:r w:rsidRPr="00392836">
              <w:rPr>
                <w:lang w:val="en-US"/>
              </w:rPr>
              <w:t>IITC life science BP amplifier</w:t>
            </w:r>
          </w:p>
        </w:tc>
        <w:tc>
          <w:tcPr>
            <w:tcW w:w="4508" w:type="dxa"/>
          </w:tcPr>
          <w:p w:rsidR="00430D62" w:rsidRPr="00C640E6" w:rsidRDefault="00C96844" w:rsidP="007D497A">
            <w:pPr>
              <w:spacing w:before="100" w:beforeAutospacing="1" w:after="100" w:afterAutospacing="1"/>
              <w:outlineLvl w:val="2"/>
              <w:rPr>
                <w:rFonts w:cs="Arial"/>
                <w:bCs/>
                <w:lang w:val="en-US"/>
              </w:rPr>
            </w:pPr>
            <w:r>
              <w:rPr>
                <w:rFonts w:cs="Arial"/>
                <w:bCs/>
                <w:lang w:val="en-US"/>
              </w:rPr>
              <w:t>IITC Life science</w:t>
            </w:r>
          </w:p>
        </w:tc>
      </w:tr>
      <w:tr w:rsidR="00430D62" w:rsidRPr="00392836" w:rsidTr="007D497A">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TC20 Automated cell counter</w:t>
            </w:r>
          </w:p>
        </w:tc>
        <w:tc>
          <w:tcPr>
            <w:tcW w:w="4508" w:type="dxa"/>
          </w:tcPr>
          <w:p w:rsidR="00430D62" w:rsidRPr="00C640E6" w:rsidRDefault="00430D62" w:rsidP="007D497A">
            <w:pPr>
              <w:spacing w:before="100" w:beforeAutospacing="1" w:after="100" w:afterAutospacing="1"/>
              <w:outlineLvl w:val="2"/>
              <w:rPr>
                <w:rFonts w:cs="Arial"/>
                <w:bCs/>
                <w:lang w:val="en-US"/>
              </w:rPr>
            </w:pPr>
            <w:r w:rsidRPr="00C640E6">
              <w:rPr>
                <w:rFonts w:cs="Arial"/>
                <w:bCs/>
                <w:lang w:val="en-US"/>
              </w:rPr>
              <w:t>Bio-Rad Laboratories</w:t>
            </w:r>
          </w:p>
        </w:tc>
      </w:tr>
      <w:tr w:rsidR="00430D62" w:rsidRPr="00392836" w:rsidTr="007D497A">
        <w:tc>
          <w:tcPr>
            <w:tcW w:w="4508" w:type="dxa"/>
          </w:tcPr>
          <w:p w:rsidR="00430D62" w:rsidRPr="00C640E6" w:rsidRDefault="002B1267" w:rsidP="007D497A">
            <w:pPr>
              <w:spacing w:before="100" w:beforeAutospacing="1" w:after="100" w:afterAutospacing="1"/>
              <w:outlineLvl w:val="2"/>
              <w:rPr>
                <w:rFonts w:cs="Arial"/>
                <w:bCs/>
                <w:lang w:val="en-US"/>
              </w:rPr>
            </w:pPr>
            <w:r w:rsidRPr="00C640E6">
              <w:rPr>
                <w:rFonts w:cs="Arial"/>
              </w:rPr>
              <w:t>Automated 96 well plate washer</w:t>
            </w:r>
          </w:p>
        </w:tc>
        <w:tc>
          <w:tcPr>
            <w:tcW w:w="4508" w:type="dxa"/>
          </w:tcPr>
          <w:p w:rsidR="00430D62" w:rsidRPr="00C640E6" w:rsidRDefault="00C3453B" w:rsidP="007D497A">
            <w:pPr>
              <w:spacing w:before="100" w:beforeAutospacing="1" w:after="100" w:afterAutospacing="1"/>
              <w:outlineLvl w:val="2"/>
              <w:rPr>
                <w:rFonts w:cs="Arial"/>
                <w:bCs/>
                <w:lang w:val="en-US"/>
              </w:rPr>
            </w:pPr>
            <w:r>
              <w:rPr>
                <w:rFonts w:cs="Arial"/>
                <w:bCs/>
                <w:lang w:val="en-US"/>
              </w:rPr>
              <w:t xml:space="preserve">Biocompare ltd </w:t>
            </w:r>
          </w:p>
        </w:tc>
      </w:tr>
      <w:tr w:rsidR="00430D62" w:rsidRPr="00392836" w:rsidTr="007D497A">
        <w:tc>
          <w:tcPr>
            <w:tcW w:w="4508" w:type="dxa"/>
          </w:tcPr>
          <w:p w:rsidR="00430D62" w:rsidRPr="00C640E6" w:rsidRDefault="000B02F4" w:rsidP="007D497A">
            <w:pPr>
              <w:spacing w:before="100" w:beforeAutospacing="1" w:after="100" w:afterAutospacing="1"/>
              <w:outlineLvl w:val="2"/>
              <w:rPr>
                <w:rFonts w:cs="Arial"/>
                <w:bCs/>
                <w:lang w:val="en-US"/>
              </w:rPr>
            </w:pPr>
            <w:r w:rsidRPr="00C640E6">
              <w:rPr>
                <w:rFonts w:cs="Arial"/>
                <w:bCs/>
                <w:lang w:val="en-US"/>
              </w:rPr>
              <w:t xml:space="preserve">Metabolic cage </w:t>
            </w:r>
          </w:p>
        </w:tc>
        <w:tc>
          <w:tcPr>
            <w:tcW w:w="4508" w:type="dxa"/>
          </w:tcPr>
          <w:p w:rsidR="00430D62" w:rsidRPr="00C640E6" w:rsidRDefault="00C3453B" w:rsidP="007D497A">
            <w:pPr>
              <w:spacing w:before="100" w:beforeAutospacing="1" w:after="100" w:afterAutospacing="1"/>
              <w:outlineLvl w:val="2"/>
              <w:rPr>
                <w:rFonts w:cs="Arial"/>
                <w:bCs/>
                <w:lang w:val="en-US"/>
              </w:rPr>
            </w:pPr>
            <w:r>
              <w:rPr>
                <w:rFonts w:cs="Arial"/>
                <w:bCs/>
                <w:lang w:val="en-US"/>
              </w:rPr>
              <w:t>Techni</w:t>
            </w:r>
            <w:r w:rsidR="000B02F4" w:rsidRPr="00C640E6">
              <w:rPr>
                <w:rFonts w:cs="Arial"/>
                <w:bCs/>
                <w:lang w:val="en-US"/>
              </w:rPr>
              <w:t>plast</w:t>
            </w:r>
            <w:r>
              <w:rPr>
                <w:rFonts w:cs="Arial"/>
                <w:bCs/>
                <w:lang w:val="en-US"/>
              </w:rPr>
              <w:t>, Italy.</w:t>
            </w:r>
          </w:p>
        </w:tc>
      </w:tr>
      <w:tr w:rsidR="00C640E6" w:rsidRPr="00392836" w:rsidTr="007D497A">
        <w:tc>
          <w:tcPr>
            <w:tcW w:w="4508" w:type="dxa"/>
          </w:tcPr>
          <w:p w:rsidR="00C640E6" w:rsidRPr="00C640E6" w:rsidRDefault="00C640E6" w:rsidP="007D497A">
            <w:pPr>
              <w:spacing w:before="100" w:beforeAutospacing="1" w:after="100" w:afterAutospacing="1"/>
              <w:outlineLvl w:val="2"/>
              <w:rPr>
                <w:rFonts w:cs="Arial"/>
                <w:bCs/>
                <w:lang w:val="en-US"/>
              </w:rPr>
            </w:pPr>
            <w:r w:rsidRPr="00C640E6">
              <w:rPr>
                <w:rFonts w:cs="Arial"/>
                <w:bCs/>
                <w:lang w:val="en-US"/>
              </w:rPr>
              <w:t xml:space="preserve">Clipper </w:t>
            </w:r>
          </w:p>
        </w:tc>
        <w:tc>
          <w:tcPr>
            <w:tcW w:w="4508" w:type="dxa"/>
          </w:tcPr>
          <w:p w:rsidR="00C640E6" w:rsidRPr="00C640E6" w:rsidRDefault="00C3453B" w:rsidP="007D497A">
            <w:pPr>
              <w:spacing w:before="100" w:beforeAutospacing="1" w:after="100" w:afterAutospacing="1"/>
              <w:outlineLvl w:val="2"/>
              <w:rPr>
                <w:rFonts w:cs="Arial"/>
                <w:bCs/>
                <w:lang w:val="en-US"/>
              </w:rPr>
            </w:pPr>
            <w:r>
              <w:rPr>
                <w:rFonts w:cs="Arial"/>
                <w:bCs/>
                <w:lang w:val="en-US"/>
              </w:rPr>
              <w:t xml:space="preserve">Wella contura trimmer </w:t>
            </w:r>
          </w:p>
        </w:tc>
      </w:tr>
      <w:tr w:rsidR="00C640E6" w:rsidRPr="00392836" w:rsidTr="007D497A">
        <w:tc>
          <w:tcPr>
            <w:tcW w:w="4508" w:type="dxa"/>
          </w:tcPr>
          <w:p w:rsidR="00C640E6" w:rsidRPr="00C640E6" w:rsidRDefault="00C640E6" w:rsidP="007D497A">
            <w:pPr>
              <w:spacing w:before="100" w:beforeAutospacing="1" w:after="100" w:afterAutospacing="1"/>
              <w:outlineLvl w:val="2"/>
              <w:rPr>
                <w:rFonts w:cs="Arial"/>
                <w:bCs/>
                <w:lang w:val="en-US"/>
              </w:rPr>
            </w:pPr>
            <w:r w:rsidRPr="00C640E6">
              <w:rPr>
                <w:rFonts w:cs="Arial"/>
                <w:bCs/>
                <w:lang w:val="en-US"/>
              </w:rPr>
              <w:t>Microscope Olympus CK2</w:t>
            </w:r>
          </w:p>
        </w:tc>
        <w:tc>
          <w:tcPr>
            <w:tcW w:w="4508" w:type="dxa"/>
          </w:tcPr>
          <w:p w:rsidR="00C640E6" w:rsidRPr="00C640E6" w:rsidRDefault="00C640E6" w:rsidP="007D497A">
            <w:pPr>
              <w:spacing w:before="100" w:beforeAutospacing="1" w:after="100" w:afterAutospacing="1"/>
              <w:outlineLvl w:val="2"/>
              <w:rPr>
                <w:rFonts w:cs="Arial"/>
                <w:bCs/>
                <w:lang w:val="en-US"/>
              </w:rPr>
            </w:pPr>
            <w:r w:rsidRPr="00C640E6">
              <w:rPr>
                <w:rFonts w:cs="Arial"/>
                <w:bCs/>
                <w:lang w:val="en-US"/>
              </w:rPr>
              <w:t>Olympus Optical Co LTD. JAPAN</w:t>
            </w:r>
          </w:p>
        </w:tc>
      </w:tr>
    </w:tbl>
    <w:p w:rsidR="00430D62" w:rsidRPr="00392836" w:rsidRDefault="00430D62" w:rsidP="00430D62">
      <w:pPr>
        <w:spacing w:before="100" w:beforeAutospacing="1" w:after="100" w:afterAutospacing="1" w:line="240" w:lineRule="auto"/>
        <w:outlineLvl w:val="2"/>
        <w:rPr>
          <w:rFonts w:ascii="Times New Roman" w:eastAsia="Times New Roman" w:hAnsi="Times New Roman"/>
          <w:b/>
          <w:bCs/>
          <w:sz w:val="27"/>
          <w:szCs w:val="27"/>
          <w:lang w:val="en-US"/>
        </w:rPr>
      </w:pPr>
    </w:p>
    <w:p w:rsidR="00430D62" w:rsidRPr="00392836" w:rsidRDefault="00430D62" w:rsidP="0099028F">
      <w:pPr>
        <w:pStyle w:val="Heading3"/>
        <w:ind w:firstLine="720"/>
        <w:rPr>
          <w:lang w:val="en-US"/>
        </w:rPr>
      </w:pPr>
      <w:bookmarkStart w:id="85" w:name="_Toc484448812"/>
      <w:bookmarkStart w:id="86" w:name="_Toc506232324"/>
      <w:r w:rsidRPr="00392836">
        <w:rPr>
          <w:lang w:val="en-US"/>
        </w:rPr>
        <w:t>2.</w:t>
      </w:r>
      <w:r>
        <w:rPr>
          <w:lang w:val="en-US"/>
        </w:rPr>
        <w:t>3</w:t>
      </w:r>
      <w:r w:rsidRPr="00392836">
        <w:rPr>
          <w:lang w:val="en-US"/>
        </w:rPr>
        <w:t xml:space="preserve"> </w:t>
      </w:r>
      <w:r w:rsidRPr="00392836">
        <w:rPr>
          <w:i/>
          <w:lang w:val="en-US"/>
        </w:rPr>
        <w:t>In vivo</w:t>
      </w:r>
      <w:r w:rsidRPr="00392836">
        <w:rPr>
          <w:lang w:val="en-US"/>
        </w:rPr>
        <w:t xml:space="preserve"> experiments</w:t>
      </w:r>
      <w:bookmarkEnd w:id="85"/>
      <w:bookmarkEnd w:id="86"/>
    </w:p>
    <w:p w:rsidR="00430D62" w:rsidRPr="00392836" w:rsidRDefault="00430D62" w:rsidP="0099028F">
      <w:pPr>
        <w:pStyle w:val="Heading4"/>
        <w:ind w:firstLine="720"/>
        <w:rPr>
          <w:rFonts w:eastAsia="Times New Roman"/>
          <w:lang w:val="en-US"/>
        </w:rPr>
      </w:pPr>
      <w:bookmarkStart w:id="87" w:name="_Toc419657271"/>
      <w:bookmarkStart w:id="88" w:name="_Toc419657343"/>
      <w:bookmarkStart w:id="89" w:name="_Toc419659348"/>
      <w:bookmarkStart w:id="90" w:name="_Toc419852043"/>
      <w:bookmarkStart w:id="91" w:name="_Toc484448813"/>
      <w:bookmarkStart w:id="92" w:name="_Toc506232325"/>
      <w:r w:rsidRPr="00392836">
        <w:rPr>
          <w:rFonts w:eastAsia="Times New Roman"/>
          <w:lang w:val="en-US"/>
        </w:rPr>
        <w:t>2.</w:t>
      </w:r>
      <w:r>
        <w:rPr>
          <w:rFonts w:eastAsia="Times New Roman"/>
          <w:lang w:val="en-US"/>
        </w:rPr>
        <w:t>3</w:t>
      </w:r>
      <w:r w:rsidRPr="00392836">
        <w:rPr>
          <w:rFonts w:eastAsia="Times New Roman"/>
          <w:lang w:val="en-US"/>
        </w:rPr>
        <w:t>.1 Animals:</w:t>
      </w:r>
      <w:bookmarkEnd w:id="87"/>
      <w:bookmarkEnd w:id="88"/>
      <w:bookmarkEnd w:id="89"/>
      <w:bookmarkEnd w:id="90"/>
      <w:bookmarkEnd w:id="91"/>
      <w:bookmarkEnd w:id="92"/>
      <w:r w:rsidRPr="00392836">
        <w:rPr>
          <w:rFonts w:eastAsia="Times New Roman"/>
          <w:lang w:val="en-US"/>
        </w:rPr>
        <w:t xml:space="preserve"> </w:t>
      </w:r>
    </w:p>
    <w:p w:rsidR="00430D62" w:rsidRPr="00392836" w:rsidRDefault="00430D62" w:rsidP="0099028F">
      <w:pPr>
        <w:ind w:left="720"/>
        <w:rPr>
          <w:lang w:val="en-US"/>
        </w:rPr>
      </w:pPr>
      <w:r w:rsidRPr="00392836">
        <w:rPr>
          <w:lang w:val="en-US"/>
        </w:rPr>
        <w:t>Male Wistar rats, 8-10 weeks old, with init</w:t>
      </w:r>
      <w:r w:rsidR="00A74EFB">
        <w:rPr>
          <w:lang w:val="en-US"/>
        </w:rPr>
        <w:t>ial weight between 250-300 g</w:t>
      </w:r>
      <w:r w:rsidRPr="00392836">
        <w:rPr>
          <w:lang w:val="en-US"/>
        </w:rPr>
        <w:t xml:space="preserve"> were purchased from Charles River Laboratory, Harlow, United Kingdom. Studies have verified the suitability of male Wistar rats for type 1 diabetic studies </w:t>
      </w:r>
      <w:r w:rsidRPr="00392836">
        <w:rPr>
          <w:lang w:val="en-US"/>
        </w:rPr>
        <w:fldChar w:fldCharType="begin"/>
      </w:r>
      <w:r w:rsidRPr="00392836">
        <w:rPr>
          <w:lang w:val="en-US"/>
        </w:rPr>
        <w:instrText xml:space="preserve"> ADDIN EN.CITE &lt;EndNote&gt;&lt;Cite&gt;&lt;Author&gt;BRĂSLAŞU&lt;/Author&gt;&lt;Year&gt;2007&lt;/Year&gt;&lt;IDText&gt;Experimental studies regarding the diabetes mellitus induced in white wistar rats&lt;/IDText&gt;&lt;DisplayText&gt;(BRĂSLAŞU et al., 2007, Gajdosik et al., 1999)&lt;/DisplayText&gt;&lt;record&gt;&lt;titles&gt;&lt;title&gt;Experimental studies regarding the diabetes mellitus induced in white wistar rats&lt;/title&gt;&lt;/titles&gt;&lt;contributors&gt;&lt;authors&gt;&lt;author&gt;BRĂSLAŞU, MC&lt;/author&gt;&lt;author&gt;BRĂSLAŞU, ELENA DANIELA&lt;/author&gt;&lt;author&gt;BRĂDĂłAN, CĂTĂLINA&lt;/author&gt;&lt;/authors&gt;&lt;/contributors&gt;&lt;added-date format="utc"&gt;1490744858&lt;/added-date&gt;&lt;ref-type name="Journal Article"&gt;17&lt;/ref-type&gt;&lt;dates&gt;&lt;year&gt;2007&lt;/year&gt;&lt;/dates&gt;&lt;rec-number&gt;1642&lt;/rec-number&gt;&lt;last-updated-date format="utc"&gt;1490744858&lt;/last-updated-date&gt;&lt;/record&gt;&lt;/Cite&gt;&lt;Cite&gt;&lt;Author&gt;Gajdosik&lt;/Author&gt;&lt;Year&gt;1999&lt;/Year&gt;&lt;IDText&gt;Streptozotocin-induced experimental diabetes in male Wistar rats&lt;/IDText&gt;&lt;record&gt;&lt;isbn&gt;0231-5882&lt;/isbn&gt;&lt;titles&gt;&lt;title&gt;Streptozotocin-induced experimental diabetes in male Wistar rats&lt;/title&gt;&lt;secondary-title&gt;General physiology and biophysics&lt;/secondary-title&gt;&lt;/titles&gt;&lt;pages&gt;54-62&lt;/pages&gt;&lt;contributors&gt;&lt;authors&gt;&lt;author&gt;Gajdosik, A&lt;/author&gt;&lt;author&gt;Gajdosikova, A&lt;/author&gt;&lt;author&gt;Stefek, M&lt;/author&gt;&lt;author&gt;Navarova, J&lt;/author&gt;&lt;author&gt;Hozova, R&lt;/author&gt;&lt;/authors&gt;&lt;/contributors&gt;&lt;added-date format="utc"&gt;1490745157&lt;/added-date&gt;&lt;ref-type name="Journal Article"&gt;17&lt;/ref-type&gt;&lt;dates&gt;&lt;year&gt;1999&lt;/year&gt;&lt;/dates&gt;&lt;rec-number&gt;1643&lt;/rec-number&gt;&lt;last-updated-date format="utc"&gt;1490745157&lt;/last-updated-date&gt;&lt;volume&gt;18&lt;/volume&gt;&lt;/record&gt;&lt;/Cite&gt;&lt;/EndNote&gt;</w:instrText>
      </w:r>
      <w:r w:rsidRPr="00392836">
        <w:rPr>
          <w:lang w:val="en-US"/>
        </w:rPr>
        <w:fldChar w:fldCharType="separate"/>
      </w:r>
      <w:r w:rsidRPr="00392836">
        <w:rPr>
          <w:noProof/>
          <w:lang w:val="en-US"/>
        </w:rPr>
        <w:t>(B</w:t>
      </w:r>
      <w:r w:rsidR="00A74EFB" w:rsidRPr="00392836">
        <w:rPr>
          <w:noProof/>
          <w:lang w:val="en-US"/>
        </w:rPr>
        <w:t>răslaşu</w:t>
      </w:r>
      <w:r w:rsidRPr="00392836">
        <w:rPr>
          <w:noProof/>
          <w:lang w:val="en-US"/>
        </w:rPr>
        <w:t xml:space="preserve"> et al., 2007, Gajdosik et al., 1999)</w:t>
      </w:r>
      <w:r w:rsidRPr="00392836">
        <w:rPr>
          <w:lang w:val="en-US"/>
        </w:rPr>
        <w:fldChar w:fldCharType="end"/>
      </w:r>
      <w:r w:rsidRPr="00392836">
        <w:rPr>
          <w:lang w:val="en-US"/>
        </w:rPr>
        <w:t>. The rats were housed 3 per cage. The temperature in the room was controlled at 17°C, with ambient humidity of 45%, 12 hours of light/darkness cycles and rats were allowed free access to water and chow. All procedures (venopunture, nephrectomy, anaesthesia, injection of streptozotocin, insertion of linplant and housing in metabolic cages) were carried out as stated in the project licence</w:t>
      </w:r>
      <w:r w:rsidR="000F4BB6">
        <w:rPr>
          <w:lang w:val="en-US"/>
        </w:rPr>
        <w:t xml:space="preserve"> (40/3660)</w:t>
      </w:r>
      <w:r w:rsidRPr="00392836">
        <w:rPr>
          <w:lang w:val="en-US"/>
        </w:rPr>
        <w:t xml:space="preserve">, </w:t>
      </w:r>
      <w:r w:rsidRPr="00392836">
        <w:rPr>
          <w:lang w:val="en-US"/>
        </w:rPr>
        <w:lastRenderedPageBreak/>
        <w:t>personal license (ISID9633B) and individual study plan in line with the regulations of the Animals Scientific Procedures Act, 1986.</w:t>
      </w:r>
    </w:p>
    <w:p w:rsidR="00430D62" w:rsidRPr="00392836" w:rsidRDefault="00430D62" w:rsidP="0099028F">
      <w:pPr>
        <w:pStyle w:val="Heading4"/>
        <w:ind w:firstLine="720"/>
        <w:rPr>
          <w:rFonts w:eastAsia="Times New Roman"/>
          <w:lang w:val="en-US"/>
        </w:rPr>
      </w:pPr>
      <w:bookmarkStart w:id="93" w:name="_Toc484448814"/>
      <w:bookmarkStart w:id="94" w:name="_Toc506232326"/>
      <w:r w:rsidRPr="00392836">
        <w:rPr>
          <w:rFonts w:eastAsia="Times New Roman"/>
          <w:lang w:val="en-US"/>
        </w:rPr>
        <w:t>2.</w:t>
      </w:r>
      <w:r>
        <w:rPr>
          <w:rFonts w:eastAsia="Times New Roman"/>
          <w:lang w:val="en-US"/>
        </w:rPr>
        <w:t>3</w:t>
      </w:r>
      <w:r w:rsidRPr="00392836">
        <w:rPr>
          <w:rFonts w:eastAsia="Times New Roman"/>
          <w:lang w:val="en-US"/>
        </w:rPr>
        <w:t>.2 Anaesthesia</w:t>
      </w:r>
      <w:bookmarkEnd w:id="93"/>
      <w:bookmarkEnd w:id="94"/>
    </w:p>
    <w:p w:rsidR="00430D62" w:rsidRPr="00392836" w:rsidRDefault="00430D62" w:rsidP="0099028F">
      <w:pPr>
        <w:ind w:left="720"/>
        <w:rPr>
          <w:b/>
          <w:lang w:val="en-US"/>
        </w:rPr>
      </w:pPr>
      <w:r w:rsidRPr="00392836">
        <w:rPr>
          <w:lang w:val="en-US"/>
        </w:rPr>
        <w:t>The United Kingdom Home Office regulates all animal scientific procedures within the UK and part of its responsibilities is to ensure th</w:t>
      </w:r>
      <w:r w:rsidR="00103E6A">
        <w:rPr>
          <w:lang w:val="en-US"/>
        </w:rPr>
        <w:t>at animal suffering is minimal</w:t>
      </w:r>
      <w:r w:rsidRPr="00392836">
        <w:rPr>
          <w:lang w:val="en-US"/>
        </w:rPr>
        <w:t xml:space="preserve"> in scientific procedures. Therefore during surgery or any other painful procedure the use of </w:t>
      </w:r>
      <w:r w:rsidR="00A74EFB">
        <w:rPr>
          <w:lang w:val="en-US"/>
        </w:rPr>
        <w:t>anaesthesia</w:t>
      </w:r>
      <w:r w:rsidRPr="00392836">
        <w:rPr>
          <w:lang w:val="en-US"/>
        </w:rPr>
        <w:t xml:space="preserve"> must be safe, reversible in survival surgeries and reliable. The rats were anaesthetized with isoflurane because it is safe and known for its reproducible anaesthesia, however it may result in a reduction in heart rate and blood pressure </w:t>
      </w:r>
      <w:r w:rsidRPr="00392836">
        <w:rPr>
          <w:lang w:val="en-US"/>
        </w:rPr>
        <w:fldChar w:fldCharType="begin"/>
      </w:r>
      <w:r w:rsidRPr="00392836">
        <w:rPr>
          <w:lang w:val="en-US"/>
        </w:rPr>
        <w:instrText xml:space="preserve"> ADDIN EN.CITE &lt;EndNote&gt;&lt;Cite&gt;&lt;Author&gt;Ebert&lt;/Author&gt;&lt;Year&gt;1993&lt;/Year&gt;&lt;IDText&gt;Sympathetic hyperactivity during desflurane anesthesia in healthy volunteers. A comparison with isoflurane&lt;/IDText&gt;&lt;DisplayText&gt;(Ebert and Muzi, 1993)&lt;/DisplayText&gt;&lt;record&gt;&lt;dates&gt;&lt;pub-dates&gt;&lt;date&gt;1993/09//&lt;/date&gt;&lt;/pub-dates&gt;&lt;year&gt;1993&lt;/year&gt;&lt;/dates&gt;&lt;keywords&gt;&lt;keyword&gt;Anesthetics&lt;/keyword&gt;&lt;keyword&gt;Anesthesia, Inhalation&lt;/keyword&gt;&lt;/keywords&gt;&lt;urls&gt;&lt;related-urls&gt;&lt;url&gt;http://europepmc.org/abstract/MED/8363068&lt;/url&gt;&lt;/related-urls&gt;&lt;/urls&gt;&lt;isbn&gt;0003-3022&lt;/isbn&gt;&lt;titles&gt;&lt;title&gt;Sympathetic hyperactivity during desflurane anesthesia in healthy volunteers. A comparison with isoflurane&lt;/title&gt;&lt;secondary-title&gt;Anesthesiology&lt;/secondary-title&gt;&lt;alt-title&gt;Anesthesiology&lt;/alt-title&gt;&lt;/titles&gt;&lt;pages&gt;444-453&lt;/pages&gt;&lt;number&gt;3&lt;/number&gt;&lt;contributors&gt;&lt;authors&gt;&lt;author&gt;Ebert, T. J.&lt;/author&gt;&lt;author&gt;Muzi, M.&lt;/author&gt;&lt;/authors&gt;&lt;/contributors&gt;&lt;language&gt;eng&lt;/language&gt;&lt;added-date format="utc"&gt;1494010527&lt;/added-date&gt;&lt;ref-type name="Journal Article"&gt;17&lt;/ref-type&gt;&lt;auth-address&gt;Department of Anesthesiology, Medical College of Wisconsin, Milwaukee.&lt;/auth-address&gt;&lt;rec-number&gt;1680&lt;/rec-number&gt;&lt;last-updated-date format="utc"&gt;1494010527&lt;/last-updated-date&gt;&lt;accession-num&gt;8363068&lt;/accession-num&gt;&lt;volume&gt;79&lt;/volume&gt;&lt;remote-database-name&gt;PubMed&lt;/remote-database-name&gt;&lt;/record&gt;&lt;/Cite&gt;&lt;/EndNote&gt;</w:instrText>
      </w:r>
      <w:r w:rsidRPr="00392836">
        <w:rPr>
          <w:lang w:val="en-US"/>
        </w:rPr>
        <w:fldChar w:fldCharType="separate"/>
      </w:r>
      <w:r w:rsidRPr="00392836">
        <w:rPr>
          <w:noProof/>
          <w:lang w:val="en-US"/>
        </w:rPr>
        <w:t>(Ebert and Muzi, 1993)</w:t>
      </w:r>
      <w:r w:rsidRPr="00392836">
        <w:rPr>
          <w:lang w:val="en-US"/>
        </w:rPr>
        <w:fldChar w:fldCharType="end"/>
      </w:r>
      <w:r w:rsidRPr="00392836">
        <w:rPr>
          <w:lang w:val="en-US"/>
        </w:rPr>
        <w:t>.</w:t>
      </w:r>
      <w:r w:rsidRPr="00392836">
        <w:rPr>
          <w:b/>
          <w:lang w:val="en-US"/>
        </w:rPr>
        <w:t xml:space="preserve"> </w:t>
      </w:r>
    </w:p>
    <w:p w:rsidR="00430D62" w:rsidRPr="00392836" w:rsidRDefault="00430D62" w:rsidP="00103E6A">
      <w:pPr>
        <w:ind w:left="720"/>
        <w:jc w:val="left"/>
        <w:rPr>
          <w:lang w:val="en-US"/>
        </w:rPr>
      </w:pPr>
      <w:r w:rsidRPr="00392836">
        <w:rPr>
          <w:lang w:val="en-US"/>
        </w:rPr>
        <w:t>This was done in 2 stages.</w:t>
      </w:r>
      <w:r w:rsidRPr="00392836">
        <w:rPr>
          <w:rFonts w:eastAsia="Calibri"/>
          <w:b/>
          <w:kern w:val="36"/>
          <w:lang w:val="en-US"/>
        </w:rPr>
        <w:t xml:space="preserve"> </w:t>
      </w:r>
      <w:r w:rsidRPr="00392836">
        <w:rPr>
          <w:lang w:val="en-US"/>
        </w:rPr>
        <w:t>(ww.upstate.edu/dlar/pdf/rodent_isoflurane.pdf)</w:t>
      </w:r>
    </w:p>
    <w:p w:rsidR="00430D62" w:rsidRPr="00392836" w:rsidRDefault="002D56BD" w:rsidP="0099028F">
      <w:pPr>
        <w:ind w:left="720"/>
        <w:rPr>
          <w:rFonts w:eastAsia="Calibri"/>
          <w:lang w:val="en-US"/>
        </w:rPr>
      </w:pPr>
      <w:r>
        <w:rPr>
          <w:rFonts w:eastAsia="Calibri"/>
          <w:lang w:val="en-US"/>
        </w:rPr>
        <w:t>Induction: a</w:t>
      </w:r>
      <w:r w:rsidR="00430D62" w:rsidRPr="00392836">
        <w:rPr>
          <w:rFonts w:eastAsia="Calibri"/>
          <w:lang w:val="en-US"/>
        </w:rPr>
        <w:t>naesthesia induction was with 5% isoflurane 1L/min O</w:t>
      </w:r>
      <w:r w:rsidR="00430D62" w:rsidRPr="00392836">
        <w:rPr>
          <w:rFonts w:eastAsia="Calibri"/>
          <w:vertAlign w:val="subscript"/>
          <w:lang w:val="en-US"/>
        </w:rPr>
        <w:t xml:space="preserve">2 </w:t>
      </w:r>
      <w:r w:rsidR="00430D62" w:rsidRPr="00392836">
        <w:rPr>
          <w:rFonts w:eastAsia="Calibri"/>
          <w:lang w:val="en-US"/>
        </w:rPr>
        <w:t>via inhalation in a closed chamber (Fig</w:t>
      </w:r>
      <w:r>
        <w:rPr>
          <w:rFonts w:eastAsia="Calibri"/>
          <w:lang w:val="en-US"/>
        </w:rPr>
        <w:t>.</w:t>
      </w:r>
      <w:r w:rsidR="00430D62" w:rsidRPr="00392836">
        <w:rPr>
          <w:rFonts w:eastAsia="Calibri"/>
          <w:lang w:val="en-US"/>
        </w:rPr>
        <w:t xml:space="preserve"> 2.1).</w:t>
      </w:r>
    </w:p>
    <w:p w:rsidR="00103E6A" w:rsidRDefault="00430D62" w:rsidP="00000F39">
      <w:pPr>
        <w:ind w:left="720"/>
        <w:rPr>
          <w:rFonts w:eastAsia="Calibri"/>
          <w:lang w:val="en-US"/>
        </w:rPr>
      </w:pPr>
      <w:r w:rsidRPr="00392836">
        <w:rPr>
          <w:rFonts w:eastAsia="Calibri"/>
          <w:lang w:val="en-US"/>
        </w:rPr>
        <w:t>Maintenance. The rats were placed on a warm mat and anaesthesia was maintained at 3% isoflurane 200 ml/min O</w:t>
      </w:r>
      <w:r w:rsidRPr="00392836">
        <w:rPr>
          <w:rFonts w:eastAsia="Calibri"/>
          <w:vertAlign w:val="subscript"/>
          <w:lang w:val="en-US"/>
        </w:rPr>
        <w:t>2</w:t>
      </w:r>
      <w:r w:rsidRPr="00392836">
        <w:rPr>
          <w:rFonts w:eastAsia="Calibri"/>
          <w:lang w:val="en-US"/>
        </w:rPr>
        <w:t xml:space="preserve"> using a nose cone (Fig</w:t>
      </w:r>
      <w:r w:rsidR="002D56BD">
        <w:rPr>
          <w:rFonts w:eastAsia="Calibri"/>
          <w:lang w:val="en-US"/>
        </w:rPr>
        <w:t>.</w:t>
      </w:r>
      <w:r w:rsidRPr="00392836">
        <w:rPr>
          <w:rFonts w:eastAsia="Calibri"/>
          <w:lang w:val="en-US"/>
        </w:rPr>
        <w:t xml:space="preserve"> 2</w:t>
      </w:r>
      <w:r w:rsidR="00000F39">
        <w:rPr>
          <w:rFonts w:eastAsia="Calibri"/>
          <w:lang w:val="en-US"/>
        </w:rPr>
        <w:t>.2).</w:t>
      </w:r>
    </w:p>
    <w:p w:rsidR="00430D62" w:rsidRPr="00000F39" w:rsidRDefault="00103E6A" w:rsidP="00103E6A">
      <w:pPr>
        <w:spacing w:after="160" w:line="259" w:lineRule="auto"/>
        <w:jc w:val="left"/>
        <w:rPr>
          <w:rFonts w:eastAsia="Calibri"/>
          <w:lang w:val="en-US"/>
        </w:rPr>
      </w:pPr>
      <w:r>
        <w:rPr>
          <w:rFonts w:eastAsia="Calibri"/>
          <w:lang w:val="en-US"/>
        </w:rPr>
        <w:br w:type="page"/>
      </w: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
          <w:bCs/>
          <w:sz w:val="27"/>
          <w:szCs w:val="27"/>
          <w:lang w:val="en-US"/>
          <w14:textOutline w14:w="9525" w14:cap="rnd" w14:cmpd="sng" w14:algn="ctr">
            <w14:solidFill>
              <w14:schemeClr w14:val="bg1"/>
            </w14:solidFill>
            <w14:prstDash w14:val="solid"/>
            <w14:bevel/>
          </w14:textOutline>
        </w:rPr>
      </w:pPr>
      <w:r w:rsidRPr="00392836">
        <w:rPr>
          <w:rFonts w:ascii="Times New Roman" w:eastAsia="Times New Roman" w:hAnsi="Times New Roman"/>
          <w:b/>
          <w:bCs/>
          <w:noProof/>
          <w:sz w:val="27"/>
          <w:szCs w:val="27"/>
          <w:lang w:eastAsia="en-GB"/>
        </w:rPr>
        <w:lastRenderedPageBreak/>
        <mc:AlternateContent>
          <mc:Choice Requires="wps">
            <w:drawing>
              <wp:anchor distT="0" distB="0" distL="114300" distR="114300" simplePos="0" relativeHeight="251661312" behindDoc="0" locked="0" layoutInCell="1" allowOverlap="1" wp14:anchorId="2816746F" wp14:editId="007D88B7">
                <wp:simplePos x="0" y="0"/>
                <wp:positionH relativeFrom="column">
                  <wp:posOffset>1657350</wp:posOffset>
                </wp:positionH>
                <wp:positionV relativeFrom="paragraph">
                  <wp:posOffset>2705100</wp:posOffset>
                </wp:positionV>
                <wp:extent cx="1285875" cy="121285"/>
                <wp:effectExtent l="38100" t="19050" r="9525" b="88265"/>
                <wp:wrapNone/>
                <wp:docPr id="20" name="Straight Arrow Connector 20"/>
                <wp:cNvGraphicFramePr/>
                <a:graphic xmlns:a="http://schemas.openxmlformats.org/drawingml/2006/main">
                  <a:graphicData uri="http://schemas.microsoft.com/office/word/2010/wordprocessingShape">
                    <wps:wsp>
                      <wps:cNvCnPr/>
                      <wps:spPr>
                        <a:xfrm flipH="1">
                          <a:off x="0" y="0"/>
                          <a:ext cx="1285875" cy="121285"/>
                        </a:xfrm>
                        <a:prstGeom prst="straightConnector1">
                          <a:avLst/>
                        </a:prstGeom>
                        <a:noFill/>
                        <a:ln w="3492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2209DBA0" id="_x0000_t32" coordsize="21600,21600" o:spt="32" o:oned="t" path="m,l21600,21600e" filled="f">
                <v:path arrowok="t" fillok="f" o:connecttype="none"/>
                <o:lock v:ext="edit" shapetype="t"/>
              </v:shapetype>
              <v:shape id="Straight Arrow Connector 20" o:spid="_x0000_s1026" type="#_x0000_t32" style="position:absolute;margin-left:130.5pt;margin-top:213pt;width:101.25pt;height:9.5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BR6wEAALYDAAAOAAAAZHJzL2Uyb0RvYy54bWysU02P0zAQvSPxHyzfadJAoRs1XaGWhQOC&#10;lRZ+wNSxE0v+0tg07b9n7IRqgRuiB8sz43kz7/Vld3+xhp0lRu1dx9ermjPphO+1Gzr+/dvDqy1n&#10;MYHrwXgnO36Vkd/vX77YTaGVjR+96SUyAnGxnULHx5RCW1VRjNJCXPkgHRWVRwuJQhyqHmEidGuq&#10;pq7fVpPHPqAXMkbKHuci3xd8paRIX5WKMjHTcdotlRPLecpntd9BOyCEUYtlDfiHLSxoR0NvUEdI&#10;wH6g/gvKaoE+epVWwtvKK6WFLByIzbr+g83TCEEWLiRODDeZ4v+DFV/Oj8h03/GG5HFg6T96Sgh6&#10;GBN7j+gndvDOkY4eGT0hvaYQW2o7uEdcohgeMZO/KLRMGR0+kRWKHESQXYra15va8pKYoOS62W62&#10;7zacCaqtmxxm+GrGyXgBY/oovWX50vG47HVbaJ4B588xzY2/GnKz8w/aGMpDaxybOv76zV2TpwHZ&#10;TBlIdLWBiEc3cAZmIP+KhGXt6I3uc3vujjicDgbZGchDd82x3hQZaM/fnuXZR4jj/K6UZndZncji&#10;RtuOb+v8m9MJtPngepaugTRPqMENRi4KGJcny2LghV2WfRY6306+vxb9qxyROYpwi5Gz+57HdH/+&#10;ue1/AgAA//8DAFBLAwQUAAYACAAAACEAhbV4ed8AAAALAQAADwAAAGRycy9kb3ducmV2LnhtbEyP&#10;QUvEMBCF74L/IYzgzU1bu0Fq00UK4k3Y7iJ6S5vYFptJabJt/PeOJ729xzzefK88RDux1Sx+dCgh&#10;3SXADHZOj9hLOJ+e7x6A+aBQq8mhkfBtPByq66tSFdpteDRrE3pGJegLJWEIYS44991grPI7Nxuk&#10;26dbrApkl57rRW1UbieeJYngVo1IHwY1m3ow3VdzsRLa/LS98vfViiZiHd9ejtlHHaW8vYlPj8CC&#10;ieEvDL/4hA4VMbXugtqzSUImUtoSJOSZIEGJXNzvgbUk8n0KvCr5/w3VDwAAAP//AwBQSwECLQAU&#10;AAYACAAAACEAtoM4kv4AAADhAQAAEwAAAAAAAAAAAAAAAAAAAAAAW0NvbnRlbnRfVHlwZXNdLnht&#10;bFBLAQItABQABgAIAAAAIQA4/SH/1gAAAJQBAAALAAAAAAAAAAAAAAAAAC8BAABfcmVscy8ucmVs&#10;c1BLAQItABQABgAIAAAAIQBy5EBR6wEAALYDAAAOAAAAAAAAAAAAAAAAAC4CAABkcnMvZTJvRG9j&#10;LnhtbFBLAQItABQABgAIAAAAIQCFtXh53wAAAAsBAAAPAAAAAAAAAAAAAAAAAEUEAABkcnMvZG93&#10;bnJldi54bWxQSwUGAAAAAAQABADzAAAAUQUAAAAA&#10;" strokecolor="#92d050" strokeweight="2.75pt">
                <v:stroke endarrow="block" joinstyle="miter"/>
              </v:shape>
            </w:pict>
          </mc:Fallback>
        </mc:AlternateContent>
      </w:r>
      <w:r w:rsidRPr="00392836">
        <w:rPr>
          <w:rFonts w:ascii="Times New Roman" w:eastAsia="Times New Roman" w:hAnsi="Times New Roman"/>
          <w:b/>
          <w:bCs/>
          <w:noProof/>
          <w:sz w:val="27"/>
          <w:szCs w:val="27"/>
          <w:lang w:eastAsia="en-GB"/>
        </w:rPr>
        <mc:AlternateContent>
          <mc:Choice Requires="wps">
            <w:drawing>
              <wp:anchor distT="0" distB="0" distL="114300" distR="114300" simplePos="0" relativeHeight="251660288" behindDoc="0" locked="0" layoutInCell="1" allowOverlap="1" wp14:anchorId="6AF28568" wp14:editId="74F4D812">
                <wp:simplePos x="0" y="0"/>
                <wp:positionH relativeFrom="column">
                  <wp:posOffset>1495424</wp:posOffset>
                </wp:positionH>
                <wp:positionV relativeFrom="paragraph">
                  <wp:posOffset>123825</wp:posOffset>
                </wp:positionV>
                <wp:extent cx="1285875" cy="121285"/>
                <wp:effectExtent l="38100" t="19050" r="9525" b="88265"/>
                <wp:wrapNone/>
                <wp:docPr id="19" name="Straight Arrow Connector 19"/>
                <wp:cNvGraphicFramePr/>
                <a:graphic xmlns:a="http://schemas.openxmlformats.org/drawingml/2006/main">
                  <a:graphicData uri="http://schemas.microsoft.com/office/word/2010/wordprocessingShape">
                    <wps:wsp>
                      <wps:cNvCnPr/>
                      <wps:spPr>
                        <a:xfrm flipH="1">
                          <a:off x="0" y="0"/>
                          <a:ext cx="1285875" cy="121285"/>
                        </a:xfrm>
                        <a:prstGeom prst="straightConnector1">
                          <a:avLst/>
                        </a:prstGeom>
                        <a:noFill/>
                        <a:ln w="34925" cap="flat" cmpd="sng" algn="ctr">
                          <a:solidFill>
                            <a:srgbClr val="7030A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2B76BC4" id="Straight Arrow Connector 19" o:spid="_x0000_s1026" type="#_x0000_t32" style="position:absolute;margin-left:117.75pt;margin-top:9.75pt;width:101.25pt;height:9.5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bP7AEAALYDAAAOAAAAZHJzL2Uyb0RvYy54bWysU9uO0zAQfUfiHyy/06Rdlu1GTVerloUH&#10;BJUWPmDq2Ikl3zQ2Tfv3jJ1stcAbIg/WXDxnZo5PNg9na9hJYtTetXy5qDmTTvhOu77lP74/vVtz&#10;FhO4Dox3suUXGfnD9u2bzRgaufKDN51ERiAuNmNo+ZBSaKoqikFaiAsfpKOk8mghkYt91SGMhG5N&#10;tarrD9XosQvohYyRovspybcFXykp0jelokzMtJxmS+XEch7zWW030PQIYdBiHgP+YQoL2lHTK9Qe&#10;ErCfqP+Cslqgj16lhfC28kppIcsOtM2y/mOb5wGCLLsQOTFcaYr/D1Z8PR2Q6Y7e7p4zB5be6Dkh&#10;6H5I7BHRj2znnSMePTK6QnyNITZUtnMHnL0YDpiXPyu0TBkdPhNcoYMWZOfC9uXKtjwnJii4XK1v&#10;13e3nAnKLVfZzfDVhJPxAsb0SXrLstHyOM91HWjqAacvMU2FLwW52PknbQzFoTGOjS2/eX+/yt2A&#10;ZKYMJDJtoMWj6zkD05N+RcIydvRGd7k8V0fsjzuD7ASkobv6pn4ssqE5f7uWe+8hDtO9kprUZXUi&#10;iRttW76u8zeFE2jz0XUsXQJxnlCD642cGTAud5ZFwPN2mfaJ6GwdfXcp/FfZI3EU4mYhZ/W99sl+&#10;/bttfwEAAP//AwBQSwMEFAAGAAgAAAAhACm7+JvgAAAACQEAAA8AAABkcnMvZG93bnJldi54bWxM&#10;j8FOwzAQRO9I/IO1SNyoQ02jNMSpKgRF3KBQEDc32SYR8Tqy3Sb8PcsJTqvRPM3OFKvJ9uKEPnSO&#10;NFzPEhBIlas7ajS8vT5cZSBCNFSb3hFq+MYAq/L8rDB57UZ6wdM2NoJDKORGQxvjkEsZqhatCTM3&#10;ILF3cN6ayNI3svZm5HDby3mSpNKajvhDawa8a7H62h6thkk+qccxrXbqeeM37x+H4X6dfGp9eTGt&#10;b0FEnOIfDL/1uTqU3GnvjlQH0WuYq8WCUTaWfBm4URmP22tQWQqyLOT/BeUPAAAA//8DAFBLAQIt&#10;ABQABgAIAAAAIQC2gziS/gAAAOEBAAATAAAAAAAAAAAAAAAAAAAAAABbQ29udGVudF9UeXBlc10u&#10;eG1sUEsBAi0AFAAGAAgAAAAhADj9If/WAAAAlAEAAAsAAAAAAAAAAAAAAAAALwEAAF9yZWxzLy5y&#10;ZWxzUEsBAi0AFAAGAAgAAAAhAJg2ls/sAQAAtgMAAA4AAAAAAAAAAAAAAAAALgIAAGRycy9lMm9E&#10;b2MueG1sUEsBAi0AFAAGAAgAAAAhACm7+JvgAAAACQEAAA8AAAAAAAAAAAAAAAAARgQAAGRycy9k&#10;b3ducmV2LnhtbFBLBQYAAAAABAAEAPMAAABTBQAAAAA=&#10;" strokecolor="#7030a0" strokeweight="2.75pt">
                <v:stroke endarrow="block" joinstyle="miter"/>
              </v:shape>
            </w:pict>
          </mc:Fallback>
        </mc:AlternateContent>
      </w:r>
      <w:r w:rsidRPr="00392836">
        <w:rPr>
          <w:rFonts w:ascii="Times New Roman" w:eastAsia="Times New Roman" w:hAnsi="Times New Roman"/>
          <w:b/>
          <w:bCs/>
          <w:noProof/>
          <w:sz w:val="27"/>
          <w:szCs w:val="27"/>
          <w:lang w:eastAsia="en-GB"/>
        </w:rPr>
        <mc:AlternateContent>
          <mc:Choice Requires="wps">
            <w:drawing>
              <wp:anchor distT="0" distB="0" distL="114300" distR="114300" simplePos="0" relativeHeight="251659264" behindDoc="0" locked="0" layoutInCell="1" allowOverlap="1" wp14:anchorId="7012287E" wp14:editId="03A850A7">
                <wp:simplePos x="0" y="0"/>
                <wp:positionH relativeFrom="column">
                  <wp:posOffset>1809749</wp:posOffset>
                </wp:positionH>
                <wp:positionV relativeFrom="paragraph">
                  <wp:posOffset>1733551</wp:posOffset>
                </wp:positionV>
                <wp:extent cx="923925" cy="92710"/>
                <wp:effectExtent l="38100" t="38100" r="9525" b="97790"/>
                <wp:wrapNone/>
                <wp:docPr id="17" name="Straight Arrow Connector 17"/>
                <wp:cNvGraphicFramePr/>
                <a:graphic xmlns:a="http://schemas.openxmlformats.org/drawingml/2006/main">
                  <a:graphicData uri="http://schemas.microsoft.com/office/word/2010/wordprocessingShape">
                    <wps:wsp>
                      <wps:cNvCnPr/>
                      <wps:spPr>
                        <a:xfrm flipH="1">
                          <a:off x="0" y="0"/>
                          <a:ext cx="923925" cy="92710"/>
                        </a:xfrm>
                        <a:prstGeom prst="straightConnector1">
                          <a:avLst/>
                        </a:prstGeom>
                        <a:noFill/>
                        <a:ln w="34925"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6F5AA7F" id="Straight Arrow Connector 17" o:spid="_x0000_s1026" type="#_x0000_t32" style="position:absolute;margin-left:142.5pt;margin-top:136.5pt;width:72.75pt;height:7.3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iL09AEAAMgDAAAOAAAAZHJzL2Uyb0RvYy54bWysU12P0zAQfEfiP1h+p2l7wF2jpifUcvCA&#10;oNIdP2DPcRJL/tKuadp/z9oJ1QFviDxYdjY7npmdbO/PzoqTRjLBN3K1WEqhvQqt8X0jvz89vLmT&#10;ghL4FmzwupEXTfJ+9/rVdoy1Xoch2FajYBBP9RgbOaQU66oiNWgHtAhRey52AR0kPmJftQgjoztb&#10;rZfL99UYsI0YlCbit4epKHcFv+u0St+6jnQStpHMLZUVy/qc12q3hbpHiINRMw34BxYOjOdLr1AH&#10;SCB+oPkLyhmFgUKXFiq4KnSdUbpoYDWr5R9qHgeIumhhcyhebaL/B6u+no4oTMuzu5XCg+MZPSYE&#10;0w9JfEAMo9gH79nHgII/Yb/GSDW37f0R5xPFI2bx5w6d6KyJnxmu2MECxbm4fbm6rc9JKH65Wd9s&#10;1u+kUFzarG9XZRjVhJLRIlL6pIMTedNImlld6Uw3wOkLJebBjb8acrMPD8baMl3rxdjIm7fTZcAh&#10;6ywkvtdFlk2+lwJsz+lVCQtpCta0uT0D0YX2FsUJOECcuzaMTyxACguUuMCqypONYQq/tWY+B6Bh&#10;ai6lKW/OJA69Na6Rd9duqBMY+9G3Il0iTyGhAd9bPSNbn9noEulZcR7EZH3ePYf2UiZS5RPHpRCa&#10;o53z+PLM+5c/4O4nAAAA//8DAFBLAwQUAAYACAAAACEAaNfuH+IAAAALAQAADwAAAGRycy9kb3du&#10;cmV2LnhtbEyPzU7DMBCE70i8g7VIXCpq05KmhDhVRcSlcCFFqnpzkyWO6p8odtvw9mxPcJvVjGa/&#10;yVejNeyMQ+i8k/A4FcDQ1b7pXCvha/v2sAQWonKNMt6hhB8MsCpub3KVNf7iPvFcxZZRiQuZkqBj&#10;7DPOQ63RqjD1PTryvv1gVaRzaHkzqAuVW8NnQiy4VZ2jD1r1+KqxPlYnK2GzX5cfpdCTiWmTqtwe&#10;0+fN7l3K+7tx/QIs4hj/wnDFJ3QoiOngT64JzEiYLRPaEkmkcxKUeJqLBNjhaqUL4EXO/28ofgEA&#10;AP//AwBQSwECLQAUAAYACAAAACEAtoM4kv4AAADhAQAAEwAAAAAAAAAAAAAAAAAAAAAAW0NvbnRl&#10;bnRfVHlwZXNdLnhtbFBLAQItABQABgAIAAAAIQA4/SH/1gAAAJQBAAALAAAAAAAAAAAAAAAAAC8B&#10;AABfcmVscy8ucmVsc1BLAQItABQABgAIAAAAIQB3tiL09AEAAMgDAAAOAAAAAAAAAAAAAAAAAC4C&#10;AABkcnMvZTJvRG9jLnhtbFBLAQItABQABgAIAAAAIQBo1+4f4gAAAAsBAAAPAAAAAAAAAAAAAAAA&#10;AE4EAABkcnMvZG93bnJldi54bWxQSwUGAAAAAAQABADzAAAAXQUAAAAA&#10;" strokecolor="windowText" strokeweight="2.75pt">
                <v:stroke endarrow="block" joinstyle="miter"/>
              </v:shape>
            </w:pict>
          </mc:Fallback>
        </mc:AlternateContent>
      </w:r>
      <w:r w:rsidRPr="00392836">
        <w:rPr>
          <w:rFonts w:ascii="Times New Roman" w:eastAsia="Times New Roman" w:hAnsi="Times New Roman"/>
          <w:b/>
          <w:bCs/>
          <w:noProof/>
          <w:sz w:val="27"/>
          <w:szCs w:val="27"/>
          <w:lang w:eastAsia="en-GB"/>
        </w:rPr>
        <w:drawing>
          <wp:inline distT="0" distB="0" distL="0" distR="0" wp14:anchorId="6B2AD947" wp14:editId="65DE64FD">
            <wp:extent cx="1914525" cy="4019550"/>
            <wp:effectExtent l="0" t="0" r="9525" b="0"/>
            <wp:docPr id="18" name="Picture 18" descr="IMAG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0230"/>
                    <pic:cNvPicPr>
                      <a:picLocks noChangeAspect="1" noChangeArrowheads="1"/>
                    </pic:cNvPicPr>
                  </pic:nvPicPr>
                  <pic:blipFill>
                    <a:blip r:embed="rId25" cstate="print">
                      <a:extLst>
                        <a:ext uri="{28A0092B-C50C-407E-A947-70E740481C1C}">
                          <a14:useLocalDpi xmlns:a14="http://schemas.microsoft.com/office/drawing/2010/main" val="0"/>
                        </a:ext>
                      </a:extLst>
                    </a:blip>
                    <a:srcRect l="20262" t="2045" r="981" b="4089"/>
                    <a:stretch>
                      <a:fillRect/>
                    </a:stretch>
                  </pic:blipFill>
                  <pic:spPr bwMode="auto">
                    <a:xfrm>
                      <a:off x="0" y="0"/>
                      <a:ext cx="1914525" cy="4019550"/>
                    </a:xfrm>
                    <a:prstGeom prst="rect">
                      <a:avLst/>
                    </a:prstGeom>
                    <a:noFill/>
                    <a:ln>
                      <a:noFill/>
                    </a:ln>
                  </pic:spPr>
                </pic:pic>
              </a:graphicData>
            </a:graphic>
          </wp:inline>
        </w:drawing>
      </w:r>
    </w:p>
    <w:p w:rsidR="00430D62" w:rsidRPr="00392836" w:rsidRDefault="00430D62" w:rsidP="0099028F">
      <w:pPr>
        <w:pStyle w:val="LegText"/>
        <w:ind w:left="720"/>
        <w:rPr>
          <w:lang w:val="en-US"/>
        </w:rPr>
      </w:pPr>
      <w:bookmarkStart w:id="95" w:name="_Toc504640566"/>
      <w:r w:rsidRPr="00B30F28">
        <w:rPr>
          <w:rStyle w:val="SubtitleChar"/>
        </w:rPr>
        <w:t>Figure 2.1: Anaesthetic machine</w:t>
      </w:r>
      <w:r w:rsidR="00B30F28" w:rsidRPr="00B30F28">
        <w:rPr>
          <w:rStyle w:val="SubtitleChar"/>
        </w:rPr>
        <w:t>.</w:t>
      </w:r>
      <w:bookmarkEnd w:id="95"/>
      <w:r w:rsidRPr="00392836">
        <w:rPr>
          <w:lang w:val="en-US"/>
        </w:rPr>
        <w:t xml:space="preserve"> The rat is placed in the induction chamber (black arrow). The induction is commenced by setting the isoflurane chamber (purple arrow) and supplied with the oxygen from the oxygen converter (green arrow).</w:t>
      </w: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
          <w:bCs/>
          <w:lang w:val="en-US"/>
        </w:rPr>
      </w:pP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cs="Arial"/>
          <w:bCs/>
          <w:sz w:val="27"/>
          <w:szCs w:val="27"/>
          <w:lang w:val="en-US"/>
        </w:rPr>
      </w:pPr>
      <w:r w:rsidRPr="00392836">
        <w:rPr>
          <w:rFonts w:ascii="Times New Roman" w:eastAsia="Times New Roman" w:hAnsi="Times New Roman" w:cs="Arial"/>
          <w:bCs/>
          <w:noProof/>
          <w:sz w:val="27"/>
          <w:szCs w:val="27"/>
          <w:lang w:eastAsia="en-GB"/>
        </w:rPr>
        <w:drawing>
          <wp:inline distT="0" distB="0" distL="0" distR="0" wp14:anchorId="1FD522D7" wp14:editId="4EA65F48">
            <wp:extent cx="3476625" cy="1600200"/>
            <wp:effectExtent l="0" t="0" r="9525" b="0"/>
            <wp:docPr id="15" name="Picture 15" descr="20150827_15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50827_152351"/>
                    <pic:cNvPicPr>
                      <a:picLocks noChangeAspect="1" noChangeArrowheads="1"/>
                    </pic:cNvPicPr>
                  </pic:nvPicPr>
                  <pic:blipFill>
                    <a:blip r:embed="rId26" cstate="print">
                      <a:extLst>
                        <a:ext uri="{28A0092B-C50C-407E-A947-70E740481C1C}">
                          <a14:useLocalDpi xmlns:a14="http://schemas.microsoft.com/office/drawing/2010/main" val="0"/>
                        </a:ext>
                      </a:extLst>
                    </a:blip>
                    <a:srcRect l="-645" t="12213" r="5597" b="10306"/>
                    <a:stretch>
                      <a:fillRect/>
                    </a:stretch>
                  </pic:blipFill>
                  <pic:spPr bwMode="auto">
                    <a:xfrm>
                      <a:off x="0" y="0"/>
                      <a:ext cx="3476625" cy="1600200"/>
                    </a:xfrm>
                    <a:prstGeom prst="rect">
                      <a:avLst/>
                    </a:prstGeom>
                    <a:noFill/>
                    <a:ln>
                      <a:noFill/>
                    </a:ln>
                  </pic:spPr>
                </pic:pic>
              </a:graphicData>
            </a:graphic>
          </wp:inline>
        </w:drawing>
      </w:r>
    </w:p>
    <w:p w:rsidR="00430D62" w:rsidRPr="00392836" w:rsidRDefault="00430D62" w:rsidP="0099028F">
      <w:pPr>
        <w:pStyle w:val="LegText"/>
        <w:ind w:left="720"/>
        <w:rPr>
          <w:rFonts w:eastAsia="Calibri"/>
          <w:lang w:val="en-US"/>
        </w:rPr>
      </w:pPr>
      <w:bookmarkStart w:id="96" w:name="_Toc504640567"/>
      <w:r w:rsidRPr="00B30F28">
        <w:rPr>
          <w:rStyle w:val="SubtitleChar"/>
        </w:rPr>
        <w:t>Figure 2.2: Rat under anaesthesia maintenance</w:t>
      </w:r>
      <w:r w:rsidR="00B30F28" w:rsidRPr="00B30F28">
        <w:rPr>
          <w:rStyle w:val="SubtitleChar"/>
        </w:rPr>
        <w:t>.</w:t>
      </w:r>
      <w:bookmarkEnd w:id="96"/>
      <w:r w:rsidR="00B30F28">
        <w:rPr>
          <w:rFonts w:eastAsia="Calibri"/>
          <w:lang w:val="en-US"/>
        </w:rPr>
        <w:t xml:space="preserve"> </w:t>
      </w:r>
      <w:r w:rsidRPr="00392836">
        <w:rPr>
          <w:rFonts w:eastAsia="Calibri"/>
          <w:lang w:val="en-US"/>
        </w:rPr>
        <w:t>After induction the rat was placed on a warm mat and connected to nose piece for maintenance of anaesthesia</w:t>
      </w:r>
      <w:r w:rsidR="00103E6A">
        <w:rPr>
          <w:rFonts w:eastAsia="Calibri"/>
          <w:lang w:val="en-US"/>
        </w:rPr>
        <w:t>.</w:t>
      </w: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
          <w:bCs/>
          <w:sz w:val="27"/>
          <w:szCs w:val="27"/>
          <w:lang w:val="en-US"/>
        </w:rPr>
      </w:pPr>
    </w:p>
    <w:p w:rsidR="00430D62" w:rsidRPr="00392836" w:rsidRDefault="00430D62" w:rsidP="00430D62">
      <w:pPr>
        <w:spacing w:before="100" w:beforeAutospacing="1" w:after="100" w:afterAutospacing="1" w:line="240" w:lineRule="auto"/>
        <w:outlineLvl w:val="2"/>
        <w:rPr>
          <w:rFonts w:ascii="Times New Roman" w:eastAsia="Times New Roman" w:hAnsi="Times New Roman"/>
          <w:b/>
          <w:bCs/>
          <w:sz w:val="27"/>
          <w:szCs w:val="27"/>
          <w:lang w:val="en-US"/>
        </w:rPr>
      </w:pPr>
    </w:p>
    <w:p w:rsidR="00430D62" w:rsidRPr="00392836" w:rsidRDefault="00430D62" w:rsidP="0099028F">
      <w:pPr>
        <w:pStyle w:val="Heading4"/>
        <w:ind w:firstLine="720"/>
        <w:rPr>
          <w:rFonts w:eastAsia="Times New Roman"/>
          <w:lang w:val="en-US"/>
        </w:rPr>
      </w:pPr>
      <w:bookmarkStart w:id="97" w:name="_Toc484448815"/>
      <w:bookmarkStart w:id="98" w:name="_Toc506232327"/>
      <w:r w:rsidRPr="00392836">
        <w:rPr>
          <w:rFonts w:eastAsia="Times New Roman"/>
          <w:lang w:val="en-US"/>
        </w:rPr>
        <w:lastRenderedPageBreak/>
        <w:t>2.</w:t>
      </w:r>
      <w:r>
        <w:rPr>
          <w:rFonts w:eastAsia="Times New Roman"/>
          <w:lang w:val="en-US"/>
        </w:rPr>
        <w:t>3</w:t>
      </w:r>
      <w:r w:rsidRPr="00392836">
        <w:rPr>
          <w:rFonts w:eastAsia="Times New Roman"/>
          <w:lang w:val="en-US"/>
        </w:rPr>
        <w:t>.3 Preemptive analgesia</w:t>
      </w:r>
      <w:bookmarkEnd w:id="97"/>
      <w:bookmarkEnd w:id="98"/>
      <w:r w:rsidRPr="00392836">
        <w:rPr>
          <w:rFonts w:eastAsia="Times New Roman"/>
          <w:lang w:val="en-US"/>
        </w:rPr>
        <w:t xml:space="preserve"> </w:t>
      </w:r>
    </w:p>
    <w:p w:rsidR="00430D62" w:rsidRPr="00392836" w:rsidRDefault="00430D62" w:rsidP="0099028F">
      <w:pPr>
        <w:ind w:left="720"/>
        <w:rPr>
          <w:lang w:val="en-US"/>
        </w:rPr>
      </w:pPr>
      <w:r w:rsidRPr="00392836">
        <w:rPr>
          <w:lang w:val="en-US"/>
        </w:rPr>
        <w:t xml:space="preserve">The process of surgery leads to tissue damage with pain therefore there is a need for preemptive analgesia in postoperative management </w:t>
      </w:r>
      <w:r w:rsidRPr="00392836">
        <w:rPr>
          <w:lang w:val="en-US"/>
        </w:rPr>
        <w:fldChar w:fldCharType="begin"/>
      </w:r>
      <w:r w:rsidRPr="00392836">
        <w:rPr>
          <w:lang w:val="en-US"/>
        </w:rPr>
        <w:instrText xml:space="preserve"> ADDIN EN.CITE &lt;EndNote&gt;&lt;Cite&gt;&lt;Author&gt;Vadivelu&lt;/Author&gt;&lt;Year&gt;2014&lt;/Year&gt;&lt;IDText&gt;Preventive analgesia for postoperative pain control: a broader concept&lt;/IDText&gt;&lt;DisplayText&gt;(Vadivelu et al., 2014)&lt;/DisplayText&gt;&lt;record&gt;&lt;dates&gt;&lt;pub-dates&gt;&lt;date&gt;05/29&lt;/date&gt;&lt;/pub-dates&gt;&lt;year&gt;2014&lt;/year&gt;&lt;/dates&gt;&lt;urls&gt;&lt;related-urls&gt;&lt;url&gt;http://www.ncbi.nlm.nih.gov/pmc/articles/PMC4012350/&lt;/url&gt;&lt;/related-urls&gt;&lt;/urls&gt;&lt;isbn&gt;1178-7112&lt;/isbn&gt;&lt;titles&gt;&lt;title&gt;Preventive analgesia for postoperative pain control: a broader concept&lt;/title&gt;&lt;secondary-title&gt;Local and Regional Anesthesia&lt;/secondary-title&gt;&lt;/titles&gt;&lt;pages&gt;17-22&lt;/pages&gt;&lt;contributors&gt;&lt;authors&gt;&lt;author&gt;Vadivelu, Nalini&lt;/author&gt;&lt;author&gt;Mitra, Sukanya&lt;/author&gt;&lt;author&gt;Schermer, Erika&lt;/author&gt;&lt;author&gt;Kodumudi, Vijay&lt;/author&gt;&lt;author&gt;Kaye, Alan David&lt;/author&gt;&lt;author&gt;Urman, Richard D.&lt;/author&gt;&lt;/authors&gt;&lt;/contributors&gt;&lt;added-date format="utc"&gt;1490791999&lt;/added-date&gt;&lt;ref-type name="Journal Article"&gt;17&lt;/ref-type&gt;&lt;rec-number&gt;1645&lt;/rec-number&gt;&lt;publisher&gt;Dove Medical Press&lt;/publisher&gt;&lt;last-updated-date format="utc"&gt;1490792025&lt;/last-updated-date&gt;&lt;accession-num&gt;PMC4012350&lt;/accession-num&gt;&lt;electronic-resource-num&gt;10.2147/LRA.S62160&lt;/electronic-resource-num&gt;&lt;volume&gt;7&lt;/volume&gt;&lt;remote-database-name&gt;PMC&lt;/remote-database-name&gt;&lt;/record&gt;&lt;/Cite&gt;&lt;/EndNote&gt;</w:instrText>
      </w:r>
      <w:r w:rsidRPr="00392836">
        <w:rPr>
          <w:lang w:val="en-US"/>
        </w:rPr>
        <w:fldChar w:fldCharType="separate"/>
      </w:r>
      <w:r w:rsidRPr="00392836">
        <w:rPr>
          <w:noProof/>
          <w:lang w:val="en-US"/>
        </w:rPr>
        <w:t>(Vadivelu et al., 2014)</w:t>
      </w:r>
      <w:r w:rsidRPr="00392836">
        <w:rPr>
          <w:lang w:val="en-US"/>
        </w:rPr>
        <w:fldChar w:fldCharType="end"/>
      </w:r>
      <w:r w:rsidRPr="00392836">
        <w:rPr>
          <w:lang w:val="en-US"/>
        </w:rPr>
        <w:t xml:space="preserve">. </w:t>
      </w:r>
    </w:p>
    <w:p w:rsidR="00430D62" w:rsidRPr="00392836" w:rsidRDefault="00430D62" w:rsidP="0099028F">
      <w:pPr>
        <w:ind w:left="720"/>
        <w:rPr>
          <w:rFonts w:eastAsia="Times New Roman"/>
          <w:lang w:val="en-US" w:bidi="he-IL"/>
        </w:rPr>
      </w:pPr>
      <w:r w:rsidRPr="00392836">
        <w:rPr>
          <w:lang w:val="en-US"/>
        </w:rPr>
        <w:t>Buprenorphine was used for preemptive analgesia for postoperative pain management. A single analgesic regimen was given subcutaneously and this was administered one hour before surgery at a dosage of 0.05 mg/kg.</w:t>
      </w:r>
      <w:r w:rsidRPr="00392836">
        <w:rPr>
          <w:rFonts w:eastAsia="Times New Roman"/>
          <w:lang w:val="en-US" w:bidi="he-IL"/>
        </w:rPr>
        <w:t xml:space="preserve"> </w:t>
      </w:r>
    </w:p>
    <w:p w:rsidR="00430D62" w:rsidRPr="00392836" w:rsidRDefault="00430D62" w:rsidP="0099028F">
      <w:pPr>
        <w:pStyle w:val="Heading4"/>
        <w:ind w:firstLine="720"/>
        <w:rPr>
          <w:rFonts w:eastAsia="Times New Roman"/>
          <w:lang w:val="en-US"/>
        </w:rPr>
      </w:pPr>
      <w:bookmarkStart w:id="99" w:name="_Toc484448816"/>
      <w:bookmarkStart w:id="100" w:name="_Toc506232328"/>
      <w:r w:rsidRPr="00392836">
        <w:rPr>
          <w:rFonts w:eastAsia="Times New Roman"/>
          <w:lang w:val="en-US"/>
        </w:rPr>
        <w:t>2.</w:t>
      </w:r>
      <w:r>
        <w:rPr>
          <w:rFonts w:eastAsia="Times New Roman"/>
          <w:lang w:val="en-US"/>
        </w:rPr>
        <w:t>3</w:t>
      </w:r>
      <w:r w:rsidR="00C640E6">
        <w:rPr>
          <w:rFonts w:eastAsia="Times New Roman"/>
          <w:lang w:val="en-US"/>
        </w:rPr>
        <w:t>.4 Aseptic t</w:t>
      </w:r>
      <w:r w:rsidRPr="00392836">
        <w:rPr>
          <w:rFonts w:eastAsia="Times New Roman"/>
          <w:lang w:val="en-US"/>
        </w:rPr>
        <w:t>echnique</w:t>
      </w:r>
      <w:bookmarkEnd w:id="99"/>
      <w:bookmarkEnd w:id="100"/>
    </w:p>
    <w:p w:rsidR="00430D62" w:rsidRPr="00392836" w:rsidRDefault="00430D62" w:rsidP="0099028F">
      <w:pPr>
        <w:ind w:left="720"/>
        <w:rPr>
          <w:lang w:val="en-US"/>
        </w:rPr>
      </w:pPr>
      <w:r w:rsidRPr="00392836">
        <w:rPr>
          <w:lang w:val="en-US"/>
        </w:rPr>
        <w:t xml:space="preserve">Rodent surgery is very challenging because the surgeon also functions as the </w:t>
      </w:r>
      <w:r w:rsidR="00B82D51" w:rsidRPr="00392836">
        <w:rPr>
          <w:lang w:val="en-US"/>
        </w:rPr>
        <w:t>an</w:t>
      </w:r>
      <w:r w:rsidR="00B82D51">
        <w:rPr>
          <w:lang w:val="en-US"/>
        </w:rPr>
        <w:t>a</w:t>
      </w:r>
      <w:r w:rsidR="00B82D51" w:rsidRPr="00392836">
        <w:rPr>
          <w:lang w:val="en-US"/>
        </w:rPr>
        <w:t>esthetist</w:t>
      </w:r>
      <w:r w:rsidRPr="00392836">
        <w:rPr>
          <w:lang w:val="en-US"/>
        </w:rPr>
        <w:t xml:space="preserve">. Therefore the surgeon will have to prepare the rat for surgery, induce and maintain anaesthesia as well as </w:t>
      </w:r>
      <w:r w:rsidR="00B82D51">
        <w:rPr>
          <w:lang w:val="en-US"/>
        </w:rPr>
        <w:t xml:space="preserve">oversee </w:t>
      </w:r>
      <w:r w:rsidRPr="00392836">
        <w:rPr>
          <w:lang w:val="en-US"/>
        </w:rPr>
        <w:t>recover</w:t>
      </w:r>
      <w:r w:rsidR="00B82D51">
        <w:rPr>
          <w:lang w:val="en-US"/>
        </w:rPr>
        <w:t>y of</w:t>
      </w:r>
      <w:r w:rsidRPr="00392836">
        <w:rPr>
          <w:lang w:val="en-US"/>
        </w:rPr>
        <w:t xml:space="preserve"> the rat from anaesthesia. The surgeon therefore </w:t>
      </w:r>
      <w:r w:rsidR="00B82D51">
        <w:rPr>
          <w:lang w:val="en-US"/>
        </w:rPr>
        <w:t>h</w:t>
      </w:r>
      <w:r w:rsidRPr="00392836">
        <w:rPr>
          <w:lang w:val="en-US"/>
        </w:rPr>
        <w:t xml:space="preserve">as to coordinate all surgeries and procedures in an aseptic manner </w:t>
      </w:r>
      <w:r w:rsidRPr="00392836">
        <w:rPr>
          <w:lang w:val="en-US"/>
        </w:rPr>
        <w:fldChar w:fldCharType="begin"/>
      </w:r>
      <w:r w:rsidRPr="00392836">
        <w:rPr>
          <w:lang w:val="en-US"/>
        </w:rPr>
        <w:instrText xml:space="preserve"> ADDIN EN.CITE &lt;EndNote&gt;&lt;Cite&gt;&lt;Author&gt;Hoogstraten-Miller&lt;/Author&gt;&lt;Year&gt;2008&lt;/Year&gt;&lt;IDText&gt;TECHNIQUES IN ASEPTIC RODENT SURGERY&lt;/IDText&gt;&lt;DisplayText&gt;(Hoogstraten-Miller and Brown, 2008)&lt;/DisplayText&gt;&lt;record&gt;&lt;urls&gt;&lt;related-urls&gt;&lt;url&gt;http://www.ncbi.nlm.nih.gov/pmc/articles/PMC2587003/&lt;/url&gt;&lt;/related-urls&gt;&lt;/urls&gt;&lt;isbn&gt;1934-3671&amp;#xD;1934-368X&lt;/isbn&gt;&lt;titles&gt;&lt;title&gt;TECHNIQUES IN ASEPTIC RODENT SURGERY&lt;/title&gt;&lt;secondary-title&gt;Current protocols in immunology / edited by John E. Coligan ... [et al.]&lt;/secondary-title&gt;&lt;/titles&gt;&lt;pages&gt;Unit-1.12-14&lt;/pages&gt;&lt;contributors&gt;&lt;authors&gt;&lt;author&gt;Hoogstraten-Miller, Shelley L.&lt;/author&gt;&lt;author&gt;Brown, Patricia A.&lt;/author&gt;&lt;/authors&gt;&lt;/contributors&gt;&lt;added-date format="utc"&gt;1490794409&lt;/added-date&gt;&lt;ref-type name="Journal Article"&gt;17&lt;/ref-type&gt;&lt;dates&gt;&lt;year&gt;2008&lt;/year&gt;&lt;/dates&gt;&lt;rec-number&gt;1646&lt;/rec-number&gt;&lt;last-updated-date format="utc"&gt;1490794409&lt;/last-updated-date&gt;&lt;accession-num&gt;PMC2587003&lt;/accession-num&gt;&lt;electronic-resource-num&gt;10.1002/0471142735.im0112s82&lt;/electronic-resource-num&gt;&lt;volume&gt;CHAPTER&lt;/volume&gt;&lt;remote-database-name&gt;PMC&lt;/remote-database-name&gt;&lt;/record&gt;&lt;/Cite&gt;&lt;/EndNote&gt;</w:instrText>
      </w:r>
      <w:r w:rsidRPr="00392836">
        <w:rPr>
          <w:lang w:val="en-US"/>
        </w:rPr>
        <w:fldChar w:fldCharType="separate"/>
      </w:r>
      <w:r w:rsidRPr="00392836">
        <w:rPr>
          <w:noProof/>
          <w:lang w:val="en-US"/>
        </w:rPr>
        <w:t>(Hoogstraten-Miller and Brown, 2008)</w:t>
      </w:r>
      <w:r w:rsidRPr="00392836">
        <w:rPr>
          <w:lang w:val="en-US"/>
        </w:rPr>
        <w:fldChar w:fldCharType="end"/>
      </w:r>
      <w:r w:rsidRPr="00392836">
        <w:rPr>
          <w:lang w:val="en-US"/>
        </w:rPr>
        <w:t xml:space="preserve">. The need for aseptic technique  is very important as sepsis still accounts for a major cause of mortality and morbidity in wound care </w:t>
      </w:r>
      <w:r w:rsidRPr="00392836">
        <w:rPr>
          <w:lang w:val="en-US"/>
        </w:rPr>
        <w:fldChar w:fldCharType="begin"/>
      </w:r>
      <w:r w:rsidRPr="00392836">
        <w:rPr>
          <w:lang w:val="en-US"/>
        </w:rPr>
        <w:instrText xml:space="preserve"> ADDIN EN.CITE &lt;EndNote&gt;&lt;Cite&gt;&lt;Author&gt;Dai&lt;/Author&gt;&lt;Year&gt;2011&lt;/Year&gt;&lt;IDText&gt;Animal models of external traumatic wound infections&lt;/IDText&gt;&lt;DisplayText&gt;(Dai et al., 2011)&lt;/DisplayText&gt;&lt;record&gt;&lt;dates&gt;&lt;pub-dates&gt;&lt;date&gt;Jul-Aug&amp;#xD;//Jul-Aug&amp;#xD;04/29/received&amp;#xD;06/07/revised&amp;#xD;06/08/accepted&lt;/date&gt;&lt;/pub-dates&gt;&lt;year&gt;2011&lt;/year&gt;&lt;/dates&gt;&lt;urls&gt;&lt;related-urls&gt;&lt;url&gt;http://www.ncbi.nlm.nih.gov/pmc/articles/PMC3173676/&lt;/url&gt;&lt;/related-urls&gt;&lt;/urls&gt;&lt;isbn&gt;2150-5594&amp;#xD;2150-5608&lt;/isbn&gt;&lt;titles&gt;&lt;title&gt;Animal models of external traumatic wound infections&lt;/title&gt;&lt;secondary-title&gt;Virulence&lt;/secondary-title&gt;&lt;/titles&gt;&lt;pages&gt;296-315&lt;/pages&gt;&lt;number&gt;4&lt;/number&gt;&lt;contributors&gt;&lt;authors&gt;&lt;author&gt;Dai, Tianhong&lt;/author&gt;&lt;author&gt;Kharkwal, Gitika B.&lt;/author&gt;&lt;author&gt;Tanaka, Masamitsu&lt;/author&gt;&lt;author&gt;Huang, Ying-Ying&lt;/author&gt;&lt;author&gt;Bil de Arce, Vida J.&lt;/author&gt;&lt;author&gt;Hamblin, Michael R.&lt;/author&gt;&lt;/authors&gt;&lt;/contributors&gt;&lt;added-date format="utc"&gt;1490816476&lt;/added-date&gt;&lt;ref-type name="Journal Article"&gt;17&lt;/ref-type&gt;&lt;rec-number&gt;1649&lt;/rec-number&gt;&lt;publisher&gt;Landes Bioscience&lt;/publisher&gt;&lt;last-updated-date format="utc"&gt;1490816476&lt;/last-updated-date&gt;&lt;accession-num&gt;PMC3173676&lt;/accession-num&gt;&lt;electronic-resource-num&gt;10.4161/viru.2.4.16840&lt;/electronic-resource-num&gt;&lt;volume&gt;2&lt;/volume&gt;&lt;remote-database-name&gt;PMC&lt;/remote-database-name&gt;&lt;/record&gt;&lt;/Cite&gt;&lt;/EndNote&gt;</w:instrText>
      </w:r>
      <w:r w:rsidRPr="00392836">
        <w:rPr>
          <w:lang w:val="en-US"/>
        </w:rPr>
        <w:fldChar w:fldCharType="separate"/>
      </w:r>
      <w:r w:rsidRPr="00392836">
        <w:rPr>
          <w:noProof/>
          <w:lang w:val="en-US"/>
        </w:rPr>
        <w:t>(Dai et al., 2011)</w:t>
      </w:r>
      <w:r w:rsidRPr="00392836">
        <w:rPr>
          <w:lang w:val="en-US"/>
        </w:rPr>
        <w:fldChar w:fldCharType="end"/>
      </w:r>
      <w:r w:rsidRPr="00392836">
        <w:rPr>
          <w:lang w:val="en-US"/>
        </w:rPr>
        <w:t>.</w:t>
      </w:r>
    </w:p>
    <w:p w:rsidR="00430D62" w:rsidRPr="00392836" w:rsidRDefault="00430D62" w:rsidP="0099028F">
      <w:pPr>
        <w:ind w:left="720"/>
        <w:rPr>
          <w:lang w:val="en-US"/>
        </w:rPr>
      </w:pPr>
      <w:r w:rsidRPr="00392836">
        <w:rPr>
          <w:lang w:val="en-US"/>
        </w:rPr>
        <w:t xml:space="preserve">The rats were laid on the left lateral position to expose the right lateral side. A 6mm by 3mm area was shaved on the right lateral abdomen wall cranio-dorsally, </w:t>
      </w:r>
      <w:r w:rsidR="00B82D51">
        <w:rPr>
          <w:lang w:val="en-US"/>
        </w:rPr>
        <w:t>using the renal angle as a land</w:t>
      </w:r>
      <w:r w:rsidRPr="00392836">
        <w:rPr>
          <w:lang w:val="en-US"/>
        </w:rPr>
        <w:t>mark. This area was cleaned with chlorhexidine three times followed by 10% povidone iodine. Excess cleaning solution was dried with a sterile swab. Sterile surgical drapes were used to define the surgical field. The surgical procedure was performed with a surgical mask, cap, sterile gloves and theatre gown (</w:t>
      </w:r>
      <w:r w:rsidR="00D42EAE">
        <w:rPr>
          <w:lang w:val="en-US"/>
        </w:rPr>
        <w:t xml:space="preserve">Fig. </w:t>
      </w:r>
      <w:r w:rsidRPr="00392836">
        <w:rPr>
          <w:lang w:val="en-US"/>
        </w:rPr>
        <w:t>2.3).</w:t>
      </w:r>
    </w:p>
    <w:p w:rsidR="00430D62" w:rsidRPr="00392836" w:rsidRDefault="00430D62" w:rsidP="00430D62">
      <w:pPr>
        <w:ind w:left="720"/>
        <w:rPr>
          <w:rFonts w:ascii="Calibri" w:eastAsia="Calibri" w:hAnsi="Calibri"/>
          <w:lang w:val="en-US"/>
        </w:rPr>
      </w:pPr>
      <w:r w:rsidRPr="00392836">
        <w:rPr>
          <w:rFonts w:ascii="Calibri" w:eastAsia="Calibri" w:hAnsi="Calibri"/>
          <w:noProof/>
          <w:lang w:eastAsia="en-GB"/>
        </w:rPr>
        <w:lastRenderedPageBreak/>
        <w:drawing>
          <wp:inline distT="0" distB="0" distL="0" distR="0" wp14:anchorId="5FA22A71" wp14:editId="6B43105B">
            <wp:extent cx="2457450" cy="3905250"/>
            <wp:effectExtent l="0" t="0" r="0" b="0"/>
            <wp:docPr id="14" name="Picture 14" descr="20150827_15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50827_1542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7450" cy="3905250"/>
                    </a:xfrm>
                    <a:prstGeom prst="rect">
                      <a:avLst/>
                    </a:prstGeom>
                    <a:noFill/>
                    <a:ln>
                      <a:noFill/>
                    </a:ln>
                  </pic:spPr>
                </pic:pic>
              </a:graphicData>
            </a:graphic>
          </wp:inline>
        </w:drawing>
      </w:r>
    </w:p>
    <w:p w:rsidR="00430D62" w:rsidRDefault="00430D62" w:rsidP="0099028F">
      <w:pPr>
        <w:pStyle w:val="LegText"/>
        <w:ind w:left="720"/>
        <w:rPr>
          <w:rFonts w:eastAsia="Calibri"/>
        </w:rPr>
      </w:pPr>
      <w:bookmarkStart w:id="101" w:name="_Toc504640568"/>
      <w:r w:rsidRPr="0075502F">
        <w:rPr>
          <w:rStyle w:val="SubtitleChar"/>
          <w:rFonts w:eastAsia="Calibri"/>
        </w:rPr>
        <w:t>Figure 2.3 Aseptic technique</w:t>
      </w:r>
      <w:r w:rsidR="002D56BD" w:rsidRPr="0075502F">
        <w:rPr>
          <w:rStyle w:val="SubtitleChar"/>
        </w:rPr>
        <w:t>.</w:t>
      </w:r>
      <w:bookmarkEnd w:id="101"/>
      <w:r w:rsidR="002D56BD">
        <w:t xml:space="preserve"> </w:t>
      </w:r>
      <w:r w:rsidRPr="00392836">
        <w:rPr>
          <w:rFonts w:eastAsia="Calibri"/>
        </w:rPr>
        <w:t xml:space="preserve">The aseptic technique involves the use of surgical gloves, nose mask, head cover, drapes and gowns. </w:t>
      </w:r>
    </w:p>
    <w:p w:rsidR="002D56BD" w:rsidRDefault="002D56BD" w:rsidP="002D56BD">
      <w:pPr>
        <w:pStyle w:val="LegText"/>
        <w:rPr>
          <w:rFonts w:eastAsia="Calibri"/>
        </w:rPr>
      </w:pPr>
    </w:p>
    <w:p w:rsidR="002D56BD" w:rsidRPr="00392836" w:rsidRDefault="002D56BD" w:rsidP="002D56BD">
      <w:pPr>
        <w:pStyle w:val="LegText"/>
        <w:rPr>
          <w:rFonts w:eastAsia="Calibri"/>
        </w:rPr>
      </w:pPr>
    </w:p>
    <w:p w:rsidR="00430D62" w:rsidRPr="00392836" w:rsidRDefault="00430D62" w:rsidP="0099028F">
      <w:pPr>
        <w:pStyle w:val="Heading4"/>
        <w:ind w:firstLine="720"/>
        <w:rPr>
          <w:rFonts w:eastAsia="Times New Roman"/>
          <w:lang w:val="en-US"/>
        </w:rPr>
      </w:pPr>
      <w:bookmarkStart w:id="102" w:name="_Toc419657272"/>
      <w:bookmarkStart w:id="103" w:name="_Toc419657344"/>
      <w:bookmarkStart w:id="104" w:name="_Toc419659349"/>
      <w:bookmarkStart w:id="105" w:name="_Toc419852044"/>
      <w:bookmarkStart w:id="106" w:name="_Toc484448817"/>
      <w:bookmarkStart w:id="107" w:name="_Toc506232329"/>
      <w:r w:rsidRPr="00392836">
        <w:rPr>
          <w:rFonts w:eastAsia="Times New Roman"/>
          <w:lang w:val="en-US"/>
        </w:rPr>
        <w:t>2.</w:t>
      </w:r>
      <w:r>
        <w:rPr>
          <w:rFonts w:eastAsia="Times New Roman"/>
          <w:lang w:val="en-US"/>
        </w:rPr>
        <w:t>3</w:t>
      </w:r>
      <w:r w:rsidRPr="00392836">
        <w:rPr>
          <w:rFonts w:eastAsia="Times New Roman"/>
          <w:lang w:val="en-US"/>
        </w:rPr>
        <w:t>.5 Diet and drugs</w:t>
      </w:r>
      <w:bookmarkEnd w:id="102"/>
      <w:bookmarkEnd w:id="103"/>
      <w:bookmarkEnd w:id="104"/>
      <w:bookmarkEnd w:id="105"/>
      <w:bookmarkEnd w:id="106"/>
      <w:bookmarkEnd w:id="107"/>
    </w:p>
    <w:p w:rsidR="00430D62" w:rsidRPr="00392836" w:rsidRDefault="00430D62" w:rsidP="0099028F">
      <w:pPr>
        <w:ind w:left="720"/>
        <w:rPr>
          <w:lang w:val="en-US"/>
        </w:rPr>
      </w:pPr>
      <w:r w:rsidRPr="00392836">
        <w:rPr>
          <w:lang w:val="en-US"/>
        </w:rPr>
        <w:t>Rat chow mixed with 0.3g UK-396082 /Kg and normal rat chow were supplied by Pfizer through Research Diets Inc, New Brunswick, U.S.A. All veterinary drugs were purchased with prescription of the named veterinary surgeon</w:t>
      </w:r>
      <w:r w:rsidR="00FC4A24">
        <w:rPr>
          <w:lang w:val="en-US"/>
        </w:rPr>
        <w:t xml:space="preserve"> of the BSU</w:t>
      </w:r>
      <w:r w:rsidRPr="00392836">
        <w:rPr>
          <w:lang w:val="en-US"/>
        </w:rPr>
        <w:t xml:space="preserve"> of University of Sheffield.</w:t>
      </w:r>
    </w:p>
    <w:p w:rsidR="00430D62" w:rsidRPr="00392836" w:rsidRDefault="00430D62" w:rsidP="0099028F">
      <w:pPr>
        <w:pStyle w:val="Heading4"/>
        <w:ind w:firstLine="720"/>
        <w:rPr>
          <w:rFonts w:eastAsia="Times New Roman"/>
          <w:lang w:val="en-US"/>
        </w:rPr>
      </w:pPr>
      <w:bookmarkStart w:id="108" w:name="_Toc484448818"/>
      <w:bookmarkStart w:id="109" w:name="_Toc506232330"/>
      <w:r w:rsidRPr="00392836">
        <w:rPr>
          <w:rFonts w:eastAsia="Times New Roman"/>
          <w:lang w:val="en-US"/>
        </w:rPr>
        <w:t>2.</w:t>
      </w:r>
      <w:r>
        <w:rPr>
          <w:rFonts w:eastAsia="Times New Roman"/>
          <w:lang w:val="en-US"/>
        </w:rPr>
        <w:t>3</w:t>
      </w:r>
      <w:r w:rsidRPr="00392836">
        <w:rPr>
          <w:rFonts w:eastAsia="Times New Roman"/>
          <w:lang w:val="en-US"/>
        </w:rPr>
        <w:t>.6 Linplant</w:t>
      </w:r>
      <w:bookmarkEnd w:id="108"/>
      <w:bookmarkEnd w:id="109"/>
    </w:p>
    <w:p w:rsidR="00430D62" w:rsidRPr="00392836" w:rsidRDefault="00430D62" w:rsidP="0099028F">
      <w:pPr>
        <w:ind w:left="720"/>
        <w:rPr>
          <w:lang w:val="en-US"/>
        </w:rPr>
      </w:pPr>
      <w:r w:rsidRPr="00392836">
        <w:rPr>
          <w:lang w:val="en-US"/>
        </w:rPr>
        <w:t xml:space="preserve">Sustained release insulin implant, (Linplant) was bought from LinShin Canada Inc, Scarborough, Canada. It is a 7mm by 2mm slow releasing insulin implant, made of insulin and microrecrystallized palmitic acid. For subcutaneous insertion, a small area in the upper abdominal skin was shaved, and cleaned with 10% povidone iodine. The cleaned skin was pinched between the thumb and the index finger, the skin was pierced with a 16G needle to create an orifice. The 12G trocar and its stylet were dipped into the 10% povidone iodine and then passed </w:t>
      </w:r>
      <w:r w:rsidRPr="00392836">
        <w:rPr>
          <w:lang w:val="en-US"/>
        </w:rPr>
        <w:lastRenderedPageBreak/>
        <w:t>through the orifice to create a 2mm channel. The implant was immersed in 10% povidone iodine and introduced through the skin from the proximal end of the trocar pushing it into the subcutaneous tissue with the aid of the stylet. A drop of 10% povidone iodine was applied over the skin opening. A single linplant lasted 60 days after which it was replaced (</w:t>
      </w:r>
      <w:r w:rsidR="00D42EAE">
        <w:rPr>
          <w:lang w:val="en-US"/>
        </w:rPr>
        <w:t xml:space="preserve">Fig. </w:t>
      </w:r>
      <w:r w:rsidRPr="00392836">
        <w:rPr>
          <w:lang w:val="en-US"/>
        </w:rPr>
        <w:t>2.4).</w:t>
      </w:r>
    </w:p>
    <w:p w:rsidR="00430D62" w:rsidRPr="00392836" w:rsidRDefault="00430D62" w:rsidP="009824BF">
      <w:pPr>
        <w:numPr>
          <w:ilvl w:val="0"/>
          <w:numId w:val="15"/>
        </w:numPr>
        <w:contextualSpacing/>
        <w:jc w:val="left"/>
        <w:rPr>
          <w:rFonts w:ascii="Calibri" w:eastAsia="Calibri" w:hAnsi="Calibri"/>
          <w:b/>
          <w:sz w:val="20"/>
          <w:szCs w:val="20"/>
          <w:lang w:val="x-none" w:eastAsia="x-none"/>
        </w:rPr>
      </w:pPr>
      <w:r w:rsidRPr="00392836">
        <w:rPr>
          <w:rFonts w:ascii="Calibri" w:eastAsia="Calibri" w:hAnsi="Calibri"/>
          <w:noProof/>
          <w:sz w:val="20"/>
          <w:szCs w:val="20"/>
          <w:lang w:eastAsia="en-GB"/>
        </w:rPr>
        <w:drawing>
          <wp:inline distT="0" distB="0" distL="0" distR="0" wp14:anchorId="06D77510" wp14:editId="12B29FFC">
            <wp:extent cx="1515600" cy="1440000"/>
            <wp:effectExtent l="0" t="0" r="8890" b="8255"/>
            <wp:docPr id="13" name="Picture 13" descr="Screenshot_2016-08-10-18-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2016-08-10-18-02-55"/>
                    <pic:cNvPicPr>
                      <a:picLocks noChangeAspect="1" noChangeArrowheads="1"/>
                    </pic:cNvPicPr>
                  </pic:nvPicPr>
                  <pic:blipFill>
                    <a:blip r:embed="rId28">
                      <a:extLst>
                        <a:ext uri="{28A0092B-C50C-407E-A947-70E740481C1C}">
                          <a14:useLocalDpi xmlns:a14="http://schemas.microsoft.com/office/drawing/2010/main" val="0"/>
                        </a:ext>
                      </a:extLst>
                    </a:blip>
                    <a:srcRect l="35493" t="28578" r="37398" b="25362"/>
                    <a:stretch>
                      <a:fillRect/>
                    </a:stretch>
                  </pic:blipFill>
                  <pic:spPr bwMode="auto">
                    <a:xfrm>
                      <a:off x="0" y="0"/>
                      <a:ext cx="1515600" cy="1440000"/>
                    </a:xfrm>
                    <a:prstGeom prst="rect">
                      <a:avLst/>
                    </a:prstGeom>
                    <a:noFill/>
                    <a:ln>
                      <a:noFill/>
                    </a:ln>
                  </pic:spPr>
                </pic:pic>
              </a:graphicData>
            </a:graphic>
          </wp:inline>
        </w:drawing>
      </w:r>
      <w:r w:rsidRPr="00392836">
        <w:rPr>
          <w:rFonts w:ascii="Calibri" w:eastAsia="Calibri" w:hAnsi="Calibri"/>
          <w:b/>
          <w:sz w:val="20"/>
          <w:szCs w:val="20"/>
          <w:lang w:eastAsia="x-none"/>
        </w:rPr>
        <w:t xml:space="preserve"> B)</w:t>
      </w:r>
      <w:r w:rsidRPr="00392836">
        <w:rPr>
          <w:rFonts w:ascii="Calibri" w:eastAsia="Calibri" w:hAnsi="Calibri"/>
          <w:noProof/>
          <w:sz w:val="20"/>
          <w:szCs w:val="20"/>
          <w:lang w:val="x-none" w:eastAsia="x-none"/>
        </w:rPr>
        <w:t xml:space="preserve"> </w:t>
      </w:r>
      <w:r w:rsidRPr="00392836">
        <w:rPr>
          <w:rFonts w:ascii="Calibri" w:eastAsia="Calibri" w:hAnsi="Calibri"/>
          <w:noProof/>
          <w:sz w:val="20"/>
          <w:szCs w:val="20"/>
          <w:lang w:eastAsia="en-GB"/>
        </w:rPr>
        <w:drawing>
          <wp:inline distT="0" distB="0" distL="0" distR="0" wp14:anchorId="69B050B9" wp14:editId="2C15C2AB">
            <wp:extent cx="2444400" cy="1440000"/>
            <wp:effectExtent l="0" t="0" r="0" b="8255"/>
            <wp:docPr id="12" name="Picture 12" descr="Screenshot_2016-08-10-18-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16-08-10-18-03-06"/>
                    <pic:cNvPicPr>
                      <a:picLocks noChangeAspect="1" noChangeArrowheads="1"/>
                    </pic:cNvPicPr>
                  </pic:nvPicPr>
                  <pic:blipFill>
                    <a:blip r:embed="rId29" cstate="print">
                      <a:extLst>
                        <a:ext uri="{28A0092B-C50C-407E-A947-70E740481C1C}">
                          <a14:useLocalDpi xmlns:a14="http://schemas.microsoft.com/office/drawing/2010/main" val="0"/>
                        </a:ext>
                      </a:extLst>
                    </a:blip>
                    <a:srcRect l="6735" t="35153" r="10066" b="37090"/>
                    <a:stretch>
                      <a:fillRect/>
                    </a:stretch>
                  </pic:blipFill>
                  <pic:spPr bwMode="auto">
                    <a:xfrm>
                      <a:off x="0" y="0"/>
                      <a:ext cx="2444400" cy="1440000"/>
                    </a:xfrm>
                    <a:prstGeom prst="rect">
                      <a:avLst/>
                    </a:prstGeom>
                    <a:noFill/>
                    <a:ln>
                      <a:noFill/>
                    </a:ln>
                  </pic:spPr>
                </pic:pic>
              </a:graphicData>
            </a:graphic>
          </wp:inline>
        </w:drawing>
      </w:r>
    </w:p>
    <w:p w:rsidR="00430D62" w:rsidRPr="00F13E9D" w:rsidRDefault="00430D62" w:rsidP="0099028F">
      <w:pPr>
        <w:pStyle w:val="LegText"/>
        <w:ind w:left="720"/>
        <w:rPr>
          <w:rFonts w:eastAsia="Calibri"/>
          <w:sz w:val="24"/>
          <w:szCs w:val="24"/>
        </w:rPr>
      </w:pPr>
      <w:bookmarkStart w:id="110" w:name="_Toc504640569"/>
      <w:r w:rsidRPr="00F13E9D">
        <w:rPr>
          <w:rStyle w:val="SubtitleChar"/>
        </w:rPr>
        <w:t>Figure 2.4 Linplant</w:t>
      </w:r>
      <w:bookmarkEnd w:id="110"/>
      <w:r w:rsidRPr="00392836">
        <w:rPr>
          <w:rFonts w:eastAsia="Calibri"/>
        </w:rPr>
        <w:t>: A) Shows the trocar ((purple, pink and white ball head), toothed forceps and 2 tubes of linplant.</w:t>
      </w:r>
      <w:r w:rsidRPr="00392836">
        <w:rPr>
          <w:rFonts w:eastAsia="Calibri"/>
          <w:b/>
        </w:rPr>
        <w:t xml:space="preserve"> </w:t>
      </w:r>
      <w:r w:rsidRPr="00392836">
        <w:rPr>
          <w:rFonts w:eastAsia="Calibri"/>
        </w:rPr>
        <w:t>B) Shows the package of the linplant trocar and stylet.</w:t>
      </w:r>
      <w:bookmarkStart w:id="111" w:name="_Toc419657274"/>
      <w:bookmarkStart w:id="112" w:name="_Toc419657346"/>
      <w:bookmarkStart w:id="113" w:name="_Toc419659351"/>
      <w:bookmarkStart w:id="114" w:name="_Toc419852046"/>
    </w:p>
    <w:p w:rsidR="00D57565" w:rsidRDefault="00D57565" w:rsidP="00F13E9D">
      <w:pPr>
        <w:pStyle w:val="Heading4"/>
        <w:ind w:firstLine="720"/>
        <w:rPr>
          <w:rFonts w:eastAsia="Times New Roman"/>
          <w:lang w:val="en-US"/>
        </w:rPr>
      </w:pPr>
      <w:bookmarkStart w:id="115" w:name="_Toc484448819"/>
    </w:p>
    <w:p w:rsidR="00430D62" w:rsidRPr="00392836" w:rsidRDefault="00430D62" w:rsidP="00F13E9D">
      <w:pPr>
        <w:pStyle w:val="Heading4"/>
        <w:ind w:firstLine="720"/>
        <w:rPr>
          <w:rFonts w:eastAsia="Times New Roman"/>
          <w:lang w:val="en-US"/>
        </w:rPr>
      </w:pPr>
      <w:bookmarkStart w:id="116" w:name="_Toc506232331"/>
      <w:r w:rsidRPr="00392836">
        <w:rPr>
          <w:rFonts w:eastAsia="Times New Roman"/>
          <w:lang w:val="en-US"/>
        </w:rPr>
        <w:t>2.</w:t>
      </w:r>
      <w:r>
        <w:rPr>
          <w:rFonts w:eastAsia="Times New Roman"/>
          <w:lang w:val="en-US"/>
        </w:rPr>
        <w:t>3</w:t>
      </w:r>
      <w:r w:rsidRPr="00392836">
        <w:rPr>
          <w:rFonts w:eastAsia="Times New Roman"/>
          <w:lang w:val="en-US"/>
        </w:rPr>
        <w:t>.7 Urine collection</w:t>
      </w:r>
      <w:bookmarkEnd w:id="111"/>
      <w:bookmarkEnd w:id="112"/>
      <w:bookmarkEnd w:id="113"/>
      <w:bookmarkEnd w:id="114"/>
      <w:bookmarkEnd w:id="115"/>
      <w:bookmarkEnd w:id="116"/>
    </w:p>
    <w:p w:rsidR="00430D62" w:rsidRPr="00392836" w:rsidRDefault="00430D62" w:rsidP="00F13E9D">
      <w:pPr>
        <w:ind w:left="720"/>
        <w:rPr>
          <w:lang w:val="en-US"/>
        </w:rPr>
      </w:pPr>
      <w:r w:rsidRPr="00392836">
        <w:rPr>
          <w:lang w:val="en-US"/>
        </w:rPr>
        <w:t xml:space="preserve">The </w:t>
      </w:r>
      <w:r w:rsidR="00B51600">
        <w:rPr>
          <w:lang w:val="en-US"/>
        </w:rPr>
        <w:t>method for urine collection is</w:t>
      </w:r>
      <w:r w:rsidRPr="00392836">
        <w:rPr>
          <w:lang w:val="en-US"/>
        </w:rPr>
        <w:t xml:space="preserve"> vital in order to obtain accurate data from the samples. Therefore urine collection method should provide uncontaminated and reliable samples for investigation. Monthly 24-hour urine was collected by putting one rat per metabolic cage to allow separation, collection and quantification of urine, and evaluation of water and food consumed within 24 hours. </w:t>
      </w:r>
    </w:p>
    <w:p w:rsidR="00430D62" w:rsidRPr="00392836" w:rsidRDefault="00430D62" w:rsidP="00F13E9D">
      <w:pPr>
        <w:ind w:left="720"/>
        <w:rPr>
          <w:lang w:val="en-US"/>
        </w:rPr>
      </w:pPr>
      <w:r w:rsidRPr="00392836">
        <w:rPr>
          <w:lang w:val="en-US"/>
        </w:rPr>
        <w:t>Urine samples were collected into a chilled measuring container which was in the collecting system of a metabolic cage. The meas</w:t>
      </w:r>
      <w:r w:rsidR="00B82D51">
        <w:rPr>
          <w:lang w:val="en-US"/>
        </w:rPr>
        <w:t>uring cylinder was cooled with i</w:t>
      </w:r>
      <w:r w:rsidRPr="00392836">
        <w:rPr>
          <w:lang w:val="en-US"/>
        </w:rPr>
        <w:t xml:space="preserve">ce to reduce urinary protein degradation during the 24 hour sample collection period. </w:t>
      </w:r>
    </w:p>
    <w:p w:rsidR="00430D62" w:rsidRPr="00392836" w:rsidRDefault="00430D62" w:rsidP="00F13E9D">
      <w:pPr>
        <w:ind w:left="720"/>
        <w:rPr>
          <w:color w:val="FF0000"/>
          <w:lang w:val="en-US"/>
        </w:rPr>
      </w:pPr>
      <w:r w:rsidRPr="00392836">
        <w:rPr>
          <w:lang w:val="en-US"/>
        </w:rPr>
        <w:t>The volume of urine excreted in 24 hours by each animal was recorded and urine samples were collected, centrifuged, aliquoted and stored at -80</w:t>
      </w:r>
      <w:r w:rsidRPr="00392836">
        <w:rPr>
          <w:vertAlign w:val="superscript"/>
          <w:lang w:val="en-US"/>
        </w:rPr>
        <w:t>0</w:t>
      </w:r>
      <w:r w:rsidRPr="00392836">
        <w:rPr>
          <w:lang w:val="en-US"/>
        </w:rPr>
        <w:t>C. Total food consumed within 24 hours was calculated by subtracting the leftover food from the in</w:t>
      </w:r>
      <w:r w:rsidR="0044098B">
        <w:rPr>
          <w:lang w:val="en-US"/>
        </w:rPr>
        <w:t>itial 60 grams of food</w:t>
      </w:r>
      <w:r w:rsidRPr="00392836">
        <w:rPr>
          <w:lang w:val="en-US"/>
        </w:rPr>
        <w:t xml:space="preserve"> put in the food chamber.</w:t>
      </w:r>
      <w:r w:rsidRPr="00392836">
        <w:rPr>
          <w:color w:val="FF0000"/>
          <w:lang w:val="en-US"/>
        </w:rPr>
        <w:t xml:space="preserve">  </w:t>
      </w:r>
      <w:bookmarkStart w:id="117" w:name="_Toc419657275"/>
      <w:bookmarkStart w:id="118" w:name="_Toc419657347"/>
      <w:bookmarkStart w:id="119" w:name="_Toc419659352"/>
      <w:bookmarkStart w:id="120" w:name="_Toc419852047"/>
    </w:p>
    <w:p w:rsidR="00430D62" w:rsidRPr="00392836" w:rsidRDefault="00430D62" w:rsidP="00F13E9D">
      <w:pPr>
        <w:pStyle w:val="Heading4"/>
        <w:ind w:firstLine="720"/>
        <w:rPr>
          <w:rFonts w:eastAsia="Times New Roman"/>
          <w:lang w:val="en-US"/>
        </w:rPr>
      </w:pPr>
      <w:bookmarkStart w:id="121" w:name="_Toc484448820"/>
      <w:bookmarkStart w:id="122" w:name="_Toc506232332"/>
      <w:r w:rsidRPr="00392836">
        <w:rPr>
          <w:rFonts w:eastAsia="Times New Roman"/>
          <w:lang w:val="en-US"/>
        </w:rPr>
        <w:lastRenderedPageBreak/>
        <w:t>2.</w:t>
      </w:r>
      <w:r>
        <w:rPr>
          <w:rFonts w:eastAsia="Times New Roman"/>
          <w:lang w:val="en-US"/>
        </w:rPr>
        <w:t>3</w:t>
      </w:r>
      <w:r w:rsidRPr="00392836">
        <w:rPr>
          <w:rFonts w:eastAsia="Times New Roman"/>
          <w:lang w:val="en-US"/>
        </w:rPr>
        <w:t>.8 Blood collection</w:t>
      </w:r>
      <w:bookmarkEnd w:id="117"/>
      <w:bookmarkEnd w:id="118"/>
      <w:bookmarkEnd w:id="119"/>
      <w:bookmarkEnd w:id="120"/>
      <w:bookmarkEnd w:id="121"/>
      <w:bookmarkEnd w:id="122"/>
    </w:p>
    <w:p w:rsidR="00430D62" w:rsidRPr="00392836" w:rsidRDefault="00430D62" w:rsidP="00F13E9D">
      <w:pPr>
        <w:ind w:left="720"/>
        <w:rPr>
          <w:lang w:val="en-US"/>
        </w:rPr>
      </w:pPr>
      <w:r w:rsidRPr="00392836">
        <w:rPr>
          <w:lang w:val="en-US"/>
        </w:rPr>
        <w:t xml:space="preserve">Rats were anaesthetized with intraperitoneal Hypnol at 40 mg/kg after which 300 µl of blood was taken from the tail vein using a 23 G butterfly cannula. Blood was allowed to coagulate for 20 mins at ambient temperature and centrifuged at 1500 </w:t>
      </w:r>
      <w:r w:rsidRPr="00392836">
        <w:rPr>
          <w:i/>
          <w:lang w:val="en-US"/>
        </w:rPr>
        <w:t xml:space="preserve">xg </w:t>
      </w:r>
      <w:r w:rsidRPr="00392836">
        <w:rPr>
          <w:lang w:val="en-US"/>
        </w:rPr>
        <w:t>for 5 mins. Serum was collected and stored at -80</w:t>
      </w:r>
      <w:r w:rsidRPr="00392836">
        <w:rPr>
          <w:vertAlign w:val="superscript"/>
          <w:lang w:val="en-US"/>
        </w:rPr>
        <w:t>°</w:t>
      </w:r>
      <w:r w:rsidRPr="00392836">
        <w:rPr>
          <w:lang w:val="en-US"/>
        </w:rPr>
        <w:t>C.</w:t>
      </w:r>
    </w:p>
    <w:p w:rsidR="00430D62" w:rsidRPr="00392836" w:rsidRDefault="00430D62" w:rsidP="00F13E9D">
      <w:pPr>
        <w:pStyle w:val="Heading4"/>
        <w:ind w:firstLine="720"/>
        <w:rPr>
          <w:rFonts w:eastAsia="Times New Roman"/>
          <w:lang w:val="en-US"/>
        </w:rPr>
      </w:pPr>
      <w:bookmarkStart w:id="123" w:name="_Toc484448821"/>
      <w:bookmarkStart w:id="124" w:name="_Toc506232333"/>
      <w:r w:rsidRPr="00392836">
        <w:rPr>
          <w:rFonts w:eastAsia="Times New Roman"/>
          <w:lang w:val="en-US"/>
        </w:rPr>
        <w:t>2.</w:t>
      </w:r>
      <w:r>
        <w:rPr>
          <w:rFonts w:eastAsia="Times New Roman"/>
          <w:lang w:val="en-US"/>
        </w:rPr>
        <w:t>3</w:t>
      </w:r>
      <w:r w:rsidRPr="00392836">
        <w:rPr>
          <w:rFonts w:eastAsia="Times New Roman"/>
          <w:lang w:val="en-US"/>
        </w:rPr>
        <w:t>.9 Systolic blood pressure</w:t>
      </w:r>
      <w:bookmarkEnd w:id="123"/>
      <w:bookmarkEnd w:id="124"/>
    </w:p>
    <w:p w:rsidR="00430D62" w:rsidRPr="00392836" w:rsidRDefault="00430D62" w:rsidP="00F13E9D">
      <w:pPr>
        <w:ind w:left="720"/>
        <w:rPr>
          <w:rFonts w:eastAsia="Times New Roman"/>
          <w:lang w:eastAsia="en-GB"/>
        </w:rPr>
      </w:pPr>
      <w:r w:rsidRPr="00392836">
        <w:rPr>
          <w:lang w:val="en-US"/>
        </w:rPr>
        <w:t xml:space="preserve">Blood pressure measurement in rats can either be by an invasive or noninvasive method. The plethysmography (PPG) is an affordable, simple and noninvasive method used in measuring blood pressure. Its principle was based on an optical technique where light is used to identify variation in blood volume within the peripheral circulation. It is an accepted process that provides reproducible and worthy information about the cardiovascular system </w:t>
      </w:r>
      <w:r w:rsidRPr="00392836">
        <w:rPr>
          <w:lang w:val="en-US"/>
        </w:rPr>
        <w:fldChar w:fldCharType="begin"/>
      </w:r>
      <w:r w:rsidRPr="00392836">
        <w:rPr>
          <w:lang w:val="en-US"/>
        </w:rPr>
        <w:instrText xml:space="preserve"> ADDIN EN.CITE &lt;EndNote&gt;&lt;Cite&gt;&lt;Author&gt;Allen&lt;/Author&gt;&lt;Year&gt;2007&lt;/Year&gt;&lt;IDText&gt;Photoplethysmography and its application in clinical physiological measurement&lt;/IDText&gt;&lt;DisplayText&gt;(Allen, 2007)&lt;/DisplayText&gt;&lt;record&gt;&lt;dates&gt;&lt;pub-dates&gt;&lt;date&gt;Mar&lt;/date&gt;&lt;/pub-dates&gt;&lt;year&gt;2007&lt;/year&gt;&lt;/dates&gt;&lt;keywords&gt;&lt;keyword&gt;Autonomic Nervous System/physiology&lt;/keyword&gt;&lt;keyword&gt;Blood Vessels/physiology&lt;/keyword&gt;&lt;keyword&gt;Humans&lt;/keyword&gt;&lt;keyword&gt;Monitoring, Physiologic/methods&lt;/keyword&gt;&lt;keyword&gt;Photoplethysmography/instrumentation/*methods&lt;/keyword&gt;&lt;keyword&gt;Vascular Diseases/diagnosis&lt;/keyword&gt;&lt;/keywords&gt;&lt;isbn&gt;0967-3334 (Print)&amp;#xD;0967-3334&lt;/isbn&gt;&lt;titles&gt;&lt;title&gt;Photoplethysmography and its application in clinical physiological measurement&lt;/title&gt;&lt;secondary-title&gt;Physiol Meas&lt;/secondary-title&gt;&lt;alt-title&gt;Physiological measurement&lt;/alt-title&gt;&lt;/titles&gt;&lt;pages&gt;R1-39&lt;/pages&gt;&lt;number&gt;3&lt;/number&gt;&lt;contributors&gt;&lt;authors&gt;&lt;author&gt;Allen, J.&lt;/author&gt;&lt;/authors&gt;&lt;/contributors&gt;&lt;edition&gt;2007/02/27&lt;/edition&gt;&lt;language&gt;eng&lt;/language&gt;&lt;added-date format="utc"&gt;1490832420&lt;/added-date&gt;&lt;ref-type name="Journal Article"&gt;17&lt;/ref-type&gt;&lt;auth-address&gt;Regional Medical Physics Department, Freeman Hospital, Newcastle upon Tyne, UK. john.allen@nuth.nhs.uk&lt;/auth-address&gt;&lt;remote-database-provider&gt;NLM&lt;/remote-database-provider&gt;&lt;rec-number&gt;1650&lt;/rec-number&gt;&lt;last-updated-date format="utc"&gt;1490832420&lt;/last-updated-date&gt;&lt;accession-num&gt;17322588&lt;/accession-num&gt;&lt;electronic-resource-num&gt;10.1088/0967-3334/28/3/r01&lt;/electronic-resource-num&gt;&lt;volume&gt;28&lt;/volume&gt;&lt;/record&gt;&lt;/Cite&gt;&lt;/EndNote&gt;</w:instrText>
      </w:r>
      <w:r w:rsidRPr="00392836">
        <w:rPr>
          <w:lang w:val="en-US"/>
        </w:rPr>
        <w:fldChar w:fldCharType="separate"/>
      </w:r>
      <w:r w:rsidRPr="00392836">
        <w:rPr>
          <w:noProof/>
          <w:lang w:val="en-US"/>
        </w:rPr>
        <w:t>(Allen, 2007)</w:t>
      </w:r>
      <w:r w:rsidRPr="00392836">
        <w:rPr>
          <w:lang w:val="en-US"/>
        </w:rPr>
        <w:fldChar w:fldCharType="end"/>
      </w:r>
      <w:r w:rsidRPr="00392836">
        <w:rPr>
          <w:rFonts w:eastAsia="Times New Roman"/>
          <w:lang w:eastAsia="en-GB"/>
        </w:rPr>
        <w:t xml:space="preserve">. The rats were trained for three days with the holder before the blood pressure reading started. This was to make rats comfortable within the confined space and make rat enter the holder without any nervousness. After the three days training and acclimatization </w:t>
      </w:r>
      <w:r w:rsidRPr="00392836">
        <w:rPr>
          <w:lang w:val="en-US"/>
        </w:rPr>
        <w:t>the tail cuff plethysmography was used to measure systemic blood pressure. The rat restrain</w:t>
      </w:r>
      <w:r w:rsidR="0044098B">
        <w:rPr>
          <w:lang w:val="en-US"/>
        </w:rPr>
        <w:t>ing</w:t>
      </w:r>
      <w:r w:rsidRPr="00392836">
        <w:rPr>
          <w:lang w:val="en-US"/>
        </w:rPr>
        <w:t xml:space="preserve"> cage was pre-warmed</w:t>
      </w:r>
      <w:r w:rsidR="0044098B">
        <w:rPr>
          <w:lang w:val="en-US"/>
        </w:rPr>
        <w:t xml:space="preserve"> to 36</w:t>
      </w:r>
      <w:r w:rsidR="0044098B">
        <w:rPr>
          <w:rFonts w:cs="Arial"/>
          <w:lang w:val="en-US"/>
        </w:rPr>
        <w:t>°</w:t>
      </w:r>
      <w:r w:rsidR="0044098B">
        <w:rPr>
          <w:lang w:val="en-US"/>
        </w:rPr>
        <w:t>C</w:t>
      </w:r>
      <w:r w:rsidRPr="00392836">
        <w:rPr>
          <w:lang w:val="en-US"/>
        </w:rPr>
        <w:t>, after which the rat was placed in it. The tail cuff was inflated to exert pressure at the base of the tail, which occluded blood flow at the base of the rat tail. The inflated cuff was thereafter deflated slowly to restore blood flow. As the blood flow was gradually restored the first pulse of the caudal collateral artery was recorded. The reading was captured photoelectrically from the tail cuff sensor and the signals were sent to the amplifier (IITC life science BP amplifier) to obtain the blood pressure and heart rate. (</w:t>
      </w:r>
      <w:r w:rsidR="00D42EAE">
        <w:rPr>
          <w:lang w:val="en-US"/>
        </w:rPr>
        <w:t xml:space="preserve">Fig. </w:t>
      </w:r>
      <w:r w:rsidRPr="00392836">
        <w:rPr>
          <w:lang w:val="en-US"/>
        </w:rPr>
        <w:t>2.5).</w:t>
      </w:r>
    </w:p>
    <w:p w:rsidR="00430D62" w:rsidRPr="00392836" w:rsidRDefault="00430D62" w:rsidP="00F13E9D">
      <w:pPr>
        <w:ind w:left="720"/>
        <w:rPr>
          <w:lang w:val="en-US"/>
        </w:rPr>
      </w:pPr>
      <w:r w:rsidRPr="00392836">
        <w:rPr>
          <w:lang w:val="en-US"/>
        </w:rPr>
        <w:t>A tail sensor was applied to the base of the rat tail and the cuff was inflated. The systolic (green line) and diastolic (red line) blood pressure was determined by the IITC software (</w:t>
      </w:r>
      <w:r w:rsidR="00D42EAE">
        <w:rPr>
          <w:lang w:val="en-US"/>
        </w:rPr>
        <w:t xml:space="preserve">Fig. </w:t>
      </w:r>
      <w:r w:rsidRPr="00392836">
        <w:rPr>
          <w:lang w:val="en-US"/>
        </w:rPr>
        <w:t xml:space="preserve">2.6). Three readings were taken and the average recorded.   </w:t>
      </w: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
          <w:bCs/>
          <w:sz w:val="27"/>
          <w:szCs w:val="27"/>
          <w:lang w:val="en-US"/>
        </w:rPr>
      </w:pPr>
      <w:r w:rsidRPr="00392836">
        <w:rPr>
          <w:rFonts w:ascii="Times New Roman" w:eastAsia="Times New Roman" w:hAnsi="Times New Roman"/>
          <w:bCs/>
          <w:noProof/>
          <w:sz w:val="27"/>
          <w:szCs w:val="27"/>
          <w:lang w:eastAsia="en-GB"/>
        </w:rPr>
        <w:lastRenderedPageBreak/>
        <mc:AlternateContent>
          <mc:Choice Requires="wps">
            <w:drawing>
              <wp:anchor distT="0" distB="0" distL="114300" distR="114300" simplePos="0" relativeHeight="251664384" behindDoc="0" locked="0" layoutInCell="1" allowOverlap="1" wp14:anchorId="59D9DE74" wp14:editId="1637FB29">
                <wp:simplePos x="0" y="0"/>
                <wp:positionH relativeFrom="column">
                  <wp:posOffset>3437890</wp:posOffset>
                </wp:positionH>
                <wp:positionV relativeFrom="paragraph">
                  <wp:posOffset>1711325</wp:posOffset>
                </wp:positionV>
                <wp:extent cx="628650" cy="45719"/>
                <wp:effectExtent l="0" t="95250" r="19050" b="69215"/>
                <wp:wrapNone/>
                <wp:docPr id="23" name="Straight Arrow Connector 23"/>
                <wp:cNvGraphicFramePr/>
                <a:graphic xmlns:a="http://schemas.openxmlformats.org/drawingml/2006/main">
                  <a:graphicData uri="http://schemas.microsoft.com/office/word/2010/wordprocessingShape">
                    <wps:wsp>
                      <wps:cNvCnPr/>
                      <wps:spPr>
                        <a:xfrm flipH="1" flipV="1">
                          <a:off x="0" y="0"/>
                          <a:ext cx="628650" cy="45719"/>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BA67A87" id="Straight Arrow Connector 23" o:spid="_x0000_s1026" type="#_x0000_t32" style="position:absolute;margin-left:270.7pt;margin-top:134.75pt;width:49.5pt;height:3.6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Sm8QEAAL4DAAAOAAAAZHJzL2Uyb0RvYy54bWysU8uO0zAU3SPxD5b3NG0hnU7UdMS0DCzQ&#10;UGkG9reOk1jyS9emaf+eaydUA+zQZGHdh899HJ9s7s5Gs5PEoJyt+WI250xa4Rplu5p/f354t+Ys&#10;RLANaGdlzS8y8Lvt2zebwVdy6XqnG4mMithQDb7mfYy+KoogemkgzJyXlpKtQwORXOyKBmGg6kYX&#10;y/l8VQwOG49OyBAouh+TfJvrt60U8VvbBhmZrjnNFvOJ+Tyms9huoOoQfK/ENAb8xxQGlKWm11J7&#10;iMB+ovqnlFECXXBtnAlnCte2Ssi8A22zmP+1zVMPXuZdiJzgrzSF1ysrHk8HZKqp+fI9ZxYMvdFT&#10;RFBdH9lHRDewnbOWeHTI6ArxNfhQEWxnDzh5wR8wLX9u0bBWK/+FpMCz9SNZKUersnPm/XLlXZ4j&#10;ExRcLderkl5HUOpDebO4TW2KsV7Cegzxs3SGJaPmYZrvOtjYAU5fQxyBvwEJbN2D0priUGnLBlp0&#10;Xd6U1AxIbq2GSKbxRECwHWegO9KxiJiHDk6rJsETOmB33GlkJyAtlfe39/tymvOPa6n3HkI/3sup&#10;dA0qoyJJXStT8/U8fWM4gtKfbMPixRP3ERXYTsupsrYJKbOQp+0S/SPhyTq65pLfoUgeiSQTNwk6&#10;qfClT/bL3277CwAA//8DAFBLAwQUAAYACAAAACEA4MwA7t4AAAALAQAADwAAAGRycy9kb3ducmV2&#10;LnhtbEyPwU7DMAyG70i8Q2Qkbizd1HWjazohEBcOCMq4Z4nXVGuSKknX8vaYEzv696/Pn6v9bHt2&#10;wRA77wQsFxkwdMrrzrUCDl+vD1tgMUmnZe8dCvjBCPv69qaSpfaT+8RLk1pGEBdLKcCkNJScR2XQ&#10;yrjwAzranXywMtEYWq6DnAhue77KsoJb2Tm6YOSAzwbVuRmtgFVQ+mU7faj0Jr+bnL8fkhnPQtzf&#10;zU87YAnn9F+GP31Sh5qcjn50OrJewDpf5lQlWPG4BkaNIs8oOVKyKTbA64pf/1D/AgAA//8DAFBL&#10;AQItABQABgAIAAAAIQC2gziS/gAAAOEBAAATAAAAAAAAAAAAAAAAAAAAAABbQ29udGVudF9UeXBl&#10;c10ueG1sUEsBAi0AFAAGAAgAAAAhADj9If/WAAAAlAEAAAsAAAAAAAAAAAAAAAAALwEAAF9yZWxz&#10;Ly5yZWxzUEsBAi0AFAAGAAgAAAAhAE14ZKbxAQAAvgMAAA4AAAAAAAAAAAAAAAAALgIAAGRycy9l&#10;Mm9Eb2MueG1sUEsBAi0AFAAGAAgAAAAhAODMAO7eAAAACwEAAA8AAAAAAAAAAAAAAAAASwQAAGRy&#10;cy9kb3ducmV2LnhtbFBLBQYAAAAABAAEAPMAAABWBQAAAAA=&#10;" strokecolor="#5b9bd5" strokeweight="2.25pt">
                <v:stroke endarrow="block" joinstyle="miter"/>
              </v:shape>
            </w:pict>
          </mc:Fallback>
        </mc:AlternateContent>
      </w:r>
      <w:r w:rsidRPr="00392836">
        <w:rPr>
          <w:rFonts w:ascii="Times New Roman" w:eastAsia="Times New Roman" w:hAnsi="Times New Roman"/>
          <w:bCs/>
          <w:noProof/>
          <w:sz w:val="27"/>
          <w:szCs w:val="27"/>
          <w:lang w:eastAsia="en-GB"/>
        </w:rPr>
        <mc:AlternateContent>
          <mc:Choice Requires="wps">
            <w:drawing>
              <wp:anchor distT="0" distB="0" distL="114300" distR="114300" simplePos="0" relativeHeight="251662336" behindDoc="0" locked="0" layoutInCell="1" allowOverlap="1" wp14:anchorId="7CAB0066" wp14:editId="473B4536">
                <wp:simplePos x="0" y="0"/>
                <wp:positionH relativeFrom="column">
                  <wp:posOffset>618490</wp:posOffset>
                </wp:positionH>
                <wp:positionV relativeFrom="paragraph">
                  <wp:posOffset>1171575</wp:posOffset>
                </wp:positionV>
                <wp:extent cx="657225" cy="76200"/>
                <wp:effectExtent l="19050" t="57150" r="66675" b="95250"/>
                <wp:wrapNone/>
                <wp:docPr id="21" name="Straight Arrow Connector 21"/>
                <wp:cNvGraphicFramePr/>
                <a:graphic xmlns:a="http://schemas.openxmlformats.org/drawingml/2006/main">
                  <a:graphicData uri="http://schemas.microsoft.com/office/word/2010/wordprocessingShape">
                    <wps:wsp>
                      <wps:cNvCnPr/>
                      <wps:spPr>
                        <a:xfrm>
                          <a:off x="0" y="0"/>
                          <a:ext cx="657225" cy="76200"/>
                        </a:xfrm>
                        <a:prstGeom prst="straightConnector1">
                          <a:avLst/>
                        </a:prstGeom>
                        <a:noFill/>
                        <a:ln w="28575" cap="flat" cmpd="sng" algn="ctr">
                          <a:solidFill>
                            <a:srgbClr val="FFFF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78B803E" id="Straight Arrow Connector 21" o:spid="_x0000_s1026" type="#_x0000_t32" style="position:absolute;margin-left:48.7pt;margin-top:92.25pt;width:51.75pt;height: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OLE3wEAAKoDAAAOAAAAZHJzL2Uyb0RvYy54bWysU8uu0zAQ3SPxD5b3t0kj9aGo6RVqb9kg&#10;qHThA6aOk1jyS2PTtH/P2AnlAjuEF87M2PM4xye755vR7CoxKGcbvlyUnEkrXKts3/BvX09PW85C&#10;BNuCdlY2/C4Df96/f7cbfS0rNzjdSmRUxIZ69A0fYvR1UQQxSANh4by0dNg5NBDJxb5oEUaqbnRR&#10;leW6GB22Hp2QIVD0OB3yfa7fdVLEL10XZGS64TRbzDvm/ZL2Yr+DukfwgxLzGPAPUxhQlpo+Sh0h&#10;AvuO6q9SRgl0wXVxIZwpXNcpITMGQrMs/0DzOoCXGQuRE/yDpvD/yorP1zMy1Ta8WnJmwdAbvUYE&#10;1Q+RfUB0Izs4a4lHh4yuEF+jDzWlHewZZy/4Mybwtw5N+hIsdssc3x8cy1tkgoLr1aaqVpwJOtqs&#10;6QlTyeJXrscQP0pnWDIaHuZZHkMsM81w/RTilPgzITW27qS0pjjU2rKRQG1Xm9QMSFqdhkim8QQ2&#10;2J4z0D1pVkTMJYPTqk3pKTtgfzloZFcg3ZxoPeb87VrqfYQwTPfy0aQooyLJWivT8G2Z1hSOoPSL&#10;bVm8e+I5ogLbazkzoG3qLLNoZ3SJ6oncZF1ce8+cF8kjQWTiZvEmxb31yX77i+1/AAAA//8DAFBL&#10;AwQUAAYACAAAACEAF582DN4AAAAKAQAADwAAAGRycy9kb3ducmV2LnhtbEyPPU/DMBCGdyT+g3VI&#10;LBV1gtrShDgVINGJhcLS7Rq7cYR9DrGbpv+eY4Lx3nv0flSbyTsxmiF2gRTk8wyEoSbojloFnx+v&#10;d2sQMSFpdIGMgouJsKmvryosdTjTuxl3qRVsQrFEBTalvpQyNtZ4jPPQG+LfMQweE59DK/WAZzb3&#10;Tt5n2Up67IgTLPbmxZrma3fyCo52v3/OL9vvN8z9duZmcRhto9TtzfT0CCKZKf3B8Fufq0PNnQ7h&#10;RDoKp6B4WDDJ+nqxBMEAxxUgDqwUqyXIupL/J9Q/AAAA//8DAFBLAQItABQABgAIAAAAIQC2gziS&#10;/gAAAOEBAAATAAAAAAAAAAAAAAAAAAAAAABbQ29udGVudF9UeXBlc10ueG1sUEsBAi0AFAAGAAgA&#10;AAAhADj9If/WAAAAlAEAAAsAAAAAAAAAAAAAAAAALwEAAF9yZWxzLy5yZWxzUEsBAi0AFAAGAAgA&#10;AAAhAEKM4sTfAQAAqgMAAA4AAAAAAAAAAAAAAAAALgIAAGRycy9lMm9Eb2MueG1sUEsBAi0AFAAG&#10;AAgAAAAhABefNgzeAAAACgEAAA8AAAAAAAAAAAAAAAAAOQQAAGRycy9kb3ducmV2LnhtbFBLBQYA&#10;AAAABAAEAPMAAABEBQAAAAA=&#10;" strokecolor="yellow" strokeweight="2.25pt">
                <v:stroke endarrow="block" joinstyle="miter"/>
              </v:shape>
            </w:pict>
          </mc:Fallback>
        </mc:AlternateContent>
      </w:r>
      <w:r w:rsidRPr="00392836">
        <w:rPr>
          <w:rFonts w:ascii="Times New Roman" w:eastAsia="Times New Roman" w:hAnsi="Times New Roman"/>
          <w:bCs/>
          <w:noProof/>
          <w:sz w:val="27"/>
          <w:szCs w:val="27"/>
          <w:lang w:eastAsia="en-GB"/>
        </w:rPr>
        <mc:AlternateContent>
          <mc:Choice Requires="wps">
            <w:drawing>
              <wp:anchor distT="0" distB="0" distL="114300" distR="114300" simplePos="0" relativeHeight="251663360" behindDoc="0" locked="0" layoutInCell="1" allowOverlap="1" wp14:anchorId="47DB01B5" wp14:editId="37DD5578">
                <wp:simplePos x="0" y="0"/>
                <wp:positionH relativeFrom="column">
                  <wp:posOffset>3190240</wp:posOffset>
                </wp:positionH>
                <wp:positionV relativeFrom="paragraph">
                  <wp:posOffset>1200150</wp:posOffset>
                </wp:positionV>
                <wp:extent cx="504825" cy="323850"/>
                <wp:effectExtent l="38100" t="19050" r="28575" b="38100"/>
                <wp:wrapNone/>
                <wp:docPr id="22" name="Straight Arrow Connector 22"/>
                <wp:cNvGraphicFramePr/>
                <a:graphic xmlns:a="http://schemas.openxmlformats.org/drawingml/2006/main">
                  <a:graphicData uri="http://schemas.microsoft.com/office/word/2010/wordprocessingShape">
                    <wps:wsp>
                      <wps:cNvCnPr/>
                      <wps:spPr>
                        <a:xfrm flipH="1">
                          <a:off x="0" y="0"/>
                          <a:ext cx="504825" cy="323850"/>
                        </a:xfrm>
                        <a:prstGeom prst="straightConnector1">
                          <a:avLst/>
                        </a:prstGeom>
                        <a:noFill/>
                        <a:ln w="28575" cap="flat" cmpd="sng" algn="ctr">
                          <a:solidFill>
                            <a:srgbClr val="92D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D7F9273" id="Straight Arrow Connector 22" o:spid="_x0000_s1026" type="#_x0000_t32" style="position:absolute;margin-left:251.2pt;margin-top:94.5pt;width:39.75pt;height:25.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gzd6wEAALUDAAAOAAAAZHJzL2Uyb0RvYy54bWysU02P0zAQvSPxHyzfabJZCqFqukItCwcE&#10;lRZ+wNSxE0v+0tg07b9n7JRogRsiB8vj8byZ9/yyfbhYw84So/au43ermjPphO+1Gzr+/dvjq5az&#10;mMD1YLyTHb/KyB92L19sp7CRjR+96SUyAnFxM4WOjymFTVVFMUoLceWDdJRUHi0kCnGoeoSJ0K2p&#10;mrp+U00e+4BeyBjp9DAn+a7gKyVF+qpUlImZjtNsqaxY1lNeq90WNgNCGLW4jQH/MIUF7ajpAnWA&#10;BOwH6r+grBboo1dpJbytvFJayMKB2NzVf7B5GiHIwoXEiWGRKf4/WPHlfESm+443DWcOLL3RU0LQ&#10;w5jYe0Q/sb13jnT0yOgK6TWFuKGyvTviLYrhiJn8RaFlyujwiaxQ5CCC7FLUvi5qy0tigg7X9eu2&#10;WXMmKHXf3Lfr8hrVDJPhAsb0UXrL8qbj8TbWMs/cAs6fY6JBqPBXQS52/lEbU57XODYRv3b9NncD&#10;cpkykGhrA/GObuAMzED2FQnL1NEb3efyDBRxOO0NsjOQhd41h3qZ87drufcB4jjfK6nZXFYncrjR&#10;tuNtnb/5OIE2H1zP0jWQ5Ak1uMHInCMixuXOsvj3xi6rPuucdyffX4v8VY7IG6Xs5uNsvucx7Z//&#10;bbufAAAA//8DAFBLAwQUAAYACAAAACEA5h/9w+EAAAALAQAADwAAAGRycy9kb3ducmV2LnhtbEyP&#10;wU7DMBBE70j8g7VIvVE7aVKlIU5VISG4AS0S6s2NTRIar9PYTdO/ZznBcTVPs2+K9WQ7NprBtw4l&#10;RHMBzGDldIu1hI/d030GzAeFWnUOjYSr8bAub28KlWt3wXczbkPNqAR9riQ0IfQ5575qjFV+7nqD&#10;lH25wapA51BzPagLlduOx0IsuVUt0odG9eaxMdVxe7YSXvkiOr2c3tJd8px+f+rrHsflXsrZ3bR5&#10;ABbMFP5g+NUndSjJ6eDOqD3rJKQiTgilIFvRKCLSLFoBO0iIEyGAlwX/v6H8AQAA//8DAFBLAQIt&#10;ABQABgAIAAAAIQC2gziS/gAAAOEBAAATAAAAAAAAAAAAAAAAAAAAAABbQ29udGVudF9UeXBlc10u&#10;eG1sUEsBAi0AFAAGAAgAAAAhADj9If/WAAAAlAEAAAsAAAAAAAAAAAAAAAAALwEAAF9yZWxzLy5y&#10;ZWxzUEsBAi0AFAAGAAgAAAAhAGzGDN3rAQAAtQMAAA4AAAAAAAAAAAAAAAAALgIAAGRycy9lMm9E&#10;b2MueG1sUEsBAi0AFAAGAAgAAAAhAOYf/cPhAAAACwEAAA8AAAAAAAAAAAAAAAAARQQAAGRycy9k&#10;b3ducmV2LnhtbFBLBQYAAAAABAAEAPMAAABTBQAAAAA=&#10;" strokecolor="#92d050" strokeweight="2.25pt">
                <v:stroke endarrow="block" joinstyle="miter"/>
              </v:shape>
            </w:pict>
          </mc:Fallback>
        </mc:AlternateContent>
      </w:r>
      <w:r w:rsidRPr="00392836">
        <w:rPr>
          <w:rFonts w:ascii="Times New Roman" w:eastAsia="Times New Roman" w:hAnsi="Times New Roman"/>
          <w:bCs/>
          <w:noProof/>
          <w:sz w:val="27"/>
          <w:szCs w:val="27"/>
          <w:lang w:eastAsia="en-GB"/>
        </w:rPr>
        <w:drawing>
          <wp:inline distT="0" distB="0" distL="0" distR="0" wp14:anchorId="4124B8D5" wp14:editId="38D38DDC">
            <wp:extent cx="4200525" cy="2362200"/>
            <wp:effectExtent l="0" t="0" r="9525" b="0"/>
            <wp:docPr id="11" name="Picture 11" descr="WP_2016031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_20160311_0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0525" cy="2362200"/>
                    </a:xfrm>
                    <a:prstGeom prst="rect">
                      <a:avLst/>
                    </a:prstGeom>
                    <a:noFill/>
                    <a:ln>
                      <a:noFill/>
                    </a:ln>
                  </pic:spPr>
                </pic:pic>
              </a:graphicData>
            </a:graphic>
          </wp:inline>
        </w:drawing>
      </w:r>
    </w:p>
    <w:p w:rsidR="00430D62" w:rsidRPr="002D56BD" w:rsidRDefault="00430D62" w:rsidP="007A6CFB">
      <w:pPr>
        <w:pStyle w:val="LegText"/>
        <w:ind w:left="720"/>
      </w:pPr>
      <w:bookmarkStart w:id="125" w:name="_Toc504640570"/>
      <w:r w:rsidRPr="00B30F28">
        <w:rPr>
          <w:rStyle w:val="SubtitleChar"/>
        </w:rPr>
        <w:t>Figure 2.5 Systemic blood pressure equipment.</w:t>
      </w:r>
      <w:bookmarkEnd w:id="125"/>
      <w:r w:rsidR="00B30F28">
        <w:rPr>
          <w:lang w:val="en-US"/>
        </w:rPr>
        <w:t xml:space="preserve"> </w:t>
      </w:r>
      <w:r w:rsidRPr="002D56BD">
        <w:t xml:space="preserve">The yellow arrow shows the IITC life science BP amplifier, the blue arrow shows the tail cuff sensor at the base of the tail and the green arrow shows the rat holder with the rat in place. </w:t>
      </w: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Cs/>
          <w:sz w:val="20"/>
          <w:szCs w:val="20"/>
          <w:lang w:val="en-US"/>
        </w:rPr>
      </w:pP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Cs/>
          <w:sz w:val="20"/>
          <w:szCs w:val="20"/>
          <w:lang w:val="en-US"/>
        </w:rPr>
      </w:pPr>
    </w:p>
    <w:p w:rsidR="00430D62" w:rsidRPr="00392836" w:rsidRDefault="00430D62" w:rsidP="00430D62">
      <w:pPr>
        <w:spacing w:before="100" w:beforeAutospacing="1" w:after="100" w:afterAutospacing="1" w:line="240" w:lineRule="auto"/>
        <w:ind w:left="720"/>
        <w:outlineLvl w:val="2"/>
        <w:rPr>
          <w:rFonts w:ascii="Times New Roman" w:eastAsia="Times New Roman" w:hAnsi="Times New Roman"/>
          <w:b/>
          <w:bCs/>
          <w:sz w:val="27"/>
          <w:szCs w:val="27"/>
          <w:lang w:val="en-US"/>
        </w:rPr>
      </w:pPr>
      <w:r w:rsidRPr="00392836">
        <w:rPr>
          <w:rFonts w:ascii="Times New Roman" w:eastAsia="Times New Roman" w:hAnsi="Times New Roman"/>
          <w:b/>
          <w:bCs/>
          <w:noProof/>
          <w:sz w:val="27"/>
          <w:szCs w:val="27"/>
          <w:lang w:eastAsia="en-GB"/>
        </w:rPr>
        <mc:AlternateContent>
          <mc:Choice Requires="wps">
            <w:drawing>
              <wp:anchor distT="0" distB="0" distL="114300" distR="114300" simplePos="0" relativeHeight="251666432" behindDoc="0" locked="0" layoutInCell="1" allowOverlap="1" wp14:anchorId="26F5F987" wp14:editId="45728A42">
                <wp:simplePos x="0" y="0"/>
                <wp:positionH relativeFrom="margin">
                  <wp:posOffset>3264535</wp:posOffset>
                </wp:positionH>
                <wp:positionV relativeFrom="paragraph">
                  <wp:posOffset>2070735</wp:posOffset>
                </wp:positionV>
                <wp:extent cx="1609725" cy="133350"/>
                <wp:effectExtent l="0" t="95250" r="9525" b="19050"/>
                <wp:wrapNone/>
                <wp:docPr id="25" name="Straight Arrow Connector 25"/>
                <wp:cNvGraphicFramePr/>
                <a:graphic xmlns:a="http://schemas.openxmlformats.org/drawingml/2006/main">
                  <a:graphicData uri="http://schemas.microsoft.com/office/word/2010/wordprocessingShape">
                    <wps:wsp>
                      <wps:cNvCnPr/>
                      <wps:spPr>
                        <a:xfrm flipH="1" flipV="1">
                          <a:off x="0" y="0"/>
                          <a:ext cx="1609725" cy="13335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3A6E3DC4" id="Straight Arrow Connector 25" o:spid="_x0000_s1026" type="#_x0000_t32" style="position:absolute;margin-left:257.05pt;margin-top:163.05pt;width:126.75pt;height:10.5pt;flip:x y;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COO8wEAAMADAAAOAAAAZHJzL2Uyb0RvYy54bWysU01v2zAMvQ/YfxB0X+wkSJsGcYo1WbfD&#10;sAZotzsjS7YAfYHS4uTfj5KzoNtuxXwQSFF8JB+f1/cna9hRYtTeNXw6qTmTTvhWu67h318ePyw5&#10;iwlcC8Y72fCzjPx+8/7deggrOfO9N61ERiAurobQ8D6lsKqqKHppIU58kI6CyqOFRC52VYswELo1&#10;1ayub6rBYxvQCxkj3e7GIN8UfKWkSE9KRZmYaTj1lsqJ5Tzks9qsYdUhhF6LSxvwhi4saEdFr1A7&#10;SMB+ov4HymqBPnqVJsLbyiulhSwz0DTT+q9pnnsIssxC5MRwpSn+P1jx7bhHptuGzxacObC0o+eE&#10;oLs+sY+IfmBb7xzx6JHRE+JrCHFFaVu3x4sXwx7z8CeFlimjwxeSAi/Wj2zlGI3KToX385V3eUpM&#10;0OX0pr67zfUFxabz+XxRFlONiDk7YEyfpbcsGw2Plw6vrY014Pg1JuqJEn8n5GTnH7UxZdPGsYFG&#10;XS5uczUgwSkDiUwbiILoOs7AdKRkkbC0Hb3RbU7PQBG7w9YgOwKpafFw97ArhFC5P57l2juI/fiu&#10;hEadWZ1I7Ebbhi/r/I3XCbT55FqWzoHYT6jBdUbmGCEblyvLIuXLdHkBI+XZOvj2XDZRZY9kUtIu&#10;ks46fO2T/frH2/wCAAD//wMAUEsDBBQABgAIAAAAIQD1oNn73gAAAAsBAAAPAAAAZHJzL2Rvd25y&#10;ZXYueG1sTI9NT4QwEIbvJv6HZky8uQVE2LCUjdF48WAU1/ts26VkaUtoWfDfO570Nh9P3nmm3q92&#10;YBc9hd47AekmAaad9Kp3nYDD58vdFliI6BQO3mkB3zrAvrm+qrFSfnEf+tLGjlGICxUKMDGOFedB&#10;Gm0xbPyoHe1OfrIYqZ06riZcKNwOPEuSglvsHV0wOOono+W5na2AbJLqebu8y/iKX23O3w7RzGch&#10;bm/Wxx2wqNf4B8OvPqlDQ05HPzsV2CDgIc1TQgXcZwUVRJRFWQA70iQvU+BNzf//0PwAAAD//wMA&#10;UEsBAi0AFAAGAAgAAAAhALaDOJL+AAAA4QEAABMAAAAAAAAAAAAAAAAAAAAAAFtDb250ZW50X1R5&#10;cGVzXS54bWxQSwECLQAUAAYACAAAACEAOP0h/9YAAACUAQAACwAAAAAAAAAAAAAAAAAvAQAAX3Jl&#10;bHMvLnJlbHNQSwECLQAUAAYACAAAACEAByAjjvMBAADAAwAADgAAAAAAAAAAAAAAAAAuAgAAZHJz&#10;L2Uyb0RvYy54bWxQSwECLQAUAAYACAAAACEA9aDZ+94AAAALAQAADwAAAAAAAAAAAAAAAABNBAAA&#10;ZHJzL2Rvd25yZXYueG1sUEsFBgAAAAAEAAQA8wAAAFgFAAAAAA==&#10;" strokecolor="#5b9bd5" strokeweight="2.25pt">
                <v:stroke endarrow="block" joinstyle="miter"/>
                <w10:wrap anchorx="margin"/>
              </v:shape>
            </w:pict>
          </mc:Fallback>
        </mc:AlternateContent>
      </w:r>
      <w:r w:rsidRPr="00392836">
        <w:rPr>
          <w:rFonts w:ascii="Times New Roman" w:eastAsia="Times New Roman" w:hAnsi="Times New Roman"/>
          <w:b/>
          <w:bCs/>
          <w:noProof/>
          <w:sz w:val="27"/>
          <w:szCs w:val="27"/>
          <w:lang w:eastAsia="en-GB"/>
        </w:rPr>
        <mc:AlternateContent>
          <mc:Choice Requires="wps">
            <w:drawing>
              <wp:anchor distT="0" distB="0" distL="114300" distR="114300" simplePos="0" relativeHeight="251665408" behindDoc="0" locked="0" layoutInCell="1" allowOverlap="1" wp14:anchorId="562ED420" wp14:editId="5D8CBAC5">
                <wp:simplePos x="0" y="0"/>
                <wp:positionH relativeFrom="column">
                  <wp:posOffset>3381374</wp:posOffset>
                </wp:positionH>
                <wp:positionV relativeFrom="paragraph">
                  <wp:posOffset>1833244</wp:posOffset>
                </wp:positionV>
                <wp:extent cx="1304925" cy="47625"/>
                <wp:effectExtent l="38100" t="57150" r="9525" b="104775"/>
                <wp:wrapNone/>
                <wp:docPr id="24" name="Straight Arrow Connector 24"/>
                <wp:cNvGraphicFramePr/>
                <a:graphic xmlns:a="http://schemas.openxmlformats.org/drawingml/2006/main">
                  <a:graphicData uri="http://schemas.microsoft.com/office/word/2010/wordprocessingShape">
                    <wps:wsp>
                      <wps:cNvCnPr/>
                      <wps:spPr>
                        <a:xfrm flipH="1">
                          <a:off x="0" y="0"/>
                          <a:ext cx="1304925" cy="47625"/>
                        </a:xfrm>
                        <a:prstGeom prst="straightConnector1">
                          <a:avLst/>
                        </a:prstGeom>
                        <a:noFill/>
                        <a:ln w="28575" cap="flat" cmpd="sng" algn="ctr">
                          <a:solidFill>
                            <a:srgbClr val="FFFF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6E6EAE17" id="Straight Arrow Connector 24" o:spid="_x0000_s1026" type="#_x0000_t32" style="position:absolute;margin-left:266.25pt;margin-top:144.35pt;width:102.75pt;height:3.7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z46wEAALUDAAAOAAAAZHJzL2Uyb0RvYy54bWysU02P0zAQvSPxHyzfadLS3S1R0xVqWTgg&#10;qLTwA6aOnVjyl8amaf89YydUC9wQPlgztufNvJeX7ePFGnaWGLV3LV8uas6kE77Trm/5929Pbzac&#10;xQSuA+OdbPlVRv64e/1qO4ZGrvzgTSeREYiLzRhaPqQUmqqKYpAW4sIH6ehSebSQKMW+6hBGQrem&#10;WtX1fTV67AJ6IWOk08N0yXcFXykp0lelokzMtJxmS2XHsp/yXu220PQIYdBiHgP+YQoL2lHTG9QB&#10;ErAfqP+Cslqgj16lhfC28kppIQsHYrOs/2DzPECQhQuJE8NNpvj/YMWX8xGZ7lq+WnPmwNI3ek4I&#10;uh8Se4/oR7b3zpGOHhk9Ib3GEBsq27sjzlkMR8zkLwotU0aHT2SFIgcRZJei9vWmtrwkJuhw+bZe&#10;v1vdcSbobv1wTyHhVRNMhgsY00fpLctBy+M81m2eqQWcP8c0Ff4qyMXOP2lj6Bwa49hI/DZ3D7kZ&#10;kMuUgUShDcQ7up4zMD3ZVyQsU0dvdJfLc3XE/rQ3yM5AFnqiVRfX0Jy/Pcu9DxCH6V25msxldSKH&#10;G21bvqnzmo4TaPPBdSxdA0meUIPrjZwVMC53lsW/M7us+qRzjk6+uxb5q5yRN4pws4+z+V7mFL/8&#10;23Y/AQAA//8DAFBLAwQUAAYACAAAACEAnRm7GeIAAAALAQAADwAAAGRycy9kb3ducmV2LnhtbEyP&#10;wUrEMBCG74LvEEbw5ia2tNt2my6LICKIYhVhb9lmti02SWnS3e7bO570ODMf/3x/uV3MwE44+d5Z&#10;CfcrAQxt43RvWwmfH493GTAflNVqcBYlXNDDtrq+KlWh3dm+46kOLaMQ6wsloQthLDj3TYdG+ZUb&#10;0dLt6CajAo1Ty/WkzhRuBh4JkXKjeksfOjXiQ4fNdz0bCWL3dklfv46ifX5JfD7nT7zex1Le3iy7&#10;DbCAS/iD4Vef1KEip4ObrfZskJDEUUKohCjL1sCIWMcZtTvQJk8j4FXJ/3eofgAAAP//AwBQSwEC&#10;LQAUAAYACAAAACEAtoM4kv4AAADhAQAAEwAAAAAAAAAAAAAAAAAAAAAAW0NvbnRlbnRfVHlwZXNd&#10;LnhtbFBLAQItABQABgAIAAAAIQA4/SH/1gAAAJQBAAALAAAAAAAAAAAAAAAAAC8BAABfcmVscy8u&#10;cmVsc1BLAQItABQABgAIAAAAIQApThz46wEAALUDAAAOAAAAAAAAAAAAAAAAAC4CAABkcnMvZTJv&#10;RG9jLnhtbFBLAQItABQABgAIAAAAIQCdGbsZ4gAAAAsBAAAPAAAAAAAAAAAAAAAAAEUEAABkcnMv&#10;ZG93bnJldi54bWxQSwUGAAAAAAQABADzAAAAVAUAAAAA&#10;" strokecolor="yellow" strokeweight="2.25pt">
                <v:stroke endarrow="block" joinstyle="miter"/>
              </v:shape>
            </w:pict>
          </mc:Fallback>
        </mc:AlternateContent>
      </w:r>
      <w:r w:rsidRPr="00392836">
        <w:rPr>
          <w:rFonts w:ascii="Times New Roman" w:eastAsia="Times New Roman" w:hAnsi="Times New Roman"/>
          <w:b/>
          <w:bCs/>
          <w:noProof/>
          <w:sz w:val="27"/>
          <w:szCs w:val="27"/>
          <w:lang w:eastAsia="en-GB"/>
        </w:rPr>
        <w:drawing>
          <wp:inline distT="0" distB="0" distL="0" distR="0" wp14:anchorId="7AE60E06" wp14:editId="66B5030C">
            <wp:extent cx="4162425" cy="2343150"/>
            <wp:effectExtent l="0" t="0" r="9525" b="0"/>
            <wp:docPr id="10" name="Picture 10" descr="WP_20160308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_20160308_00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62425" cy="2343150"/>
                    </a:xfrm>
                    <a:prstGeom prst="rect">
                      <a:avLst/>
                    </a:prstGeom>
                    <a:noFill/>
                    <a:ln>
                      <a:noFill/>
                    </a:ln>
                  </pic:spPr>
                </pic:pic>
              </a:graphicData>
            </a:graphic>
          </wp:inline>
        </w:drawing>
      </w:r>
    </w:p>
    <w:p w:rsidR="00430D62" w:rsidRDefault="00430D62" w:rsidP="00D57565">
      <w:pPr>
        <w:pStyle w:val="LegText"/>
        <w:ind w:left="720"/>
        <w:rPr>
          <w:rStyle w:val="Figtext1"/>
        </w:rPr>
      </w:pPr>
      <w:bookmarkStart w:id="126" w:name="_Toc504640571"/>
      <w:r w:rsidRPr="002D56BD">
        <w:rPr>
          <w:rStyle w:val="SubtitleChar"/>
        </w:rPr>
        <w:t>Figure 2.6 Telemetry data for rat blood pressure</w:t>
      </w:r>
      <w:r w:rsidR="002D56BD" w:rsidRPr="002D56BD">
        <w:rPr>
          <w:rStyle w:val="SubtitleChar"/>
        </w:rPr>
        <w:t>.</w:t>
      </w:r>
      <w:bookmarkEnd w:id="126"/>
      <w:r w:rsidR="002D56BD">
        <w:t xml:space="preserve"> </w:t>
      </w:r>
      <w:r w:rsidRPr="004B681A">
        <w:rPr>
          <w:rStyle w:val="Figtext1"/>
        </w:rPr>
        <w:t>The yellow arrow shows the di</w:t>
      </w:r>
      <w:r w:rsidR="0044098B">
        <w:rPr>
          <w:rStyle w:val="Figtext1"/>
        </w:rPr>
        <w:t>astolic blood pressure</w:t>
      </w:r>
      <w:r w:rsidRPr="004B681A">
        <w:rPr>
          <w:rStyle w:val="Figtext1"/>
        </w:rPr>
        <w:t xml:space="preserve"> while the blue arrow shows the systolic blood p</w:t>
      </w:r>
      <w:r w:rsidR="0044098B">
        <w:rPr>
          <w:rStyle w:val="Figtext1"/>
        </w:rPr>
        <w:t>ressure</w:t>
      </w:r>
      <w:r w:rsidRPr="004B681A">
        <w:rPr>
          <w:rStyle w:val="Figtext1"/>
        </w:rPr>
        <w:t xml:space="preserve">.  </w:t>
      </w:r>
    </w:p>
    <w:p w:rsidR="00D57565" w:rsidRPr="00D57565" w:rsidRDefault="00D57565" w:rsidP="00D57565">
      <w:pPr>
        <w:pStyle w:val="LegText"/>
        <w:ind w:left="720"/>
        <w:rPr>
          <w:rFonts w:cs="Arial"/>
        </w:rPr>
      </w:pPr>
    </w:p>
    <w:p w:rsidR="00430D62" w:rsidRPr="00392836" w:rsidRDefault="00430D62" w:rsidP="00F13E9D">
      <w:pPr>
        <w:pStyle w:val="Heading4"/>
        <w:ind w:firstLine="720"/>
        <w:rPr>
          <w:rFonts w:eastAsia="Times New Roman"/>
          <w:lang w:val="en-US"/>
        </w:rPr>
      </w:pPr>
      <w:bookmarkStart w:id="127" w:name="_Toc484448822"/>
      <w:bookmarkStart w:id="128" w:name="_Toc506232334"/>
      <w:r w:rsidRPr="00392836">
        <w:rPr>
          <w:rFonts w:eastAsia="Times New Roman"/>
          <w:lang w:val="en-US"/>
        </w:rPr>
        <w:t>2.</w:t>
      </w:r>
      <w:r>
        <w:rPr>
          <w:rFonts w:eastAsia="Times New Roman"/>
          <w:lang w:val="en-US"/>
        </w:rPr>
        <w:t>3</w:t>
      </w:r>
      <w:r w:rsidRPr="00392836">
        <w:rPr>
          <w:rFonts w:eastAsia="Times New Roman"/>
          <w:lang w:val="en-US"/>
        </w:rPr>
        <w:t>.10 Diabetic Nephropathy</w:t>
      </w:r>
      <w:bookmarkEnd w:id="127"/>
      <w:bookmarkEnd w:id="128"/>
    </w:p>
    <w:p w:rsidR="00430D62" w:rsidRPr="00392836" w:rsidRDefault="00430D62" w:rsidP="00F13E9D">
      <w:pPr>
        <w:ind w:firstLine="720"/>
        <w:rPr>
          <w:lang w:val="en-US"/>
        </w:rPr>
      </w:pPr>
      <w:r w:rsidRPr="00392836">
        <w:rPr>
          <w:lang w:val="en-US"/>
        </w:rPr>
        <w:t xml:space="preserve">This was done in two steps. </w:t>
      </w:r>
    </w:p>
    <w:p w:rsidR="00430D62" w:rsidRPr="00392836" w:rsidRDefault="00430D62" w:rsidP="00F13E9D">
      <w:pPr>
        <w:ind w:firstLine="720"/>
        <w:rPr>
          <w:lang w:val="en-US"/>
        </w:rPr>
      </w:pPr>
      <w:r w:rsidRPr="00392836">
        <w:rPr>
          <w:lang w:val="en-US"/>
        </w:rPr>
        <w:t xml:space="preserve">Step 1 Unilateral Nephrectomy: </w:t>
      </w:r>
    </w:p>
    <w:p w:rsidR="00430D62" w:rsidRPr="00392836" w:rsidRDefault="00430D62" w:rsidP="00F13E9D">
      <w:pPr>
        <w:ind w:firstLine="720"/>
        <w:rPr>
          <w:lang w:val="en-US"/>
        </w:rPr>
      </w:pPr>
      <w:r w:rsidRPr="00392836">
        <w:rPr>
          <w:lang w:val="en-US"/>
        </w:rPr>
        <w:t xml:space="preserve">(http://www.criver.com/files/pdfs/surgery/nephrectomy.aspx)   </w:t>
      </w:r>
    </w:p>
    <w:p w:rsidR="007B5F68" w:rsidRDefault="00430D62" w:rsidP="00F13E9D">
      <w:pPr>
        <w:ind w:left="720"/>
        <w:rPr>
          <w:lang w:val="en-US"/>
        </w:rPr>
      </w:pPr>
      <w:r w:rsidRPr="00392836">
        <w:rPr>
          <w:lang w:val="en-US"/>
        </w:rPr>
        <w:lastRenderedPageBreak/>
        <w:t xml:space="preserve">A 3 cm vertical incision was made from the renal angle downwards using a 23 scalpel blade. The muscle layers were gently parted and the right kidney was exposed and freed from surrounding tissues, the </w:t>
      </w:r>
      <w:r w:rsidRPr="00392836">
        <w:rPr>
          <w:rFonts w:eastAsia="Times New Roman"/>
          <w:lang w:eastAsia="en-GB"/>
        </w:rPr>
        <w:t>adrenal gland was freed and returned back into the abdominal cavity.</w:t>
      </w:r>
      <w:r w:rsidRPr="00392836">
        <w:rPr>
          <w:lang w:val="en-US"/>
        </w:rPr>
        <w:t xml:space="preserve"> The renal vessels were clamped with curved forceps and the renal capsule was shelled off the kidney. A 4.0 silk suture was passed around the renal vessels to tie the renal vessels and ureter. Three knots were made and the kidney was carefully cut and hemostasis was maintained. After checking that there was no active bleeding the vascular stump was returned back into the abdomen. The wound was closed in layers with vicryl sutures and the rat was allowed to recover in the incubator before it was returned back to the cage (</w:t>
      </w:r>
      <w:r w:rsidR="00D42EAE">
        <w:rPr>
          <w:lang w:val="en-US"/>
        </w:rPr>
        <w:t xml:space="preserve">Fig. </w:t>
      </w:r>
      <w:r w:rsidRPr="00392836">
        <w:rPr>
          <w:lang w:val="en-US"/>
        </w:rPr>
        <w:t xml:space="preserve">2.7). </w:t>
      </w:r>
    </w:p>
    <w:p w:rsidR="007B5F68" w:rsidRDefault="007B5F68">
      <w:pPr>
        <w:spacing w:after="160" w:line="259" w:lineRule="auto"/>
        <w:jc w:val="left"/>
        <w:rPr>
          <w:lang w:val="en-US"/>
        </w:rPr>
      </w:pPr>
      <w:r>
        <w:rPr>
          <w:lang w:val="en-US"/>
        </w:rPr>
        <w:br w:type="page"/>
      </w:r>
    </w:p>
    <w:p w:rsidR="00430D62" w:rsidRPr="00392836" w:rsidRDefault="00430D62" w:rsidP="007B5F68">
      <w:pPr>
        <w:spacing w:after="160" w:line="259" w:lineRule="auto"/>
        <w:jc w:val="left"/>
        <w:rPr>
          <w:lang w:val="en-US"/>
        </w:rPr>
      </w:pPr>
      <w:r w:rsidRPr="00392836">
        <w:rPr>
          <w:lang w:val="en-US"/>
        </w:rPr>
        <w:lastRenderedPageBreak/>
        <w:t xml:space="preserve"> </w:t>
      </w:r>
    </w:p>
    <w:p w:rsidR="00430D62" w:rsidRPr="00392836" w:rsidRDefault="00A41685" w:rsidP="007B5F68">
      <w:pPr>
        <w:ind w:left="720"/>
        <w:rPr>
          <w:rFonts w:ascii="Calibri" w:eastAsia="Calibri" w:hAnsi="Calibri"/>
          <w:lang w:val="en-US"/>
        </w:rPr>
      </w:pPr>
      <w:r>
        <w:rPr>
          <w:rFonts w:ascii="Calibri" w:eastAsia="Calibri" w:hAnsi="Calibri" w:cs="Arial"/>
          <w:lang w:val="en-US"/>
        </w:rPr>
        <w:t>A</w:t>
      </w:r>
      <w:r w:rsidR="00430D62" w:rsidRPr="00392836">
        <w:rPr>
          <w:rFonts w:ascii="Calibri" w:eastAsia="Calibri" w:hAnsi="Calibri"/>
          <w:noProof/>
          <w:lang w:eastAsia="en-GB"/>
        </w:rPr>
        <w:drawing>
          <wp:inline distT="0" distB="0" distL="0" distR="0" wp14:anchorId="4942E1C3" wp14:editId="25DBE017">
            <wp:extent cx="1522800" cy="1080000"/>
            <wp:effectExtent l="0" t="0" r="1270" b="6350"/>
            <wp:docPr id="9" name="Picture 9" descr="20150827_15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50827_152921"/>
                    <pic:cNvPicPr>
                      <a:picLocks noChangeAspect="1" noChangeArrowheads="1"/>
                    </pic:cNvPicPr>
                  </pic:nvPicPr>
                  <pic:blipFill>
                    <a:blip r:embed="rId32">
                      <a:extLst>
                        <a:ext uri="{28A0092B-C50C-407E-A947-70E740481C1C}">
                          <a14:useLocalDpi xmlns:a14="http://schemas.microsoft.com/office/drawing/2010/main" val="0"/>
                        </a:ext>
                      </a:extLst>
                    </a:blip>
                    <a:srcRect l="62346" t="40392" r="30864" b="31380"/>
                    <a:stretch>
                      <a:fillRect/>
                    </a:stretch>
                  </pic:blipFill>
                  <pic:spPr bwMode="auto">
                    <a:xfrm>
                      <a:off x="0" y="0"/>
                      <a:ext cx="1522800" cy="1080000"/>
                    </a:xfrm>
                    <a:prstGeom prst="rect">
                      <a:avLst/>
                    </a:prstGeom>
                    <a:noFill/>
                    <a:ln>
                      <a:noFill/>
                    </a:ln>
                  </pic:spPr>
                </pic:pic>
              </a:graphicData>
            </a:graphic>
          </wp:inline>
        </w:drawing>
      </w:r>
      <w:r w:rsidR="00430D62" w:rsidRPr="00392836">
        <w:rPr>
          <w:rFonts w:ascii="Calibri" w:eastAsia="Calibri" w:hAnsi="Calibri"/>
          <w:lang w:val="en-US"/>
        </w:rPr>
        <w:t>B</w:t>
      </w:r>
      <w:r w:rsidR="00430D62" w:rsidRPr="00392836">
        <w:rPr>
          <w:rFonts w:ascii="Calibri" w:eastAsia="Calibri" w:hAnsi="Calibri"/>
          <w:noProof/>
          <w:lang w:eastAsia="en-GB"/>
        </w:rPr>
        <w:drawing>
          <wp:inline distT="0" distB="0" distL="0" distR="0" wp14:anchorId="7F309B8F" wp14:editId="06CCA88D">
            <wp:extent cx="1508400" cy="1080000"/>
            <wp:effectExtent l="0" t="0" r="0" b="6350"/>
            <wp:docPr id="8" name="Picture 8" descr="20150827_15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50827_153140"/>
                    <pic:cNvPicPr>
                      <a:picLocks noChangeAspect="1" noChangeArrowheads="1"/>
                    </pic:cNvPicPr>
                  </pic:nvPicPr>
                  <pic:blipFill>
                    <a:blip r:embed="rId33">
                      <a:extLst>
                        <a:ext uri="{28A0092B-C50C-407E-A947-70E740481C1C}">
                          <a14:useLocalDpi xmlns:a14="http://schemas.microsoft.com/office/drawing/2010/main" val="0"/>
                        </a:ext>
                      </a:extLst>
                    </a:blip>
                    <a:srcRect l="55968" t="28416" r="38545" b="58739"/>
                    <a:stretch>
                      <a:fillRect/>
                    </a:stretch>
                  </pic:blipFill>
                  <pic:spPr bwMode="auto">
                    <a:xfrm>
                      <a:off x="0" y="0"/>
                      <a:ext cx="1508400" cy="1080000"/>
                    </a:xfrm>
                    <a:prstGeom prst="rect">
                      <a:avLst/>
                    </a:prstGeom>
                    <a:noFill/>
                    <a:ln>
                      <a:noFill/>
                    </a:ln>
                  </pic:spPr>
                </pic:pic>
              </a:graphicData>
            </a:graphic>
          </wp:inline>
        </w:drawing>
      </w:r>
      <w:r w:rsidR="007B5F68">
        <w:rPr>
          <w:rFonts w:ascii="Calibri" w:eastAsia="Calibri" w:hAnsi="Calibri"/>
          <w:lang w:val="en-US"/>
        </w:rPr>
        <w:tab/>
      </w:r>
      <w:r w:rsidR="007B5F68">
        <w:rPr>
          <w:rFonts w:ascii="Calibri" w:eastAsia="Calibri" w:hAnsi="Calibri"/>
          <w:lang w:val="en-US"/>
        </w:rPr>
        <w:tab/>
      </w:r>
      <w:r w:rsidR="007B5F68">
        <w:rPr>
          <w:rFonts w:ascii="Calibri" w:eastAsia="Calibri" w:hAnsi="Calibri"/>
          <w:lang w:val="en-US"/>
        </w:rPr>
        <w:tab/>
        <w:t xml:space="preserve">   C</w:t>
      </w:r>
      <w:r w:rsidR="004F5E14">
        <w:rPr>
          <w:noProof/>
          <w:lang w:eastAsia="en-GB"/>
        </w:rPr>
        <w:drawing>
          <wp:inline distT="0" distB="0" distL="0" distR="0" wp14:anchorId="00C29812" wp14:editId="44508F2E">
            <wp:extent cx="1522800" cy="1080000"/>
            <wp:effectExtent l="0" t="0" r="0" b="0"/>
            <wp:docPr id="89" name="image181.jpg" descr="20150827_153426"/>
            <wp:cNvGraphicFramePr/>
            <a:graphic xmlns:a="http://schemas.openxmlformats.org/drawingml/2006/main">
              <a:graphicData uri="http://schemas.openxmlformats.org/drawingml/2006/picture">
                <pic:pic xmlns:pic="http://schemas.openxmlformats.org/drawingml/2006/picture">
                  <pic:nvPicPr>
                    <pic:cNvPr id="0" name="image181.jpg" descr="20150827_153426"/>
                    <pic:cNvPicPr preferRelativeResize="0"/>
                  </pic:nvPicPr>
                  <pic:blipFill>
                    <a:blip r:embed="rId34"/>
                    <a:srcRect l="40164" t="42291" r="42638" b="30604"/>
                    <a:stretch>
                      <a:fillRect/>
                    </a:stretch>
                  </pic:blipFill>
                  <pic:spPr>
                    <a:xfrm>
                      <a:off x="0" y="0"/>
                      <a:ext cx="1522800" cy="1080000"/>
                    </a:xfrm>
                    <a:prstGeom prst="rect">
                      <a:avLst/>
                    </a:prstGeom>
                    <a:ln/>
                  </pic:spPr>
                </pic:pic>
              </a:graphicData>
            </a:graphic>
          </wp:inline>
        </w:drawing>
      </w:r>
      <w:r w:rsidR="00430D62" w:rsidRPr="00392836">
        <w:rPr>
          <w:rFonts w:ascii="Calibri" w:eastAsia="Calibri" w:hAnsi="Calibri"/>
          <w:lang w:val="en-US"/>
        </w:rPr>
        <w:t>D</w:t>
      </w:r>
      <w:r w:rsidR="00430D62" w:rsidRPr="00392836">
        <w:rPr>
          <w:rFonts w:ascii="Calibri" w:eastAsia="Calibri" w:hAnsi="Calibri"/>
          <w:noProof/>
          <w:lang w:eastAsia="en-GB"/>
        </w:rPr>
        <w:drawing>
          <wp:inline distT="0" distB="0" distL="0" distR="0" wp14:anchorId="1C1E3DC1" wp14:editId="4F33D1CE">
            <wp:extent cx="1522800" cy="1080000"/>
            <wp:effectExtent l="0" t="0" r="1270" b="6350"/>
            <wp:docPr id="6" name="Picture 6" descr="20150827_15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50827_153850"/>
                    <pic:cNvPicPr>
                      <a:picLocks noChangeAspect="1" noChangeArrowheads="1"/>
                    </pic:cNvPicPr>
                  </pic:nvPicPr>
                  <pic:blipFill>
                    <a:blip r:embed="rId35" cstate="print">
                      <a:extLst>
                        <a:ext uri="{28A0092B-C50C-407E-A947-70E740481C1C}">
                          <a14:useLocalDpi xmlns:a14="http://schemas.microsoft.com/office/drawing/2010/main" val="0"/>
                        </a:ext>
                      </a:extLst>
                    </a:blip>
                    <a:srcRect l="39114" t="42392" r="44467" b="35480"/>
                    <a:stretch>
                      <a:fillRect/>
                    </a:stretch>
                  </pic:blipFill>
                  <pic:spPr bwMode="auto">
                    <a:xfrm>
                      <a:off x="0" y="0"/>
                      <a:ext cx="1522800" cy="1080000"/>
                    </a:xfrm>
                    <a:prstGeom prst="rect">
                      <a:avLst/>
                    </a:prstGeom>
                    <a:noFill/>
                    <a:ln>
                      <a:noFill/>
                    </a:ln>
                  </pic:spPr>
                </pic:pic>
              </a:graphicData>
            </a:graphic>
          </wp:inline>
        </w:drawing>
      </w:r>
      <w:r w:rsidR="007B5F68">
        <w:rPr>
          <w:rFonts w:ascii="Calibri" w:eastAsia="Calibri" w:hAnsi="Calibri"/>
          <w:lang w:val="en-US"/>
        </w:rPr>
        <w:tab/>
      </w:r>
      <w:r w:rsidR="007B5F68">
        <w:rPr>
          <w:rFonts w:ascii="Calibri" w:eastAsia="Calibri" w:hAnsi="Calibri"/>
          <w:lang w:val="en-US"/>
        </w:rPr>
        <w:tab/>
      </w:r>
      <w:r w:rsidR="007B5F68">
        <w:rPr>
          <w:rFonts w:ascii="Calibri" w:eastAsia="Calibri" w:hAnsi="Calibri"/>
          <w:lang w:val="en-US"/>
        </w:rPr>
        <w:tab/>
        <w:t xml:space="preserve">   E</w:t>
      </w:r>
      <w:r w:rsidR="00430D62" w:rsidRPr="00392836">
        <w:rPr>
          <w:rFonts w:ascii="Calibri" w:eastAsia="Calibri" w:hAnsi="Calibri"/>
          <w:noProof/>
          <w:lang w:eastAsia="en-GB"/>
        </w:rPr>
        <w:drawing>
          <wp:inline distT="0" distB="0" distL="0" distR="0" wp14:anchorId="1204AAA0" wp14:editId="581266FC">
            <wp:extent cx="1522800" cy="1080000"/>
            <wp:effectExtent l="0" t="0" r="1270" b="6350"/>
            <wp:docPr id="5" name="Picture 5" descr="20150827_15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50827_154117"/>
                    <pic:cNvPicPr>
                      <a:picLocks noChangeAspect="1" noChangeArrowheads="1"/>
                    </pic:cNvPicPr>
                  </pic:nvPicPr>
                  <pic:blipFill>
                    <a:blip r:embed="rId36" cstate="print">
                      <a:extLst>
                        <a:ext uri="{28A0092B-C50C-407E-A947-70E740481C1C}">
                          <a14:useLocalDpi xmlns:a14="http://schemas.microsoft.com/office/drawing/2010/main" val="0"/>
                        </a:ext>
                      </a:extLst>
                    </a:blip>
                    <a:srcRect l="32047" t="35173" r="42085" b="31035"/>
                    <a:stretch>
                      <a:fillRect/>
                    </a:stretch>
                  </pic:blipFill>
                  <pic:spPr bwMode="auto">
                    <a:xfrm>
                      <a:off x="0" y="0"/>
                      <a:ext cx="1522800" cy="1080000"/>
                    </a:xfrm>
                    <a:prstGeom prst="rect">
                      <a:avLst/>
                    </a:prstGeom>
                    <a:noFill/>
                    <a:ln>
                      <a:noFill/>
                    </a:ln>
                  </pic:spPr>
                </pic:pic>
              </a:graphicData>
            </a:graphic>
          </wp:inline>
        </w:drawing>
      </w:r>
      <w:r w:rsidR="00430D62" w:rsidRPr="00392836">
        <w:rPr>
          <w:rFonts w:ascii="Calibri" w:eastAsia="Calibri" w:hAnsi="Calibri"/>
          <w:lang w:val="en-US"/>
        </w:rPr>
        <w:t xml:space="preserve"> F</w:t>
      </w:r>
      <w:r w:rsidR="00430D62" w:rsidRPr="00392836">
        <w:rPr>
          <w:rFonts w:ascii="Calibri" w:eastAsia="Calibri" w:hAnsi="Calibri"/>
          <w:noProof/>
          <w:lang w:eastAsia="en-GB"/>
        </w:rPr>
        <w:drawing>
          <wp:inline distT="0" distB="0" distL="0" distR="0" wp14:anchorId="5505A77D" wp14:editId="54F74D5C">
            <wp:extent cx="1522800" cy="1080000"/>
            <wp:effectExtent l="0" t="0" r="1270" b="6350"/>
            <wp:docPr id="4" name="Picture 4" descr="20150827_15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50827_154354"/>
                    <pic:cNvPicPr>
                      <a:picLocks noChangeAspect="1" noChangeArrowheads="1"/>
                    </pic:cNvPicPr>
                  </pic:nvPicPr>
                  <pic:blipFill>
                    <a:blip r:embed="rId37" cstate="print">
                      <a:extLst>
                        <a:ext uri="{28A0092B-C50C-407E-A947-70E740481C1C}">
                          <a14:useLocalDpi xmlns:a14="http://schemas.microsoft.com/office/drawing/2010/main" val="0"/>
                        </a:ext>
                      </a:extLst>
                    </a:blip>
                    <a:srcRect l="39331" t="41917" r="36464" b="28725"/>
                    <a:stretch>
                      <a:fillRect/>
                    </a:stretch>
                  </pic:blipFill>
                  <pic:spPr bwMode="auto">
                    <a:xfrm>
                      <a:off x="0" y="0"/>
                      <a:ext cx="1522800" cy="1080000"/>
                    </a:xfrm>
                    <a:prstGeom prst="rect">
                      <a:avLst/>
                    </a:prstGeom>
                    <a:noFill/>
                    <a:ln>
                      <a:noFill/>
                    </a:ln>
                  </pic:spPr>
                </pic:pic>
              </a:graphicData>
            </a:graphic>
          </wp:inline>
        </w:drawing>
      </w:r>
    </w:p>
    <w:p w:rsidR="00430D62" w:rsidRPr="00392836" w:rsidRDefault="00430D62" w:rsidP="007B5F68">
      <w:pPr>
        <w:ind w:left="720"/>
        <w:rPr>
          <w:rFonts w:ascii="Calibri" w:eastAsia="Calibri" w:hAnsi="Calibri"/>
          <w:noProof/>
          <w:lang w:eastAsia="en-GB"/>
        </w:rPr>
      </w:pPr>
      <w:r w:rsidRPr="00392836">
        <w:rPr>
          <w:rFonts w:ascii="Calibri" w:eastAsia="Calibri" w:hAnsi="Calibri"/>
          <w:lang w:val="en-US"/>
        </w:rPr>
        <w:t>G</w:t>
      </w:r>
      <w:r w:rsidRPr="00392836">
        <w:rPr>
          <w:rFonts w:ascii="Calibri" w:eastAsia="Calibri" w:hAnsi="Calibri"/>
          <w:noProof/>
          <w:lang w:eastAsia="en-GB"/>
        </w:rPr>
        <w:drawing>
          <wp:inline distT="0" distB="0" distL="0" distR="0" wp14:anchorId="2E5FB24B" wp14:editId="2847A1FE">
            <wp:extent cx="1522800" cy="1080000"/>
            <wp:effectExtent l="0" t="0" r="1270" b="6350"/>
            <wp:docPr id="3" name="Picture 3" descr="20150827_15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50827_155948"/>
                    <pic:cNvPicPr>
                      <a:picLocks noChangeAspect="1" noChangeArrowheads="1"/>
                    </pic:cNvPicPr>
                  </pic:nvPicPr>
                  <pic:blipFill>
                    <a:blip r:embed="rId38" cstate="print">
                      <a:extLst>
                        <a:ext uri="{28A0092B-C50C-407E-A947-70E740481C1C}">
                          <a14:useLocalDpi xmlns:a14="http://schemas.microsoft.com/office/drawing/2010/main" val="0"/>
                        </a:ext>
                      </a:extLst>
                    </a:blip>
                    <a:srcRect l="37662" t="44885" r="44786" b="34653"/>
                    <a:stretch>
                      <a:fillRect/>
                    </a:stretch>
                  </pic:blipFill>
                  <pic:spPr bwMode="auto">
                    <a:xfrm>
                      <a:off x="0" y="0"/>
                      <a:ext cx="1522800" cy="1080000"/>
                    </a:xfrm>
                    <a:prstGeom prst="rect">
                      <a:avLst/>
                    </a:prstGeom>
                    <a:noFill/>
                    <a:ln>
                      <a:noFill/>
                    </a:ln>
                  </pic:spPr>
                </pic:pic>
              </a:graphicData>
            </a:graphic>
          </wp:inline>
        </w:drawing>
      </w:r>
      <w:r w:rsidRPr="00392836">
        <w:rPr>
          <w:rFonts w:ascii="Calibri" w:eastAsia="Calibri" w:hAnsi="Calibri"/>
          <w:lang w:val="en-US"/>
        </w:rPr>
        <w:t>H</w:t>
      </w:r>
      <w:r w:rsidRPr="00392836">
        <w:rPr>
          <w:rFonts w:ascii="Calibri" w:eastAsia="Calibri" w:hAnsi="Calibri"/>
          <w:noProof/>
          <w:lang w:eastAsia="en-GB"/>
        </w:rPr>
        <w:drawing>
          <wp:inline distT="0" distB="0" distL="0" distR="0" wp14:anchorId="5F1E5055" wp14:editId="28FCBC86">
            <wp:extent cx="1515600" cy="1080000"/>
            <wp:effectExtent l="0" t="0" r="8890" b="6350"/>
            <wp:docPr id="2" name="Picture 2" descr="20150827_16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0827_160607"/>
                    <pic:cNvPicPr>
                      <a:picLocks noChangeAspect="1" noChangeArrowheads="1"/>
                    </pic:cNvPicPr>
                  </pic:nvPicPr>
                  <pic:blipFill>
                    <a:blip r:embed="rId39" cstate="print">
                      <a:extLst>
                        <a:ext uri="{28A0092B-C50C-407E-A947-70E740481C1C}">
                          <a14:useLocalDpi xmlns:a14="http://schemas.microsoft.com/office/drawing/2010/main" val="0"/>
                        </a:ext>
                      </a:extLst>
                    </a:blip>
                    <a:srcRect l="10986" r="5515" b="7976"/>
                    <a:stretch>
                      <a:fillRect/>
                    </a:stretch>
                  </pic:blipFill>
                  <pic:spPr bwMode="auto">
                    <a:xfrm>
                      <a:off x="0" y="0"/>
                      <a:ext cx="1515600" cy="1080000"/>
                    </a:xfrm>
                    <a:prstGeom prst="rect">
                      <a:avLst/>
                    </a:prstGeom>
                    <a:noFill/>
                    <a:ln>
                      <a:noFill/>
                    </a:ln>
                  </pic:spPr>
                </pic:pic>
              </a:graphicData>
            </a:graphic>
          </wp:inline>
        </w:drawing>
      </w:r>
      <w:r w:rsidR="00A41685">
        <w:rPr>
          <w:rFonts w:ascii="Calibri" w:eastAsia="Calibri" w:hAnsi="Calibri"/>
          <w:noProof/>
          <w:lang w:eastAsia="en-GB"/>
        </w:rPr>
        <w:t xml:space="preserve"> </w:t>
      </w:r>
      <w:r w:rsidR="007B5F68">
        <w:rPr>
          <w:rFonts w:ascii="Calibri" w:eastAsia="Calibri" w:hAnsi="Calibri"/>
          <w:noProof/>
          <w:lang w:eastAsia="en-GB"/>
        </w:rPr>
        <w:t xml:space="preserve">      </w:t>
      </w:r>
      <w:r w:rsidR="007B5F68">
        <w:rPr>
          <w:rFonts w:ascii="Calibri" w:eastAsia="Calibri" w:hAnsi="Calibri"/>
          <w:noProof/>
          <w:lang w:eastAsia="en-GB"/>
        </w:rPr>
        <w:tab/>
      </w:r>
      <w:r w:rsidR="007B5F68">
        <w:rPr>
          <w:rFonts w:ascii="Calibri" w:eastAsia="Calibri" w:hAnsi="Calibri"/>
          <w:noProof/>
          <w:lang w:eastAsia="en-GB"/>
        </w:rPr>
        <w:tab/>
      </w:r>
      <w:r w:rsidR="007B5F68">
        <w:rPr>
          <w:rFonts w:ascii="Calibri" w:eastAsia="Calibri" w:hAnsi="Calibri"/>
          <w:noProof/>
          <w:lang w:eastAsia="en-GB"/>
        </w:rPr>
        <w:tab/>
        <w:t xml:space="preserve">     </w:t>
      </w:r>
      <w:r w:rsidR="007A6CFB">
        <w:rPr>
          <w:rFonts w:ascii="Calibri" w:eastAsia="Calibri" w:hAnsi="Calibri"/>
          <w:noProof/>
          <w:lang w:eastAsia="en-GB"/>
        </w:rPr>
        <w:t xml:space="preserve">                                                 </w:t>
      </w:r>
      <w:r w:rsidRPr="00392836">
        <w:rPr>
          <w:rFonts w:ascii="Calibri" w:eastAsia="Calibri" w:hAnsi="Calibri"/>
          <w:noProof/>
          <w:lang w:eastAsia="en-GB"/>
        </w:rPr>
        <w:t>I</w:t>
      </w:r>
      <w:r w:rsidRPr="0039283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392836">
        <w:rPr>
          <w:rFonts w:ascii="Calibri" w:eastAsia="Calibri" w:hAnsi="Calibri"/>
          <w:noProof/>
          <w:lang w:eastAsia="en-GB"/>
        </w:rPr>
        <w:drawing>
          <wp:inline distT="0" distB="0" distL="0" distR="0" wp14:anchorId="02D92CE3" wp14:editId="609BA986">
            <wp:extent cx="1544400" cy="1080000"/>
            <wp:effectExtent l="0" t="0" r="0" b="6350"/>
            <wp:docPr id="1" name="Picture 1" descr="WP_20160311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P_20160311_019"/>
                    <pic:cNvPicPr>
                      <a:picLocks noChangeAspect="1" noChangeArrowheads="1"/>
                    </pic:cNvPicPr>
                  </pic:nvPicPr>
                  <pic:blipFill>
                    <a:blip r:embed="rId40" cstate="print">
                      <a:extLst>
                        <a:ext uri="{28A0092B-C50C-407E-A947-70E740481C1C}">
                          <a14:useLocalDpi xmlns:a14="http://schemas.microsoft.com/office/drawing/2010/main" val="0"/>
                        </a:ext>
                      </a:extLst>
                    </a:blip>
                    <a:srcRect l="488" t="28973"/>
                    <a:stretch>
                      <a:fillRect/>
                    </a:stretch>
                  </pic:blipFill>
                  <pic:spPr bwMode="auto">
                    <a:xfrm>
                      <a:off x="0" y="0"/>
                      <a:ext cx="1544400" cy="1080000"/>
                    </a:xfrm>
                    <a:prstGeom prst="rect">
                      <a:avLst/>
                    </a:prstGeom>
                    <a:noFill/>
                    <a:ln>
                      <a:noFill/>
                    </a:ln>
                  </pic:spPr>
                </pic:pic>
              </a:graphicData>
            </a:graphic>
          </wp:inline>
        </w:drawing>
      </w:r>
      <w:r w:rsidR="007A6CFB" w:rsidRPr="007A6CFB">
        <w:rPr>
          <w:noProof/>
          <w:lang w:eastAsia="en-GB"/>
        </w:rPr>
        <w:t xml:space="preserve"> </w:t>
      </w:r>
      <w:r w:rsidR="007A6CFB">
        <w:rPr>
          <w:noProof/>
          <w:lang w:eastAsia="en-GB"/>
        </w:rPr>
        <w:t>J</w:t>
      </w:r>
      <w:r w:rsidR="007A6CFB">
        <w:rPr>
          <w:noProof/>
          <w:lang w:eastAsia="en-GB"/>
        </w:rPr>
        <w:drawing>
          <wp:inline distT="0" distB="0" distL="0" distR="0" wp14:anchorId="16EBD795" wp14:editId="32C7C7BC">
            <wp:extent cx="1515600" cy="1080000"/>
            <wp:effectExtent l="0" t="0" r="8890" b="6350"/>
            <wp:docPr id="361" name="Picture 361" descr="C:\Users\UOS\Desktop\IMAG2362.jpg"/>
            <wp:cNvGraphicFramePr/>
            <a:graphic xmlns:a="http://schemas.openxmlformats.org/drawingml/2006/main">
              <a:graphicData uri="http://schemas.openxmlformats.org/drawingml/2006/picture">
                <pic:pic xmlns:pic="http://schemas.openxmlformats.org/drawingml/2006/picture">
                  <pic:nvPicPr>
                    <pic:cNvPr id="1" name="Picture 1" descr="C:\Users\UOS\Desktop\IMAG2362.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5600" cy="1080000"/>
                    </a:xfrm>
                    <a:prstGeom prst="rect">
                      <a:avLst/>
                    </a:prstGeom>
                    <a:noFill/>
                    <a:ln>
                      <a:noFill/>
                    </a:ln>
                  </pic:spPr>
                </pic:pic>
              </a:graphicData>
            </a:graphic>
          </wp:inline>
        </w:drawing>
      </w:r>
    </w:p>
    <w:p w:rsidR="00430D62" w:rsidRDefault="00430D62" w:rsidP="00F62EC7">
      <w:pPr>
        <w:pStyle w:val="LegText"/>
        <w:ind w:left="720"/>
        <w:rPr>
          <w:rFonts w:eastAsia="Calibri"/>
          <w:lang w:val="en-US"/>
        </w:rPr>
      </w:pPr>
      <w:bookmarkStart w:id="129" w:name="_Toc504640572"/>
      <w:r w:rsidRPr="002D56BD">
        <w:rPr>
          <w:rStyle w:val="SubtitleChar"/>
        </w:rPr>
        <w:t>Figure 2.7 Unilateral nephrectomy</w:t>
      </w:r>
      <w:r w:rsidR="002D56BD" w:rsidRPr="002D56BD">
        <w:rPr>
          <w:rStyle w:val="SubtitleChar"/>
        </w:rPr>
        <w:t>.</w:t>
      </w:r>
      <w:bookmarkEnd w:id="129"/>
      <w:r w:rsidR="002D56BD">
        <w:rPr>
          <w:rFonts w:eastAsia="Calibri"/>
          <w:lang w:val="en-US"/>
        </w:rPr>
        <w:t xml:space="preserve"> </w:t>
      </w:r>
      <w:r w:rsidRPr="00392836">
        <w:rPr>
          <w:rFonts w:eastAsia="Calibri"/>
        </w:rPr>
        <w:t xml:space="preserve">A) The fur was shaved off the area to be operated, B) the area to be operated was disinfected with antiseptic (povidone iodine), C) </w:t>
      </w:r>
      <w:r w:rsidRPr="00392836">
        <w:rPr>
          <w:rFonts w:eastAsia="Calibri"/>
          <w:lang w:val="en-US"/>
        </w:rPr>
        <w:t>a vertical incision was made from the renal angle downwards</w:t>
      </w:r>
      <w:r w:rsidRPr="00392836">
        <w:rPr>
          <w:rFonts w:eastAsia="Calibri"/>
        </w:rPr>
        <w:t xml:space="preserve">, D) the kidney was delivered through the surgical incision, E) the renal vessels were tied with </w:t>
      </w:r>
      <w:r w:rsidRPr="00392836">
        <w:rPr>
          <w:rFonts w:eastAsia="Calibri"/>
          <w:lang w:val="en-US"/>
        </w:rPr>
        <w:t>4.0 silk suture to secure hemostasis, F) the kidney was excised and the renal stump returned back into the abdominal cavity,</w:t>
      </w:r>
      <w:r w:rsidR="007B5F68">
        <w:rPr>
          <w:rFonts w:eastAsia="Calibri"/>
          <w:lang w:val="en-US"/>
        </w:rPr>
        <w:t xml:space="preserve"> G) the wound edges were putt</w:t>
      </w:r>
      <w:r w:rsidRPr="00392836">
        <w:rPr>
          <w:rFonts w:eastAsia="Calibri"/>
          <w:lang w:val="en-US"/>
        </w:rPr>
        <w:t xml:space="preserve"> together with interrupted sutures, H) rats recovering post-ope</w:t>
      </w:r>
      <w:r w:rsidR="0044098B">
        <w:rPr>
          <w:rFonts w:eastAsia="Calibri"/>
          <w:lang w:val="en-US"/>
        </w:rPr>
        <w:t>ratively, I) excised kidney being</w:t>
      </w:r>
      <w:r w:rsidR="007A6CFB">
        <w:rPr>
          <w:rFonts w:eastAsia="Calibri"/>
          <w:lang w:val="en-US"/>
        </w:rPr>
        <w:t xml:space="preserve"> measured, J)</w:t>
      </w:r>
      <w:r w:rsidRPr="00392836">
        <w:rPr>
          <w:rFonts w:eastAsia="Calibri"/>
          <w:lang w:val="en-US"/>
        </w:rPr>
        <w:t xml:space="preserve"> </w:t>
      </w:r>
      <w:r w:rsidR="007A6CFB">
        <w:rPr>
          <w:rFonts w:eastAsia="Calibri"/>
          <w:lang w:val="en-US"/>
        </w:rPr>
        <w:t>post op wound.</w:t>
      </w:r>
    </w:p>
    <w:p w:rsidR="00DC76E3" w:rsidRDefault="00DC76E3">
      <w:pPr>
        <w:spacing w:after="160" w:line="259" w:lineRule="auto"/>
        <w:jc w:val="left"/>
        <w:rPr>
          <w:rFonts w:ascii="Calibri" w:eastAsia="Calibri" w:hAnsi="Calibri" w:cs="Arial"/>
          <w:b/>
          <w:color w:val="000000"/>
          <w:sz w:val="22"/>
          <w:szCs w:val="22"/>
          <w:lang w:val="en-US" w:eastAsia="en-GB"/>
        </w:rPr>
      </w:pPr>
      <w:r>
        <w:rPr>
          <w:rFonts w:ascii="Calibri" w:eastAsia="Calibri" w:hAnsi="Calibri" w:cs="Arial"/>
          <w:b/>
          <w:lang w:val="en-US"/>
        </w:rPr>
        <w:br w:type="page"/>
      </w:r>
    </w:p>
    <w:p w:rsidR="002D56BD" w:rsidRPr="00392836" w:rsidRDefault="002D56BD" w:rsidP="002D56BD">
      <w:pPr>
        <w:pStyle w:val="LegText"/>
        <w:rPr>
          <w:rFonts w:ascii="Calibri" w:eastAsia="Calibri" w:hAnsi="Calibri" w:cs="Arial"/>
          <w:b/>
          <w:lang w:val="en-US"/>
        </w:rPr>
      </w:pPr>
    </w:p>
    <w:p w:rsidR="00430D62" w:rsidRPr="00392836" w:rsidRDefault="00430D62" w:rsidP="00F13E9D">
      <w:pPr>
        <w:ind w:left="720"/>
        <w:rPr>
          <w:lang w:val="en-US"/>
        </w:rPr>
      </w:pPr>
      <w:r w:rsidRPr="00392836">
        <w:rPr>
          <w:b/>
          <w:lang w:val="en-US"/>
        </w:rPr>
        <w:t>Step 2 Induction of type 1 diabetes:</w:t>
      </w:r>
      <w:r w:rsidRPr="00392836">
        <w:rPr>
          <w:lang w:val="en-US"/>
        </w:rPr>
        <w:t xml:space="preserve"> The wound was allowed to heal, after which type 1 diabetes was induced with two doses of streptozotocin given for two consecutive days at IV 40 mg/kg streptozotocin </w:t>
      </w:r>
      <w:r w:rsidRPr="00392836">
        <w:rPr>
          <w:lang w:val="en-US"/>
        </w:rPr>
        <w:fldChar w:fldCharType="begin"/>
      </w:r>
      <w:r w:rsidRPr="00392836">
        <w:rPr>
          <w:lang w:val="en-US"/>
        </w:rPr>
        <w:instrText xml:space="preserve"> ADDIN EN.CITE &lt;EndNote&gt;&lt;Cite&gt;&lt;Author&gt;O&amp;apos;Brien&lt;/Author&gt;&lt;Year&gt;1996&lt;/Year&gt;&lt;IDText&gt;Beta-cell apoptosis is responsible for the development of IDDM in the multiple low-dose streptozotocin model&lt;/IDText&gt;&lt;DisplayText&gt;(O&amp;apos;Brien et al., 1996)&lt;/DisplayText&gt;&lt;record&gt;&lt;dates&gt;&lt;pub-dates&gt;&lt;date&gt;Feb&lt;/date&gt;&lt;/pub-dates&gt;&lt;year&gt;1996&lt;/year&gt;&lt;/dates&gt;&lt;keywords&gt;&lt;keyword&gt;Animals&lt;/keyword&gt;&lt;keyword&gt;*Apoptosis&lt;/keyword&gt;&lt;keyword&gt;Blood Glucose/metabolism&lt;/keyword&gt;&lt;keyword&gt;Diabetes Mellitus, Experimental/metabolism/*pathology&lt;/keyword&gt;&lt;keyword&gt;Diabetes Mellitus, Type 1/metabolism/*pathology&lt;/keyword&gt;&lt;keyword&gt;Disease Models, Animal&lt;/keyword&gt;&lt;keyword&gt;Immunoenzyme Techniques&lt;/keyword&gt;&lt;keyword&gt;Insulin/metabolism&lt;/keyword&gt;&lt;keyword&gt;Islets of Langerhans/*pathology&lt;/keyword&gt;&lt;keyword&gt;Male&lt;/keyword&gt;&lt;keyword&gt;Mice&lt;/keyword&gt;&lt;keyword&gt;Mice, Inbred C57BL&lt;/keyword&gt;&lt;keyword&gt;Streptozocin&lt;/keyword&gt;&lt;/keywords&gt;&lt;isbn&gt;0022-3417 (Print)&amp;#xD;0022-3417&lt;/isbn&gt;&lt;titles&gt;&lt;title&gt;Beta-cell apoptosis is responsible for the development of IDDM in the multiple low-dose streptozotocin model&lt;/title&gt;&lt;secondary-title&gt;J Pathol&lt;/secondary-title&gt;&lt;alt-title&gt;The Journal of pathology&lt;/alt-title&gt;&lt;/titles&gt;&lt;pages&gt;176-81&lt;/pages&gt;&lt;number&gt;2&lt;/number&gt;&lt;contributors&gt;&lt;authors&gt;&lt;author&gt;O&amp;apos;Brien, B. A.&lt;/author&gt;&lt;author&gt;Harmon, B. V.&lt;/author&gt;&lt;author&gt;Cameron, D. P.&lt;/author&gt;&lt;author&gt;Allan, D. J.&lt;/author&gt;&lt;/authors&gt;&lt;/contributors&gt;&lt;edition&gt;1996/02/01&lt;/edition&gt;&lt;language&gt;Eng&lt;/language&gt;&lt;added-date format="utc"&gt;1478782453&lt;/added-date&gt;&lt;ref-type name="Journal Article"&gt;17&lt;/ref-type&gt;&lt;auth-address&gt;School of Life Science, Queensland University of Technology, Brisbane, Australia.&lt;/auth-address&gt;&lt;remote-database-provider&gt;NLM&lt;/remote-database-provider&gt;&lt;rec-number&gt;1571&lt;/rec-number&gt;&lt;last-updated-date format="utc"&gt;1478782453&lt;/last-updated-date&gt;&lt;accession-num&gt;8683386&lt;/accession-num&gt;&lt;electronic-resource-num&gt;10.1002/(sici)1096-9896(199602)178:2&amp;lt;176::aid-path433&amp;gt;3.0.co;2-8&lt;/electronic-resource-num&gt;&lt;volume&gt;178&lt;/volume&gt;&lt;/record&gt;&lt;/Cite&gt;&lt;/EndNote&gt;</w:instrText>
      </w:r>
      <w:r w:rsidRPr="00392836">
        <w:rPr>
          <w:lang w:val="en-US"/>
        </w:rPr>
        <w:fldChar w:fldCharType="separate"/>
      </w:r>
      <w:r w:rsidRPr="00392836">
        <w:rPr>
          <w:noProof/>
          <w:lang w:val="en-US"/>
        </w:rPr>
        <w:t>(O'Brien et al., 1996)</w:t>
      </w:r>
      <w:r w:rsidRPr="00392836">
        <w:rPr>
          <w:lang w:val="en-US"/>
        </w:rPr>
        <w:fldChar w:fldCharType="end"/>
      </w:r>
      <w:r w:rsidRPr="00392836">
        <w:rPr>
          <w:lang w:val="en-US"/>
        </w:rPr>
        <w:t xml:space="preserve">. The rats were weighed, and 40 mg/kg of streptozotocin was weighed into a minifuge tube and covered with foil paper. The weighed streptozotocin was mixed with 1ml of 0.9% normal saline and this was introduced into the venous system through the rat tail vein </w:t>
      </w:r>
      <w:r w:rsidRPr="00392836">
        <w:rPr>
          <w:lang w:val="en-US"/>
        </w:rPr>
        <w:fldChar w:fldCharType="begin"/>
      </w:r>
      <w:r w:rsidRPr="00392836">
        <w:rPr>
          <w:lang w:val="en-US"/>
        </w:rPr>
        <w:instrText xml:space="preserve"> ADDIN EN.CITE &lt;EndNote&gt;&lt;Cite&gt;&lt;Author&gt;A.&lt;/Author&gt;&lt;IDText&gt;Induction of diabetes by Streptozotocin in rats&lt;/IDText&gt;&lt;DisplayText&gt;(Akbarzadeh et al.)&lt;/DisplayText&gt;&lt;record&gt;&lt;isbn&gt;0970-1915&lt;/isbn&gt;&lt;titles&gt;&lt;title&gt;Induction of diabetes by Streptozotocin in rats&lt;/title&gt;&lt;secondary-title&gt;Indian journal of clinical biochemistry&lt;/secondary-title&gt;&lt;/titles&gt;&lt;contributors&gt;&lt;authors&gt;&lt;author&gt;A. Akbarzadeh&lt;/author&gt;&lt;author&gt;Akbarzadeh, A.&lt;/author&gt;&lt;author&gt;Norouzian, D.&lt;/author&gt;&lt;author&gt;Mehrabi, M. R.&lt;/author&gt;&lt;author&gt;Jamshidi, Sh&lt;/author&gt;&lt;author&gt;Farhangi, A.&lt;/author&gt;&lt;author&gt;Verdi, A. A.&lt;/author&gt;&lt;author&gt;Mofidian, S. M.&lt;/author&gt;&lt;author&gt;Rad, B. L.&lt;/author&gt;&lt;/authors&gt;&lt;/contributors&gt;&lt;added-date format="utc"&gt;1404227491&lt;/added-date&gt;&lt;ref-type name="Journal Article"&gt;17&lt;/ref-type&gt;&lt;rec-number&gt;152&lt;/rec-number&gt;&lt;last-updated-date format="utc"&gt;1404227872&lt;/last-updated-date&gt;&lt;electronic-resource-num&gt;10.1007/BF02913315&lt;/electronic-resource-num&gt;&lt;/record&gt;&lt;/Cite&gt;&lt;/EndNote&gt;</w:instrText>
      </w:r>
      <w:r w:rsidRPr="00392836">
        <w:rPr>
          <w:lang w:val="en-US"/>
        </w:rPr>
        <w:fldChar w:fldCharType="separate"/>
      </w:r>
      <w:r w:rsidRPr="00392836">
        <w:rPr>
          <w:noProof/>
          <w:lang w:val="en-US"/>
        </w:rPr>
        <w:t>(Akbarzadeh et al.</w:t>
      </w:r>
      <w:r w:rsidR="00D8432C">
        <w:rPr>
          <w:noProof/>
          <w:lang w:val="en-US"/>
        </w:rPr>
        <w:t>, 2007</w:t>
      </w:r>
      <w:r w:rsidRPr="00392836">
        <w:rPr>
          <w:noProof/>
          <w:lang w:val="en-US"/>
        </w:rPr>
        <w:t>)</w:t>
      </w:r>
      <w:r w:rsidRPr="00392836">
        <w:rPr>
          <w:lang w:val="en-US"/>
        </w:rPr>
        <w:fldChar w:fldCharType="end"/>
      </w:r>
      <w:r w:rsidRPr="00392836">
        <w:rPr>
          <w:lang w:val="en-US"/>
        </w:rPr>
        <w:t>. The rat was monitored for 20 mins for adverse effects before being returned to the cage. Dextrose (5%</w:t>
      </w:r>
      <w:r w:rsidR="00631C03">
        <w:rPr>
          <w:lang w:val="en-US"/>
        </w:rPr>
        <w:t xml:space="preserve"> </w:t>
      </w:r>
      <w:r w:rsidRPr="00392836">
        <w:rPr>
          <w:lang w:val="en-US"/>
        </w:rPr>
        <w:t xml:space="preserve">w/v) in water was made available in the cage to avoid hypoglycemia. </w:t>
      </w:r>
    </w:p>
    <w:p w:rsidR="00430D62" w:rsidRPr="00392836" w:rsidRDefault="00430D62" w:rsidP="00F13E9D">
      <w:pPr>
        <w:pStyle w:val="Heading4"/>
        <w:ind w:firstLine="720"/>
        <w:rPr>
          <w:rFonts w:eastAsia="Times New Roman"/>
          <w:lang w:val="en-US"/>
        </w:rPr>
      </w:pPr>
      <w:bookmarkStart w:id="130" w:name="_Toc484448823"/>
      <w:bookmarkStart w:id="131" w:name="_Toc506232335"/>
      <w:r w:rsidRPr="00392836">
        <w:rPr>
          <w:rFonts w:eastAsia="Times New Roman"/>
          <w:lang w:val="en-US"/>
        </w:rPr>
        <w:t>2.</w:t>
      </w:r>
      <w:r>
        <w:rPr>
          <w:rFonts w:eastAsia="Times New Roman"/>
          <w:lang w:val="en-US"/>
        </w:rPr>
        <w:t>3</w:t>
      </w:r>
      <w:r w:rsidRPr="00392836">
        <w:rPr>
          <w:rFonts w:eastAsia="Times New Roman"/>
          <w:lang w:val="en-US"/>
        </w:rPr>
        <w:t>.11 Kidney samples</w:t>
      </w:r>
      <w:bookmarkEnd w:id="130"/>
      <w:bookmarkEnd w:id="131"/>
    </w:p>
    <w:p w:rsidR="00430D62" w:rsidRPr="00392836" w:rsidRDefault="00430D62" w:rsidP="00F13E9D">
      <w:pPr>
        <w:ind w:left="720"/>
        <w:rPr>
          <w:lang w:val="en-US"/>
        </w:rPr>
      </w:pPr>
      <w:r w:rsidRPr="00392836">
        <w:rPr>
          <w:lang w:val="en-US"/>
        </w:rPr>
        <w:t>Nephrectomy was perfo</w:t>
      </w:r>
      <w:r w:rsidR="002679EA">
        <w:rPr>
          <w:lang w:val="en-US"/>
        </w:rPr>
        <w:t>rmed as described in section 2.3</w:t>
      </w:r>
      <w:r w:rsidRPr="00392836">
        <w:rPr>
          <w:lang w:val="en-US"/>
        </w:rPr>
        <w:t>.10. The right kidney was removed at the beginning of the study while the left kidney was removed at the end of the study. The kidneys were weighed without the renal capsule (</w:t>
      </w:r>
      <w:r w:rsidR="00D42EAE">
        <w:rPr>
          <w:lang w:val="en-US"/>
        </w:rPr>
        <w:t xml:space="preserve">Fig. </w:t>
      </w:r>
      <w:r w:rsidRPr="00392836">
        <w:rPr>
          <w:lang w:val="en-US"/>
        </w:rPr>
        <w:t>2.7I). Each kidney was cut along its longitudinal plane from the upper pole to the lower pole after which each half was cut transversely to obtain four pieces. One piece was put in 10% formalin, a second piece was put in RNA Later (Thermo Fisher Scientific) for 24 hours and then stored in – 80°C. The third piece was put in liquid N</w:t>
      </w:r>
      <w:r w:rsidRPr="00392836">
        <w:rPr>
          <w:vertAlign w:val="subscript"/>
          <w:lang w:val="en-US"/>
        </w:rPr>
        <w:t>2</w:t>
      </w:r>
      <w:r w:rsidRPr="00392836">
        <w:rPr>
          <w:lang w:val="en-US"/>
        </w:rPr>
        <w:t xml:space="preserve"> and later stored in -80°C while the fourth piece was put in</w:t>
      </w:r>
      <w:r w:rsidRPr="00392836">
        <w:rPr>
          <w:b/>
          <w:bCs/>
          <w:kern w:val="36"/>
          <w:lang w:val="en-US"/>
        </w:rPr>
        <w:t xml:space="preserve"> </w:t>
      </w:r>
      <w:r w:rsidRPr="00392836">
        <w:rPr>
          <w:lang w:val="en-US"/>
        </w:rPr>
        <w:t>Optimal Cutting Temperat</w:t>
      </w:r>
      <w:r w:rsidR="00352BBA">
        <w:rPr>
          <w:lang w:val="en-US"/>
        </w:rPr>
        <w:t>ure compound</w:t>
      </w:r>
      <w:r w:rsidRPr="00392836">
        <w:rPr>
          <w:lang w:val="en-US"/>
        </w:rPr>
        <w:t xml:space="preserve">.   </w:t>
      </w:r>
      <w:bookmarkStart w:id="132" w:name="_Toc419657277"/>
      <w:bookmarkStart w:id="133" w:name="_Toc419657349"/>
      <w:bookmarkStart w:id="134" w:name="_Toc419659354"/>
      <w:bookmarkStart w:id="135" w:name="_Toc419852049"/>
    </w:p>
    <w:p w:rsidR="00430D62" w:rsidRPr="00392836" w:rsidRDefault="00430D62" w:rsidP="00F13E9D">
      <w:pPr>
        <w:pStyle w:val="Heading4"/>
        <w:ind w:firstLine="720"/>
        <w:rPr>
          <w:rFonts w:eastAsia="Times New Roman"/>
          <w:lang w:val="en-US"/>
        </w:rPr>
      </w:pPr>
      <w:bookmarkStart w:id="136" w:name="_Toc484448824"/>
      <w:bookmarkStart w:id="137" w:name="_Toc506232336"/>
      <w:bookmarkEnd w:id="132"/>
      <w:bookmarkEnd w:id="133"/>
      <w:bookmarkEnd w:id="134"/>
      <w:bookmarkEnd w:id="135"/>
      <w:r w:rsidRPr="00392836">
        <w:rPr>
          <w:rFonts w:eastAsia="Times New Roman"/>
          <w:lang w:val="en-US"/>
        </w:rPr>
        <w:t>2.</w:t>
      </w:r>
      <w:r>
        <w:rPr>
          <w:rFonts w:eastAsia="Times New Roman"/>
          <w:lang w:val="en-US"/>
        </w:rPr>
        <w:t>3</w:t>
      </w:r>
      <w:r w:rsidRPr="00392836">
        <w:rPr>
          <w:rFonts w:eastAsia="Times New Roman"/>
          <w:lang w:val="en-US"/>
        </w:rPr>
        <w:t>.12 Weight monitoring</w:t>
      </w:r>
      <w:bookmarkEnd w:id="136"/>
      <w:bookmarkEnd w:id="137"/>
    </w:p>
    <w:p w:rsidR="00430D62" w:rsidRPr="00392836" w:rsidRDefault="00430D62" w:rsidP="00F13E9D">
      <w:pPr>
        <w:ind w:left="720"/>
        <w:rPr>
          <w:lang w:val="en-US"/>
        </w:rPr>
      </w:pPr>
      <w:r w:rsidRPr="00392836">
        <w:rPr>
          <w:lang w:val="en-US"/>
        </w:rPr>
        <w:t xml:space="preserve">Monthly weight measurement was done using a weighing scale. All the rats were weighed on the same day using a weighing scale. The weighing beaker was placed on the scale after which the scale was set to zero and the rat was placed in the weighing beaker and the reading recorded. </w:t>
      </w:r>
    </w:p>
    <w:p w:rsidR="00430D62" w:rsidRPr="00392836" w:rsidRDefault="00430D62" w:rsidP="00F13E9D">
      <w:pPr>
        <w:pStyle w:val="Heading3"/>
        <w:ind w:firstLine="720"/>
        <w:rPr>
          <w:lang w:val="en-US"/>
        </w:rPr>
      </w:pPr>
      <w:bookmarkStart w:id="138" w:name="_Toc484448825"/>
      <w:bookmarkStart w:id="139" w:name="_Toc506232337"/>
      <w:r w:rsidRPr="00392836">
        <w:rPr>
          <w:lang w:val="en-US"/>
        </w:rPr>
        <w:t>2.</w:t>
      </w:r>
      <w:r>
        <w:rPr>
          <w:lang w:val="en-US"/>
        </w:rPr>
        <w:t>4</w:t>
      </w:r>
      <w:r w:rsidRPr="00392836">
        <w:rPr>
          <w:lang w:val="en-US"/>
        </w:rPr>
        <w:t xml:space="preserve"> Evaluation of renal function</w:t>
      </w:r>
      <w:bookmarkEnd w:id="138"/>
      <w:bookmarkEnd w:id="139"/>
    </w:p>
    <w:p w:rsidR="00430D62" w:rsidRPr="00392836" w:rsidRDefault="00430D62" w:rsidP="00F13E9D">
      <w:pPr>
        <w:ind w:left="720"/>
        <w:rPr>
          <w:lang w:val="en-US"/>
        </w:rPr>
      </w:pPr>
      <w:r w:rsidRPr="00392836">
        <w:rPr>
          <w:lang w:eastAsia="en-GB"/>
        </w:rPr>
        <w:t xml:space="preserve">There is an increase in reported cases of renal pathology </w:t>
      </w:r>
      <w:r w:rsidRPr="00392836">
        <w:rPr>
          <w:lang w:eastAsia="en-GB"/>
        </w:rPr>
        <w:fldChar w:fldCharType="begin"/>
      </w:r>
      <w:r w:rsidRPr="00392836">
        <w:rPr>
          <w:lang w:eastAsia="en-GB"/>
        </w:rPr>
        <w:instrText xml:space="preserve"> ADDIN EN.CITE &lt;EndNote&gt;&lt;Cite&gt;&lt;Author&gt;Coresh&lt;/Author&gt;&lt;Year&gt;2007&lt;/Year&gt;&lt;IDText&gt;Prevalence of chronic kidney disease in the united states&lt;/IDText&gt;&lt;DisplayText&gt;(Coresh et al., 2007)&lt;/DisplayText&gt;&lt;record&gt;&lt;urls&gt;&lt;related-urls&gt;&lt;url&gt;http://dx.doi.org/10.1001/jama.298.17.2038&lt;/url&gt;&lt;/related-urls&gt;&lt;/urls&gt;&lt;isbn&gt;0098-7484&lt;/isbn&gt;&lt;titles&gt;&lt;title&gt;Prevalence of chronic kidney disease in the united states&lt;/title&gt;&lt;secondary-title&gt;JAMA&lt;/secondary-title&gt;&lt;/titles&gt;&lt;pages&gt;2038-2047&lt;/pages&gt;&lt;number&gt;17&lt;/number&gt;&lt;contributors&gt;&lt;authors&gt;&lt;author&gt;Coresh, J.&lt;/author&gt;&lt;author&gt;Selvin, E.&lt;/author&gt;&lt;author&gt;Stevens, L. A.&lt;/author&gt;&lt;author&gt;et al.,&lt;/author&gt;&lt;/authors&gt;&lt;/contributors&gt;&lt;added-date format="utc"&gt;1494352354&lt;/added-date&gt;&lt;ref-type name="Journal Article"&gt;17&lt;/ref-type&gt;&lt;dates&gt;&lt;year&gt;2007&lt;/year&gt;&lt;/dates&gt;&lt;rec-number&gt;1687&lt;/rec-number&gt;&lt;last-updated-date format="utc"&gt;1494352354&lt;/last-updated-date&gt;&lt;electronic-resource-num&gt;10.1001/jama.298.17.2038&lt;/electronic-resource-num&gt;&lt;volume&gt;298&lt;/volume&gt;&lt;/record&gt;&lt;/Cite&gt;&lt;/EndNote&gt;</w:instrText>
      </w:r>
      <w:r w:rsidRPr="00392836">
        <w:rPr>
          <w:lang w:eastAsia="en-GB"/>
        </w:rPr>
        <w:fldChar w:fldCharType="separate"/>
      </w:r>
      <w:r w:rsidRPr="00392836">
        <w:rPr>
          <w:noProof/>
          <w:lang w:eastAsia="en-GB"/>
        </w:rPr>
        <w:t>(Coresh et al., 2007)</w:t>
      </w:r>
      <w:r w:rsidRPr="00392836">
        <w:rPr>
          <w:lang w:eastAsia="en-GB"/>
        </w:rPr>
        <w:fldChar w:fldCharType="end"/>
      </w:r>
      <w:r w:rsidR="00352BBA">
        <w:rPr>
          <w:lang w:eastAsia="en-GB"/>
        </w:rPr>
        <w:t xml:space="preserve"> </w:t>
      </w:r>
      <w:r w:rsidRPr="00392836">
        <w:rPr>
          <w:lang w:eastAsia="en-GB"/>
        </w:rPr>
        <w:t xml:space="preserve">which has led to developments of effective, efficient and </w:t>
      </w:r>
      <w:r w:rsidRPr="00392836">
        <w:rPr>
          <w:lang w:eastAsia="en-GB"/>
        </w:rPr>
        <w:lastRenderedPageBreak/>
        <w:t xml:space="preserve">standardized ways of assessing the functions of the kidney. Most of these methods are now </w:t>
      </w:r>
      <w:r w:rsidRPr="00392836">
        <w:rPr>
          <w:lang w:val="en-US"/>
        </w:rPr>
        <w:t xml:space="preserve">routine blood and urine </w:t>
      </w:r>
      <w:r w:rsidRPr="00392836">
        <w:rPr>
          <w:bCs/>
          <w:lang w:val="en-US"/>
        </w:rPr>
        <w:t xml:space="preserve">tests </w:t>
      </w:r>
      <w:r w:rsidRPr="00392836">
        <w:rPr>
          <w:bCs/>
          <w:lang w:val="en-US"/>
        </w:rPr>
        <w:fldChar w:fldCharType="begin"/>
      </w:r>
      <w:r w:rsidRPr="00392836">
        <w:rPr>
          <w:bCs/>
          <w:lang w:val="en-US"/>
        </w:rPr>
        <w:instrText xml:space="preserve"> ADDIN EN.CITE &lt;EndNote&gt;&lt;Cite&gt;&lt;Author&gt;de Castro&lt;/Author&gt;&lt;Year&gt;2014&lt;/Year&gt;&lt;IDText&gt;Standardization of renal function evaluation in Wistar rats ( Rattus norvegicus) from the Federal University of Juiz de Fora&amp;apos;s colony&lt;/IDText&gt;&lt;DisplayText&gt;(de Castro et al., 2014)&lt;/DisplayText&gt;&lt;record&gt;&lt;keywords&gt;&lt;keyword&gt;Disease Models, Animal&lt;/keyword&gt;&lt;keyword&gt;Kidney Function Tests -- Standards&lt;/keyword&gt;&lt;/keywords&gt;&lt;titles&gt;&lt;title&gt;Standardization of renal function evaluation in Wistar rats ( Rattus norvegicus) from the Federal University of Juiz de Fora&amp;apos;s colony&lt;/title&gt;&lt;secondary-title&gt;Jornal brasileiro de nefrologia : ʹorgão oficial de Sociedades Brasileira e Latino-Americana de Nefrologia&lt;/secondary-title&gt;&lt;/titles&gt;&lt;pages&gt;139&lt;/pages&gt;&lt;number&gt;2&lt;/number&gt;&lt;contributors&gt;&lt;authors&gt;&lt;author&gt;de Castro, Bárbara Bruna Abreu&lt;/author&gt;&lt;author&gt;Colugnati, Fernando Antonio Basile&lt;/author&gt;&lt;author&gt;Cenedeze, Marcos Antonio&lt;/author&gt;&lt;author&gt;Suassuna, Paulo Giovanni de Albuquerque&lt;/author&gt;&lt;author&gt;Pinheiro, Hélady Sanders&lt;/author&gt;&lt;/authors&gt;&lt;/contributors&gt;&lt;added-date format="utc"&gt;1472456170&lt;/added-date&gt;&lt;ref-type name="Journal Article"&gt;17&lt;/ref-type&gt;&lt;dates&gt;&lt;year&gt;2014&lt;/year&gt;&lt;/dates&gt;&lt;rec-number&gt;1555&lt;/rec-number&gt;&lt;last-updated-date format="utc"&gt;1472456170&lt;/last-updated-date&gt;&lt;volume&gt;36&lt;/volume&gt;&lt;/record&gt;&lt;/Cite&gt;&lt;/EndNote&gt;</w:instrText>
      </w:r>
      <w:r w:rsidRPr="00392836">
        <w:rPr>
          <w:bCs/>
          <w:lang w:val="en-US"/>
        </w:rPr>
        <w:fldChar w:fldCharType="separate"/>
      </w:r>
      <w:r w:rsidRPr="00392836">
        <w:rPr>
          <w:bCs/>
          <w:noProof/>
          <w:lang w:val="en-US"/>
        </w:rPr>
        <w:t>(de Castro et al., 2014)</w:t>
      </w:r>
      <w:r w:rsidRPr="00392836">
        <w:rPr>
          <w:bCs/>
          <w:lang w:val="en-US"/>
        </w:rPr>
        <w:fldChar w:fldCharType="end"/>
      </w:r>
      <w:r w:rsidRPr="00392836">
        <w:rPr>
          <w:lang w:val="en-US"/>
        </w:rPr>
        <w:t xml:space="preserve">. This usually involves measurement of serum creatinine, urine creatinine, urea, albumin, protein and urinalysis. The development of one pathology may arise to development of subsequent complications or co-morbidities, therefore there is a need to monitor other systems such as the hepatic, cardiac and urinary systems to be sure that any effect seen in our study were solely due to diabetic nephropathy.   </w:t>
      </w:r>
    </w:p>
    <w:p w:rsidR="00430D62" w:rsidRPr="00392836" w:rsidRDefault="00430D62" w:rsidP="00F13E9D">
      <w:pPr>
        <w:pStyle w:val="Heading4"/>
        <w:ind w:firstLine="720"/>
        <w:rPr>
          <w:rFonts w:eastAsia="Times New Roman"/>
          <w:lang w:val="en-US"/>
        </w:rPr>
      </w:pPr>
      <w:bookmarkStart w:id="140" w:name="_Toc484448826"/>
      <w:bookmarkStart w:id="141" w:name="_Toc506232338"/>
      <w:r w:rsidRPr="00392836">
        <w:rPr>
          <w:rFonts w:eastAsia="Times New Roman"/>
          <w:lang w:val="en-US"/>
        </w:rPr>
        <w:t>2.</w:t>
      </w:r>
      <w:r>
        <w:rPr>
          <w:rFonts w:eastAsia="Times New Roman"/>
          <w:lang w:val="en-US"/>
        </w:rPr>
        <w:t>4</w:t>
      </w:r>
      <w:r w:rsidRPr="00392836">
        <w:rPr>
          <w:rFonts w:eastAsia="Times New Roman"/>
          <w:lang w:val="en-US"/>
        </w:rPr>
        <w:t>.1 Urinalysis</w:t>
      </w:r>
      <w:bookmarkEnd w:id="140"/>
      <w:bookmarkEnd w:id="141"/>
      <w:r w:rsidRPr="00392836">
        <w:rPr>
          <w:rFonts w:eastAsia="Times New Roman"/>
          <w:lang w:val="en-US"/>
        </w:rPr>
        <w:t xml:space="preserve"> </w:t>
      </w:r>
    </w:p>
    <w:p w:rsidR="00430D62" w:rsidRPr="00392836" w:rsidRDefault="00430D62" w:rsidP="00F13E9D">
      <w:pPr>
        <w:ind w:left="720"/>
        <w:rPr>
          <w:lang w:val="en-US"/>
        </w:rPr>
      </w:pPr>
      <w:r w:rsidRPr="00392836">
        <w:rPr>
          <w:lang w:val="en-US"/>
        </w:rPr>
        <w:t xml:space="preserve">This involves investigating the appearance, concentration and constituents of the urine </w:t>
      </w:r>
      <w:r w:rsidRPr="00392836">
        <w:rPr>
          <w:lang w:val="en-US"/>
        </w:rPr>
        <w:fldChar w:fldCharType="begin"/>
      </w:r>
      <w:r w:rsidRPr="00392836">
        <w:rPr>
          <w:lang w:val="en-US"/>
        </w:rPr>
        <w:instrText xml:space="preserve"> ADDIN EN.CITE &lt;EndNote&gt;&lt;Cite&gt;&lt;Author&gt;Paquignon&lt;/Author&gt;&lt;Year&gt;1993&lt;/Year&gt;&lt;IDText&gt;EVALUATION OF THE CLINITEK- 200 URINARY TEST- STRIP READER IN THE ANALYSIS OF DOG AND RAT URINES IN PRECLINICAL TOXICOLOGY STUDIES&lt;/IDText&gt;&lt;DisplayText&gt;(Paquignon et al., 1993)&lt;/DisplayText&gt;&lt;record&gt;&lt;isbn&gt;0023-6772&lt;/isbn&gt;&lt;titles&gt;&lt;title&gt;EVALUATION OF THE CLINITEK- 200 URINARY TEST- STRIP READER IN THE ANALYSIS OF DOG AND RAT URINES IN PRECLINICAL TOXICOLOGY STUDIES&lt;/title&gt;&lt;secondary-title&gt;Laboratory Animals&lt;/secondary-title&gt;&lt;/titles&gt;&lt;pages&gt;240-246&lt;/pages&gt;&lt;number&gt;3&lt;/number&gt;&lt;contributors&gt;&lt;authors&gt;&lt;author&gt;Paquignon, A.&lt;/author&gt;&lt;author&gt;Tran, G.&lt;/author&gt;&lt;author&gt;Provost, J. P.&lt;/author&gt;&lt;/authors&gt;&lt;/contributors&gt;&lt;added-date format="utc"&gt;1472453722&lt;/added-date&gt;&lt;ref-type name="Journal Article"&gt;17&lt;/ref-type&gt;&lt;dates&gt;&lt;year&gt;1993&lt;/year&gt;&lt;/dates&gt;&lt;rec-number&gt;1554&lt;/rec-number&gt;&lt;last-updated-date format="utc"&gt;1472453722&lt;/last-updated-date&gt;&lt;volume&gt;27&lt;/volume&gt;&lt;/record&gt;&lt;/Cite&gt;&lt;/EndNote&gt;</w:instrText>
      </w:r>
      <w:r w:rsidRPr="00392836">
        <w:rPr>
          <w:lang w:val="en-US"/>
        </w:rPr>
        <w:fldChar w:fldCharType="separate"/>
      </w:r>
      <w:r w:rsidRPr="00392836">
        <w:rPr>
          <w:noProof/>
          <w:lang w:val="en-US"/>
        </w:rPr>
        <w:t>(Paquignon et al., 1993)</w:t>
      </w:r>
      <w:r w:rsidRPr="00392836">
        <w:rPr>
          <w:lang w:val="en-US"/>
        </w:rPr>
        <w:fldChar w:fldCharType="end"/>
      </w:r>
      <w:r w:rsidRPr="00392836">
        <w:rPr>
          <w:lang w:val="en-US"/>
        </w:rPr>
        <w:t>.</w:t>
      </w:r>
    </w:p>
    <w:p w:rsidR="00430D62" w:rsidRPr="00392836" w:rsidRDefault="00430D62" w:rsidP="00F13E9D">
      <w:pPr>
        <w:ind w:left="720"/>
        <w:rPr>
          <w:lang w:val="en-US"/>
        </w:rPr>
      </w:pPr>
      <w:r w:rsidRPr="00392836">
        <w:rPr>
          <w:rFonts w:eastAsia="Times New Roman"/>
          <w:lang w:val="en-US" w:eastAsia="en-GB"/>
        </w:rPr>
        <w:t xml:space="preserve">Urispec Plus Vet 10 plus </w:t>
      </w:r>
      <w:r w:rsidRPr="00392836">
        <w:rPr>
          <w:lang w:val="en-US"/>
        </w:rPr>
        <w:t>(Henry Schein) is a firm plastic urinalysis test strip with 10 attached separate reagent areas: glucose, protein, pH, leukocytes, nitrites, ketones, blood, bilirubin, urobilinogen and specific gravity, used for semi-quantitative screening for potential disease which include diabetes, renal function, hepatic function, urinary tract infection</w:t>
      </w:r>
      <w:r w:rsidR="005D3CB4">
        <w:rPr>
          <w:lang w:val="en-US"/>
        </w:rPr>
        <w:t xml:space="preserve"> (UTI)</w:t>
      </w:r>
      <w:r w:rsidRPr="00392836">
        <w:rPr>
          <w:lang w:val="en-US"/>
        </w:rPr>
        <w:t xml:space="preserve"> and pH imbalances. The strips have specific chemical reagent pads attached to them which react with urine to give a colour change within a specified time and the colour change is read against a colour chart. </w:t>
      </w:r>
    </w:p>
    <w:p w:rsidR="00430D62" w:rsidRPr="00392836" w:rsidRDefault="00430D62" w:rsidP="00F13E9D">
      <w:pPr>
        <w:ind w:left="720"/>
        <w:rPr>
          <w:lang w:val="en-US" w:eastAsia="en-GB"/>
        </w:rPr>
      </w:pPr>
      <w:r w:rsidRPr="00392836">
        <w:rPr>
          <w:lang w:val="en-US" w:eastAsia="en-GB"/>
        </w:rPr>
        <w:t>Examination of urine samples can guide in the diagnosis and management of diseases of the urinary tract. The first step was the collection of 24-hour uri</w:t>
      </w:r>
      <w:r w:rsidR="002679EA">
        <w:rPr>
          <w:lang w:val="en-US" w:eastAsia="en-GB"/>
        </w:rPr>
        <w:t>ne samples (Section 2.3</w:t>
      </w:r>
      <w:r w:rsidR="00505DDD">
        <w:rPr>
          <w:lang w:val="en-US" w:eastAsia="en-GB"/>
        </w:rPr>
        <w:t>.7), which</w:t>
      </w:r>
      <w:r w:rsidRPr="00392836">
        <w:rPr>
          <w:lang w:val="en-US" w:eastAsia="en-GB"/>
        </w:rPr>
        <w:t xml:space="preserve"> was followed by a macroscopic examination of the urine sample in a clear measuring cylinder. The transparency, colour, smell and volume excreted was noted and documented.</w:t>
      </w:r>
    </w:p>
    <w:p w:rsidR="00C17937" w:rsidRDefault="00430D62" w:rsidP="00631C03">
      <w:pPr>
        <w:ind w:left="720"/>
        <w:rPr>
          <w:rFonts w:eastAsia="Calibri"/>
          <w:lang w:val="en-US"/>
        </w:rPr>
      </w:pPr>
      <w:r w:rsidRPr="00392836">
        <w:rPr>
          <w:lang w:val="en-US" w:eastAsia="en-GB"/>
        </w:rPr>
        <w:t xml:space="preserve">The test strip was dipped into the urine sample for approximately 1 second, excess urine was wiped with a clean paper towel and observed for colour change within 30-60 seconds and between 60-120 seconds for the leukocyte test bar. The colour change was compared with the colour chart provided by the manufacturer. </w:t>
      </w:r>
      <w:r w:rsidRPr="00392836">
        <w:rPr>
          <w:rFonts w:eastAsia="Calibri"/>
          <w:lang w:val="en-US"/>
        </w:rPr>
        <w:t xml:space="preserve">Results from the strips </w:t>
      </w:r>
      <w:r w:rsidR="005D3CB4">
        <w:rPr>
          <w:rFonts w:eastAsia="Calibri"/>
          <w:lang w:val="en-US"/>
        </w:rPr>
        <w:t xml:space="preserve">gave </w:t>
      </w:r>
      <w:r w:rsidRPr="00392836">
        <w:rPr>
          <w:rFonts w:eastAsia="Calibri"/>
          <w:lang w:val="en-US"/>
        </w:rPr>
        <w:lastRenderedPageBreak/>
        <w:t xml:space="preserve">information about </w:t>
      </w:r>
      <w:r w:rsidR="005D3CB4">
        <w:rPr>
          <w:rFonts w:eastAsia="Calibri"/>
          <w:lang w:val="en-US"/>
        </w:rPr>
        <w:t>the sugar level</w:t>
      </w:r>
      <w:r w:rsidRPr="00392836">
        <w:rPr>
          <w:rFonts w:eastAsia="Calibri"/>
          <w:lang w:val="en-US"/>
        </w:rPr>
        <w:t xml:space="preserve">, </w:t>
      </w:r>
      <w:r w:rsidR="005D3CB4">
        <w:rPr>
          <w:rFonts w:eastAsia="Calibri"/>
          <w:lang w:val="en-US"/>
        </w:rPr>
        <w:t xml:space="preserve">the </w:t>
      </w:r>
      <w:r w:rsidRPr="00392836">
        <w:rPr>
          <w:rFonts w:eastAsia="Calibri"/>
          <w:lang w:val="en-US"/>
        </w:rPr>
        <w:t>renal function, acid-base</w:t>
      </w:r>
      <w:r w:rsidR="00C17937">
        <w:rPr>
          <w:rFonts w:eastAsia="Calibri"/>
          <w:lang w:val="en-US"/>
        </w:rPr>
        <w:t xml:space="preserve"> balance, UTI</w:t>
      </w:r>
      <w:r w:rsidRPr="00392836">
        <w:rPr>
          <w:rFonts w:eastAsia="Calibri"/>
          <w:lang w:val="en-US"/>
        </w:rPr>
        <w:t xml:space="preserve"> and jaundice</w:t>
      </w:r>
      <w:r w:rsidR="005D3CB4">
        <w:rPr>
          <w:rFonts w:eastAsia="Calibri"/>
          <w:lang w:val="en-US"/>
        </w:rPr>
        <w:t xml:space="preserve"> in our rat urine samples</w:t>
      </w:r>
      <w:r w:rsidRPr="00392836">
        <w:rPr>
          <w:rFonts w:eastAsia="Calibri"/>
          <w:lang w:val="en-US"/>
        </w:rPr>
        <w:t>.</w:t>
      </w:r>
    </w:p>
    <w:p w:rsidR="00430D62" w:rsidRPr="00C17937" w:rsidRDefault="00430D62" w:rsidP="00C17937">
      <w:pPr>
        <w:ind w:left="720"/>
        <w:rPr>
          <w:rFonts w:eastAsia="Calibri"/>
          <w:lang w:val="en-US"/>
        </w:rPr>
      </w:pPr>
      <w:r w:rsidRPr="00C17937">
        <w:rPr>
          <w:b/>
          <w:lang w:val="en-US" w:eastAsia="en-GB"/>
        </w:rPr>
        <w:t>Principle of urinalysis</w:t>
      </w:r>
    </w:p>
    <w:p w:rsidR="00430D62" w:rsidRPr="00392836" w:rsidRDefault="00430D62" w:rsidP="00F13E9D">
      <w:pPr>
        <w:ind w:left="720"/>
        <w:rPr>
          <w:lang w:val="en-US" w:eastAsia="en-GB"/>
        </w:rPr>
      </w:pPr>
      <w:bookmarkStart w:id="142" w:name="_Toc484448827"/>
      <w:r w:rsidRPr="00B30F28">
        <w:rPr>
          <w:b/>
        </w:rPr>
        <w:t>Blood</w:t>
      </w:r>
      <w:bookmarkEnd w:id="142"/>
      <w:r w:rsidRPr="00392836">
        <w:rPr>
          <w:lang w:val="en-US" w:eastAsia="en-GB"/>
        </w:rPr>
        <w:t xml:space="preserve">: the test can determine 5-10 erythrocytes/µl urine which is equal to approximately </w:t>
      </w:r>
      <w:r w:rsidRPr="00392836">
        <w:t>0.015 mg haemoglobin</w:t>
      </w:r>
      <w:r w:rsidRPr="00392836">
        <w:rPr>
          <w:lang w:val="en-US" w:eastAsia="en-GB"/>
        </w:rPr>
        <w:t>. The test was based on a peroxidase-like activity of haemoglobin, a reaction between hydroperoxide and 3,3’,5,5’,- tetra methylbenzidine (chromogen), the presence of blood in the urine catalyzes the oxidation of the chromogen.</w:t>
      </w:r>
    </w:p>
    <w:p w:rsidR="00546E30" w:rsidRDefault="00430D62" w:rsidP="00546E30">
      <w:pPr>
        <w:ind w:firstLine="720"/>
        <w:rPr>
          <w:lang w:val="en-US" w:eastAsia="en-GB"/>
        </w:rPr>
      </w:pPr>
      <w:r w:rsidRPr="00392836">
        <w:rPr>
          <w:noProof/>
          <w:lang w:eastAsia="en-GB"/>
        </w:rPr>
        <mc:AlternateContent>
          <mc:Choice Requires="wps">
            <w:drawing>
              <wp:anchor distT="0" distB="0" distL="114300" distR="114300" simplePos="0" relativeHeight="251667456" behindDoc="0" locked="0" layoutInCell="1" allowOverlap="1" wp14:anchorId="4EC36833" wp14:editId="39815A4C">
                <wp:simplePos x="0" y="0"/>
                <wp:positionH relativeFrom="column">
                  <wp:posOffset>1695450</wp:posOffset>
                </wp:positionH>
                <wp:positionV relativeFrom="paragraph">
                  <wp:posOffset>95250</wp:posOffset>
                </wp:positionV>
                <wp:extent cx="1266825" cy="635"/>
                <wp:effectExtent l="9525" t="57150" r="19050" b="5651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68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5681C9E8" id="Straight Arrow Connector 29" o:spid="_x0000_s1026" type="#_x0000_t32" style="position:absolute;margin-left:133.5pt;margin-top:7.5pt;width:99.75pt;height:.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BMBPQIAAHAEAAAOAAAAZHJzL2Uyb0RvYy54bWysVMFu2zAMvQ/YPwi6p47TJEuMOkVhJ7t0&#10;a4B2H6BIcixMFgVJjRMM+/dRipOt22UY5oNMmeLjI/nku/tjp8lBOq/AlDS/GVMiDQehzL6kX142&#10;owUlPjAjmAYjS3qSnt6v3r+7620hJ9CCFtIRBDG+6G1J2xBskWWet7Jj/gasNOhswHUs4NbtM+FY&#10;j+idzibj8TzrwQnrgEvv8Wt9dtJVwm8aycNT03gZiC4pcgtpdWndxTVb3bFi75htFR9osH9g0TFl&#10;MOkVqmaBkVen/oDqFHfgoQk3HLoMmkZxmWrAavLxb9U8t8zKVAs2x9trm/z/g+WfD1tHlCjpZEmJ&#10;YR3O6Dk4pvZtIA/OQU8qMAb7CI7gEexXb32BYZXZulgxP5pn+wj8qycGqpaZvUy8X04WsfIYkb0J&#10;iRtvMeuu/wQCz7DXAKl5x8Z1ERLbQo5pRqfrjOQxEI4f88l8vpjMKOHom9/OEj4rLqHW+fBRQkei&#10;UVI/lHKtIU+J2OHRh0iMFZeAmNfARmmdJKEN6Uu6nGGm6PGglYjOtHH7XaUdObAoqvQMLN4cc/Bq&#10;RAJrJRPrwQ5MabRJSO0JTmHDtKQxWycFJVriPYrWmZ42MSMWj4QH66yrb8vxcr1YL6aj6WS+Hk3H&#10;dT162FTT0XyTf5jVt3VV1fn3SD6fFq0SQprI/6LxfPp3Ghpu21mdV5VfG5W9RU8dRbKXdyKdph8H&#10;fpbODsRp62J1UQgo63R4uILx3vy6T6d+/ihWPwAAAP//AwBQSwMEFAAGAAgAAAAhANU8VSngAAAA&#10;CQEAAA8AAABkcnMvZG93bnJldi54bWxMj0FPwzAMhe9I/IfISNxYuokFKE0nYEL0MiQ2hDhmjWkq&#10;Gqdqsq3j1+Od4GTZ7+n5e8Vi9J3Y4xDbQBqmkwwEUh1sS42G983z1S2ImAxZ0wVCDUeMsCjPzwqT&#10;23CgN9yvUyM4hGJuNLiU+lzKWDv0Jk5Cj8TaVxi8SbwOjbSDOXC47+Qsy5T0piX+4EyPTw7r7/XO&#10;a0jLz6NTH/XjXfu6eVmp9qeqqqXWlxfjwz2IhGP6M8MJn9GhZKZt2JGNotMwUzfcJbEw58mGa6Xm&#10;ILanwxRkWcj/DcpfAAAA//8DAFBLAQItABQABgAIAAAAIQC2gziS/gAAAOEBAAATAAAAAAAAAAAA&#10;AAAAAAAAAABbQ29udGVudF9UeXBlc10ueG1sUEsBAi0AFAAGAAgAAAAhADj9If/WAAAAlAEAAAsA&#10;AAAAAAAAAAAAAAAALwEAAF9yZWxzLy5yZWxzUEsBAi0AFAAGAAgAAAAhAFLwEwE9AgAAcAQAAA4A&#10;AAAAAAAAAAAAAAAALgIAAGRycy9lMm9Eb2MueG1sUEsBAi0AFAAGAAgAAAAhANU8VSngAAAACQEA&#10;AA8AAAAAAAAAAAAAAAAAlwQAAGRycy9kb3ducmV2LnhtbFBLBQYAAAAABAAEAPMAAACkBQAAAAA=&#10;">
                <v:stroke endarrow="block"/>
              </v:shape>
            </w:pict>
          </mc:Fallback>
        </mc:AlternateContent>
      </w:r>
      <w:r w:rsidRPr="00392836">
        <w:rPr>
          <w:lang w:val="en-US" w:eastAsia="en-GB"/>
        </w:rPr>
        <w:t>H</w:t>
      </w:r>
      <w:r w:rsidRPr="00392836">
        <w:rPr>
          <w:vertAlign w:val="subscript"/>
          <w:lang w:val="en-US" w:eastAsia="en-GB"/>
        </w:rPr>
        <w:t>2</w:t>
      </w:r>
      <w:r w:rsidRPr="00392836">
        <w:rPr>
          <w:lang w:val="en-US" w:eastAsia="en-GB"/>
        </w:rPr>
        <w:t>0</w:t>
      </w:r>
      <w:r w:rsidRPr="00392836">
        <w:rPr>
          <w:vertAlign w:val="subscript"/>
          <w:lang w:val="en-US" w:eastAsia="en-GB"/>
        </w:rPr>
        <w:t>2</w:t>
      </w:r>
      <w:r w:rsidRPr="00392836">
        <w:rPr>
          <w:lang w:val="en-US" w:eastAsia="en-GB"/>
        </w:rPr>
        <w:t xml:space="preserve"> + Chromogen     </w:t>
      </w:r>
      <w:r w:rsidRPr="00392836">
        <w:rPr>
          <w:vertAlign w:val="superscript"/>
          <w:lang w:val="en-US" w:eastAsia="en-GB"/>
        </w:rPr>
        <w:t>Heamoglobin</w:t>
      </w:r>
      <w:r w:rsidRPr="00392836">
        <w:rPr>
          <w:vertAlign w:val="subscript"/>
          <w:lang w:val="en-US" w:eastAsia="en-GB"/>
        </w:rPr>
        <w:t xml:space="preserve">peroxidase </w:t>
      </w:r>
      <w:r w:rsidRPr="00392836">
        <w:rPr>
          <w:lang w:val="en-US" w:eastAsia="en-GB"/>
        </w:rPr>
        <w:t xml:space="preserve">   Oxidized chromogen + H</w:t>
      </w:r>
      <w:r w:rsidRPr="00392836">
        <w:rPr>
          <w:vertAlign w:val="subscript"/>
          <w:lang w:val="en-US" w:eastAsia="en-GB"/>
        </w:rPr>
        <w:t>2</w:t>
      </w:r>
      <w:r w:rsidRPr="00392836">
        <w:rPr>
          <w:lang w:val="en-US" w:eastAsia="en-GB"/>
        </w:rPr>
        <w:t xml:space="preserve">0. </w:t>
      </w:r>
    </w:p>
    <w:p w:rsidR="00430D62" w:rsidRPr="00392836" w:rsidRDefault="00430D62" w:rsidP="00546E30">
      <w:pPr>
        <w:ind w:left="720"/>
        <w:rPr>
          <w:lang w:val="en-US" w:eastAsia="en-GB"/>
        </w:rPr>
      </w:pPr>
      <w:r w:rsidRPr="00392836">
        <w:rPr>
          <w:lang w:val="en-US" w:eastAsia="en-GB"/>
        </w:rPr>
        <w:t>The presence of detergent containing perox</w:t>
      </w:r>
      <w:r w:rsidR="00631C03">
        <w:rPr>
          <w:lang w:val="en-US" w:eastAsia="en-GB"/>
        </w:rPr>
        <w:t>ide in the urine may result in</w:t>
      </w:r>
      <w:r w:rsidRPr="00392836">
        <w:rPr>
          <w:lang w:val="en-US" w:eastAsia="en-GB"/>
        </w:rPr>
        <w:t xml:space="preserve"> false positive results. </w:t>
      </w:r>
      <w:r w:rsidRPr="00392836">
        <w:rPr>
          <w:rFonts w:eastAsia="Calibri"/>
          <w:lang w:val="en-US"/>
        </w:rPr>
        <w:t>The colour ranges from orange through green, but very high levels of haematuria may proceed to blue colour.</w:t>
      </w:r>
      <w:r w:rsidRPr="00392836">
        <w:rPr>
          <w:lang w:val="en-US" w:eastAsia="en-GB"/>
        </w:rPr>
        <w:t xml:space="preserve"> The presence of green colour dots on a yellow background on the strip is an indication of intact erythrocytes </w:t>
      </w:r>
      <w:r w:rsidRPr="00392836">
        <w:rPr>
          <w:lang w:val="en-US" w:eastAsia="en-GB"/>
        </w:rPr>
        <w:fldChar w:fldCharType="begin"/>
      </w:r>
      <w:r w:rsidRPr="00392836">
        <w:rPr>
          <w:lang w:val="en-US" w:eastAsia="en-GB"/>
        </w:rPr>
        <w:instrText xml:space="preserve"> ADDIN EN.CITE &lt;EndNote&gt;&lt;Cite&gt;&lt;Author&gt;Mainwaring-Burton&lt;/Author&gt;&lt;Year&gt;1991&lt;/Year&gt;&lt;IDText&gt;Clinical Urinalysis. The Principles and Practice of Urine Testing in the Hospital and Community&lt;/IDText&gt;&lt;DisplayText&gt;(Mainwaring-Burton, 1991)&lt;/DisplayText&gt;&lt;record&gt;&lt;keywords&gt;&lt;keyword&gt;Medicine&lt;/keyword&gt;&lt;/keywords&gt;&lt;isbn&gt;0021-9746&amp;#xD;00219746&lt;/isbn&gt;&lt;titles&gt;&lt;title&gt;Clinical Urinalysis. The Principles and Practice of Urine Testing in the Hospital and Community&lt;/title&gt;&lt;secondary-title&gt;Journal of Clinical Pathology&lt;/secondary-title&gt;&lt;/titles&gt;&lt;pages&gt;702&lt;/pages&gt;&lt;number&gt;8&lt;/number&gt;&lt;contributors&gt;&lt;authors&gt;&lt;author&gt;Mainwaring-Burton, R. W.&lt;/author&gt;&lt;/authors&gt;&lt;/contributors&gt;&lt;added-date format="utc"&gt;1494332186&lt;/added-date&gt;&lt;ref-type name="Journal Article"&gt;17&lt;/ref-type&gt;&lt;dates&gt;&lt;year&gt;1991&lt;/year&gt;&lt;/dates&gt;&lt;rec-number&gt;1681&lt;/rec-number&gt;&lt;publisher&gt;BMJ Publishing Group Ltd and Association of Clinical Pathologists&lt;/publisher&gt;&lt;last-updated-date format="utc"&gt;1494332186&lt;/last-updated-date&gt;&lt;electronic-resource-num&gt;10.1136/jcp.44.8.702-b&lt;/electronic-resource-num&gt;&lt;volume&gt;44&lt;/volume&gt;&lt;/record&gt;&lt;/Cite&gt;&lt;/EndNote&gt;</w:instrText>
      </w:r>
      <w:r w:rsidRPr="00392836">
        <w:rPr>
          <w:lang w:val="en-US" w:eastAsia="en-GB"/>
        </w:rPr>
        <w:fldChar w:fldCharType="separate"/>
      </w:r>
      <w:r w:rsidRPr="00392836">
        <w:rPr>
          <w:noProof/>
          <w:lang w:val="en-US" w:eastAsia="en-GB"/>
        </w:rPr>
        <w:t>(Mainwaring-Burton, 1991)</w:t>
      </w:r>
      <w:r w:rsidRPr="00392836">
        <w:rPr>
          <w:lang w:val="en-US" w:eastAsia="en-GB"/>
        </w:rPr>
        <w:fldChar w:fldCharType="end"/>
      </w:r>
      <w:r w:rsidRPr="00392836">
        <w:rPr>
          <w:lang w:val="en-US" w:eastAsia="en-GB"/>
        </w:rPr>
        <w:t>.</w:t>
      </w:r>
    </w:p>
    <w:p w:rsidR="00430D62" w:rsidRPr="00392836" w:rsidRDefault="00430D62" w:rsidP="00124734">
      <w:pPr>
        <w:spacing w:after="0"/>
        <w:rPr>
          <w:rFonts w:ascii="Times New Roman" w:eastAsia="Times New Roman" w:hAnsi="Times New Roman"/>
          <w:lang w:val="en-US" w:eastAsia="en-GB"/>
        </w:rPr>
      </w:pPr>
    </w:p>
    <w:p w:rsidR="00430D62" w:rsidRPr="00392836" w:rsidRDefault="00430D62" w:rsidP="00E805C3">
      <w:pPr>
        <w:ind w:left="720"/>
        <w:rPr>
          <w:lang w:val="en-US" w:eastAsia="en-GB"/>
        </w:rPr>
      </w:pPr>
      <w:bookmarkStart w:id="143" w:name="_Toc484448828"/>
      <w:r w:rsidRPr="00B30F28">
        <w:rPr>
          <w:b/>
        </w:rPr>
        <w:t>Nitrite:</w:t>
      </w:r>
      <w:bookmarkEnd w:id="143"/>
      <w:r w:rsidRPr="00392836">
        <w:rPr>
          <w:lang w:val="en-US" w:eastAsia="en-GB"/>
        </w:rPr>
        <w:t xml:space="preserve"> The test determined values between 0.05-0.10 mg nitrite/dl urine. A colour change is suggestive of a b</w:t>
      </w:r>
      <w:r w:rsidR="00124734">
        <w:rPr>
          <w:lang w:val="en-US" w:eastAsia="en-GB"/>
        </w:rPr>
        <w:t xml:space="preserve">acterial </w:t>
      </w:r>
      <w:r w:rsidRPr="00392836">
        <w:rPr>
          <w:lang w:val="en-US" w:eastAsia="en-GB"/>
        </w:rPr>
        <w:t xml:space="preserve">UTI and this should be further investigated. The test was based on the conversion of nitrate to nitrite by gram negative bacteria found in UTI. The reagent area is acidic and then reacts with p-arsanilic acid to form a diazonium compound which is combined with 1,2,3,4-tetrahydrobenzo(h)quinolin-3-ol which yields a pink colour </w:t>
      </w:r>
      <w:r w:rsidRPr="00392836">
        <w:rPr>
          <w:lang w:val="en-US" w:eastAsia="en-GB"/>
        </w:rPr>
        <w:fldChar w:fldCharType="begin"/>
      </w:r>
      <w:r w:rsidRPr="00392836">
        <w:rPr>
          <w:lang w:val="en-US" w:eastAsia="en-GB"/>
        </w:rPr>
        <w:instrText xml:space="preserve"> ADDIN EN.CITE &lt;EndNote&gt;&lt;Cite&gt;&lt;Author&gt;Mori&lt;/Author&gt;&lt;Year&gt;2010&lt;/Year&gt;&lt;IDText&gt;Diagnostic performance of urine dipstick testing in children with suspected UTI: a systematic review of relationship with age and comparison with microscopy&lt;/IDText&gt;&lt;DisplayText&gt;(Mori et al., 2010)&lt;/DisplayText&gt;&lt;record&gt;&lt;dates&gt;&lt;pub-dates&gt;&lt;date&gt;Apr&lt;/date&gt;&lt;/pub-dates&gt;&lt;year&gt;2010&lt;/year&gt;&lt;/dates&gt;&lt;keywords&gt;&lt;keyword&gt;Adolescent&lt;/keyword&gt;&lt;keyword&gt;Age Factors&lt;/keyword&gt;&lt;keyword&gt;Child&lt;/keyword&gt;&lt;keyword&gt;Child, Preschool&lt;/keyword&gt;&lt;keyword&gt;Humans&lt;/keyword&gt;&lt;keyword&gt;Infant&lt;/keyword&gt;&lt;keyword&gt;*Reagent Strips&lt;/keyword&gt;&lt;keyword&gt;Urinalysis/*methods&lt;/keyword&gt;&lt;keyword&gt;Urinary Tract Infections/*urine&lt;/keyword&gt;&lt;keyword&gt;Young Adult&lt;/keyword&gt;&lt;/keywords&gt;&lt;isbn&gt;0803-5253&lt;/isbn&gt;&lt;titles&gt;&lt;title&gt;Diagnostic performance of urine dipstick testing in children with suspected UTI: a systematic review of relationship with age and comparison with microscopy&lt;/title&gt;&lt;secondary-title&gt;Acta Paediatr&lt;/secondary-title&gt;&lt;alt-title&gt;Acta paediatrica (Oslo, Norway : 1992)&lt;/alt-title&gt;&lt;/titles&gt;&lt;pages&gt;581-4&lt;/pages&gt;&lt;number&gt;4&lt;/number&gt;&lt;contributors&gt;&lt;authors&gt;&lt;author&gt;Mori, R.&lt;/author&gt;&lt;author&gt;Yonemoto, N.&lt;/author&gt;&lt;author&gt;Fitzgerald, A.&lt;/author&gt;&lt;author&gt;Tullus, K.&lt;/author&gt;&lt;author&gt;Verrier-Jones, K.&lt;/author&gt;&lt;author&gt;Lakhanpaul, M.&lt;/author&gt;&lt;/authors&gt;&lt;/contributors&gt;&lt;edition&gt;2010/01/09&lt;/edition&gt;&lt;language&gt;eng&lt;/language&gt;&lt;added-date format="utc"&gt;1494342857&lt;/added-date&gt;&lt;ref-type name="Journal Article"&gt;17&lt;/ref-type&gt;&lt;auth-address&gt;Osaka Medical Center and Research Institute for Maternal and Child Health, Osaka, Japan. rintaromori@gmail.com&lt;/auth-address&gt;&lt;remote-database-provider&gt;NLM&lt;/remote-database-provider&gt;&lt;rec-number&gt;1682&lt;/rec-number&gt;&lt;last-updated-date format="utc"&gt;1494342857&lt;/last-updated-date&gt;&lt;accession-num&gt;20055779&lt;/accession-num&gt;&lt;electronic-resource-num&gt;10.1111/j.1651-2227.2009.01644.x&lt;/electronic-resource-num&gt;&lt;volume&gt;99&lt;/volume&gt;&lt;/record&gt;&lt;/Cite&gt;&lt;/EndNote&gt;</w:instrText>
      </w:r>
      <w:r w:rsidRPr="00392836">
        <w:rPr>
          <w:lang w:val="en-US" w:eastAsia="en-GB"/>
        </w:rPr>
        <w:fldChar w:fldCharType="separate"/>
      </w:r>
      <w:r w:rsidRPr="00392836">
        <w:rPr>
          <w:noProof/>
          <w:lang w:val="en-US" w:eastAsia="en-GB"/>
        </w:rPr>
        <w:t>(Mori et al., 2010)</w:t>
      </w:r>
      <w:r w:rsidRPr="00392836">
        <w:rPr>
          <w:lang w:val="en-US" w:eastAsia="en-GB"/>
        </w:rPr>
        <w:fldChar w:fldCharType="end"/>
      </w:r>
      <w:r w:rsidRPr="00392836">
        <w:rPr>
          <w:lang w:val="en-US" w:eastAsia="en-GB"/>
        </w:rPr>
        <w:t xml:space="preserve">. </w:t>
      </w:r>
    </w:p>
    <w:p w:rsidR="00430D62" w:rsidRPr="00E805C3" w:rsidRDefault="00430D62" w:rsidP="00E805C3">
      <w:pPr>
        <w:ind w:left="720"/>
        <w:rPr>
          <w:lang w:val="en-US" w:eastAsia="en-GB"/>
        </w:rPr>
      </w:pPr>
      <w:bookmarkStart w:id="144" w:name="_Toc484448829"/>
      <w:r w:rsidRPr="00B30F28">
        <w:rPr>
          <w:b/>
        </w:rPr>
        <w:t>Glucose:</w:t>
      </w:r>
      <w:bookmarkEnd w:id="144"/>
      <w:r w:rsidRPr="00392836">
        <w:rPr>
          <w:lang w:val="en-US" w:eastAsia="en-GB"/>
        </w:rPr>
        <w:t xml:space="preserve"> The test was based on a double sequential enzyme reaction. Oxidation of glucose is catalysed by glucose oxidase to form glucuronic acid and hydrogen peroxide, this is followed by peroxidase reaction which catalyses hydrogen peroxide with potassium iodide chromogen to a range of colour from yellow to dark green. This colour </w:t>
      </w:r>
      <w:r w:rsidR="00631C03">
        <w:rPr>
          <w:lang w:val="en-US" w:eastAsia="en-GB"/>
        </w:rPr>
        <w:t>is read against a colour chart.</w:t>
      </w:r>
    </w:p>
    <w:p w:rsidR="00430D62" w:rsidRPr="00D57565" w:rsidRDefault="00430D62" w:rsidP="00D57565">
      <w:pPr>
        <w:ind w:left="720"/>
        <w:rPr>
          <w:lang w:val="en-US"/>
        </w:rPr>
      </w:pPr>
      <w:bookmarkStart w:id="145" w:name="_Toc484448830"/>
      <w:r w:rsidRPr="00B30F28">
        <w:rPr>
          <w:b/>
        </w:rPr>
        <w:t>Ketone</w:t>
      </w:r>
      <w:bookmarkEnd w:id="145"/>
      <w:r w:rsidR="00B30F28" w:rsidRPr="00B30F28">
        <w:rPr>
          <w:b/>
        </w:rPr>
        <w:t>s</w:t>
      </w:r>
      <w:r w:rsidRPr="00B30F28">
        <w:rPr>
          <w:b/>
        </w:rPr>
        <w:t>:</w:t>
      </w:r>
      <w:r w:rsidRPr="00392836">
        <w:rPr>
          <w:lang w:val="en-US"/>
        </w:rPr>
        <w:t xml:space="preserve"> The test was based on the reaction between acetoacetic acid and nitroprusside. The ketone test zone on the strip is coated with </w:t>
      </w:r>
      <w:r w:rsidRPr="00392836">
        <w:rPr>
          <w:lang w:val="en-US"/>
        </w:rPr>
        <w:lastRenderedPageBreak/>
        <w:t>glycine and nitroprusside and</w:t>
      </w:r>
      <w:r w:rsidR="00505DDD">
        <w:rPr>
          <w:lang w:val="en-US"/>
        </w:rPr>
        <w:t xml:space="preserve"> buffered with sodium phosphate.</w:t>
      </w:r>
      <w:r w:rsidRPr="00392836">
        <w:rPr>
          <w:lang w:val="en-US"/>
        </w:rPr>
        <w:t xml:space="preserve"> </w:t>
      </w:r>
      <w:r w:rsidR="00505DDD">
        <w:rPr>
          <w:lang w:val="en-US"/>
        </w:rPr>
        <w:t>T</w:t>
      </w:r>
      <w:r w:rsidRPr="00392836">
        <w:rPr>
          <w:lang w:val="en-US"/>
        </w:rPr>
        <w:t>herefor</w:t>
      </w:r>
      <w:r w:rsidR="00505DDD">
        <w:rPr>
          <w:lang w:val="en-US"/>
        </w:rPr>
        <w:t>e the presence of acetoacetate</w:t>
      </w:r>
      <w:r w:rsidRPr="00392836">
        <w:rPr>
          <w:lang w:val="en-US"/>
        </w:rPr>
        <w:t xml:space="preserve"> in urine causes nitroprusside to generate a colour change which ranges from pink, (negative) to purple</w:t>
      </w:r>
      <w:r w:rsidR="00124734">
        <w:rPr>
          <w:lang w:val="en-US"/>
        </w:rPr>
        <w:t xml:space="preserve"> </w:t>
      </w:r>
      <w:r w:rsidRPr="00392836">
        <w:rPr>
          <w:lang w:val="en-US"/>
        </w:rPr>
        <w:fldChar w:fldCharType="begin"/>
      </w:r>
      <w:r w:rsidRPr="00392836">
        <w:rPr>
          <w:lang w:val="en-US"/>
        </w:rPr>
        <w:instrText xml:space="preserve"> ADDIN EN.CITE &lt;EndNote&gt;&lt;Cite&gt;&lt;Author&gt;Smith&lt;/Author&gt;&lt;Year&gt;1977&lt;/Year&gt;&lt;IDText&gt;Urinalysis by use of multi-test reagent strips: two dipsticks compared&lt;/IDText&gt;&lt;DisplayText&gt;(Smith et al., 1977)&lt;/DisplayText&gt;&lt;record&gt;&lt;isbn&gt;0009-9147&lt;/isbn&gt;&lt;titles&gt;&lt;title&gt;Urinalysis by use of multi-test reagent strips: two dipsticks compared&lt;/title&gt;&lt;secondary-title&gt;Clinical chemistry&lt;/secondary-title&gt;&lt;/titles&gt;&lt;pages&gt;2337-2340&lt;/pages&gt;&lt;number&gt;12&lt;/number&gt;&lt;contributors&gt;&lt;authors&gt;&lt;author&gt;Smith, BC&lt;/author&gt;&lt;author&gt;Peake, MJ&lt;/author&gt;&lt;author&gt;Fraser, CG&lt;/author&gt;&lt;/authors&gt;&lt;/contributors&gt;&lt;added-date format="utc"&gt;1494350867&lt;/added-date&gt;&lt;ref-type name="Journal Article"&gt;17&lt;/ref-type&gt;&lt;dates&gt;&lt;year&gt;1977&lt;/year&gt;&lt;/dates&gt;&lt;rec-number&gt;1685&lt;/rec-number&gt;&lt;last-updated-date format="utc"&gt;1494350867&lt;/last-updated-date&gt;&lt;volume&gt;23&lt;/volume&gt;&lt;/record&gt;&lt;/Cite&gt;&lt;/EndNote&gt;</w:instrText>
      </w:r>
      <w:r w:rsidRPr="00392836">
        <w:rPr>
          <w:lang w:val="en-US"/>
        </w:rPr>
        <w:fldChar w:fldCharType="separate"/>
      </w:r>
      <w:r w:rsidRPr="00392836">
        <w:rPr>
          <w:noProof/>
          <w:lang w:val="en-US"/>
        </w:rPr>
        <w:t>(Smith et al., 1977)</w:t>
      </w:r>
      <w:r w:rsidRPr="00392836">
        <w:rPr>
          <w:lang w:val="en-US"/>
        </w:rPr>
        <w:fldChar w:fldCharType="end"/>
      </w:r>
      <w:r w:rsidRPr="00392836">
        <w:rPr>
          <w:lang w:val="en-US"/>
        </w:rPr>
        <w:t>.</w:t>
      </w:r>
    </w:p>
    <w:p w:rsidR="00430D62" w:rsidRPr="00392836" w:rsidRDefault="00B30F28" w:rsidP="00505DDD">
      <w:pPr>
        <w:ind w:left="720"/>
        <w:rPr>
          <w:lang w:val="en-US" w:eastAsia="en-GB"/>
        </w:rPr>
      </w:pPr>
      <w:bookmarkStart w:id="146" w:name="_Toc484448831"/>
      <w:r w:rsidRPr="007D497A">
        <w:rPr>
          <w:b/>
        </w:rPr>
        <w:t xml:space="preserve">Urine </w:t>
      </w:r>
      <w:r w:rsidR="00430D62" w:rsidRPr="007D497A">
        <w:rPr>
          <w:b/>
        </w:rPr>
        <w:t>pH:</w:t>
      </w:r>
      <w:bookmarkEnd w:id="146"/>
      <w:r w:rsidR="00430D62" w:rsidRPr="00392836">
        <w:rPr>
          <w:lang w:val="en-US" w:eastAsia="en-GB"/>
        </w:rPr>
        <w:t xml:space="preserve"> The pH of urine was detected by the concentration of free H</w:t>
      </w:r>
      <w:r w:rsidR="00430D62" w:rsidRPr="00392836">
        <w:rPr>
          <w:vertAlign w:val="superscript"/>
          <w:lang w:val="en-US" w:eastAsia="en-GB"/>
        </w:rPr>
        <w:t>+</w:t>
      </w:r>
      <w:r w:rsidR="00430D62" w:rsidRPr="00392836">
        <w:rPr>
          <w:lang w:val="en-US" w:eastAsia="en-GB"/>
        </w:rPr>
        <w:t xml:space="preserve"> in urine.</w:t>
      </w:r>
      <w:r w:rsidR="00505DDD">
        <w:rPr>
          <w:lang w:val="en-US" w:eastAsia="en-GB"/>
        </w:rPr>
        <w:t xml:space="preserve"> pH is</w:t>
      </w:r>
      <w:r w:rsidR="00430D62" w:rsidRPr="00392836">
        <w:rPr>
          <w:lang w:val="en-US" w:eastAsia="en-GB"/>
        </w:rPr>
        <w:t xml:space="preserve"> a reciprocal to [H</w:t>
      </w:r>
      <w:r w:rsidR="00430D62" w:rsidRPr="00392836">
        <w:rPr>
          <w:vertAlign w:val="superscript"/>
          <w:lang w:val="en-US" w:eastAsia="en-GB"/>
        </w:rPr>
        <w:t>+</w:t>
      </w:r>
      <w:r w:rsidR="00987115">
        <w:rPr>
          <w:lang w:val="en-US" w:eastAsia="en-GB"/>
        </w:rPr>
        <w:t>]</w:t>
      </w:r>
      <w:r w:rsidR="00430D62" w:rsidRPr="00392836">
        <w:rPr>
          <w:lang w:val="en-US" w:eastAsia="en-GB"/>
        </w:rPr>
        <w:t>, therefore as [H</w:t>
      </w:r>
      <w:r w:rsidR="00430D62" w:rsidRPr="00392836">
        <w:rPr>
          <w:vertAlign w:val="superscript"/>
          <w:lang w:val="en-US" w:eastAsia="en-GB"/>
        </w:rPr>
        <w:t>+</w:t>
      </w:r>
      <w:r w:rsidR="00430D62" w:rsidRPr="00392836">
        <w:rPr>
          <w:lang w:val="en-US" w:eastAsia="en-GB"/>
        </w:rPr>
        <w:t>] increases pH decreases and urine is more acidic. The test was based on the double indicator (methyl blue and bromethymol blue) principle which gives a broad range of colours from yellow green to blue and this covers the entire pH range. The pH was the first parameter to be read to avoid a run over eff</w:t>
      </w:r>
      <w:r w:rsidR="00505DDD">
        <w:rPr>
          <w:lang w:val="en-US" w:eastAsia="en-GB"/>
        </w:rPr>
        <w:t>ect from dripping urine along the</w:t>
      </w:r>
      <w:r w:rsidR="00430D62" w:rsidRPr="00392836">
        <w:rPr>
          <w:lang w:val="en-US" w:eastAsia="en-GB"/>
        </w:rPr>
        <w:t xml:space="preserve"> strip, because any excess urine on the strip can cause the acid buffer in the protein zone to run into the pH zone due to close proximity on the strip </w:t>
      </w:r>
      <w:r w:rsidR="00430D62" w:rsidRPr="00392836">
        <w:rPr>
          <w:lang w:val="en-US" w:eastAsia="en-GB"/>
        </w:rPr>
        <w:fldChar w:fldCharType="begin"/>
      </w:r>
      <w:r w:rsidR="00430D62" w:rsidRPr="00392836">
        <w:rPr>
          <w:lang w:val="en-US" w:eastAsia="en-GB"/>
        </w:rPr>
        <w:instrText xml:space="preserve"> ADDIN EN.CITE &lt;EndNote&gt;&lt;Cite&gt;&lt;Author&gt;Chadha&lt;/Author&gt;&lt;Year&gt;2001&lt;/Year&gt;&lt;IDText&gt;Measurement of urinary concentration: a critical appraisal of methodologies&lt;/IDText&gt;&lt;DisplayText&gt;(Chadha et al., 2001)&lt;/DisplayText&gt;&lt;record&gt;&lt;urls&gt;&lt;related-urls&gt;&lt;url&gt;http://dx.doi.org/10.1007/s004670000551&lt;/url&gt;&lt;/related-urls&gt;&lt;/urls&gt;&lt;isbn&gt;1432-198X&lt;/isbn&gt;&lt;work-type&gt;journal article&lt;/work-type&gt;&lt;titles&gt;&lt;title&gt;Measurement of urinary concentration: a critical appraisal of methodologies&lt;/title&gt;&lt;secondary-title&gt;Pediatric Nephrology&lt;/secondary-title&gt;&lt;/titles&gt;&lt;pages&gt;374-382&lt;/pages&gt;&lt;number&gt;4&lt;/number&gt;&lt;contributors&gt;&lt;authors&gt;&lt;author&gt;Chadha, Vimal&lt;/author&gt;&lt;author&gt;Garg, Uttam&lt;/author&gt;&lt;author&gt;Alon, U. S.&lt;/author&gt;&lt;/authors&gt;&lt;/contributors&gt;&lt;added-date format="utc"&gt;1494349277&lt;/added-date&gt;&lt;ref-type name="Journal Article"&gt;17&lt;/ref-type&gt;&lt;dates&gt;&lt;year&gt;2001&lt;/year&gt;&lt;/dates&gt;&lt;rec-number&gt;1684&lt;/rec-number&gt;&lt;last-updated-date format="utc"&gt;1494349277&lt;/last-updated-date&gt;&lt;label&gt;Chadha2001&lt;/label&gt;&lt;electronic-resource-num&gt;10.1007/s004670000551&lt;/electronic-resource-num&gt;&lt;volume&gt;16&lt;/volume&gt;&lt;/record&gt;&lt;/Cite&gt;&lt;/EndNote&gt;</w:instrText>
      </w:r>
      <w:r w:rsidR="00430D62" w:rsidRPr="00392836">
        <w:rPr>
          <w:lang w:val="en-US" w:eastAsia="en-GB"/>
        </w:rPr>
        <w:fldChar w:fldCharType="separate"/>
      </w:r>
      <w:r w:rsidR="00430D62" w:rsidRPr="00392836">
        <w:rPr>
          <w:noProof/>
          <w:lang w:val="en-US" w:eastAsia="en-GB"/>
        </w:rPr>
        <w:t>(Chadha et al., 2001)</w:t>
      </w:r>
      <w:r w:rsidR="00430D62" w:rsidRPr="00392836">
        <w:rPr>
          <w:lang w:val="en-US" w:eastAsia="en-GB"/>
        </w:rPr>
        <w:fldChar w:fldCharType="end"/>
      </w:r>
      <w:r w:rsidR="00430D62" w:rsidRPr="00392836">
        <w:rPr>
          <w:lang w:val="en-US" w:eastAsia="en-GB"/>
        </w:rPr>
        <w:t xml:space="preserve">. </w:t>
      </w:r>
    </w:p>
    <w:p w:rsidR="00430D62" w:rsidRPr="00987115" w:rsidRDefault="00430D62" w:rsidP="006F3564">
      <w:pPr>
        <w:spacing w:after="0"/>
        <w:ind w:left="720"/>
        <w:rPr>
          <w:rFonts w:eastAsia="Times New Roman" w:cs="Arial"/>
          <w:lang w:val="en-US" w:eastAsia="en-GB"/>
        </w:rPr>
      </w:pPr>
      <w:r w:rsidRPr="00987115">
        <w:rPr>
          <w:rFonts w:eastAsia="Times New Roman" w:cs="Arial"/>
          <w:noProof/>
          <w:lang w:eastAsia="en-GB"/>
        </w:rPr>
        <mc:AlternateContent>
          <mc:Choice Requires="wps">
            <w:drawing>
              <wp:anchor distT="0" distB="0" distL="114300" distR="114300" simplePos="0" relativeHeight="251669504" behindDoc="0" locked="0" layoutInCell="1" allowOverlap="1" wp14:anchorId="3271F36C" wp14:editId="58943998">
                <wp:simplePos x="0" y="0"/>
                <wp:positionH relativeFrom="column">
                  <wp:posOffset>2095500</wp:posOffset>
                </wp:positionH>
                <wp:positionV relativeFrom="paragraph">
                  <wp:posOffset>109855</wp:posOffset>
                </wp:positionV>
                <wp:extent cx="752475" cy="9525"/>
                <wp:effectExtent l="9525" t="54610" r="19050" b="50165"/>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2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F1CD0B" id="_x0000_t32" coordsize="21600,21600" o:spt="32" o:oned="t" path="m,l21600,21600e" filled="f">
                <v:path arrowok="t" fillok="f" o:connecttype="none"/>
                <o:lock v:ext="edit" shapetype="t"/>
              </v:shapetype>
              <v:shape id="Straight Arrow Connector 27" o:spid="_x0000_s1026" type="#_x0000_t32" style="position:absolute;margin-left:165pt;margin-top:8.65pt;width:59.25pt;height:.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Os/QAIAAHoEAAAOAAAAZHJzL2Uyb0RvYy54bWysVNFu2yAUfZ+0f0C8p44zp0mtOlVlJ3vp&#10;1krt9k4Ax2iYi4DGiab9+y7ETdftZZrmB3wx3HPPPRx8fXPoNdlL5xWYiuYXU0qk4SCU2VX0y9Nm&#10;sqTEB2YE02BkRY/S05vV+3fXgy3lDDrQQjqCIMaXg61oF4Its8zzTvbMX4CVBhdbcD0LOHW7TDg2&#10;IHqvs9l0epkN4IR1wKX3+LU5LdJVwm9bycN923oZiK4ocgtpdGncxjFbXbNy55jtFB9psH9g0TNl&#10;sOgZqmGBkWen/oDqFXfgoQ0XHPoM2lZxmXrAbvLpb908dszK1AuK4+1ZJv//YPnn/YMjSlR0tqDE&#10;sB7P6DE4pnZdILfOwUBqMAZ1BEdwC+o1WF9iWm0eXOyYH8yjvQP+zRMDdcfMTibeT0eLWHnMyN6k&#10;xIm3WHU7fAKBe9hzgCTeoXU9abWyX2NiBEeByCGd1vF8WvIQCMePi/msWMwp4bh0NZ/NUyVWRpCY&#10;ap0PHyX0JAYV9WNT525OBdj+zodI8TUhJhvYKK2TObQhw1ggrnjQSsTFNHG7ba0d2bNor/SMLN5s&#10;c/BsRALrJBPrMQ5MaYxJSEIFp1A6LWms1ktBiZZ4o2J0oqdNrIjNI+ExOjns+9X0ar1cL4tJMbtc&#10;T4pp00xuN3Uxudzki3nzoanrJv8R5cyLslNCSBP5v7g9L/7OTeO9O/n07PezUNlb9KQokn15J9LJ&#10;B/HoTybagjg+uNhdtAQaPG0eL2O8Qb/O067XX8bqJwAAAP//AwBQSwMEFAAGAAgAAAAhAPPGDzHf&#10;AAAACQEAAA8AAABkcnMvZG93bnJldi54bWxMj8FOwzAQRO9I/IO1SFwQdWhasEKcCgGlJ1QRyt2N&#10;lyRqvI5it03+nuUEx50Zzb7JV6PrxAmH0HrScDdLQCBV3rZUa9h9rm8ViBANWdN5Qg0TBlgVlxe5&#10;yaw/0weeylgLLqGQGQ1NjH0mZagadCbMfI/E3rcfnIl8DrW0gzlzuevkPEnupTMt8YfG9PjcYHUo&#10;j07DS7ldrr9uduN8qjbv5Zs6bGl61fr6anx6BBFxjH9h+MVndCiYae+PZIPoNKRpwlsiGw8pCA4s&#10;FmoJYs+CUiCLXP5fUPwAAAD//wMAUEsBAi0AFAAGAAgAAAAhALaDOJL+AAAA4QEAABMAAAAAAAAA&#10;AAAAAAAAAAAAAFtDb250ZW50X1R5cGVzXS54bWxQSwECLQAUAAYACAAAACEAOP0h/9YAAACUAQAA&#10;CwAAAAAAAAAAAAAAAAAvAQAAX3JlbHMvLnJlbHNQSwECLQAUAAYACAAAACEAE+TrP0ACAAB6BAAA&#10;DgAAAAAAAAAAAAAAAAAuAgAAZHJzL2Uyb0RvYy54bWxQSwECLQAUAAYACAAAACEA88YPMd8AAAAJ&#10;AQAADwAAAAAAAAAAAAAAAACaBAAAZHJzL2Rvd25yZXYueG1sUEsFBgAAAAAEAAQA8wAAAKYFAAAA&#10;AA==&#10;">
                <v:stroke endarrow="block"/>
              </v:shape>
            </w:pict>
          </mc:Fallback>
        </mc:AlternateContent>
      </w:r>
      <w:r w:rsidRPr="00987115">
        <w:rPr>
          <w:rFonts w:eastAsia="Times New Roman" w:cs="Arial"/>
          <w:lang w:val="en-US" w:eastAsia="en-GB"/>
        </w:rPr>
        <w:t xml:space="preserve">H </w:t>
      </w:r>
      <w:r w:rsidRPr="00987115">
        <w:rPr>
          <w:rFonts w:eastAsia="Times New Roman" w:cs="Arial"/>
          <w:vertAlign w:val="superscript"/>
          <w:lang w:val="en-US" w:eastAsia="en-GB"/>
        </w:rPr>
        <w:t>+</w:t>
      </w:r>
      <w:r w:rsidRPr="00987115">
        <w:rPr>
          <w:rFonts w:eastAsia="Times New Roman" w:cs="Arial"/>
          <w:lang w:val="en-US" w:eastAsia="en-GB"/>
        </w:rPr>
        <w:t>+ bromethym</w:t>
      </w:r>
      <w:r w:rsidR="00987115">
        <w:rPr>
          <w:rFonts w:eastAsia="Times New Roman" w:cs="Arial"/>
          <w:lang w:val="en-US" w:eastAsia="en-GB"/>
        </w:rPr>
        <w:t xml:space="preserve">ol blue                      </w:t>
      </w:r>
      <w:r w:rsidRPr="00987115">
        <w:rPr>
          <w:rFonts w:eastAsia="Times New Roman" w:cs="Arial"/>
          <w:lang w:val="en-US" w:eastAsia="en-GB"/>
        </w:rPr>
        <w:t>Bromethymol blue-H</w:t>
      </w:r>
      <w:r w:rsidRPr="00987115">
        <w:rPr>
          <w:rFonts w:eastAsia="Times New Roman" w:cs="Arial"/>
          <w:vertAlign w:val="superscript"/>
          <w:lang w:val="en-US" w:eastAsia="en-GB"/>
        </w:rPr>
        <w:t xml:space="preserve">+ </w:t>
      </w:r>
      <w:r w:rsidR="006F3564" w:rsidRPr="00987115">
        <w:rPr>
          <w:rFonts w:eastAsia="Times New Roman" w:cs="Arial"/>
          <w:lang w:val="en-US" w:eastAsia="en-GB"/>
        </w:rPr>
        <w:t>(yellow)</w:t>
      </w:r>
    </w:p>
    <w:p w:rsidR="00430D62" w:rsidRPr="00392836" w:rsidRDefault="00C94DE1" w:rsidP="00E805C3">
      <w:pPr>
        <w:ind w:left="720"/>
        <w:rPr>
          <w:lang w:val="en-US"/>
        </w:rPr>
      </w:pPr>
      <w:bookmarkStart w:id="147" w:name="_Toc484448832"/>
      <w:r>
        <w:rPr>
          <w:b/>
        </w:rPr>
        <w:t>Specific g</w:t>
      </w:r>
      <w:r w:rsidR="00430D62" w:rsidRPr="00B30F28">
        <w:rPr>
          <w:b/>
        </w:rPr>
        <w:t>ravity</w:t>
      </w:r>
      <w:r w:rsidR="00430D62" w:rsidRPr="004B681A">
        <w:rPr>
          <w:rStyle w:val="Heading4Char1"/>
        </w:rPr>
        <w:t>:</w:t>
      </w:r>
      <w:bookmarkEnd w:id="147"/>
      <w:r w:rsidR="00430D62" w:rsidRPr="00392836">
        <w:rPr>
          <w:lang w:val="en-US"/>
        </w:rPr>
        <w:t xml:space="preserve"> The test was based on the pKa change of pre-treated polyelectrolytes with respect to ionic concentration. With the aid of an indicator, low ionic concentration range change from blue-green to yellow-green in high ionic concentrations </w:t>
      </w:r>
      <w:r w:rsidR="00430D62" w:rsidRPr="00392836">
        <w:rPr>
          <w:lang w:val="en-US"/>
        </w:rPr>
        <w:fldChar w:fldCharType="begin"/>
      </w:r>
      <w:r w:rsidR="00430D62" w:rsidRPr="00392836">
        <w:rPr>
          <w:lang w:val="en-US"/>
        </w:rPr>
        <w:instrText xml:space="preserve"> ADDIN EN.CITE &lt;EndNote&gt;&lt;Cite&gt;&lt;Author&gt;Burkhardt&lt;/Author&gt;&lt;Year&gt;1982&lt;/Year&gt;&lt;IDText&gt;A reagent strip for measuring the specific gravity of urine&lt;/IDText&gt;&lt;DisplayText&gt;(Burkhardt et al., 1982)&lt;/DisplayText&gt;&lt;record&gt;&lt;dates&gt;&lt;pub-dates&gt;&lt;date&gt;Oct&lt;/date&gt;&lt;/pub-dates&gt;&lt;year&gt;1982&lt;/year&gt;&lt;/dates&gt;&lt;keywords&gt;&lt;keyword&gt;Equipment and Supplies&lt;/keyword&gt;&lt;keyword&gt;Humans&lt;/keyword&gt;&lt;keyword&gt;Hydrogen-Ion Concentration&lt;/keyword&gt;&lt;keyword&gt;*Indicators and Reagents&lt;/keyword&gt;&lt;keyword&gt;Maleic Anhydrides&lt;/keyword&gt;&lt;keyword&gt;Polyvinyls&lt;/keyword&gt;&lt;keyword&gt;*Reagent Strips&lt;/keyword&gt;&lt;keyword&gt;Specific Gravity&lt;/keyword&gt;&lt;keyword&gt;Urine/*analysis&lt;/keyword&gt;&lt;/keywords&gt;&lt;isbn&gt;0009-9147 (Print)&amp;#xD;0009-9147&lt;/isbn&gt;&lt;titles&gt;&lt;title&gt;A reagent strip for measuring the specific gravity of urine&lt;/title&gt;&lt;secondary-title&gt;Clin Chem&lt;/secondary-title&gt;&lt;alt-title&gt;Clinical chemistry&lt;/alt-title&gt;&lt;/titles&gt;&lt;pages&gt;2068-72&lt;/pages&gt;&lt;number&gt;10&lt;/number&gt;&lt;contributors&gt;&lt;authors&gt;&lt;author&gt;Burkhardt, A. E.&lt;/author&gt;&lt;author&gt;Johnston, K. G.&lt;/author&gt;&lt;author&gt;Waszak, C. E.&lt;/author&gt;&lt;author&gt;Jackson, C. E.&lt;/author&gt;&lt;author&gt;Shafer, S. R.&lt;/author&gt;&lt;/authors&gt;&lt;/contributors&gt;&lt;edition&gt;1982/10/01&lt;/edition&gt;&lt;language&gt;eng&lt;/language&gt;&lt;added-date format="utc"&gt;1494351730&lt;/added-date&gt;&lt;ref-type name="Journal Article"&gt;17&lt;/ref-type&gt;&lt;remote-database-provider&gt;NLM&lt;/remote-database-provider&gt;&lt;rec-number&gt;1686&lt;/rec-number&gt;&lt;last-updated-date format="utc"&gt;1494351730&lt;/last-updated-date&gt;&lt;accession-num&gt;7127735&lt;/accession-num&gt;&lt;volume&gt;28&lt;/volume&gt;&lt;/record&gt;&lt;/Cite&gt;&lt;/EndNote&gt;</w:instrText>
      </w:r>
      <w:r w:rsidR="00430D62" w:rsidRPr="00392836">
        <w:rPr>
          <w:lang w:val="en-US"/>
        </w:rPr>
        <w:fldChar w:fldCharType="separate"/>
      </w:r>
      <w:r w:rsidR="00430D62" w:rsidRPr="00392836">
        <w:rPr>
          <w:noProof/>
          <w:lang w:val="en-US"/>
        </w:rPr>
        <w:t>(Burkhardt et al., 1982)</w:t>
      </w:r>
      <w:r w:rsidR="00430D62" w:rsidRPr="00392836">
        <w:rPr>
          <w:lang w:val="en-US"/>
        </w:rPr>
        <w:fldChar w:fldCharType="end"/>
      </w:r>
      <w:r w:rsidR="00430D62" w:rsidRPr="00392836">
        <w:rPr>
          <w:lang w:val="en-US"/>
        </w:rPr>
        <w:t xml:space="preserve">.                         </w:t>
      </w:r>
    </w:p>
    <w:p w:rsidR="00430D62" w:rsidRPr="006F3564" w:rsidRDefault="00430D62" w:rsidP="006F3564">
      <w:pPr>
        <w:ind w:firstLine="720"/>
        <w:rPr>
          <w:lang w:val="en-US"/>
        </w:rPr>
      </w:pPr>
      <w:r w:rsidRPr="00392836">
        <w:rPr>
          <w:b/>
          <w:bCs/>
          <w:noProof/>
          <w:sz w:val="27"/>
          <w:szCs w:val="27"/>
          <w:lang w:eastAsia="en-GB"/>
        </w:rPr>
        <mc:AlternateContent>
          <mc:Choice Requires="wps">
            <w:drawing>
              <wp:anchor distT="0" distB="0" distL="114300" distR="114300" simplePos="0" relativeHeight="251670528" behindDoc="0" locked="0" layoutInCell="1" allowOverlap="1" wp14:anchorId="4972615F" wp14:editId="440E5B98">
                <wp:simplePos x="0" y="0"/>
                <wp:positionH relativeFrom="margin">
                  <wp:posOffset>2421890</wp:posOffset>
                </wp:positionH>
                <wp:positionV relativeFrom="paragraph">
                  <wp:posOffset>93345</wp:posOffset>
                </wp:positionV>
                <wp:extent cx="752475" cy="9525"/>
                <wp:effectExtent l="0" t="76200" r="28575" b="85725"/>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2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59F6FA" id="_x0000_t32" coordsize="21600,21600" o:spt="32" o:oned="t" path="m,l21600,21600e" filled="f">
                <v:path arrowok="t" fillok="f" o:connecttype="none"/>
                <o:lock v:ext="edit" shapetype="t"/>
              </v:shapetype>
              <v:shape id="Straight Arrow Connector 26" o:spid="_x0000_s1026" type="#_x0000_t32" style="position:absolute;margin-left:190.7pt;margin-top:7.35pt;width:59.25pt;height:.7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390QAIAAHoEAAAOAAAAZHJzL2Uyb0RvYy54bWysVNFu2yAUfZ+0f0C8p44zJ02tOlVlJ3vp&#10;1krt9k4Ax2iYi4DGiab9+y7ETdftZZrmB3wx3HPPPRx8fXPoNdlL5xWYiuYXU0qk4SCU2VX0y9Nm&#10;sqTEB2YE02BkRY/S05vV+3fXgy3lDDrQQjqCIMaXg61oF4Its8zzTvbMX4CVBhdbcD0LOHW7TDg2&#10;IHqvs9l0usgGcMI64NJ7/NqcFukq4bet5OG+bb0MRFcUuYU0ujRu45itrlm5c8x2io802D+w6Jky&#10;WPQM1bDAyLNTf0D1ijvw0IYLDn0Gbau4TD1gN/n0t24eO2Zl6gXF8fYsk/9/sPzz/sERJSo6W1Bi&#10;WI9n9BgcU7sukFvnYCA1GIM6giO4BfUarC8xrTYPLnbMD+bR3gH/5omBumNmJxPvp6NFrDxmZG9S&#10;4sRbrLodPoHAPew5QBLv0LqetFrZrzExgqNA5JBO63g+LXkIhOPHy/msuJxTwnHpaj6bp0qsjCAx&#10;1TofPkroSQwq6semzt2cCrD9nQ+R4mtCTDawUVonc2hDhrFAXPGglYiLaeJ221o7smfRXukZWbzZ&#10;5uDZiATWSSbWYxyY0hiTkIQKTqF0WtJYrZeCEi3xRsXoRE+bWBGbR8JjdHLY96vp1Xq5XhaTYrZY&#10;T4pp00xuN3UxWWzyy3nzoanrJv8R5cyLslNCSBP5v7g9L/7OTeO9O/n07PezUNlb9KQokn15J9LJ&#10;B/HoTybagjg+uNhdtAQaPG0eL2O8Qb/O067XX8bqJwAAAP//AwBQSwMEFAAGAAgAAAAhAPl60szf&#10;AAAACQEAAA8AAABkcnMvZG93bnJldi54bWxMj8FOg0AQhu8mvsNmTLyYdiliBWRpjNp6Mk2x3rcw&#10;Aik7S9htC2/veNLjzP/ln2+y1Wg6ccbBtZYULOYBCKTSVi3VCvaf61kMwnlNle4soYIJHazy66tM&#10;p5W90A7Pha8Fl5BLtYLG+z6V0pUNGu3mtkfi7NsORnseh1pWg75wuelkGARLaXRLfKHRPb40WB6L&#10;k1HwWmwf1l93+zGcyvePYhMftzS9KXV7Mz4/gfA4+j8YfvVZHXJ2OtgTVU50Cu7jRcQoB9EjCAai&#10;JElAHHixDEHmmfz/Qf4DAAD//wMAUEsBAi0AFAAGAAgAAAAhALaDOJL+AAAA4QEAABMAAAAAAAAA&#10;AAAAAAAAAAAAAFtDb250ZW50X1R5cGVzXS54bWxQSwECLQAUAAYACAAAACEAOP0h/9YAAACUAQAA&#10;CwAAAAAAAAAAAAAAAAAvAQAAX3JlbHMvLnJlbHNQSwECLQAUAAYACAAAACEA+SN/dEACAAB6BAAA&#10;DgAAAAAAAAAAAAAAAAAuAgAAZHJzL2Uyb0RvYy54bWxQSwECLQAUAAYACAAAACEA+XrSzN8AAAAJ&#10;AQAADwAAAAAAAAAAAAAAAACaBAAAZHJzL2Rvd25yZXYueG1sUEsFBgAAAAAEAAQA8wAAAKYFAAAA&#10;AA==&#10;">
                <v:stroke endarrow="block"/>
                <w10:wrap anchorx="margin"/>
              </v:shape>
            </w:pict>
          </mc:Fallback>
        </mc:AlternateContent>
      </w:r>
      <w:r w:rsidRPr="00392836">
        <w:rPr>
          <w:lang w:val="en-US"/>
        </w:rPr>
        <w:t>Polyelectrolyte-H</w:t>
      </w:r>
      <w:r w:rsidRPr="00392836">
        <w:rPr>
          <w:vertAlign w:val="subscript"/>
          <w:lang w:val="en-US"/>
        </w:rPr>
        <w:t xml:space="preserve">2 </w:t>
      </w:r>
      <w:r w:rsidRPr="00392836">
        <w:rPr>
          <w:lang w:val="en-US"/>
        </w:rPr>
        <w:t xml:space="preserve">+ cations </w:t>
      </w:r>
      <w:r w:rsidRPr="00392836">
        <w:rPr>
          <w:vertAlign w:val="superscript"/>
          <w:lang w:val="en-US"/>
        </w:rPr>
        <w:t>++</w:t>
      </w:r>
      <w:r w:rsidR="006F3564">
        <w:rPr>
          <w:lang w:val="en-US"/>
        </w:rPr>
        <w:t xml:space="preserve">                </w:t>
      </w:r>
      <w:r w:rsidRPr="00392836">
        <w:rPr>
          <w:lang w:val="en-US"/>
        </w:rPr>
        <w:t xml:space="preserve">  polyelectrolyte-cations + 2H </w:t>
      </w:r>
      <w:r w:rsidRPr="00392836">
        <w:rPr>
          <w:vertAlign w:val="superscript"/>
          <w:lang w:val="en-US"/>
        </w:rPr>
        <w:t>+</w:t>
      </w:r>
    </w:p>
    <w:p w:rsidR="00430D62" w:rsidRPr="00392836" w:rsidRDefault="00430D62" w:rsidP="00E805C3">
      <w:pPr>
        <w:ind w:left="720"/>
        <w:rPr>
          <w:lang w:val="en-US"/>
        </w:rPr>
      </w:pPr>
      <w:r w:rsidRPr="00392836">
        <w:rPr>
          <w:rFonts w:eastAsia="Calibri"/>
          <w:b/>
          <w:bCs/>
          <w:sz w:val="27"/>
          <w:szCs w:val="27"/>
          <w:lang w:val="en-US"/>
        </w:rPr>
        <w:t>Bilirubin:</w:t>
      </w:r>
      <w:r w:rsidRPr="00392836">
        <w:rPr>
          <w:lang w:val="en-US"/>
        </w:rPr>
        <w:t xml:space="preserve"> Bilirubin is light sensitive and therefore the urine was examined immediately and kept away from sunlight to prevent the oxidation of bilirubin to biliverdin. The test was based on coupling bilirubin and diazotized dichloroaniline in a strongly acidic medium. The presence of bilirubin in the urine reacts with diazide in the presence of an acidic medium to produce azobilirubin which results in a colour change on the strip </w:t>
      </w:r>
      <w:r w:rsidRPr="00392836">
        <w:rPr>
          <w:lang w:val="en-US"/>
        </w:rPr>
        <w:fldChar w:fldCharType="begin"/>
      </w:r>
      <w:r w:rsidRPr="00392836">
        <w:rPr>
          <w:lang w:val="en-US"/>
        </w:rPr>
        <w:instrText xml:space="preserve"> ADDIN EN.CITE &lt;EndNote&gt;&lt;Cite&gt;&lt;Author&gt;Smith&lt;/Author&gt;&lt;Year&gt;1977&lt;/Year&gt;&lt;IDText&gt;Urinalysis by use of multi-test reagent strips: two dipsticks compared&lt;/IDText&gt;&lt;DisplayText&gt;(Smith et al., 1977)&lt;/DisplayText&gt;&lt;record&gt;&lt;isbn&gt;0009-9147&lt;/isbn&gt;&lt;titles&gt;&lt;title&gt;Urinalysis by use of multi-test reagent strips: two dipsticks compared&lt;/title&gt;&lt;secondary-title&gt;Clinical chemistry&lt;/secondary-title&gt;&lt;/titles&gt;&lt;pages&gt;2337-2340&lt;/pages&gt;&lt;number&gt;12&lt;/number&gt;&lt;contributors&gt;&lt;authors&gt;&lt;author&gt;Smith, BC&lt;/author&gt;&lt;author&gt;Peake, MJ&lt;/author&gt;&lt;author&gt;Fraser, CG&lt;/author&gt;&lt;/authors&gt;&lt;/contributors&gt;&lt;added-date format="utc"&gt;1494350867&lt;/added-date&gt;&lt;ref-type name="Journal Article"&gt;17&lt;/ref-type&gt;&lt;dates&gt;&lt;year&gt;1977&lt;/year&gt;&lt;/dates&gt;&lt;rec-number&gt;1685&lt;/rec-number&gt;&lt;last-updated-date format="utc"&gt;1494350867&lt;/last-updated-date&gt;&lt;volume&gt;23&lt;/volume&gt;&lt;/record&gt;&lt;/Cite&gt;&lt;/EndNote&gt;</w:instrText>
      </w:r>
      <w:r w:rsidRPr="00392836">
        <w:rPr>
          <w:lang w:val="en-US"/>
        </w:rPr>
        <w:fldChar w:fldCharType="separate"/>
      </w:r>
      <w:r w:rsidRPr="00392836">
        <w:rPr>
          <w:noProof/>
          <w:lang w:val="en-US"/>
        </w:rPr>
        <w:t>(Smith et al., 1977)</w:t>
      </w:r>
      <w:r w:rsidRPr="00392836">
        <w:rPr>
          <w:lang w:val="en-US"/>
        </w:rPr>
        <w:fldChar w:fldCharType="end"/>
      </w:r>
      <w:r w:rsidRPr="00392836">
        <w:rPr>
          <w:lang w:val="en-US"/>
        </w:rPr>
        <w:t>.</w:t>
      </w:r>
    </w:p>
    <w:p w:rsidR="00430D62" w:rsidRPr="00392836" w:rsidRDefault="00430D62" w:rsidP="00E805C3">
      <w:pPr>
        <w:ind w:firstLine="720"/>
        <w:rPr>
          <w:lang w:val="en-US"/>
        </w:rPr>
      </w:pPr>
      <w:r w:rsidRPr="00392836">
        <w:rPr>
          <w:noProof/>
          <w:lang w:eastAsia="en-GB"/>
        </w:rPr>
        <mc:AlternateContent>
          <mc:Choice Requires="wps">
            <w:drawing>
              <wp:anchor distT="0" distB="0" distL="114300" distR="114300" simplePos="0" relativeHeight="251668480" behindDoc="0" locked="0" layoutInCell="1" allowOverlap="1" wp14:anchorId="75DCA723" wp14:editId="2D04F083">
                <wp:simplePos x="0" y="0"/>
                <wp:positionH relativeFrom="column">
                  <wp:posOffset>1809750</wp:posOffset>
                </wp:positionH>
                <wp:positionV relativeFrom="paragraph">
                  <wp:posOffset>116205</wp:posOffset>
                </wp:positionV>
                <wp:extent cx="819150" cy="19050"/>
                <wp:effectExtent l="9525" t="34290" r="19050" b="6096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B78EB5" id="_x0000_t32" coordsize="21600,21600" o:spt="32" o:oned="t" path="m,l21600,21600e" filled="f">
                <v:path arrowok="t" fillok="f" o:connecttype="none"/>
                <o:lock v:ext="edit" shapetype="t"/>
              </v:shapetype>
              <v:shape id="Straight Arrow Connector 16" o:spid="_x0000_s1026" type="#_x0000_t32" style="position:absolute;margin-left:142.5pt;margin-top:9.15pt;width:64.5pt;height: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XxPAIAAHEEAAAOAAAAZHJzL2Uyb0RvYy54bWysVM2O0zAQviPxDpbv3SSlLW206WqVtFwW&#10;WGmXB3Btp7FwPJbtbVoh3p2xmxYWLgjRgzv2zHzzzV9u7469JgfpvAJT0eImp0QaDkKZfUW/PG8n&#10;S0p8YEYwDUZW9CQ9vVu/fXM72FJOoQMtpCMIYnw52Ip2IdgyyzzvZM/8DVhpUNmC61nAq9tnwrEB&#10;0XudTfN8kQ3ghHXApff42pyVdJ3w21by8LltvQxEVxS5hXS6dO7ima1vWbl3zHaKjzTYP7DomTIY&#10;9ArVsMDIi1N/QPWKO/DQhhsOfQZtq7hMOWA2Rf5bNk8dszLlgsXx9lom//9g+afDoyNKYO8WlBjW&#10;Y4+egmNq3wVy7xwMpAZjsI7gCJpgvQbrS3SrzaOLGfOjebIPwL96YqDumNnLxPv5ZBGriB7ZK5d4&#10;8Raj7oaPINCGvQRIxTu2ro+QWBZyTD06XXskj4FwfFwWq2KOneSoKlY5ijEAKy++1vnwQUJPolBR&#10;P+ZyTaJIkdjhwYez48UhBjawVVrjOyu1IUNFV/PpPDl40EpEZdR5t9/V2pEDi1OVfiOLV2YOXoxI&#10;YJ1kYjPKgSmNMgmpPsEprJiWNEbrpaBES1ykKJ3paRMjYvZIeJTOg/Vtla82y81yNplNF5vJLG+a&#10;yf22nk0W2+L9vHnX1HVTfI/ki1nZKSGkifwvQ17M/m6IxnU7j+d1zK+Fyl6jp1Yg2ct/Ip3aHzt+&#10;np0diNOji9nFScC5TsbjDsbF+fWerH5+KdY/AAAA//8DAFBLAwQUAAYACAAAACEA1Z4Az+AAAAAJ&#10;AQAADwAAAGRycy9kb3ducmV2LnhtbEyPwU7DMBBE70j8g7VI3KiTtkQhxKmACpELSLQIcXTjJY6I&#10;11Hstilfz3KC484bzc6Uq8n14oBj6DwpSGcJCKTGm45aBW/bx6scRIiajO49oYITBlhV52elLow/&#10;0iseNrEVHEKh0ApsjEMhZWgsOh1mfkBi9ulHpyOfYyvNqI8c7no5T5JMOt0Rf7B6wAeLzddm7xTE&#10;9cfJZu/N/U33sn16zrrvuq7XSl1eTHe3ICJO8c8Mv/W5OlTcaef3ZILoFczza94SGeQLEGxYpksW&#10;dkzSBciqlP8XVD8AAAD//wMAUEsBAi0AFAAGAAgAAAAhALaDOJL+AAAA4QEAABMAAAAAAAAAAAAA&#10;AAAAAAAAAFtDb250ZW50X1R5cGVzXS54bWxQSwECLQAUAAYACAAAACEAOP0h/9YAAACUAQAACwAA&#10;AAAAAAAAAAAAAAAvAQAAX3JlbHMvLnJlbHNQSwECLQAUAAYACAAAACEAHr+l8TwCAABxBAAADgAA&#10;AAAAAAAAAAAAAAAuAgAAZHJzL2Uyb0RvYy54bWxQSwECLQAUAAYACAAAACEA1Z4Az+AAAAAJAQAA&#10;DwAAAAAAAAAAAAAAAACWBAAAZHJzL2Rvd25yZXYueG1sUEsFBgAAAAAEAAQA8wAAAKMFAAAAAA==&#10;">
                <v:stroke endarrow="block"/>
              </v:shape>
            </w:pict>
          </mc:Fallback>
        </mc:AlternateContent>
      </w:r>
      <w:r w:rsidRPr="00392836">
        <w:rPr>
          <w:lang w:val="en-US"/>
        </w:rPr>
        <w:t xml:space="preserve">Bilirubin + diazide          </w:t>
      </w:r>
      <w:r w:rsidRPr="00392836">
        <w:rPr>
          <w:vertAlign w:val="superscript"/>
          <w:lang w:val="en-US"/>
        </w:rPr>
        <w:t>acid</w:t>
      </w:r>
      <w:r w:rsidRPr="00392836">
        <w:rPr>
          <w:lang w:val="en-US"/>
        </w:rPr>
        <w:t xml:space="preserve">          Azobilirubin</w:t>
      </w:r>
    </w:p>
    <w:p w:rsidR="00430D62" w:rsidRPr="00392836" w:rsidRDefault="00430D62" w:rsidP="00E805C3">
      <w:pPr>
        <w:ind w:left="720"/>
        <w:rPr>
          <w:lang w:val="en-US"/>
        </w:rPr>
      </w:pPr>
      <w:r w:rsidRPr="00392836">
        <w:rPr>
          <w:lang w:eastAsia="en-GB"/>
        </w:rPr>
        <w:t>The test measures bilirubin range from 0.5 to 1 mg/dl urine, and t</w:t>
      </w:r>
      <w:r w:rsidRPr="00392836">
        <w:rPr>
          <w:lang w:val="en-US"/>
        </w:rPr>
        <w:t>he colour variation ranges through shades of tan.</w:t>
      </w:r>
    </w:p>
    <w:p w:rsidR="00430D62" w:rsidRPr="00392836" w:rsidRDefault="00755304" w:rsidP="00E805C3">
      <w:pPr>
        <w:ind w:left="720"/>
        <w:rPr>
          <w:rFonts w:eastAsia="Times New Roman"/>
          <w:lang w:eastAsia="en-GB"/>
        </w:rPr>
      </w:pPr>
      <w:bookmarkStart w:id="148" w:name="_Toc484448834"/>
      <w:bookmarkStart w:id="149" w:name="_Toc506232339"/>
      <w:r w:rsidRPr="009D7B45">
        <w:rPr>
          <w:rStyle w:val="Heading4Char1"/>
        </w:rPr>
        <w:lastRenderedPageBreak/>
        <w:t>2.4</w:t>
      </w:r>
      <w:r w:rsidR="006A5D39" w:rsidRPr="009D7B45">
        <w:rPr>
          <w:rStyle w:val="Heading4Char1"/>
        </w:rPr>
        <w:t>.2</w:t>
      </w:r>
      <w:r w:rsidRPr="009D7B45">
        <w:rPr>
          <w:rStyle w:val="Heading4Char1"/>
        </w:rPr>
        <w:t xml:space="preserve"> </w:t>
      </w:r>
      <w:r w:rsidR="00430D62" w:rsidRPr="009D7B45">
        <w:rPr>
          <w:rStyle w:val="Heading4Char1"/>
        </w:rPr>
        <w:t>Blood urea nitrogen (BUN)</w:t>
      </w:r>
      <w:bookmarkEnd w:id="148"/>
      <w:r w:rsidR="007D497A" w:rsidRPr="009D7B45">
        <w:rPr>
          <w:rStyle w:val="Heading4Char1"/>
        </w:rPr>
        <w:t>:</w:t>
      </w:r>
      <w:bookmarkEnd w:id="149"/>
      <w:r w:rsidR="004F5E14">
        <w:rPr>
          <w:rFonts w:eastAsia="Times New Roman"/>
          <w:b/>
          <w:lang w:val="en-US"/>
        </w:rPr>
        <w:t xml:space="preserve"> </w:t>
      </w:r>
      <w:r w:rsidR="00430D62" w:rsidRPr="00392836">
        <w:t xml:space="preserve">The process of protein metabolism occurs in the liver with urea as its by-product which is excreted from the body by the kidneys. The glomerulus filters urea freely out of the body but it is subsequently reabsorbed through a flow dependant mechanism in the tubules. Therefore the higher the flow rate, the more the amount of urea that is excreted from the blood by the kidneys. This therefore makes urea a good measurement parameter of kidney function. However there are two methods </w:t>
      </w:r>
      <w:r w:rsidR="002D203F">
        <w:t xml:space="preserve">available in the investigation of urea: </w:t>
      </w:r>
      <w:r w:rsidR="00430D62" w:rsidRPr="00392836">
        <w:rPr>
          <w:rFonts w:eastAsia="Calibri"/>
          <w:lang w:val="en-US"/>
        </w:rPr>
        <w:t>the diacetyl, or Fearon, reaction and the enzymatic method</w:t>
      </w:r>
      <w:r w:rsidR="002D203F">
        <w:rPr>
          <w:rFonts w:eastAsia="Calibri"/>
          <w:lang w:val="en-US"/>
        </w:rPr>
        <w:t>.</w:t>
      </w:r>
      <w:r w:rsidR="00430D62" w:rsidRPr="00392836">
        <w:rPr>
          <w:rFonts w:eastAsia="Times New Roman"/>
          <w:lang w:eastAsia="en-GB"/>
        </w:rPr>
        <w:t xml:space="preserve"> In the enzymatic method, urea is determined by a coupled enzyme reaction that produces a colorimetric by-product which is proportio</w:t>
      </w:r>
      <w:r w:rsidR="00505DDD">
        <w:rPr>
          <w:rFonts w:eastAsia="Times New Roman"/>
          <w:lang w:eastAsia="en-GB"/>
        </w:rPr>
        <w:t>nal to urea. This method</w:t>
      </w:r>
      <w:r w:rsidR="00430D62" w:rsidRPr="00392836">
        <w:rPr>
          <w:rFonts w:eastAsia="Times New Roman"/>
          <w:lang w:eastAsia="en-GB"/>
        </w:rPr>
        <w:t xml:space="preserve"> is also more specific.</w:t>
      </w:r>
      <w:r w:rsidR="00430D62" w:rsidRPr="00392836">
        <w:rPr>
          <w:rFonts w:eastAsia="Calibri"/>
          <w:lang w:val="en-US"/>
        </w:rPr>
        <w:t xml:space="preserve"> It uses the enzyme urease to convert urea to ammonia and carbonic acid, which are proportional to the concentration of urea in the sample and absorbance is measured at 570 nm. We therefore used the enzymatic method to determine urea in our </w:t>
      </w:r>
      <w:r w:rsidR="002D203F">
        <w:rPr>
          <w:rFonts w:eastAsia="Calibri"/>
          <w:lang w:val="en-US"/>
        </w:rPr>
        <w:t xml:space="preserve">rat </w:t>
      </w:r>
      <w:r w:rsidR="00430D62" w:rsidRPr="00392836">
        <w:rPr>
          <w:rFonts w:eastAsia="Calibri"/>
          <w:lang w:val="en-US"/>
        </w:rPr>
        <w:t xml:space="preserve">urine samples </w:t>
      </w:r>
      <w:r w:rsidR="00430D62" w:rsidRPr="00392836">
        <w:rPr>
          <w:rFonts w:eastAsia="Calibri"/>
          <w:lang w:val="en-US"/>
        </w:rPr>
        <w:fldChar w:fldCharType="begin"/>
      </w:r>
      <w:r w:rsidR="00430D62" w:rsidRPr="00392836">
        <w:rPr>
          <w:rFonts w:eastAsia="Calibri"/>
          <w:lang w:val="en-US"/>
        </w:rPr>
        <w:instrText xml:space="preserve"> ADDIN EN.CITE &lt;EndNote&gt;&lt;Cite&gt;&lt;Author&gt;Na&lt;/Author&gt;&lt;Year&gt;2014&lt;/Year&gt;&lt;IDText&gt;Effects of glucose concentration in the medium on rat hepatocyte culture&lt;/IDText&gt;&lt;DisplayText&gt;(Na et al., 2014)&lt;/DisplayText&gt;&lt;record&gt;&lt;dates&gt;&lt;pub-dates&gt;&lt;date&gt;Aug&lt;/date&gt;&lt;/pub-dates&gt;&lt;year&gt;2014&lt;/year&gt;&lt;/dates&gt;&lt;keywords&gt;&lt;keyword&gt;Cell transplantation&lt;/keyword&gt;&lt;keyword&gt;Culture&lt;/keyword&gt;&lt;keyword&gt;Glucose&lt;/keyword&gt;&lt;keyword&gt;Hepatocytes&lt;/keyword&gt;&lt;keyword&gt;Rats&lt;/keyword&gt;&lt;/keywords&gt;&lt;isbn&gt;2288-6575 (Print)&amp;#xD;2288-6575&lt;/isbn&gt;&lt;custom2&gt;Pmc4127907&lt;/custom2&gt;&lt;titles&gt;&lt;title&gt;Effects of glucose concentration in the medium on rat hepatocyte culture&lt;/title&gt;&lt;secondary-title&gt;Ann Surg Treat Res&lt;/secondary-title&gt;&lt;alt-title&gt;Annals of surgical treatment and research&lt;/alt-title&gt;&lt;/titles&gt;&lt;pages&gt;53-60&lt;/pages&gt;&lt;number&gt;2&lt;/number&gt;&lt;contributors&gt;&lt;authors&gt;&lt;author&gt;Na, G. H.&lt;/author&gt;&lt;author&gt;Kim, D. G.&lt;/author&gt;&lt;author&gt;Kim, Y. H.&lt;/author&gt;&lt;author&gt;Han, J. H.&lt;/author&gt;&lt;author&gt;Jung, E. S.&lt;/author&gt;&lt;/authors&gt;&lt;/contributors&gt;&lt;edition&gt;2014/08/13&lt;/edition&gt;&lt;language&gt;eng&lt;/language&gt;&lt;added-date format="utc"&gt;1494418725&lt;/added-date&gt;&lt;ref-type name="Journal Article"&gt;17&lt;/ref-type&gt;&lt;auth-address&gt;Department of Surgery, Seoul St. Mary&amp;apos;s Hospital, The Catholic University of Korea College of Medicine, Seoul, Korea.&amp;#xD;Department of Pathology, Seoul St. Mary&amp;apos;s Hospital, The Catholic University of Korea College of Medicine, Seoul, Korea.&lt;/auth-address&gt;&lt;remote-database-provider&gt;NLM&lt;/remote-database-provider&gt;&lt;rec-number&gt;1689&lt;/rec-number&gt;&lt;last-updated-date format="utc"&gt;1494418725&lt;/last-updated-date&gt;&lt;accession-num&gt;25114883&lt;/accession-num&gt;&lt;electronic-resource-num&gt;10.4174/astr.2014.87.2.53&lt;/electronic-resource-num&gt;&lt;volume&gt;87&lt;/volume&gt;&lt;/record&gt;&lt;/Cite&gt;&lt;/EndNote&gt;</w:instrText>
      </w:r>
      <w:r w:rsidR="00430D62" w:rsidRPr="00392836">
        <w:rPr>
          <w:rFonts w:eastAsia="Calibri"/>
          <w:lang w:val="en-US"/>
        </w:rPr>
        <w:fldChar w:fldCharType="separate"/>
      </w:r>
      <w:r w:rsidR="00430D62" w:rsidRPr="00392836">
        <w:rPr>
          <w:rFonts w:eastAsia="Calibri"/>
          <w:noProof/>
          <w:lang w:val="en-US"/>
        </w:rPr>
        <w:t>(Na et al., 2014)</w:t>
      </w:r>
      <w:r w:rsidR="00430D62" w:rsidRPr="00392836">
        <w:rPr>
          <w:rFonts w:eastAsia="Calibri"/>
          <w:lang w:val="en-US"/>
        </w:rPr>
        <w:fldChar w:fldCharType="end"/>
      </w:r>
      <w:r w:rsidR="00430D62" w:rsidRPr="00392836">
        <w:rPr>
          <w:rFonts w:eastAsia="Calibri"/>
          <w:lang w:val="en-US"/>
        </w:rPr>
        <w:t>.</w:t>
      </w:r>
      <w:r w:rsidR="002D203F">
        <w:rPr>
          <w:rFonts w:eastAsia="Times New Roman"/>
          <w:lang w:eastAsia="en-GB"/>
        </w:rPr>
        <w:t xml:space="preserve"> BUN</w:t>
      </w:r>
      <w:r w:rsidR="00430D62" w:rsidRPr="00392836">
        <w:rPr>
          <w:rFonts w:eastAsia="Times New Roman"/>
          <w:lang w:eastAsia="en-GB"/>
        </w:rPr>
        <w:t xml:space="preserve"> kit was bought from Sigma-Aldrich</w:t>
      </w:r>
      <w:r w:rsidR="00430D62" w:rsidRPr="00392836">
        <w:rPr>
          <w:rFonts w:eastAsia="Calibri"/>
          <w:lang w:val="en-US"/>
        </w:rPr>
        <w:t xml:space="preserve"> (MAK006)</w:t>
      </w:r>
      <w:r w:rsidR="00505DDD">
        <w:rPr>
          <w:rFonts w:eastAsia="Calibri"/>
          <w:lang w:val="en-US"/>
        </w:rPr>
        <w:t>.</w:t>
      </w:r>
      <w:r w:rsidR="00430D62" w:rsidRPr="00392836">
        <w:rPr>
          <w:rFonts w:eastAsia="Calibri"/>
          <w:lang w:val="en-US"/>
        </w:rPr>
        <w:t xml:space="preserve"> </w:t>
      </w:r>
      <w:r w:rsidR="00505DDD">
        <w:rPr>
          <w:rFonts w:eastAsia="Calibri"/>
          <w:lang w:val="en-US"/>
        </w:rPr>
        <w:t>I</w:t>
      </w:r>
      <w:r w:rsidR="00430D62" w:rsidRPr="00392836">
        <w:rPr>
          <w:rFonts w:eastAsia="Calibri"/>
          <w:lang w:val="en-US"/>
        </w:rPr>
        <w:t>t consist</w:t>
      </w:r>
      <w:r w:rsidR="00505DDD">
        <w:rPr>
          <w:rFonts w:eastAsia="Calibri"/>
          <w:lang w:val="en-US"/>
        </w:rPr>
        <w:t>s</w:t>
      </w:r>
      <w:r w:rsidR="00430D62" w:rsidRPr="00392836">
        <w:rPr>
          <w:rFonts w:eastAsia="Calibri"/>
          <w:lang w:val="en-US"/>
        </w:rPr>
        <w:t xml:space="preserve"> of urea assay buffer, peroxidase sub</w:t>
      </w:r>
      <w:r w:rsidR="002D203F">
        <w:rPr>
          <w:rFonts w:eastAsia="Calibri"/>
          <w:lang w:val="en-US"/>
        </w:rPr>
        <w:t>strate, enzyme mix developer,</w:t>
      </w:r>
      <w:r w:rsidR="00430D62" w:rsidRPr="00392836">
        <w:rPr>
          <w:rFonts w:eastAsia="Calibri"/>
          <w:lang w:val="en-US"/>
        </w:rPr>
        <w:t xml:space="preserve"> converting enzyme and urea standard</w:t>
      </w:r>
      <w:r w:rsidR="00430D62" w:rsidRPr="00392836">
        <w:rPr>
          <w:rFonts w:eastAsia="Times New Roman"/>
          <w:lang w:eastAsia="en-GB"/>
        </w:rPr>
        <w:t xml:space="preserve">. </w:t>
      </w:r>
      <w:r w:rsidR="00430D62" w:rsidRPr="00392836">
        <w:rPr>
          <w:rFonts w:eastAsia="Calibri"/>
          <w:lang w:val="en-US"/>
        </w:rPr>
        <w:t xml:space="preserve"> </w:t>
      </w:r>
    </w:p>
    <w:p w:rsidR="00430D62" w:rsidRPr="00392836" w:rsidRDefault="00430D62" w:rsidP="00E805C3">
      <w:pPr>
        <w:ind w:left="720"/>
      </w:pPr>
      <w:r w:rsidRPr="00392836">
        <w:t>No</w:t>
      </w:r>
      <w:r w:rsidR="002D203F">
        <w:t xml:space="preserve">rmal adult </w:t>
      </w:r>
      <w:r w:rsidRPr="00392836">
        <w:t xml:space="preserve">BUN levels are between 7 and 21 mg urea nitrogen per 100 mls blood (mg/dl). An elevated BUN </w:t>
      </w:r>
      <w:r w:rsidR="00505DDD">
        <w:t xml:space="preserve">of </w:t>
      </w:r>
      <w:r w:rsidRPr="00392836">
        <w:t xml:space="preserve">more than 50 mg/dl is suggestive of poor kidney function and may be associated with acute kidney injury while a low BUN may be suggestive of poor protein diet, malnutrition or liver disease. However low BUN is not clinically predictive </w:t>
      </w:r>
      <w:r w:rsidRPr="00392836">
        <w:fldChar w:fldCharType="begin"/>
      </w:r>
      <w:r w:rsidRPr="00392836">
        <w:instrText xml:space="preserve"> ADDIN EN.CITE &lt;EndNote&gt;&lt;Cite&gt;&lt;Author&gt;Beier&lt;/Author&gt;&lt;Year&gt;2011&lt;/Year&gt;&lt;IDText&gt;Elevation of BUN is predictive of long-term mortality in critically ill patients independent of &amp;apos;normal&amp;apos; creatinine&lt;/IDText&gt;&lt;DisplayText&gt;(Beier et al., 2011)&lt;/DisplayText&gt;&lt;record&gt;&lt;urls&gt;&lt;related-urls&gt;&lt;url&gt;http://www.ncbi.nlm.nih.gov/pmc/articles/PMC3448784/&lt;/url&gt;&lt;/related-urls&gt;&lt;/urls&gt;&lt;isbn&gt;0090-3493&amp;#xD;1530-0293&lt;/isbn&gt;&lt;titles&gt;&lt;title&gt;Elevation of BUN is predictive of long-term mortality in critically ill patients independent of &amp;apos;normal&amp;apos; creatinine&lt;/title&gt;&lt;secondary-title&gt;Critical care medicine&lt;/secondary-title&gt;&lt;/titles&gt;&lt;pages&gt;305-313&lt;/pages&gt;&lt;number&gt;2&lt;/number&gt;&lt;contributors&gt;&lt;authors&gt;&lt;author&gt;Beier, Kevin&lt;/author&gt;&lt;author&gt;Eppanapally, Sabitha&lt;/author&gt;&lt;author&gt;Bazick, Heidi S.&lt;/author&gt;&lt;author&gt;Chang, Domingo&lt;/author&gt;&lt;author&gt;Mahadevappa, Karthik&lt;/author&gt;&lt;author&gt;Gibbons, Fiona K.&lt;/author&gt;&lt;author&gt;Christopher, Kenneth B.&lt;/author&gt;&lt;/authors&gt;&lt;/contributors&gt;&lt;added-date format="utc"&gt;1494417587&lt;/added-date&gt;&lt;ref-type name="Journal Article"&gt;17&lt;/ref-type&gt;&lt;dates&gt;&lt;year&gt;2011&lt;/year&gt;&lt;/dates&gt;&lt;rec-number&gt;1688&lt;/rec-number&gt;&lt;last-updated-date format="utc"&gt;1494417587&lt;/last-updated-date&gt;&lt;accession-num&gt;PMC3448784&lt;/accession-num&gt;&lt;electronic-resource-num&gt;10.1097/CCM.0b013e3181ffe22a&lt;/electronic-resource-num&gt;&lt;volume&gt;39&lt;/volume&gt;&lt;remote-database-name&gt;PMC&lt;/remote-database-name&gt;&lt;/record&gt;&lt;/Cite&gt;&lt;/EndNote&gt;</w:instrText>
      </w:r>
      <w:r w:rsidRPr="00392836">
        <w:fldChar w:fldCharType="separate"/>
      </w:r>
      <w:r w:rsidRPr="00392836">
        <w:rPr>
          <w:noProof/>
        </w:rPr>
        <w:t>(Beier et al., 2011)</w:t>
      </w:r>
      <w:r w:rsidRPr="00392836">
        <w:fldChar w:fldCharType="end"/>
      </w:r>
      <w:r w:rsidRPr="00392836">
        <w:t xml:space="preserve">. </w:t>
      </w:r>
    </w:p>
    <w:p w:rsidR="00C94DE1" w:rsidRDefault="00C94DE1">
      <w:pPr>
        <w:spacing w:after="160" w:line="259" w:lineRule="auto"/>
        <w:jc w:val="left"/>
        <w:rPr>
          <w:rFonts w:ascii="Times New Roman" w:hAnsi="Times New Roman"/>
          <w:b/>
        </w:rPr>
      </w:pPr>
      <w:r>
        <w:rPr>
          <w:rFonts w:ascii="Times New Roman" w:hAnsi="Times New Roman"/>
          <w:b/>
        </w:rPr>
        <w:br w:type="page"/>
      </w:r>
    </w:p>
    <w:p w:rsidR="00430D62" w:rsidRPr="00C94DE1" w:rsidRDefault="00430D62" w:rsidP="00C94DE1">
      <w:pPr>
        <w:ind w:firstLine="720"/>
        <w:rPr>
          <w:b/>
        </w:rPr>
      </w:pPr>
      <w:r w:rsidRPr="00C94DE1">
        <w:rPr>
          <w:b/>
        </w:rPr>
        <w:lastRenderedPageBreak/>
        <w:t>Procedure</w:t>
      </w:r>
    </w:p>
    <w:p w:rsidR="00430D62" w:rsidRPr="00C94DE1" w:rsidRDefault="00430D62" w:rsidP="00D57565">
      <w:pPr>
        <w:ind w:firstLine="720"/>
        <w:rPr>
          <w:b/>
        </w:rPr>
      </w:pPr>
      <w:r w:rsidRPr="00C94DE1">
        <w:rPr>
          <w:b/>
        </w:rPr>
        <w:t>Preparation of standard</w:t>
      </w:r>
    </w:p>
    <w:tbl>
      <w:tblPr>
        <w:tblW w:w="0" w:type="auto"/>
        <w:tblInd w:w="665" w:type="dxa"/>
        <w:tblLook w:val="04A0" w:firstRow="1" w:lastRow="0" w:firstColumn="1" w:lastColumn="0" w:noHBand="0" w:noVBand="1"/>
      </w:tblPr>
      <w:tblGrid>
        <w:gridCol w:w="2484"/>
        <w:gridCol w:w="2468"/>
        <w:gridCol w:w="2551"/>
      </w:tblGrid>
      <w:tr w:rsidR="00430D62" w:rsidRPr="00392836" w:rsidTr="004F5EDA">
        <w:trPr>
          <w:trHeight w:val="414"/>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 xml:space="preserve">Reagent </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Standard blank (µl)</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Samples/Standards (µl)</w:t>
            </w:r>
          </w:p>
        </w:tc>
      </w:tr>
      <w:tr w:rsidR="00430D62" w:rsidRPr="00392836" w:rsidTr="00B77411">
        <w:trPr>
          <w:trHeight w:val="400"/>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Urea assay buffer</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44</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42</w:t>
            </w:r>
          </w:p>
        </w:tc>
      </w:tr>
      <w:tr w:rsidR="00430D62" w:rsidRPr="00392836" w:rsidTr="00B77411">
        <w:trPr>
          <w:trHeight w:val="414"/>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Peroxidase substrate</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r>
      <w:tr w:rsidR="00430D62" w:rsidRPr="00392836" w:rsidTr="00B77411">
        <w:trPr>
          <w:trHeight w:val="400"/>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Enzyme mix</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r>
      <w:tr w:rsidR="00430D62" w:rsidRPr="00392836" w:rsidTr="00B77411">
        <w:trPr>
          <w:trHeight w:val="414"/>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Developer</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r>
      <w:tr w:rsidR="00430D62" w:rsidRPr="00392836" w:rsidTr="00B77411">
        <w:trPr>
          <w:trHeight w:val="414"/>
        </w:trPr>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Converting enzyme</w:t>
            </w:r>
          </w:p>
        </w:tc>
        <w:tc>
          <w:tcPr>
            <w:tcW w:w="2569"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0</w:t>
            </w:r>
          </w:p>
        </w:tc>
        <w:tc>
          <w:tcPr>
            <w:tcW w:w="2570" w:type="dxa"/>
            <w:tcBorders>
              <w:top w:val="single" w:sz="12" w:space="0" w:color="auto"/>
              <w:left w:val="single" w:sz="12" w:space="0" w:color="auto"/>
              <w:bottom w:val="single" w:sz="12" w:space="0" w:color="auto"/>
              <w:right w:val="single" w:sz="12" w:space="0" w:color="auto"/>
            </w:tcBorders>
          </w:tcPr>
          <w:p w:rsidR="00430D62" w:rsidRPr="00505DDD" w:rsidRDefault="00430D62" w:rsidP="007D497A">
            <w:pPr>
              <w:spacing w:after="0"/>
              <w:rPr>
                <w:rFonts w:eastAsia="Times New Roman" w:cs="Arial"/>
                <w:lang w:eastAsia="en-GB"/>
              </w:rPr>
            </w:pPr>
            <w:r w:rsidRPr="00505DDD">
              <w:rPr>
                <w:rFonts w:eastAsia="Times New Roman" w:cs="Arial"/>
                <w:lang w:eastAsia="en-GB"/>
              </w:rPr>
              <w:t>2</w:t>
            </w:r>
          </w:p>
        </w:tc>
      </w:tr>
    </w:tbl>
    <w:p w:rsidR="00DF4C24" w:rsidRDefault="00DF4C24" w:rsidP="00DF4C24">
      <w:pPr>
        <w:pStyle w:val="LegText"/>
      </w:pPr>
    </w:p>
    <w:p w:rsidR="00430D62" w:rsidRPr="00D316D5" w:rsidRDefault="00D316D5" w:rsidP="00D316D5">
      <w:pPr>
        <w:pStyle w:val="Table"/>
        <w:ind w:left="720"/>
        <w:rPr>
          <w:b w:val="0"/>
          <w:i w:val="0"/>
        </w:rPr>
      </w:pPr>
      <w:bookmarkStart w:id="150" w:name="_Toc494731225"/>
      <w:bookmarkStart w:id="151" w:name="_Toc494732960"/>
      <w:r>
        <w:t xml:space="preserve"> </w:t>
      </w:r>
      <w:r w:rsidR="00DF4C24" w:rsidRPr="00D316D5">
        <w:t>Table 2.1: Reaction mix</w:t>
      </w:r>
      <w:r w:rsidR="00DF4C24" w:rsidRPr="00D316D5">
        <w:rPr>
          <w:rStyle w:val="SubtitleChar"/>
          <w:rFonts w:cs="Times New Roman"/>
          <w:szCs w:val="20"/>
          <w:lang w:val="en-GB" w:eastAsia="ja-JP"/>
        </w:rPr>
        <w:t>.</w:t>
      </w:r>
      <w:bookmarkEnd w:id="150"/>
      <w:bookmarkEnd w:id="151"/>
      <w:r w:rsidR="00DF4C24" w:rsidRPr="00D316D5">
        <w:t xml:space="preserve"> </w:t>
      </w:r>
      <w:r w:rsidR="00430D62" w:rsidRPr="00D316D5">
        <w:rPr>
          <w:b w:val="0"/>
          <w:i w:val="0"/>
        </w:rPr>
        <w:t>This shows the composition that make up the reaction mix used for the standard and sample experiment</w:t>
      </w:r>
    </w:p>
    <w:p w:rsidR="00430D62" w:rsidRPr="00392836" w:rsidRDefault="00430D62" w:rsidP="00430D62">
      <w:pPr>
        <w:spacing w:after="0"/>
        <w:ind w:firstLine="720"/>
        <w:rPr>
          <w:rFonts w:ascii="Times New Roman" w:eastAsia="Times New Roman" w:hAnsi="Times New Roman"/>
          <w:sz w:val="20"/>
          <w:szCs w:val="20"/>
          <w:lang w:eastAsia="en-GB"/>
        </w:rPr>
      </w:pPr>
    </w:p>
    <w:p w:rsidR="00C94DE1" w:rsidRDefault="00430D62" w:rsidP="009214AC">
      <w:pPr>
        <w:ind w:left="720"/>
        <w:rPr>
          <w:lang w:eastAsia="en-GB"/>
        </w:rPr>
      </w:pPr>
      <w:r w:rsidRPr="00392836">
        <w:rPr>
          <w:lang w:eastAsia="en-GB"/>
        </w:rPr>
        <w:t xml:space="preserve">100 nM urea standard was brought from Sigma-Aldrich, UK. Reaction mix was prepared as shown in table 2.1. </w:t>
      </w:r>
      <w:r w:rsidR="00505DDD">
        <w:rPr>
          <w:lang w:eastAsia="en-GB"/>
        </w:rPr>
        <w:t xml:space="preserve">A </w:t>
      </w:r>
      <w:r w:rsidRPr="00392836">
        <w:rPr>
          <w:lang w:eastAsia="en-GB"/>
        </w:rPr>
        <w:t xml:space="preserve">96 well plate was labelled appropriately and 50 µl of reaction mix was added to each wells in duplicate after which 0.5 mM was prepared by diluting 5 µl of 100 mM of urea standard with 995 µl of urea assay buffer. 0, 2, 4, 6, 8, and 10 µl of 0.5 mM was pipetted in duplicate into </w:t>
      </w:r>
      <w:r w:rsidR="00505DDD">
        <w:rPr>
          <w:lang w:eastAsia="en-GB"/>
        </w:rPr>
        <w:t xml:space="preserve">the </w:t>
      </w:r>
      <w:r w:rsidRPr="00392836">
        <w:rPr>
          <w:lang w:eastAsia="en-GB"/>
        </w:rPr>
        <w:t>96 well plates. Urea assay buffer was used to bring the volume to 50 µl (Table 2.2</w:t>
      </w:r>
      <w:r w:rsidR="009214AC">
        <w:rPr>
          <w:lang w:eastAsia="en-GB"/>
        </w:rPr>
        <w:t>). The content in the plate was</w:t>
      </w:r>
      <w:r w:rsidRPr="00392836">
        <w:rPr>
          <w:lang w:eastAsia="en-GB"/>
        </w:rPr>
        <w:t xml:space="preserve"> mixed with </w:t>
      </w:r>
      <w:r w:rsidR="009214AC">
        <w:rPr>
          <w:lang w:eastAsia="en-GB"/>
        </w:rPr>
        <w:t xml:space="preserve">a </w:t>
      </w:r>
      <w:r w:rsidRPr="00392836">
        <w:rPr>
          <w:lang w:eastAsia="en-GB"/>
        </w:rPr>
        <w:t>horizontal shaker, the plate was covered with foil to protect it from sunlight and incubated at 37°C for 60 mins.</w:t>
      </w:r>
    </w:p>
    <w:p w:rsidR="00C94DE1" w:rsidRDefault="00C94DE1">
      <w:pPr>
        <w:spacing w:after="160" w:line="259" w:lineRule="auto"/>
        <w:jc w:val="left"/>
        <w:rPr>
          <w:lang w:eastAsia="en-GB"/>
        </w:rPr>
      </w:pPr>
      <w:r>
        <w:rPr>
          <w:lang w:eastAsia="en-GB"/>
        </w:rPr>
        <w:br w:type="page"/>
      </w:r>
    </w:p>
    <w:p w:rsidR="00DA3299" w:rsidRPr="00392836" w:rsidRDefault="00430D62" w:rsidP="00C94DE1">
      <w:pPr>
        <w:spacing w:after="160" w:line="259" w:lineRule="auto"/>
        <w:jc w:val="left"/>
        <w:rPr>
          <w:lang w:eastAsia="en-GB"/>
        </w:rPr>
      </w:pPr>
      <w:r w:rsidRPr="00392836">
        <w:rPr>
          <w:lang w:eastAsia="en-GB"/>
        </w:rPr>
        <w:lastRenderedPageBreak/>
        <w:t xml:space="preserve"> </w:t>
      </w:r>
    </w:p>
    <w:tbl>
      <w:tblPr>
        <w:tblpPr w:leftFromText="180" w:rightFromText="180" w:vertAnchor="text" w:horzAnchor="page" w:tblpX="2971" w:tblpY="271"/>
        <w:tblW w:w="0" w:type="auto"/>
        <w:tblLook w:val="04A0" w:firstRow="1" w:lastRow="0" w:firstColumn="1" w:lastColumn="0" w:noHBand="0" w:noVBand="1"/>
      </w:tblPr>
      <w:tblGrid>
        <w:gridCol w:w="2006"/>
        <w:gridCol w:w="1924"/>
        <w:gridCol w:w="1999"/>
        <w:gridCol w:w="2239"/>
      </w:tblGrid>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 xml:space="preserve">Standard 0.5mM (µl) </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 xml:space="preserve">Urea assay buffer (µl) </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Reaction mix (µl)</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 xml:space="preserve">Concentration/well (nmole/well) </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0</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0</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2</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48</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1</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46</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2</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6</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44</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3</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8</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42</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w:t>
            </w:r>
          </w:p>
        </w:tc>
      </w:tr>
      <w:tr w:rsidR="009214AC" w:rsidRPr="00392836" w:rsidTr="00C24DBA">
        <w:tc>
          <w:tcPr>
            <w:tcW w:w="2014"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10</w:t>
            </w:r>
          </w:p>
        </w:tc>
        <w:tc>
          <w:tcPr>
            <w:tcW w:w="1936"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40</w:t>
            </w:r>
          </w:p>
        </w:tc>
        <w:tc>
          <w:tcPr>
            <w:tcW w:w="2008"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50</w:t>
            </w:r>
          </w:p>
        </w:tc>
        <w:tc>
          <w:tcPr>
            <w:tcW w:w="2240" w:type="dxa"/>
            <w:tcBorders>
              <w:top w:val="single" w:sz="12" w:space="0" w:color="auto"/>
              <w:left w:val="single" w:sz="12" w:space="0" w:color="auto"/>
              <w:bottom w:val="single" w:sz="12" w:space="0" w:color="auto"/>
              <w:right w:val="single" w:sz="12" w:space="0" w:color="auto"/>
            </w:tcBorders>
          </w:tcPr>
          <w:p w:rsidR="009214AC" w:rsidRPr="00C42F7C" w:rsidRDefault="009214AC" w:rsidP="00C94DE1">
            <w:pPr>
              <w:spacing w:after="0"/>
              <w:rPr>
                <w:rFonts w:eastAsia="Times New Roman" w:cs="Arial"/>
                <w:lang w:eastAsia="en-GB"/>
              </w:rPr>
            </w:pPr>
            <w:r w:rsidRPr="00C42F7C">
              <w:rPr>
                <w:rFonts w:eastAsia="Times New Roman" w:cs="Arial"/>
                <w:lang w:eastAsia="en-GB"/>
              </w:rPr>
              <w:t>5</w:t>
            </w:r>
          </w:p>
        </w:tc>
      </w:tr>
    </w:tbl>
    <w:p w:rsidR="00430D62" w:rsidRPr="00392836" w:rsidRDefault="00430D62" w:rsidP="00430D62">
      <w:pPr>
        <w:spacing w:after="0"/>
        <w:rPr>
          <w:rFonts w:ascii="Times New Roman" w:eastAsia="Times New Roman" w:hAnsi="Times New Roman"/>
          <w:lang w:eastAsia="en-GB"/>
        </w:rPr>
      </w:pPr>
      <w:r w:rsidRPr="00392836">
        <w:rPr>
          <w:rFonts w:ascii="Times New Roman" w:eastAsia="Times New Roman" w:hAnsi="Times New Roman"/>
          <w:lang w:eastAsia="en-GB"/>
        </w:rPr>
        <w:t xml:space="preserve"> </w:t>
      </w:r>
    </w:p>
    <w:p w:rsidR="00430D62" w:rsidRPr="00392836" w:rsidRDefault="00430D62" w:rsidP="00430D62">
      <w:pPr>
        <w:spacing w:after="0"/>
        <w:rPr>
          <w:rFonts w:ascii="Times New Roman" w:eastAsia="Times New Roman" w:hAnsi="Times New Roman"/>
          <w:lang w:eastAsia="en-GB"/>
        </w:rPr>
      </w:pPr>
    </w:p>
    <w:p w:rsidR="00C42F7C" w:rsidRDefault="00C42F7C" w:rsidP="00DF4C24">
      <w:pPr>
        <w:pStyle w:val="LegText"/>
        <w:ind w:left="720"/>
        <w:rPr>
          <w:rStyle w:val="SubtitleChar"/>
        </w:rPr>
      </w:pPr>
    </w:p>
    <w:p w:rsidR="00430D62" w:rsidRPr="00D316D5" w:rsidRDefault="00D316D5" w:rsidP="00D316D5">
      <w:pPr>
        <w:pStyle w:val="Table"/>
        <w:ind w:left="720"/>
        <w:rPr>
          <w:b w:val="0"/>
          <w:i w:val="0"/>
        </w:rPr>
      </w:pPr>
      <w:bookmarkStart w:id="152" w:name="_Toc494731226"/>
      <w:bookmarkStart w:id="153" w:name="_Toc494732961"/>
      <w:r>
        <w:rPr>
          <w:rStyle w:val="SubtitleChar"/>
        </w:rPr>
        <w:tab/>
      </w:r>
      <w:bookmarkStart w:id="154" w:name="_Toc504638842"/>
      <w:bookmarkStart w:id="155" w:name="_Toc504640573"/>
      <w:r w:rsidR="00430D62" w:rsidRPr="00CE068D">
        <w:rPr>
          <w:rStyle w:val="SubtitleChar"/>
        </w:rPr>
        <w:t>Table 2.2 Urea standards composition</w:t>
      </w:r>
      <w:r w:rsidR="00CE068D">
        <w:rPr>
          <w:rStyle w:val="SubtitleChar"/>
        </w:rPr>
        <w:t>.</w:t>
      </w:r>
      <w:bookmarkEnd w:id="152"/>
      <w:bookmarkEnd w:id="153"/>
      <w:bookmarkEnd w:id="154"/>
      <w:bookmarkEnd w:id="155"/>
      <w:r w:rsidR="00430D62" w:rsidRPr="00392836">
        <w:t xml:space="preserve"> </w:t>
      </w:r>
      <w:r w:rsidR="00430D62" w:rsidRPr="00D316D5">
        <w:rPr>
          <w:b w:val="0"/>
          <w:i w:val="0"/>
        </w:rPr>
        <w:t xml:space="preserve">The table shows the </w:t>
      </w:r>
      <w:r>
        <w:rPr>
          <w:b w:val="0"/>
          <w:i w:val="0"/>
        </w:rPr>
        <w:t xml:space="preserve">  </w:t>
      </w:r>
      <w:r w:rsidR="00430D62" w:rsidRPr="00D316D5">
        <w:rPr>
          <w:b w:val="0"/>
          <w:i w:val="0"/>
        </w:rPr>
        <w:t>composition of individual well/standards used to set up a standard curve and the final concentration in the wells.</w:t>
      </w:r>
    </w:p>
    <w:p w:rsidR="00430D62" w:rsidRPr="00392836" w:rsidRDefault="00430D62" w:rsidP="00430D62">
      <w:pPr>
        <w:spacing w:after="0"/>
        <w:rPr>
          <w:rFonts w:ascii="Times New Roman" w:eastAsia="Times New Roman" w:hAnsi="Times New Roman"/>
          <w:lang w:eastAsia="en-GB"/>
        </w:rPr>
      </w:pPr>
    </w:p>
    <w:p w:rsidR="00430D62" w:rsidRPr="00392836" w:rsidRDefault="00430D62" w:rsidP="00CE068D">
      <w:pPr>
        <w:ind w:left="720"/>
      </w:pPr>
      <w:r w:rsidRPr="00392836">
        <w:t>The urea content in our urine samples were determined using 50</w:t>
      </w:r>
      <w:r w:rsidRPr="00392836">
        <w:rPr>
          <w:rFonts w:eastAsia="Times New Roman"/>
          <w:lang w:eastAsia="en-GB"/>
        </w:rPr>
        <w:t xml:space="preserve"> </w:t>
      </w:r>
      <w:bookmarkStart w:id="156" w:name="OLE_LINK7"/>
      <w:r w:rsidRPr="00392836">
        <w:rPr>
          <w:rFonts w:eastAsia="Times New Roman"/>
          <w:lang w:eastAsia="en-GB"/>
        </w:rPr>
        <w:t>µl</w:t>
      </w:r>
      <w:bookmarkEnd w:id="156"/>
      <w:r w:rsidRPr="00392836">
        <w:rPr>
          <w:rFonts w:eastAsia="Times New Roman"/>
          <w:lang w:eastAsia="en-GB"/>
        </w:rPr>
        <w:t xml:space="preserve"> of urine samples after necessary dilution with urea assay buffer and 50 µl of the reaction mix.</w:t>
      </w:r>
      <w:r w:rsidRPr="00392836">
        <w:t xml:space="preserve"> All samples were done in duplicate and absorbance was read at 570</w:t>
      </w:r>
      <w:r w:rsidR="009864D3">
        <w:t xml:space="preserve"> </w:t>
      </w:r>
      <w:r w:rsidRPr="00392836">
        <w:t>n</w:t>
      </w:r>
      <w:r w:rsidR="00C42F7C">
        <w:t>m. The mean of the readings was</w:t>
      </w:r>
      <w:r w:rsidRPr="00392836">
        <w:t xml:space="preserve"> calculated and subtracted from the mean of the blank (Table 2.2). The standard curve was plotted (</w:t>
      </w:r>
      <w:r w:rsidR="00D42EAE">
        <w:t xml:space="preserve">Fig. </w:t>
      </w:r>
      <w:r w:rsidRPr="00392836">
        <w:t xml:space="preserve">2.8) and the sample concentrations were also calculated and multiplied by the dilution factors. </w:t>
      </w:r>
    </w:p>
    <w:p w:rsidR="00430D62" w:rsidRPr="00392836" w:rsidRDefault="00430D62" w:rsidP="00430D62">
      <w:pPr>
        <w:autoSpaceDE w:val="0"/>
        <w:autoSpaceDN w:val="0"/>
        <w:adjustRightInd w:val="0"/>
        <w:spacing w:after="0"/>
        <w:ind w:left="720"/>
        <w:rPr>
          <w:rFonts w:ascii="Calibri" w:eastAsia="Calibri" w:hAnsi="Calibri"/>
          <w:lang w:val="en-US"/>
        </w:rPr>
      </w:pPr>
      <w:r w:rsidRPr="00392836">
        <w:rPr>
          <w:rFonts w:ascii="Calibri" w:eastAsia="Calibri" w:hAnsi="Calibri"/>
          <w:lang w:val="en-US"/>
        </w:rPr>
        <w:object w:dxaOrig="7481" w:dyaOrig="51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25pt;height:259.5pt" o:ole="">
            <v:imagedata r:id="rId42" o:title=""/>
          </v:shape>
          <o:OLEObject Type="Embed" ProgID="Prism7.Document" ShapeID="_x0000_i1025" DrawAspect="Content" ObjectID="_1583750195" r:id="rId43"/>
        </w:object>
      </w:r>
    </w:p>
    <w:p w:rsidR="00430D62" w:rsidRDefault="00C42F7C" w:rsidP="00D57565">
      <w:pPr>
        <w:pStyle w:val="LegText"/>
        <w:ind w:left="720"/>
        <w:rPr>
          <w:rFonts w:eastAsia="Calibri"/>
        </w:rPr>
      </w:pPr>
      <w:bookmarkStart w:id="157" w:name="_Toc504640574"/>
      <w:r>
        <w:rPr>
          <w:rStyle w:val="SubtitleChar"/>
        </w:rPr>
        <w:t>Figure 2.8: Standard curve of u</w:t>
      </w:r>
      <w:r w:rsidR="00430D62" w:rsidRPr="00430D62">
        <w:rPr>
          <w:rStyle w:val="SubtitleChar"/>
        </w:rPr>
        <w:t>rea nitrogen at 570 nm.</w:t>
      </w:r>
      <w:bookmarkEnd w:id="157"/>
      <w:r w:rsidR="00430D62">
        <w:t xml:space="preserve"> </w:t>
      </w:r>
      <w:r w:rsidR="00430D62" w:rsidRPr="00392836">
        <w:rPr>
          <w:rFonts w:eastAsia="Calibri"/>
        </w:rPr>
        <w:t>The data points are means of n=2 values of A</w:t>
      </w:r>
      <w:r w:rsidR="00430D62" w:rsidRPr="00392836">
        <w:rPr>
          <w:rFonts w:eastAsia="Calibri"/>
          <w:vertAlign w:val="subscript"/>
        </w:rPr>
        <w:t>570</w:t>
      </w:r>
      <w:r w:rsidR="00430D62" w:rsidRPr="00392836">
        <w:rPr>
          <w:rFonts w:eastAsia="Calibri"/>
        </w:rPr>
        <w:t xml:space="preserve"> of urea standards at ambient temperature</w:t>
      </w:r>
      <w:r w:rsidR="00430D62">
        <w:t>.</w:t>
      </w:r>
      <w:r w:rsidR="00430D62" w:rsidRPr="00392836">
        <w:rPr>
          <w:rFonts w:eastAsia="Calibri"/>
        </w:rPr>
        <w:t xml:space="preserve"> </w:t>
      </w:r>
    </w:p>
    <w:p w:rsidR="00B30F28" w:rsidRPr="00392836" w:rsidRDefault="00B30F28" w:rsidP="00430D62">
      <w:pPr>
        <w:pStyle w:val="LegText"/>
        <w:rPr>
          <w:rFonts w:eastAsia="Calibri"/>
        </w:rPr>
      </w:pPr>
    </w:p>
    <w:p w:rsidR="00430D62" w:rsidRPr="00392836" w:rsidRDefault="00430D62" w:rsidP="00CE068D">
      <w:pPr>
        <w:pStyle w:val="Heading4"/>
        <w:ind w:firstLine="720"/>
        <w:rPr>
          <w:rFonts w:eastAsia="Times New Roman"/>
          <w:lang w:eastAsia="en-GB"/>
        </w:rPr>
      </w:pPr>
      <w:bookmarkStart w:id="158" w:name="_Toc484448835"/>
      <w:bookmarkStart w:id="159" w:name="_Toc506232340"/>
      <w:r w:rsidRPr="00392836">
        <w:rPr>
          <w:rFonts w:eastAsia="Times New Roman"/>
          <w:lang w:eastAsia="en-GB"/>
        </w:rPr>
        <w:t>2.</w:t>
      </w:r>
      <w:r>
        <w:rPr>
          <w:rFonts w:eastAsia="Times New Roman"/>
          <w:lang w:eastAsia="en-GB"/>
        </w:rPr>
        <w:t>4</w:t>
      </w:r>
      <w:r w:rsidR="00755304">
        <w:rPr>
          <w:rFonts w:eastAsia="Times New Roman"/>
          <w:lang w:eastAsia="en-GB"/>
        </w:rPr>
        <w:t>.3</w:t>
      </w:r>
      <w:r w:rsidR="006B627B">
        <w:rPr>
          <w:rFonts w:eastAsia="Times New Roman"/>
          <w:lang w:eastAsia="en-GB"/>
        </w:rPr>
        <w:t xml:space="preserve"> Rat a</w:t>
      </w:r>
      <w:r w:rsidRPr="00392836">
        <w:rPr>
          <w:rFonts w:eastAsia="Times New Roman"/>
          <w:lang w:eastAsia="en-GB"/>
        </w:rPr>
        <w:t>lbumin</w:t>
      </w:r>
      <w:bookmarkEnd w:id="158"/>
      <w:bookmarkEnd w:id="159"/>
    </w:p>
    <w:p w:rsidR="000C438C" w:rsidRDefault="00430D62" w:rsidP="00CE068D">
      <w:pPr>
        <w:ind w:left="720"/>
        <w:rPr>
          <w:lang w:eastAsia="en-GB"/>
        </w:rPr>
      </w:pPr>
      <w:r w:rsidRPr="00392836">
        <w:rPr>
          <w:lang w:eastAsia="en-GB"/>
        </w:rPr>
        <w:t>Rat albumin ELISA kit was used for</w:t>
      </w:r>
      <w:r w:rsidR="00C42F7C">
        <w:rPr>
          <w:lang w:eastAsia="en-GB"/>
        </w:rPr>
        <w:t xml:space="preserve"> this investigation</w:t>
      </w:r>
      <w:r w:rsidRPr="00392836">
        <w:rPr>
          <w:lang w:eastAsia="en-GB"/>
        </w:rPr>
        <w:t xml:space="preserve"> </w:t>
      </w:r>
      <w:r w:rsidRPr="00392836">
        <w:rPr>
          <w:lang w:eastAsia="en-GB"/>
        </w:rPr>
        <w:fldChar w:fldCharType="begin"/>
      </w:r>
      <w:r w:rsidRPr="00392836">
        <w:rPr>
          <w:lang w:eastAsia="en-GB"/>
        </w:rPr>
        <w:instrText xml:space="preserve"> ADDIN EN.CITE &lt;EndNote&gt;&lt;Cite&gt;&lt;Author&gt;Kordes&lt;/Author&gt;&lt;Year&gt;2014&lt;/Year&gt;&lt;IDText&gt;Hepatic stellate cells contribute to progenitor cells and liver regeneration&lt;/IDText&gt;&lt;DisplayText&gt;(Kordes et al., 2014)&lt;/DisplayText&gt;&lt;record&gt;&lt;dates&gt;&lt;pub-dates&gt;&lt;date&gt;11/17&amp;#xD;06/23/received&amp;#xD;09/11/accepted&lt;/date&gt;&lt;/pub-dates&gt;&lt;year&gt;2014&lt;/year&gt;&lt;/dates&gt;&lt;urls&gt;&lt;related-urls&gt;&lt;url&gt;http://www.ncbi.nlm.nih.gov/pmc/articles/PMC4348953/&lt;/url&gt;&lt;/related-urls&gt;&lt;/urls&gt;&lt;isbn&gt;0021-9738&amp;#xD;1558-8238&lt;/isbn&gt;&lt;titles&gt;&lt;title&gt;Hepatic stellate cells contribute to progenitor cells and liver regeneration&lt;/title&gt;&lt;secondary-title&gt;The Journal of Clinical Investigation&lt;/secondary-title&gt;&lt;/titles&gt;&lt;pages&gt;5503-5515&lt;/pages&gt;&lt;number&gt;12&lt;/number&gt;&lt;contributors&gt;&lt;authors&gt;&lt;author&gt;Kordes, Claus&lt;/author&gt;&lt;author&gt;Sawitza, Iris&lt;/author&gt;&lt;author&gt;Götze, Silke&lt;/author&gt;&lt;author&gt;Herebian, Diran&lt;/author&gt;&lt;author&gt;Häussinger, Dieter&lt;/author&gt;&lt;/authors&gt;&lt;/contributors&gt;&lt;added-date format="utc"&gt;1494426378&lt;/added-date&gt;&lt;ref-type name="Journal Article"&gt;17&lt;/ref-type&gt;&lt;rec-number&gt;1690&lt;/rec-number&gt;&lt;publisher&gt;American Society for Clinical Investigation&lt;/publisher&gt;&lt;last-updated-date format="utc"&gt;1494426378&lt;/last-updated-date&gt;&lt;accession-num&gt;PMC4348953&lt;/accession-num&gt;&lt;electronic-resource-num&gt;10.1172/JCI74119&lt;/electronic-resource-num&gt;&lt;volume&gt;124&lt;/volume&gt;&lt;remote-database-name&gt;PMC&lt;/remote-database-name&gt;&lt;/record&gt;&lt;/Cite&gt;&lt;/EndNote&gt;</w:instrText>
      </w:r>
      <w:r w:rsidRPr="00392836">
        <w:rPr>
          <w:lang w:eastAsia="en-GB"/>
        </w:rPr>
        <w:fldChar w:fldCharType="separate"/>
      </w:r>
      <w:r w:rsidRPr="00392836">
        <w:rPr>
          <w:noProof/>
          <w:lang w:eastAsia="en-GB"/>
        </w:rPr>
        <w:t>(Kordes et al., 2014)</w:t>
      </w:r>
      <w:r w:rsidRPr="00392836">
        <w:rPr>
          <w:lang w:eastAsia="en-GB"/>
        </w:rPr>
        <w:fldChar w:fldCharType="end"/>
      </w:r>
      <w:r w:rsidRPr="00392836">
        <w:rPr>
          <w:lang w:eastAsia="en-GB"/>
        </w:rPr>
        <w:t xml:space="preserve">, the </w:t>
      </w:r>
      <w:r w:rsidR="00C42F7C" w:rsidRPr="00392836">
        <w:rPr>
          <w:lang w:eastAsia="en-GB"/>
        </w:rPr>
        <w:t xml:space="preserve">kit contained the following </w:t>
      </w:r>
      <w:r w:rsidR="00C42F7C">
        <w:t>rat albumin pre-coated 96-well strip plate, rat a</w:t>
      </w:r>
      <w:r w:rsidR="00C42F7C" w:rsidRPr="00392836">
        <w:t xml:space="preserve">lbumin standard, rat albumin detection antibody, 20x dilution buffer c, </w:t>
      </w:r>
      <w:r w:rsidR="002B1267" w:rsidRPr="00392836">
        <w:t>HRP</w:t>
      </w:r>
      <w:r w:rsidR="00C42F7C" w:rsidRPr="00392836">
        <w:t xml:space="preserve"> solution a, </w:t>
      </w:r>
      <w:r w:rsidR="002B1267" w:rsidRPr="00392836">
        <w:t>TMB</w:t>
      </w:r>
      <w:r w:rsidR="00C42F7C" w:rsidRPr="00392836">
        <w:t xml:space="preserve"> substrate, stop solution, 20x</w:t>
      </w:r>
      <w:r w:rsidR="002B1267">
        <w:t xml:space="preserve"> </w:t>
      </w:r>
      <w:r w:rsidR="00C42F7C" w:rsidRPr="00392836">
        <w:t xml:space="preserve">wash buffer, sealing tape. </w:t>
      </w:r>
      <w:r w:rsidR="002B1267">
        <w:rPr>
          <w:lang w:eastAsia="en-GB"/>
        </w:rPr>
        <w:t>A</w:t>
      </w:r>
      <w:r w:rsidR="00C42F7C" w:rsidRPr="00392836">
        <w:rPr>
          <w:lang w:eastAsia="en-GB"/>
        </w:rPr>
        <w:t>ffinity purified sheep anti-rat albumin coating antibody</w:t>
      </w:r>
      <w:r w:rsidRPr="00392836">
        <w:rPr>
          <w:lang w:eastAsia="en-GB"/>
        </w:rPr>
        <w:t xml:space="preserve"> (Bethyl laboratories inc, </w:t>
      </w:r>
      <w:r w:rsidRPr="00392836">
        <w:rPr>
          <w:rFonts w:eastAsia="Times New Roman"/>
          <w:lang w:eastAsia="en-GB"/>
        </w:rPr>
        <w:t xml:space="preserve">Cat. No. E111-125) </w:t>
      </w:r>
      <w:r w:rsidRPr="00392836">
        <w:rPr>
          <w:lang w:eastAsia="en-GB"/>
        </w:rPr>
        <w:t>was used to coat the 96 well plate. This was followed by adding the urine sample. A secondary anti-sheep antibody with horseradish peroxidase (HRP) was added along with the enzyme substrate 3,3’,5,5’- tetramethylbenzidine (TMB). This produces a colour change which is proportional to the secondary antibody bound to the primary antibody which binds to the albumin. The absorbance was measured with a spectrophotometer at 450nm.</w:t>
      </w:r>
    </w:p>
    <w:p w:rsidR="000C438C" w:rsidRDefault="000C438C">
      <w:pPr>
        <w:spacing w:after="160" w:line="259" w:lineRule="auto"/>
        <w:jc w:val="left"/>
        <w:rPr>
          <w:lang w:eastAsia="en-GB"/>
        </w:rPr>
      </w:pPr>
      <w:r>
        <w:rPr>
          <w:lang w:eastAsia="en-GB"/>
        </w:rPr>
        <w:br w:type="page"/>
      </w:r>
    </w:p>
    <w:p w:rsidR="00430D62" w:rsidRPr="002B1267" w:rsidRDefault="00430D62" w:rsidP="000C438C">
      <w:pPr>
        <w:ind w:firstLine="720"/>
        <w:rPr>
          <w:rFonts w:eastAsia="Calibri" w:cs="Arial"/>
          <w:lang w:eastAsia="en-GB"/>
        </w:rPr>
      </w:pPr>
      <w:r w:rsidRPr="002B1267">
        <w:rPr>
          <w:rFonts w:eastAsia="Calibri" w:cs="Arial"/>
          <w:b/>
          <w:lang w:eastAsia="en-GB"/>
        </w:rPr>
        <w:lastRenderedPageBreak/>
        <w:t>Procedure</w:t>
      </w:r>
    </w:p>
    <w:p w:rsidR="00430D62" w:rsidRPr="00392836" w:rsidRDefault="00430D62" w:rsidP="00CE068D">
      <w:pPr>
        <w:ind w:left="720"/>
        <w:rPr>
          <w:lang w:eastAsia="en-GB"/>
        </w:rPr>
      </w:pPr>
      <w:r w:rsidRPr="00392836">
        <w:rPr>
          <w:lang w:eastAsia="en-GB"/>
        </w:rPr>
        <w:t>An ELISA 96-well plate was used for this procedure. 100 µl of affinity purified antibody was diluted with 10</w:t>
      </w:r>
      <w:r w:rsidR="00B20A7E">
        <w:rPr>
          <w:lang w:eastAsia="en-GB"/>
        </w:rPr>
        <w:t xml:space="preserve"> </w:t>
      </w:r>
      <w:r w:rsidRPr="00392836">
        <w:rPr>
          <w:lang w:eastAsia="en-GB"/>
        </w:rPr>
        <w:t>mls of 50 mM Tris 0.14 NaCl 1% BSA 0.05% T</w:t>
      </w:r>
      <w:r w:rsidR="002B1267">
        <w:rPr>
          <w:lang w:eastAsia="en-GB"/>
        </w:rPr>
        <w:t>w</w:t>
      </w:r>
      <w:r w:rsidRPr="00392836">
        <w:rPr>
          <w:lang w:eastAsia="en-GB"/>
        </w:rPr>
        <w:t>een 20 pH 8.0 (diluent). 100 µl was used to coat each well of a 96 well plate. The plate was incubated at ambient temperature for 60 minutes. The plate was aspirated after incubation and washed five times with an automated 96 well plate w</w:t>
      </w:r>
      <w:r w:rsidR="002B1267">
        <w:rPr>
          <w:lang w:eastAsia="en-GB"/>
        </w:rPr>
        <w:t>asher using 50</w:t>
      </w:r>
      <w:r w:rsidR="00B20A7E">
        <w:rPr>
          <w:lang w:eastAsia="en-GB"/>
        </w:rPr>
        <w:t xml:space="preserve"> </w:t>
      </w:r>
      <w:r w:rsidR="002B1267">
        <w:rPr>
          <w:lang w:eastAsia="en-GB"/>
        </w:rPr>
        <w:t>mM Tris, 0.14</w:t>
      </w:r>
      <w:r w:rsidR="00B20A7E">
        <w:rPr>
          <w:lang w:eastAsia="en-GB"/>
        </w:rPr>
        <w:t xml:space="preserve"> </w:t>
      </w:r>
      <w:r w:rsidR="002B1267">
        <w:rPr>
          <w:lang w:eastAsia="en-GB"/>
        </w:rPr>
        <w:t>M NaCl, 0.05% T</w:t>
      </w:r>
      <w:r w:rsidRPr="00392836">
        <w:rPr>
          <w:lang w:eastAsia="en-GB"/>
        </w:rPr>
        <w:t>ween 20 pH 8.0.</w:t>
      </w:r>
    </w:p>
    <w:p w:rsidR="00430D62" w:rsidRPr="00392836" w:rsidRDefault="002B1267" w:rsidP="00CE068D">
      <w:pPr>
        <w:ind w:left="720"/>
        <w:rPr>
          <w:lang w:eastAsia="en-GB"/>
        </w:rPr>
      </w:pPr>
      <w:r>
        <w:rPr>
          <w:lang w:eastAsia="en-GB"/>
        </w:rPr>
        <w:t>200</w:t>
      </w:r>
      <w:r w:rsidR="00B20A7E">
        <w:rPr>
          <w:lang w:eastAsia="en-GB"/>
        </w:rPr>
        <w:t xml:space="preserve"> </w:t>
      </w:r>
      <w:r>
        <w:rPr>
          <w:lang w:eastAsia="en-GB"/>
        </w:rPr>
        <w:t>µl of 50</w:t>
      </w:r>
      <w:r w:rsidR="00B20A7E">
        <w:rPr>
          <w:lang w:eastAsia="en-GB"/>
        </w:rPr>
        <w:t xml:space="preserve"> </w:t>
      </w:r>
      <w:r>
        <w:rPr>
          <w:lang w:eastAsia="en-GB"/>
        </w:rPr>
        <w:t>mM Tris, 0.14</w:t>
      </w:r>
      <w:r w:rsidR="00B20A7E">
        <w:rPr>
          <w:lang w:eastAsia="en-GB"/>
        </w:rPr>
        <w:t xml:space="preserve"> </w:t>
      </w:r>
      <w:r>
        <w:rPr>
          <w:lang w:eastAsia="en-GB"/>
        </w:rPr>
        <w:t>M NaC</w:t>
      </w:r>
      <w:r w:rsidR="00430D62" w:rsidRPr="00392836">
        <w:rPr>
          <w:lang w:eastAsia="en-GB"/>
        </w:rPr>
        <w:t>l, 1% BSA pH 8.0, (blocking solution) was added to each well and incubated for 30 minutes and washed five times. 100 µl of standard/ urine samples were added to the wells and incubated at ambient temperature for 60 mins and washed five times with washing solution. 100 µl of diluted HRP conjugated sheep anti-rat albumin detection antibody was added to the wells and incubated for 60 mins at ambient temperature and then washed five times. 100 µl of TMB substrate solution was added to the wells and the plate was developed in the dark at ambient temperature for 15 mins. The reaction was stopped with 100 µl 2</w:t>
      </w:r>
      <w:r w:rsidR="00B20A7E">
        <w:rPr>
          <w:lang w:eastAsia="en-GB"/>
        </w:rPr>
        <w:t xml:space="preserve"> </w:t>
      </w:r>
      <w:r w:rsidR="00430D62" w:rsidRPr="00392836">
        <w:rPr>
          <w:lang w:eastAsia="en-GB"/>
        </w:rPr>
        <w:t>M H</w:t>
      </w:r>
      <w:r w:rsidR="00430D62" w:rsidRPr="00392836">
        <w:rPr>
          <w:vertAlign w:val="subscript"/>
          <w:lang w:eastAsia="en-GB"/>
        </w:rPr>
        <w:t>2</w:t>
      </w:r>
      <w:r w:rsidR="00430D62" w:rsidRPr="00392836">
        <w:rPr>
          <w:lang w:eastAsia="en-GB"/>
        </w:rPr>
        <w:t>SO</w:t>
      </w:r>
      <w:r w:rsidR="00430D62" w:rsidRPr="00392836">
        <w:rPr>
          <w:vertAlign w:val="subscript"/>
          <w:lang w:eastAsia="en-GB"/>
        </w:rPr>
        <w:t xml:space="preserve">4 </w:t>
      </w:r>
      <w:r w:rsidR="00430D62" w:rsidRPr="00392836">
        <w:rPr>
          <w:lang w:eastAsia="en-GB"/>
        </w:rPr>
        <w:t>(stop solution). Absorbance was read at 450</w:t>
      </w:r>
      <w:r w:rsidR="00B20A7E">
        <w:rPr>
          <w:lang w:eastAsia="en-GB"/>
        </w:rPr>
        <w:t xml:space="preserve"> </w:t>
      </w:r>
      <w:r w:rsidR="00430D62" w:rsidRPr="00392836">
        <w:rPr>
          <w:lang w:eastAsia="en-GB"/>
        </w:rPr>
        <w:t xml:space="preserve">nm with a plate reader </w:t>
      </w:r>
      <w:r w:rsidR="00430D62" w:rsidRPr="00392836">
        <w:rPr>
          <w:lang w:eastAsia="en-GB"/>
        </w:rPr>
        <w:fldChar w:fldCharType="begin">
          <w:fldData xml:space="preserve">PEVuZE5vdGU+PENpdGU+PEF1dGhvcj5CYWk8L0F1dGhvcj48WWVhcj4yMDE0PC9ZZWFyPjxJRFRl
eHQ+QW50aWFuZ2lvZ2VuaWMgdHJlYXRtZW50IGRpbWluaXNoZXMgcmVuYWwgaW5qdXJ5IGFuZCBk
eXNmdW5jdGlvbiB2aWEgcmVndWxhdGlvbiBvZiBsb2NhbCBBS1QgaW4gZWFybHkgZXhwZXJpbWVu
dGFsIGRpYWJldGVzPC9JRFRleHQ+PERpc3BsYXlUZXh0PihCYWkgZXQgYWwuLCAyMDE0KTwvRGlz
cGxheVRleHQ+PHJlY29yZD48a2V5d29yZHM+PGtleXdvcmQ+QWN1dGUgS2lkbmV5IEluanVyeS8q
cHJldmVudGlvbiAmYW1wOyBjb250cm9sPC9rZXl3b3JkPjxrZXl3b3JkPkFuZ2lvZ2VuZXNpcyBJ
bmhpYml0b3JzLyphZG1pbmlzdHJhdGlvbiAmYW1wOyBkb3NhZ2UvcGhhcm1hY29sb2d5PC9rZXl3
b3JkPjxrZXl3b3JkPkFuZ2lvdGVuc2luIElJL2dlbmV0aWNzL21ldGFib2xpc208L2tleXdvcmQ+
PGtleXdvcmQ+QW5pbWFsczwva2V5d29yZD48a2V5d29yZD5DZWxsIExpbmU8L2tleXdvcmQ+PGtl
eXdvcmQ+RGlhYmV0ZXMgTWVsbGl0dXMsIEV4cGVyaW1lbnRhbC9jb21wbGljYXRpb25zLypkcnVn
IHRoZXJhcHkvcGF0aG9sb2d5PC9rZXl3b3JkPjxrZXl3b3JkPkVuZG9zdGF0aW5zLyphZG1pbmlz
dHJhdGlvbiAmYW1wOyBkb3NhZ2UvcGhhcm1hY29sb2d5PC9rZXl3b3JkPjxrZXl3b3JkPkhldGVy
b2N5Y2xpYyBDb21wb3VuZHMsIDMtUmluZy8qcGhhcm1hY29sb2d5PC9rZXl3b3JkPjxrZXl3b3Jk
Pk1hbGU8L2tleXdvcmQ+PGtleXdvcmQ+TWVtYnJhbmUgUHJvdGVpbnMvZ2VuZXRpY3MvbWV0YWJv
bGlzbTwva2V5d29yZD48a2V5d29yZD5NaWNlPC9rZXl3b3JkPjxrZXl3b3JkPlBob3NwaG9yeWxh
dGlvbjwva2V5d29yZD48a2V5d29yZD5Qb2RvY3l0ZXMvY3l0b2xvZ3kvKmRydWcgZWZmZWN0czwv
a2V5d29yZD48a2V5d29yZD5Qcm90by1PbmNvZ2VuZSBQcm90ZWlucyBjLWFrdC9nZW5ldGljcy9t
ZXRhYm9saXNtPC9rZXl3b3JkPjxrZXl3b3JkPlJOQSwgU21hbGwgSW50ZXJmZXJpbmcvZ2VuZXRp
Y3M8L2tleXdvcmQ+PGtleXdvcmQ+UmF0czwva2V5d29yZD48a2V5d29yZD5SYXRzLCBTcHJhZ3Vl
LURhd2xleTwva2V5d29yZD48a2V5d29yZD5TdHJlcHRvem9jaW48L2tleXdvcmQ+PGtleXdvcmQ+
VmFzY3VsYXIgRW5kb3RoZWxpYWwgR3Jvd3RoIEZhY3RvciBBLyptZXRhYm9saXNtPC9rZXl3b3Jk
Pjwva2V5d29yZHM+PGlzYm4+MTkzMi02MjAzPC9pc2JuPjxjdXN0b20yPlBtYzM5OTc1NjE8L2N1
c3RvbTI+PHRpdGxlcz48dGl0bGU+QW50aWFuZ2lvZ2VuaWMgdHJlYXRtZW50IGRpbWluaXNoZXMg
cmVuYWwgaW5qdXJ5IGFuZCBkeXNmdW5jdGlvbiB2aWEgcmVndWxhdGlvbiBvZiBsb2NhbCBBS1Qg
aW4gZWFybHkgZXhwZXJpbWVudGFsIGRpYWJldGVzPC90aXRsZT48c2Vjb25kYXJ5LXRpdGxlPlBM
b1MgT25lPC9zZWNvbmRhcnktdGl0bGU+PGFsdC10aXRsZT5QbG9TIG9uZTwvYWx0LXRpdGxlPjwv
dGl0bGVzPjxwYWdlcz5lOTYxMTc8L3BhZ2VzPjxudW1iZXI+NDwvbnVtYmVyPjxjb250cmlidXRv
cnM+PGF1dGhvcnM+PGF1dGhvcj5CYWksIFguPC9hdXRob3I+PGF1dGhvcj5MaSwgWC48L2F1dGhv
cj48YXV0aG9yPlRpYW4sIEouPC9hdXRob3I+PGF1dGhvcj5aaG91LCBaLjwvYXV0aG9yPjwvYXV0
aG9ycz48L2NvbnRyaWJ1dG9ycz48ZWRpdGlvbj4yMDE0LzA0LzI1PC9lZGl0aW9uPjxsYW5ndWFn
ZT5lbmc8L2xhbmd1YWdlPjxhZGRlZC1kYXRlIGZvcm1hdD0idXRjIj4xNDk0NjIyMDM5PC9hZGRl
ZC1kYXRlPjxyZWYtdHlwZSBuYW1lPSJKb3VybmFsIEFydGljbGUiPjE3PC9yZWYtdHlwZT48YXV0
aC1hZGRyZXNzPlN0YXRlIEtleSBMYWJvcmF0b3J5IG9mIE9yZ2FuIEZhaWx1cmUgUmVzZWFyY2gs
IEd1YW5nemhvdSwgR3Vhbmdkb25nLCBQUkM7IE5hdGlvbmFsIENsaW5pY2FsIFJlc2VhcmNoIENl
bnRlciBvZiBLaWRuZXkgRGlzZWFzZSwgR3Vhbmd6aG91LCBHdWFuZ2RvbmcsIFBSQzsgR3Vhbmdk
b25nIFByb3ZpbmNpYWwgSW5zdGl0dXRlIG9mIE5lcGhyb2xvZ3ksIEd1YW5nemhvdSwgR3Vhbmdk
b25nLCBQUkM7IERpdmlzaW9uIG9mIE5lcGhyb2xvZ3ksIE5hbmZhbmcgSG9zcGl0YWwsIFNvdXRo
ZXJuIE1lZGljYWwgVW5pdmVyc2l0eSwgR3Vhbmd6aG91LCBHdWFuZ2RvbmcsIFBSQy4mI3hEO0Rl
cGFydG1lbnQgb2YgRW1lcmdlbmN5LCBOYW5mYW5nIEhvc3BpdGFsLCBTb3V0aGVybiBNZWRpY2Fs
IFVuaXZlcnNpdHksIEd1YW5nemhvdSwgR3Vhbmdkb25nLCBQUkMuPC9hdXRoLWFkZHJlc3M+PGRh
dGVzPjx5ZWFyPjIwMTQ8L3llYXI+PC9kYXRlcz48cmVtb3RlLWRhdGFiYXNlLXByb3ZpZGVyPk5M
TTwvcmVtb3RlLWRhdGFiYXNlLXByb3ZpZGVyPjxyZWMtbnVtYmVyPjE2OTE8L3JlYy1udW1iZXI+
PGxhc3QtdXBkYXRlZC1kYXRlIGZvcm1hdD0idXRjIj4xNDk0NjIyMDM5PC9sYXN0LXVwZGF0ZWQt
ZGF0ZT48YWNjZXNzaW9uLW51bT4yNDc1OTk5MTwvYWNjZXNzaW9uLW51bT48ZWxlY3Ryb25pYy1y
ZXNvdXJjZS1udW0+MTAuMTM3MS9qb3VybmFsLnBvbmUuMDA5NjExNzwvZWxlY3Ryb25pYy1yZXNv
dXJjZS1udW0+PHZvbHVtZT45PC92b2x1bWU+PC9yZWNvcmQ+PC9DaXRlPjwvRW5kTm90ZT5=
</w:fldData>
        </w:fldChar>
      </w:r>
      <w:r w:rsidR="00430D62" w:rsidRPr="00392836">
        <w:rPr>
          <w:lang w:eastAsia="en-GB"/>
        </w:rPr>
        <w:instrText xml:space="preserve"> ADDIN EN.CITE </w:instrText>
      </w:r>
      <w:r w:rsidR="00430D62" w:rsidRPr="00392836">
        <w:rPr>
          <w:lang w:eastAsia="en-GB"/>
        </w:rPr>
        <w:fldChar w:fldCharType="begin">
          <w:fldData xml:space="preserve">PEVuZE5vdGU+PENpdGU+PEF1dGhvcj5CYWk8L0F1dGhvcj48WWVhcj4yMDE0PC9ZZWFyPjxJRFRl
eHQ+QW50aWFuZ2lvZ2VuaWMgdHJlYXRtZW50IGRpbWluaXNoZXMgcmVuYWwgaW5qdXJ5IGFuZCBk
eXNmdW5jdGlvbiB2aWEgcmVndWxhdGlvbiBvZiBsb2NhbCBBS1QgaW4gZWFybHkgZXhwZXJpbWVu
dGFsIGRpYWJldGVzPC9JRFRleHQ+PERpc3BsYXlUZXh0PihCYWkgZXQgYWwuLCAyMDE0KTwvRGlz
cGxheVRleHQ+PHJlY29yZD48a2V5d29yZHM+PGtleXdvcmQ+QWN1dGUgS2lkbmV5IEluanVyeS8q
cHJldmVudGlvbiAmYW1wOyBjb250cm9sPC9rZXl3b3JkPjxrZXl3b3JkPkFuZ2lvZ2VuZXNpcyBJ
bmhpYml0b3JzLyphZG1pbmlzdHJhdGlvbiAmYW1wOyBkb3NhZ2UvcGhhcm1hY29sb2d5PC9rZXl3
b3JkPjxrZXl3b3JkPkFuZ2lvdGVuc2luIElJL2dlbmV0aWNzL21ldGFib2xpc208L2tleXdvcmQ+
PGtleXdvcmQ+QW5pbWFsczwva2V5d29yZD48a2V5d29yZD5DZWxsIExpbmU8L2tleXdvcmQ+PGtl
eXdvcmQ+RGlhYmV0ZXMgTWVsbGl0dXMsIEV4cGVyaW1lbnRhbC9jb21wbGljYXRpb25zLypkcnVn
IHRoZXJhcHkvcGF0aG9sb2d5PC9rZXl3b3JkPjxrZXl3b3JkPkVuZG9zdGF0aW5zLyphZG1pbmlz
dHJhdGlvbiAmYW1wOyBkb3NhZ2UvcGhhcm1hY29sb2d5PC9rZXl3b3JkPjxrZXl3b3JkPkhldGVy
b2N5Y2xpYyBDb21wb3VuZHMsIDMtUmluZy8qcGhhcm1hY29sb2d5PC9rZXl3b3JkPjxrZXl3b3Jk
Pk1hbGU8L2tleXdvcmQ+PGtleXdvcmQ+TWVtYnJhbmUgUHJvdGVpbnMvZ2VuZXRpY3MvbWV0YWJv
bGlzbTwva2V5d29yZD48a2V5d29yZD5NaWNlPC9rZXl3b3JkPjxrZXl3b3JkPlBob3NwaG9yeWxh
dGlvbjwva2V5d29yZD48a2V5d29yZD5Qb2RvY3l0ZXMvY3l0b2xvZ3kvKmRydWcgZWZmZWN0czwv
a2V5d29yZD48a2V5d29yZD5Qcm90by1PbmNvZ2VuZSBQcm90ZWlucyBjLWFrdC9nZW5ldGljcy9t
ZXRhYm9saXNtPC9rZXl3b3JkPjxrZXl3b3JkPlJOQSwgU21hbGwgSW50ZXJmZXJpbmcvZ2VuZXRp
Y3M8L2tleXdvcmQ+PGtleXdvcmQ+UmF0czwva2V5d29yZD48a2V5d29yZD5SYXRzLCBTcHJhZ3Vl
LURhd2xleTwva2V5d29yZD48a2V5d29yZD5TdHJlcHRvem9jaW48L2tleXdvcmQ+PGtleXdvcmQ+
VmFzY3VsYXIgRW5kb3RoZWxpYWwgR3Jvd3RoIEZhY3RvciBBLyptZXRhYm9saXNtPC9rZXl3b3Jk
Pjwva2V5d29yZHM+PGlzYm4+MTkzMi02MjAzPC9pc2JuPjxjdXN0b20yPlBtYzM5OTc1NjE8L2N1
c3RvbTI+PHRpdGxlcz48dGl0bGU+QW50aWFuZ2lvZ2VuaWMgdHJlYXRtZW50IGRpbWluaXNoZXMg
cmVuYWwgaW5qdXJ5IGFuZCBkeXNmdW5jdGlvbiB2aWEgcmVndWxhdGlvbiBvZiBsb2NhbCBBS1Qg
aW4gZWFybHkgZXhwZXJpbWVudGFsIGRpYWJldGVzPC90aXRsZT48c2Vjb25kYXJ5LXRpdGxlPlBM
b1MgT25lPC9zZWNvbmRhcnktdGl0bGU+PGFsdC10aXRsZT5QbG9TIG9uZTwvYWx0LXRpdGxlPjwv
dGl0bGVzPjxwYWdlcz5lOTYxMTc8L3BhZ2VzPjxudW1iZXI+NDwvbnVtYmVyPjxjb250cmlidXRv
cnM+PGF1dGhvcnM+PGF1dGhvcj5CYWksIFguPC9hdXRob3I+PGF1dGhvcj5MaSwgWC48L2F1dGhv
cj48YXV0aG9yPlRpYW4sIEouPC9hdXRob3I+PGF1dGhvcj5aaG91LCBaLjwvYXV0aG9yPjwvYXV0
aG9ycz48L2NvbnRyaWJ1dG9ycz48ZWRpdGlvbj4yMDE0LzA0LzI1PC9lZGl0aW9uPjxsYW5ndWFn
ZT5lbmc8L2xhbmd1YWdlPjxhZGRlZC1kYXRlIGZvcm1hdD0idXRjIj4xNDk0NjIyMDM5PC9hZGRl
ZC1kYXRlPjxyZWYtdHlwZSBuYW1lPSJKb3VybmFsIEFydGljbGUiPjE3PC9yZWYtdHlwZT48YXV0
aC1hZGRyZXNzPlN0YXRlIEtleSBMYWJvcmF0b3J5IG9mIE9yZ2FuIEZhaWx1cmUgUmVzZWFyY2gs
IEd1YW5nemhvdSwgR3Vhbmdkb25nLCBQUkM7IE5hdGlvbmFsIENsaW5pY2FsIFJlc2VhcmNoIENl
bnRlciBvZiBLaWRuZXkgRGlzZWFzZSwgR3Vhbmd6aG91LCBHdWFuZ2RvbmcsIFBSQzsgR3Vhbmdk
b25nIFByb3ZpbmNpYWwgSW5zdGl0dXRlIG9mIE5lcGhyb2xvZ3ksIEd1YW5nemhvdSwgR3Vhbmdk
b25nLCBQUkM7IERpdmlzaW9uIG9mIE5lcGhyb2xvZ3ksIE5hbmZhbmcgSG9zcGl0YWwsIFNvdXRo
ZXJuIE1lZGljYWwgVW5pdmVyc2l0eSwgR3Vhbmd6aG91LCBHdWFuZ2RvbmcsIFBSQy4mI3hEO0Rl
cGFydG1lbnQgb2YgRW1lcmdlbmN5LCBOYW5mYW5nIEhvc3BpdGFsLCBTb3V0aGVybiBNZWRpY2Fs
IFVuaXZlcnNpdHksIEd1YW5nemhvdSwgR3Vhbmdkb25nLCBQUkMuPC9hdXRoLWFkZHJlc3M+PGRh
dGVzPjx5ZWFyPjIwMTQ8L3llYXI+PC9kYXRlcz48cmVtb3RlLWRhdGFiYXNlLXByb3ZpZGVyPk5M
TTwvcmVtb3RlLWRhdGFiYXNlLXByb3ZpZGVyPjxyZWMtbnVtYmVyPjE2OTE8L3JlYy1udW1iZXI+
PGxhc3QtdXBkYXRlZC1kYXRlIGZvcm1hdD0idXRjIj4xNDk0NjIyMDM5PC9sYXN0LXVwZGF0ZWQt
ZGF0ZT48YWNjZXNzaW9uLW51bT4yNDc1OTk5MTwvYWNjZXNzaW9uLW51bT48ZWxlY3Ryb25pYy1y
ZXNvdXJjZS1udW0+MTAuMTM3MS9qb3VybmFsLnBvbmUuMDA5NjExNzwvZWxlY3Ryb25pYy1yZXNv
dXJjZS1udW0+PHZvbHVtZT45PC92b2x1bWU+PC9yZWNvcmQ+PC9DaXRlPjwvRW5kTm90ZT5=
</w:fldData>
        </w:fldChar>
      </w:r>
      <w:r w:rsidR="00430D62" w:rsidRPr="00392836">
        <w:rPr>
          <w:lang w:eastAsia="en-GB"/>
        </w:rPr>
        <w:instrText xml:space="preserve"> ADDIN EN.CITE.DATA </w:instrText>
      </w:r>
      <w:r w:rsidR="00430D62" w:rsidRPr="00392836">
        <w:rPr>
          <w:lang w:eastAsia="en-GB"/>
        </w:rPr>
      </w:r>
      <w:r w:rsidR="00430D62" w:rsidRPr="00392836">
        <w:rPr>
          <w:lang w:eastAsia="en-GB"/>
        </w:rPr>
        <w:fldChar w:fldCharType="end"/>
      </w:r>
      <w:r w:rsidR="00430D62" w:rsidRPr="00392836">
        <w:rPr>
          <w:lang w:eastAsia="en-GB"/>
        </w:rPr>
      </w:r>
      <w:r w:rsidR="00430D62" w:rsidRPr="00392836">
        <w:rPr>
          <w:lang w:eastAsia="en-GB"/>
        </w:rPr>
        <w:fldChar w:fldCharType="separate"/>
      </w:r>
      <w:r w:rsidR="00430D62" w:rsidRPr="00392836">
        <w:rPr>
          <w:noProof/>
          <w:lang w:eastAsia="en-GB"/>
        </w:rPr>
        <w:t>(Bai et al., 2014)</w:t>
      </w:r>
      <w:r w:rsidR="00430D62" w:rsidRPr="00392836">
        <w:rPr>
          <w:lang w:eastAsia="en-GB"/>
        </w:rPr>
        <w:fldChar w:fldCharType="end"/>
      </w:r>
      <w:r w:rsidR="00430D62" w:rsidRPr="00392836">
        <w:rPr>
          <w:lang w:eastAsia="en-GB"/>
        </w:rPr>
        <w:t xml:space="preserve"> and the absorbance was plotted against the logarithm of the concentration (</w:t>
      </w:r>
      <w:r w:rsidR="00D42EAE">
        <w:rPr>
          <w:lang w:eastAsia="en-GB"/>
        </w:rPr>
        <w:t xml:space="preserve">Fig. </w:t>
      </w:r>
      <w:r w:rsidR="00430D62" w:rsidRPr="00392836">
        <w:rPr>
          <w:lang w:eastAsia="en-GB"/>
        </w:rPr>
        <w:t xml:space="preserve">2.9). </w:t>
      </w:r>
    </w:p>
    <w:p w:rsidR="00430D62" w:rsidRPr="00392836" w:rsidRDefault="002B1267" w:rsidP="00430D62">
      <w:pPr>
        <w:ind w:left="720"/>
        <w:rPr>
          <w:rFonts w:ascii="Calibri" w:eastAsia="Calibri" w:hAnsi="Calibri"/>
          <w:lang w:val="en-US"/>
        </w:rPr>
      </w:pPr>
      <w:r w:rsidRPr="00392836">
        <w:rPr>
          <w:rFonts w:ascii="Calibri" w:eastAsia="Calibri" w:hAnsi="Calibri"/>
          <w:lang w:val="en-US"/>
        </w:rPr>
        <w:object w:dxaOrig="7654" w:dyaOrig="5177">
          <v:shape id="_x0000_i1026" type="#_x0000_t75" style="width:381.75pt;height:258.75pt" o:ole="">
            <v:imagedata r:id="rId44" o:title=""/>
          </v:shape>
          <o:OLEObject Type="Embed" ProgID="Prism7.Document" ShapeID="_x0000_i1026" DrawAspect="Content" ObjectID="_1583750196" r:id="rId45"/>
        </w:object>
      </w:r>
    </w:p>
    <w:p w:rsidR="00346561" w:rsidRDefault="00430D62" w:rsidP="00DF4C24">
      <w:pPr>
        <w:pStyle w:val="LegText"/>
        <w:ind w:left="720"/>
      </w:pPr>
      <w:bookmarkStart w:id="160" w:name="_Toc504640575"/>
      <w:r w:rsidRPr="00430D62">
        <w:rPr>
          <w:rStyle w:val="SubtitleChar"/>
        </w:rPr>
        <w:t>Figure 2.9 Albumin standard curve.</w:t>
      </w:r>
      <w:bookmarkEnd w:id="160"/>
      <w:r>
        <w:t xml:space="preserve"> </w:t>
      </w:r>
      <w:r w:rsidRPr="00392836">
        <w:rPr>
          <w:rFonts w:eastAsia="Calibri"/>
        </w:rPr>
        <w:t>The figure shows data point</w:t>
      </w:r>
      <w:r w:rsidR="002B1267">
        <w:rPr>
          <w:rFonts w:eastAsia="Calibri"/>
        </w:rPr>
        <w:t>s</w:t>
      </w:r>
      <w:r w:rsidRPr="00392836">
        <w:rPr>
          <w:rFonts w:eastAsia="Calibri"/>
        </w:rPr>
        <w:t xml:space="preserve"> of logarithm of concentration at ambient temperature.</w:t>
      </w:r>
      <w:r w:rsidRPr="00392836">
        <w:t xml:space="preserve"> The graph obtained at A</w:t>
      </w:r>
      <w:r w:rsidRPr="002B1267">
        <w:rPr>
          <w:vertAlign w:val="subscript"/>
        </w:rPr>
        <w:t>450</w:t>
      </w:r>
      <w:r w:rsidRPr="00392836">
        <w:t xml:space="preserve"> shows a linear trend. </w:t>
      </w:r>
    </w:p>
    <w:p w:rsidR="00430D62" w:rsidRDefault="00430D62" w:rsidP="00DF4C24">
      <w:pPr>
        <w:pStyle w:val="LegText"/>
        <w:ind w:left="720"/>
        <w:rPr>
          <w:rFonts w:eastAsia="Calibri"/>
        </w:rPr>
      </w:pPr>
      <w:r w:rsidRPr="00392836">
        <w:rPr>
          <w:rFonts w:eastAsia="Calibri"/>
        </w:rPr>
        <w:t xml:space="preserve">  </w:t>
      </w:r>
    </w:p>
    <w:p w:rsidR="00430D62" w:rsidRPr="00B20A7E" w:rsidRDefault="00430D62" w:rsidP="006A0609">
      <w:pPr>
        <w:pStyle w:val="Heading4"/>
        <w:ind w:firstLine="720"/>
        <w:rPr>
          <w:rFonts w:ascii="Times New Roman" w:eastAsia="Times New Roman" w:hAnsi="Times New Roman"/>
          <w:sz w:val="20"/>
          <w:szCs w:val="20"/>
          <w:lang w:eastAsia="en-GB"/>
        </w:rPr>
      </w:pPr>
      <w:bookmarkStart w:id="161" w:name="_Toc484448836"/>
      <w:bookmarkStart w:id="162" w:name="_Toc506232341"/>
      <w:r w:rsidRPr="00392836">
        <w:rPr>
          <w:rFonts w:eastAsia="Times New Roman"/>
          <w:lang w:eastAsia="en-GB"/>
        </w:rPr>
        <w:t>2.</w:t>
      </w:r>
      <w:r>
        <w:rPr>
          <w:rFonts w:eastAsia="Times New Roman"/>
          <w:lang w:eastAsia="en-GB"/>
        </w:rPr>
        <w:t>4</w:t>
      </w:r>
      <w:r w:rsidRPr="00392836">
        <w:rPr>
          <w:rFonts w:eastAsia="Times New Roman"/>
          <w:lang w:eastAsia="en-GB"/>
        </w:rPr>
        <w:t>.4 Rat urine creatinine</w:t>
      </w:r>
      <w:bookmarkEnd w:id="161"/>
      <w:bookmarkEnd w:id="162"/>
      <w:r w:rsidRPr="00392836">
        <w:rPr>
          <w:rFonts w:eastAsia="Times New Roman"/>
          <w:lang w:val="en-US"/>
        </w:rPr>
        <w:t xml:space="preserve"> </w:t>
      </w:r>
      <w:r w:rsidRPr="00392836">
        <w:rPr>
          <w:rFonts w:eastAsia="Times New Roman"/>
          <w:snapToGrid w:val="0"/>
          <w:color w:val="000000"/>
          <w:w w:val="0"/>
          <w:u w:color="000000"/>
          <w:bdr w:val="none" w:sz="0" w:space="0" w:color="000000"/>
          <w:shd w:val="clear" w:color="000000" w:fill="000000"/>
          <w:lang w:val="x-none" w:bidi="x-none"/>
        </w:rPr>
        <w:t xml:space="preserve"> </w:t>
      </w:r>
    </w:p>
    <w:p w:rsidR="00430D62" w:rsidRPr="00392836" w:rsidRDefault="00430D62" w:rsidP="00CE068D">
      <w:pPr>
        <w:ind w:left="720"/>
        <w:rPr>
          <w:lang w:val="en" w:eastAsia="en-GB"/>
        </w:rPr>
      </w:pPr>
      <w:r w:rsidRPr="00392836">
        <w:rPr>
          <w:lang w:val="en" w:eastAsia="en-GB"/>
        </w:rPr>
        <w:t>The breakdown of creatine phosphate in the muscle by a non-enzymatic dehydration reaction yields creatinine as a by-product. Creatinine production is a factor of lean body mass. There is minimal daily changes in lean body mass and therefore creatinine production is at a constant rate under normal physiological condition. The creatinine produced is transferred to the kidneys via the blood, and excreted from the body majorly by glomerular filtration. Therefore this makes it possible to use creatinine measurement as a tool for assessing kidney function.</w:t>
      </w:r>
    </w:p>
    <w:p w:rsidR="00430D62" w:rsidRPr="00392836" w:rsidRDefault="00430D62" w:rsidP="00CE068D">
      <w:pPr>
        <w:ind w:left="720"/>
        <w:rPr>
          <w:lang w:val="en" w:eastAsia="en-GB"/>
        </w:rPr>
      </w:pPr>
      <w:r w:rsidRPr="00392836">
        <w:rPr>
          <w:lang w:val="en" w:eastAsia="en-GB"/>
        </w:rPr>
        <w:t xml:space="preserve">Decreased kidney function can affect glomerular filtration of creatinine with subsequent build-up of serum creatinine. </w:t>
      </w:r>
    </w:p>
    <w:p w:rsidR="00430D62" w:rsidRPr="00392836" w:rsidRDefault="00430D62" w:rsidP="00CE068D">
      <w:pPr>
        <w:ind w:left="720"/>
        <w:rPr>
          <w:lang w:eastAsia="en-GB"/>
        </w:rPr>
      </w:pPr>
      <w:r w:rsidRPr="0087202E">
        <w:rPr>
          <w:rFonts w:eastAsia="Calibri"/>
          <w:b/>
          <w:lang w:val="en" w:eastAsia="en-GB"/>
        </w:rPr>
        <w:t>Procedure.</w:t>
      </w:r>
      <w:r w:rsidRPr="00392836">
        <w:rPr>
          <w:rFonts w:eastAsia="Calibri"/>
          <w:lang w:val="en" w:eastAsia="en-GB"/>
        </w:rPr>
        <w:t xml:space="preserve"> </w:t>
      </w:r>
      <w:r w:rsidRPr="00392836">
        <w:rPr>
          <w:rFonts w:eastAsia="Calibri"/>
          <w:lang w:val="en" w:eastAsia="en-GB"/>
        </w:rPr>
        <w:br/>
      </w:r>
      <w:bookmarkStart w:id="163" w:name="OLE_LINK13"/>
      <w:r w:rsidRPr="00392836">
        <w:rPr>
          <w:rFonts w:eastAsia="Calibri"/>
          <w:lang w:val="en" w:eastAsia="en-GB"/>
        </w:rPr>
        <w:t xml:space="preserve">Creatinine assay kit </w:t>
      </w:r>
      <w:r w:rsidRPr="00392836">
        <w:rPr>
          <w:rFonts w:eastAsia="Calibri"/>
          <w:lang w:val="en-US"/>
        </w:rPr>
        <w:t>MAK080-1KT</w:t>
      </w:r>
      <w:r w:rsidRPr="00392836">
        <w:rPr>
          <w:rFonts w:eastAsia="Calibri"/>
          <w:lang w:val="en" w:eastAsia="en-GB"/>
        </w:rPr>
        <w:t xml:space="preserve"> purchased from Sigma Aldrich </w:t>
      </w:r>
      <w:bookmarkEnd w:id="163"/>
      <w:r w:rsidRPr="00392836">
        <w:rPr>
          <w:rFonts w:eastAsia="Calibri"/>
          <w:lang w:val="en" w:eastAsia="en-GB"/>
        </w:rPr>
        <w:t>was used. The kit contained</w:t>
      </w:r>
      <w:r w:rsidRPr="00392836">
        <w:rPr>
          <w:lang w:eastAsia="en-GB"/>
        </w:rPr>
        <w:t xml:space="preserve"> creatinine assay buffer, creatinine probe in </w:t>
      </w:r>
      <w:r w:rsidRPr="00392836">
        <w:rPr>
          <w:lang w:eastAsia="en-GB"/>
        </w:rPr>
        <w:lastRenderedPageBreak/>
        <w:t xml:space="preserve">DMSO, creatinase, creatininase, creatinine enzyme mix and creatinine standard. </w:t>
      </w:r>
    </w:p>
    <w:p w:rsidR="007D497A" w:rsidRPr="00392836" w:rsidRDefault="00430D62" w:rsidP="00CE068D">
      <w:pPr>
        <w:ind w:left="720"/>
        <w:rPr>
          <w:lang w:val="en" w:eastAsia="en-GB"/>
        </w:rPr>
      </w:pPr>
      <w:r w:rsidRPr="00392836">
        <w:rPr>
          <w:lang w:val="en" w:eastAsia="en-GB"/>
        </w:rPr>
        <w:t xml:space="preserve">The assay was based on enzymatic reaction which gave a colorimetric product that was proportional to the amount of creatinine. This reaction was in an alkaline medium with creatinine reacting with picric acid to give an orange colour which was measured at 570 nM. </w:t>
      </w:r>
    </w:p>
    <w:p w:rsidR="00430D62" w:rsidRPr="0087202E" w:rsidRDefault="0087202E" w:rsidP="00CE068D">
      <w:pPr>
        <w:ind w:firstLine="720"/>
        <w:rPr>
          <w:b/>
        </w:rPr>
      </w:pPr>
      <w:r w:rsidRPr="0087202E">
        <w:rPr>
          <w:b/>
        </w:rPr>
        <w:t>Creatinine standards for colorimetric d</w:t>
      </w:r>
      <w:r w:rsidR="00430D62" w:rsidRPr="0087202E">
        <w:rPr>
          <w:b/>
        </w:rPr>
        <w:t>etection</w:t>
      </w:r>
    </w:p>
    <w:p w:rsidR="002B3B55" w:rsidRDefault="00430D62" w:rsidP="00CE068D">
      <w:pPr>
        <w:ind w:left="720"/>
      </w:pPr>
      <w:r w:rsidRPr="00392836">
        <w:t>10 µl was pipetted from 100 mM of the creatinine standard solution was made up to 1000 µl with creatinine assay buffer, to obtain 1 mM (1 nmole/ml) standard solution. 2, 4, 6, 8 and 10 µl of prepared 1 mM creatinine standard solution was pipetted into a 96 well plate, in duplicates to generate 2, 4, 6, 8, and 10 nmole/well standards while the blank wells had no creatinine standard. 2</w:t>
      </w:r>
      <w:r w:rsidRPr="00392836">
        <w:rPr>
          <w:rFonts w:eastAsia="Times New Roman"/>
          <w:lang w:eastAsia="en-GB"/>
        </w:rPr>
        <w:t xml:space="preserve"> µl</w:t>
      </w:r>
      <w:r w:rsidRPr="00392836">
        <w:t xml:space="preserve"> each of</w:t>
      </w:r>
      <w:r w:rsidRPr="00392836">
        <w:rPr>
          <w:rFonts w:eastAsia="Times New Roman"/>
          <w:lang w:eastAsia="en-GB"/>
        </w:rPr>
        <w:t xml:space="preserve"> creatinine probe, creatinase, creatininase and creatinine enzyme mix</w:t>
      </w:r>
      <w:r w:rsidR="0087202E">
        <w:rPr>
          <w:rFonts w:eastAsia="Times New Roman"/>
          <w:lang w:eastAsia="en-GB"/>
        </w:rPr>
        <w:t xml:space="preserve"> was pipetted into each well as</w:t>
      </w:r>
      <w:r w:rsidR="00B069DE">
        <w:rPr>
          <w:rFonts w:eastAsia="Times New Roman"/>
          <w:lang w:eastAsia="en-GB"/>
        </w:rPr>
        <w:t xml:space="preserve"> shown in T</w:t>
      </w:r>
      <w:r w:rsidRPr="00392836">
        <w:rPr>
          <w:rFonts w:eastAsia="Times New Roman"/>
          <w:lang w:eastAsia="en-GB"/>
        </w:rPr>
        <w:t xml:space="preserve">able 2.3. </w:t>
      </w:r>
      <w:r w:rsidRPr="00392836">
        <w:t>Corresponding volumes of creatinine assay buffer were added to each well to make it up to 100 µl (Table 2.3). The reaction mix was mixed and incubated for 60 mins at ambient temperature. Absorbance was read at A</w:t>
      </w:r>
      <w:r w:rsidRPr="00FA2F5D">
        <w:rPr>
          <w:vertAlign w:val="subscript"/>
        </w:rPr>
        <w:t>570</w:t>
      </w:r>
      <w:r w:rsidRPr="00392836">
        <w:t xml:space="preserve"> and change in absorbance was plotted against the concentration in nmole (</w:t>
      </w:r>
      <w:r w:rsidR="00D42EAE">
        <w:t xml:space="preserve">Fig. </w:t>
      </w:r>
      <w:r w:rsidRPr="00392836">
        <w:t>2.10). Creatinine in the urine samples were determined according to the manufacturer’s instruction. A reaction mix was prepared for both urine samples and blank. 50</w:t>
      </w:r>
      <w:r w:rsidRPr="00392836">
        <w:rPr>
          <w:rFonts w:eastAsia="Times New Roman"/>
          <w:lang w:eastAsia="en-GB"/>
        </w:rPr>
        <w:t xml:space="preserve"> µl</w:t>
      </w:r>
      <w:r w:rsidRPr="00392836">
        <w:t xml:space="preserve"> of urine sample from each group was added (Table</w:t>
      </w:r>
      <w:r w:rsidR="00B069DE">
        <w:t xml:space="preserve"> </w:t>
      </w:r>
      <w:r w:rsidRPr="00392836">
        <w:t xml:space="preserve">2.4). </w:t>
      </w:r>
      <w:r w:rsidRPr="00392836">
        <w:rPr>
          <w:rFonts w:eastAsia="Times New Roman"/>
          <w:lang w:eastAsia="en-GB"/>
        </w:rPr>
        <w:t xml:space="preserve">The 96 well plate was covered with foil, mixed adequately and incubated at 37°C for 60 mins </w:t>
      </w:r>
      <w:r w:rsidRPr="00392836">
        <w:t>and then the absorbance was read at</w:t>
      </w:r>
      <w:r w:rsidR="00745FDC">
        <w:t xml:space="preserve"> A</w:t>
      </w:r>
      <w:r w:rsidRPr="00745FDC">
        <w:rPr>
          <w:vertAlign w:val="subscript"/>
        </w:rPr>
        <w:t>570</w:t>
      </w:r>
      <w:r w:rsidRPr="00392836">
        <w:t>.</w:t>
      </w:r>
    </w:p>
    <w:p w:rsidR="00430D62" w:rsidRDefault="002B3B55" w:rsidP="00751FA1">
      <w:pPr>
        <w:spacing w:after="160" w:line="259" w:lineRule="auto"/>
        <w:jc w:val="left"/>
      </w:pPr>
      <w:r>
        <w:br w:type="page"/>
      </w:r>
    </w:p>
    <w:p w:rsidR="00751FA1" w:rsidRPr="00751FA1" w:rsidRDefault="00751FA1" w:rsidP="00751FA1">
      <w:pPr>
        <w:spacing w:after="160" w:line="259" w:lineRule="auto"/>
        <w:jc w:val="left"/>
      </w:pPr>
    </w:p>
    <w:tbl>
      <w:tblPr>
        <w:tblW w:w="8518" w:type="dxa"/>
        <w:tblInd w:w="690" w:type="dxa"/>
        <w:tblLook w:val="04A0" w:firstRow="1" w:lastRow="0" w:firstColumn="1" w:lastColumn="0" w:noHBand="0" w:noVBand="1"/>
      </w:tblPr>
      <w:tblGrid>
        <w:gridCol w:w="1398"/>
        <w:gridCol w:w="730"/>
        <w:gridCol w:w="1278"/>
        <w:gridCol w:w="1278"/>
        <w:gridCol w:w="1278"/>
        <w:gridCol w:w="1278"/>
        <w:gridCol w:w="1278"/>
      </w:tblGrid>
      <w:tr w:rsidR="00430D62" w:rsidRPr="00CF3551" w:rsidTr="00E71B74">
        <w:trPr>
          <w:trHeight w:val="1444"/>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 xml:space="preserve">Reagents </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 xml:space="preserve">Blank </w:t>
            </w:r>
            <w:r w:rsidRPr="00CF3551">
              <w:rPr>
                <w:rFonts w:eastAsia="Times New Roman" w:cs="Arial"/>
                <w:sz w:val="16"/>
                <w:szCs w:val="16"/>
                <w:lang w:eastAsia="en-GB"/>
              </w:rPr>
              <w:t>(</w:t>
            </w:r>
            <w:bookmarkStart w:id="164" w:name="OLE_LINK12"/>
            <w:r w:rsidRPr="00CF3551">
              <w:rPr>
                <w:rFonts w:eastAsia="Times New Roman" w:cs="Arial"/>
                <w:sz w:val="16"/>
                <w:szCs w:val="16"/>
                <w:lang w:eastAsia="en-GB"/>
              </w:rPr>
              <w:t>µl</w:t>
            </w:r>
            <w:bookmarkEnd w:id="164"/>
            <w:r w:rsidRPr="00CF3551">
              <w:rPr>
                <w:rFonts w:eastAsia="Times New Roman" w:cs="Arial"/>
                <w:sz w:val="16"/>
                <w:szCs w:val="16"/>
                <w:lang w:eastAsia="en-GB"/>
              </w:rPr>
              <w:t>)</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Standard (2 nmole/well)</w:t>
            </w:r>
            <w:r w:rsidRPr="00CF3551">
              <w:rPr>
                <w:rFonts w:eastAsia="Times New Roman" w:cs="Arial"/>
                <w:sz w:val="16"/>
                <w:szCs w:val="16"/>
                <w:lang w:eastAsia="en-GB"/>
              </w:rPr>
              <w:t xml:space="preserve"> (µl)</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Standard (4 nmole/well)</w:t>
            </w:r>
            <w:r w:rsidRPr="00CF3551">
              <w:rPr>
                <w:rFonts w:eastAsia="Times New Roman" w:cs="Arial"/>
                <w:sz w:val="16"/>
                <w:szCs w:val="16"/>
                <w:lang w:eastAsia="en-GB"/>
              </w:rPr>
              <w:t xml:space="preserve"> (µl)</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Standard (6 nmole/well)</w:t>
            </w:r>
            <w:r w:rsidRPr="00CF3551">
              <w:rPr>
                <w:rFonts w:eastAsia="Times New Roman" w:cs="Arial"/>
                <w:sz w:val="16"/>
                <w:szCs w:val="16"/>
                <w:lang w:eastAsia="en-GB"/>
              </w:rPr>
              <w:t xml:space="preserve"> (µl)</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Standard (8 nmole/well)</w:t>
            </w:r>
            <w:r w:rsidRPr="00CF3551">
              <w:rPr>
                <w:rFonts w:eastAsia="Times New Roman" w:cs="Arial"/>
                <w:sz w:val="16"/>
                <w:szCs w:val="16"/>
                <w:lang w:eastAsia="en-GB"/>
              </w:rPr>
              <w:t xml:space="preserve"> (µl)</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Standard (10 nmole/well)</w:t>
            </w:r>
            <w:r w:rsidRPr="00CF3551">
              <w:rPr>
                <w:rFonts w:eastAsia="Times New Roman" w:cs="Arial"/>
                <w:sz w:val="16"/>
                <w:szCs w:val="16"/>
                <w:lang w:eastAsia="en-GB"/>
              </w:rPr>
              <w:t xml:space="preserve"> (µl)</w:t>
            </w:r>
          </w:p>
        </w:tc>
      </w:tr>
      <w:tr w:rsidR="00430D62" w:rsidRPr="00CF3551" w:rsidTr="00751FA1">
        <w:trPr>
          <w:trHeight w:val="1089"/>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Creatinine standard solution</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0</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4</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6</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8</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10</w:t>
            </w:r>
          </w:p>
        </w:tc>
      </w:tr>
      <w:tr w:rsidR="00430D62" w:rsidRPr="00CF3551" w:rsidTr="00751FA1">
        <w:trPr>
          <w:trHeight w:val="722"/>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Creatinine assay buffer</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94</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90</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88</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86</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84</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82</w:t>
            </w:r>
          </w:p>
        </w:tc>
      </w:tr>
      <w:tr w:rsidR="00430D62" w:rsidRPr="00CF3551" w:rsidTr="00751FA1">
        <w:trPr>
          <w:trHeight w:val="367"/>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Creatinase</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r>
      <w:tr w:rsidR="00430D62" w:rsidRPr="00CF3551" w:rsidTr="00751FA1">
        <w:trPr>
          <w:trHeight w:val="367"/>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Creatininase</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r>
      <w:tr w:rsidR="00430D62" w:rsidRPr="00CF3551" w:rsidTr="00751FA1">
        <w:trPr>
          <w:trHeight w:val="722"/>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Creatinine Enzyme Mix</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r>
      <w:tr w:rsidR="00430D62" w:rsidRPr="00CF3551" w:rsidTr="00751FA1">
        <w:trPr>
          <w:trHeight w:val="722"/>
        </w:trPr>
        <w:tc>
          <w:tcPr>
            <w:tcW w:w="139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Creatinine Probe</w:t>
            </w:r>
          </w:p>
        </w:tc>
        <w:tc>
          <w:tcPr>
            <w:tcW w:w="730"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c>
          <w:tcPr>
            <w:tcW w:w="1278" w:type="dxa"/>
            <w:tcBorders>
              <w:top w:val="single" w:sz="12" w:space="0" w:color="auto"/>
              <w:left w:val="single" w:sz="12" w:space="0" w:color="auto"/>
              <w:bottom w:val="single" w:sz="12" w:space="0" w:color="auto"/>
              <w:right w:val="single" w:sz="12" w:space="0" w:color="auto"/>
            </w:tcBorders>
          </w:tcPr>
          <w:p w:rsidR="00430D62" w:rsidRPr="00CF3551" w:rsidRDefault="00430D62" w:rsidP="007D497A">
            <w:pPr>
              <w:autoSpaceDE w:val="0"/>
              <w:autoSpaceDN w:val="0"/>
              <w:adjustRightInd w:val="0"/>
              <w:spacing w:after="0"/>
              <w:rPr>
                <w:rFonts w:cs="Arial"/>
                <w:sz w:val="16"/>
                <w:szCs w:val="16"/>
              </w:rPr>
            </w:pPr>
            <w:r w:rsidRPr="00CF3551">
              <w:rPr>
                <w:rFonts w:cs="Arial"/>
                <w:sz w:val="16"/>
                <w:szCs w:val="16"/>
              </w:rPr>
              <w:t>2</w:t>
            </w:r>
          </w:p>
        </w:tc>
      </w:tr>
    </w:tbl>
    <w:p w:rsidR="00430D62" w:rsidRPr="00392836" w:rsidRDefault="00430D62" w:rsidP="00430D62">
      <w:pPr>
        <w:autoSpaceDE w:val="0"/>
        <w:autoSpaceDN w:val="0"/>
        <w:adjustRightInd w:val="0"/>
        <w:spacing w:after="0"/>
        <w:ind w:left="720"/>
        <w:rPr>
          <w:rFonts w:ascii="Times New Roman" w:hAnsi="Times New Roman"/>
        </w:rPr>
      </w:pPr>
    </w:p>
    <w:p w:rsidR="00430D62" w:rsidRPr="00D316D5" w:rsidRDefault="00D316D5" w:rsidP="00D316D5">
      <w:pPr>
        <w:pStyle w:val="Table"/>
        <w:ind w:left="720"/>
        <w:rPr>
          <w:b w:val="0"/>
          <w:i w:val="0"/>
        </w:rPr>
      </w:pPr>
      <w:r>
        <w:tab/>
      </w:r>
      <w:r>
        <w:tab/>
        <w:t xml:space="preserve"> </w:t>
      </w:r>
      <w:r w:rsidR="00430D62" w:rsidRPr="00CF3551">
        <w:t>Table 2.3.</w:t>
      </w:r>
      <w:r w:rsidR="00FE71CA">
        <w:t xml:space="preserve"> Composition of creatinine standards.</w:t>
      </w:r>
      <w:r w:rsidR="00430D62" w:rsidRPr="00CF3551">
        <w:t xml:space="preserve"> </w:t>
      </w:r>
      <w:r w:rsidR="00430D62" w:rsidRPr="00D316D5">
        <w:rPr>
          <w:b w:val="0"/>
          <w:i w:val="0"/>
        </w:rPr>
        <w:t>This table shows the composition of each well in the preparation of the standards between 0-10</w:t>
      </w:r>
      <w:r w:rsidR="006E277C" w:rsidRPr="00D316D5">
        <w:rPr>
          <w:b w:val="0"/>
          <w:i w:val="0"/>
        </w:rPr>
        <w:t xml:space="preserve"> </w:t>
      </w:r>
      <w:r w:rsidR="00430D62" w:rsidRPr="00D316D5">
        <w:rPr>
          <w:b w:val="0"/>
          <w:i w:val="0"/>
        </w:rPr>
        <w:t>nmole/well. Tests were done in duplicates at ambient temperature.</w:t>
      </w:r>
    </w:p>
    <w:p w:rsidR="004F5E14" w:rsidRDefault="004F5E14" w:rsidP="00430D62">
      <w:pPr>
        <w:autoSpaceDE w:val="0"/>
        <w:autoSpaceDN w:val="0"/>
        <w:adjustRightInd w:val="0"/>
        <w:spacing w:after="0"/>
        <w:ind w:left="720"/>
        <w:rPr>
          <w:rFonts w:ascii="Times New Roman" w:hAnsi="Times New Roman"/>
        </w:rPr>
      </w:pPr>
    </w:p>
    <w:p w:rsidR="00430D62" w:rsidRPr="00392836" w:rsidRDefault="004F5E14" w:rsidP="004F5E14">
      <w:pPr>
        <w:autoSpaceDE w:val="0"/>
        <w:autoSpaceDN w:val="0"/>
        <w:adjustRightInd w:val="0"/>
        <w:spacing w:after="0"/>
        <w:ind w:left="720"/>
        <w:rPr>
          <w:rFonts w:ascii="Times New Roman" w:hAnsi="Times New Roman"/>
        </w:rPr>
      </w:pPr>
      <w:r>
        <w:rPr>
          <w:rFonts w:ascii="Times New Roman" w:hAnsi="Times New Roman"/>
        </w:rPr>
        <w:br w:type="page"/>
      </w:r>
    </w:p>
    <w:tbl>
      <w:tblPr>
        <w:tblStyle w:val="TableGrid"/>
        <w:tblW w:w="0" w:type="auto"/>
        <w:tblInd w:w="720" w:type="dxa"/>
        <w:tblLook w:val="04A0" w:firstRow="1" w:lastRow="0" w:firstColumn="1" w:lastColumn="0" w:noHBand="0" w:noVBand="1"/>
      </w:tblPr>
      <w:tblGrid>
        <w:gridCol w:w="2585"/>
        <w:gridCol w:w="2441"/>
        <w:gridCol w:w="2442"/>
      </w:tblGrid>
      <w:tr w:rsidR="00430D62" w:rsidRPr="00392836" w:rsidTr="007D497A">
        <w:tc>
          <w:tcPr>
            <w:tcW w:w="3005" w:type="dxa"/>
          </w:tcPr>
          <w:p w:rsidR="00430D62" w:rsidRPr="002B3B55" w:rsidRDefault="00430D62" w:rsidP="007D497A">
            <w:pPr>
              <w:autoSpaceDE w:val="0"/>
              <w:autoSpaceDN w:val="0"/>
              <w:adjustRightInd w:val="0"/>
              <w:rPr>
                <w:rFonts w:cs="Arial"/>
                <w:b/>
              </w:rPr>
            </w:pPr>
            <w:r w:rsidRPr="002B3B55">
              <w:rPr>
                <w:rFonts w:cs="Arial"/>
                <w:b/>
              </w:rPr>
              <w:lastRenderedPageBreak/>
              <w:t xml:space="preserve">Reagent </w:t>
            </w:r>
          </w:p>
        </w:tc>
        <w:tc>
          <w:tcPr>
            <w:tcW w:w="3005" w:type="dxa"/>
          </w:tcPr>
          <w:p w:rsidR="00430D62" w:rsidRPr="002B3B55" w:rsidRDefault="00430D62" w:rsidP="007D497A">
            <w:pPr>
              <w:autoSpaceDE w:val="0"/>
              <w:autoSpaceDN w:val="0"/>
              <w:adjustRightInd w:val="0"/>
              <w:rPr>
                <w:rFonts w:cs="Arial"/>
                <w:b/>
              </w:rPr>
            </w:pPr>
            <w:r w:rsidRPr="002B3B55">
              <w:rPr>
                <w:rFonts w:cs="Arial"/>
                <w:b/>
              </w:rPr>
              <w:t>Sample blank (µl)</w:t>
            </w:r>
          </w:p>
        </w:tc>
        <w:tc>
          <w:tcPr>
            <w:tcW w:w="3006" w:type="dxa"/>
          </w:tcPr>
          <w:p w:rsidR="00430D62" w:rsidRPr="002B3B55" w:rsidRDefault="00430D62" w:rsidP="007D497A">
            <w:pPr>
              <w:autoSpaceDE w:val="0"/>
              <w:autoSpaceDN w:val="0"/>
              <w:adjustRightInd w:val="0"/>
              <w:rPr>
                <w:rFonts w:cs="Arial"/>
                <w:b/>
              </w:rPr>
            </w:pPr>
            <w:r w:rsidRPr="002B3B55">
              <w:rPr>
                <w:rFonts w:cs="Arial"/>
                <w:b/>
              </w:rPr>
              <w:t>Sample (µl)</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Creatinine assay buffer</w:t>
            </w:r>
          </w:p>
        </w:tc>
        <w:tc>
          <w:tcPr>
            <w:tcW w:w="3005" w:type="dxa"/>
          </w:tcPr>
          <w:p w:rsidR="00430D62" w:rsidRPr="00745FDC" w:rsidRDefault="00430D62" w:rsidP="007D497A">
            <w:pPr>
              <w:autoSpaceDE w:val="0"/>
              <w:autoSpaceDN w:val="0"/>
              <w:adjustRightInd w:val="0"/>
              <w:rPr>
                <w:rFonts w:cs="Arial"/>
              </w:rPr>
            </w:pPr>
            <w:r w:rsidRPr="00745FDC">
              <w:rPr>
                <w:rFonts w:cs="Arial"/>
              </w:rPr>
              <w:t>44</w:t>
            </w:r>
          </w:p>
        </w:tc>
        <w:tc>
          <w:tcPr>
            <w:tcW w:w="3006" w:type="dxa"/>
          </w:tcPr>
          <w:p w:rsidR="00430D62" w:rsidRPr="00745FDC" w:rsidRDefault="00430D62" w:rsidP="007D497A">
            <w:pPr>
              <w:autoSpaceDE w:val="0"/>
              <w:autoSpaceDN w:val="0"/>
              <w:adjustRightInd w:val="0"/>
              <w:rPr>
                <w:rFonts w:cs="Arial"/>
              </w:rPr>
            </w:pPr>
            <w:r w:rsidRPr="00745FDC">
              <w:rPr>
                <w:rFonts w:cs="Arial"/>
              </w:rPr>
              <w:t>42</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 xml:space="preserve">Creatinase </w:t>
            </w:r>
          </w:p>
        </w:tc>
        <w:tc>
          <w:tcPr>
            <w:tcW w:w="3005" w:type="dxa"/>
          </w:tcPr>
          <w:p w:rsidR="00430D62" w:rsidRPr="00745FDC" w:rsidRDefault="00430D62" w:rsidP="007D497A">
            <w:pPr>
              <w:autoSpaceDE w:val="0"/>
              <w:autoSpaceDN w:val="0"/>
              <w:adjustRightInd w:val="0"/>
              <w:rPr>
                <w:rFonts w:cs="Arial"/>
              </w:rPr>
            </w:pPr>
            <w:r w:rsidRPr="00745FDC">
              <w:rPr>
                <w:rFonts w:cs="Arial"/>
              </w:rPr>
              <w:t>2</w:t>
            </w:r>
          </w:p>
        </w:tc>
        <w:tc>
          <w:tcPr>
            <w:tcW w:w="3006" w:type="dxa"/>
          </w:tcPr>
          <w:p w:rsidR="00430D62" w:rsidRPr="00745FDC" w:rsidRDefault="00430D62" w:rsidP="007D497A">
            <w:pPr>
              <w:autoSpaceDE w:val="0"/>
              <w:autoSpaceDN w:val="0"/>
              <w:adjustRightInd w:val="0"/>
              <w:rPr>
                <w:rFonts w:cs="Arial"/>
              </w:rPr>
            </w:pPr>
            <w:r w:rsidRPr="00745FDC">
              <w:rPr>
                <w:rFonts w:cs="Arial"/>
              </w:rPr>
              <w:t>2</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 xml:space="preserve">Creatininase </w:t>
            </w:r>
          </w:p>
        </w:tc>
        <w:tc>
          <w:tcPr>
            <w:tcW w:w="3005" w:type="dxa"/>
          </w:tcPr>
          <w:p w:rsidR="00430D62" w:rsidRPr="00745FDC" w:rsidRDefault="00430D62" w:rsidP="007D497A">
            <w:pPr>
              <w:autoSpaceDE w:val="0"/>
              <w:autoSpaceDN w:val="0"/>
              <w:adjustRightInd w:val="0"/>
              <w:rPr>
                <w:rFonts w:cs="Arial"/>
              </w:rPr>
            </w:pPr>
            <w:r w:rsidRPr="00745FDC">
              <w:rPr>
                <w:rFonts w:cs="Arial"/>
              </w:rPr>
              <w:t>-</w:t>
            </w:r>
          </w:p>
        </w:tc>
        <w:tc>
          <w:tcPr>
            <w:tcW w:w="3006" w:type="dxa"/>
          </w:tcPr>
          <w:p w:rsidR="00430D62" w:rsidRPr="00745FDC" w:rsidRDefault="00430D62" w:rsidP="007D497A">
            <w:pPr>
              <w:autoSpaceDE w:val="0"/>
              <w:autoSpaceDN w:val="0"/>
              <w:adjustRightInd w:val="0"/>
              <w:rPr>
                <w:rFonts w:cs="Arial"/>
              </w:rPr>
            </w:pPr>
            <w:r w:rsidRPr="00745FDC">
              <w:rPr>
                <w:rFonts w:cs="Arial"/>
              </w:rPr>
              <w:t>2</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 xml:space="preserve">Creatinine enzyme mix </w:t>
            </w:r>
          </w:p>
        </w:tc>
        <w:tc>
          <w:tcPr>
            <w:tcW w:w="3005" w:type="dxa"/>
          </w:tcPr>
          <w:p w:rsidR="00430D62" w:rsidRPr="00745FDC" w:rsidRDefault="00430D62" w:rsidP="007D497A">
            <w:pPr>
              <w:autoSpaceDE w:val="0"/>
              <w:autoSpaceDN w:val="0"/>
              <w:adjustRightInd w:val="0"/>
              <w:rPr>
                <w:rFonts w:cs="Arial"/>
              </w:rPr>
            </w:pPr>
            <w:r w:rsidRPr="00745FDC">
              <w:rPr>
                <w:rFonts w:cs="Arial"/>
              </w:rPr>
              <w:t>2</w:t>
            </w:r>
          </w:p>
        </w:tc>
        <w:tc>
          <w:tcPr>
            <w:tcW w:w="3006" w:type="dxa"/>
          </w:tcPr>
          <w:p w:rsidR="00430D62" w:rsidRPr="00745FDC" w:rsidRDefault="00430D62" w:rsidP="007D497A">
            <w:pPr>
              <w:autoSpaceDE w:val="0"/>
              <w:autoSpaceDN w:val="0"/>
              <w:adjustRightInd w:val="0"/>
              <w:rPr>
                <w:rFonts w:cs="Arial"/>
              </w:rPr>
            </w:pPr>
            <w:r w:rsidRPr="00745FDC">
              <w:rPr>
                <w:rFonts w:cs="Arial"/>
              </w:rPr>
              <w:t>2</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Creatinine probe</w:t>
            </w:r>
          </w:p>
        </w:tc>
        <w:tc>
          <w:tcPr>
            <w:tcW w:w="3005" w:type="dxa"/>
          </w:tcPr>
          <w:p w:rsidR="00430D62" w:rsidRPr="00745FDC" w:rsidRDefault="00430D62" w:rsidP="007D497A">
            <w:pPr>
              <w:autoSpaceDE w:val="0"/>
              <w:autoSpaceDN w:val="0"/>
              <w:adjustRightInd w:val="0"/>
              <w:rPr>
                <w:rFonts w:cs="Arial"/>
              </w:rPr>
            </w:pPr>
            <w:r w:rsidRPr="00745FDC">
              <w:rPr>
                <w:rFonts w:cs="Arial"/>
              </w:rPr>
              <w:t>2</w:t>
            </w:r>
          </w:p>
        </w:tc>
        <w:tc>
          <w:tcPr>
            <w:tcW w:w="3006" w:type="dxa"/>
          </w:tcPr>
          <w:p w:rsidR="00430D62" w:rsidRPr="00745FDC" w:rsidRDefault="00430D62" w:rsidP="007D497A">
            <w:pPr>
              <w:autoSpaceDE w:val="0"/>
              <w:autoSpaceDN w:val="0"/>
              <w:adjustRightInd w:val="0"/>
              <w:rPr>
                <w:rFonts w:cs="Arial"/>
              </w:rPr>
            </w:pPr>
            <w:r w:rsidRPr="00745FDC">
              <w:rPr>
                <w:rFonts w:cs="Arial"/>
              </w:rPr>
              <w:t>2</w:t>
            </w:r>
          </w:p>
        </w:tc>
      </w:tr>
      <w:tr w:rsidR="00430D62" w:rsidRPr="00392836" w:rsidTr="007D497A">
        <w:tc>
          <w:tcPr>
            <w:tcW w:w="3005" w:type="dxa"/>
          </w:tcPr>
          <w:p w:rsidR="00430D62" w:rsidRPr="00745FDC" w:rsidRDefault="00430D62" w:rsidP="007D497A">
            <w:pPr>
              <w:autoSpaceDE w:val="0"/>
              <w:autoSpaceDN w:val="0"/>
              <w:adjustRightInd w:val="0"/>
              <w:rPr>
                <w:rFonts w:cs="Arial"/>
              </w:rPr>
            </w:pPr>
            <w:r w:rsidRPr="00745FDC">
              <w:rPr>
                <w:rFonts w:cs="Arial"/>
              </w:rPr>
              <w:t xml:space="preserve">Urine </w:t>
            </w:r>
          </w:p>
        </w:tc>
        <w:tc>
          <w:tcPr>
            <w:tcW w:w="3005" w:type="dxa"/>
          </w:tcPr>
          <w:p w:rsidR="00430D62" w:rsidRPr="00745FDC" w:rsidRDefault="00430D62" w:rsidP="007D497A">
            <w:pPr>
              <w:autoSpaceDE w:val="0"/>
              <w:autoSpaceDN w:val="0"/>
              <w:adjustRightInd w:val="0"/>
              <w:rPr>
                <w:rFonts w:cs="Arial"/>
              </w:rPr>
            </w:pPr>
            <w:r w:rsidRPr="00745FDC">
              <w:rPr>
                <w:rFonts w:cs="Arial"/>
              </w:rPr>
              <w:t>50</w:t>
            </w:r>
          </w:p>
        </w:tc>
        <w:tc>
          <w:tcPr>
            <w:tcW w:w="3006" w:type="dxa"/>
          </w:tcPr>
          <w:p w:rsidR="00430D62" w:rsidRPr="00745FDC" w:rsidRDefault="00430D62" w:rsidP="007D497A">
            <w:pPr>
              <w:autoSpaceDE w:val="0"/>
              <w:autoSpaceDN w:val="0"/>
              <w:adjustRightInd w:val="0"/>
              <w:rPr>
                <w:rFonts w:cs="Arial"/>
              </w:rPr>
            </w:pPr>
            <w:r w:rsidRPr="00745FDC">
              <w:rPr>
                <w:rFonts w:cs="Arial"/>
              </w:rPr>
              <w:t>50</w:t>
            </w:r>
          </w:p>
        </w:tc>
      </w:tr>
    </w:tbl>
    <w:p w:rsidR="00430D62" w:rsidRPr="00392836" w:rsidRDefault="00430D62" w:rsidP="00430D62">
      <w:pPr>
        <w:autoSpaceDE w:val="0"/>
        <w:autoSpaceDN w:val="0"/>
        <w:adjustRightInd w:val="0"/>
        <w:spacing w:after="0"/>
        <w:ind w:left="720"/>
        <w:rPr>
          <w:rFonts w:ascii="Times New Roman" w:hAnsi="Times New Roman"/>
        </w:rPr>
      </w:pPr>
    </w:p>
    <w:p w:rsidR="00430D62" w:rsidRPr="00EF33A9" w:rsidRDefault="00EF33A9" w:rsidP="00EF33A9">
      <w:pPr>
        <w:pStyle w:val="Table"/>
        <w:ind w:left="720"/>
        <w:rPr>
          <w:b w:val="0"/>
          <w:i w:val="0"/>
        </w:rPr>
      </w:pPr>
      <w:bookmarkStart w:id="165" w:name="_Toc494731229"/>
      <w:bookmarkStart w:id="166" w:name="_Toc494732964"/>
      <w:r>
        <w:rPr>
          <w:rStyle w:val="SubtitleChar"/>
          <w:rFonts w:eastAsiaTheme="minorHAnsi"/>
        </w:rPr>
        <w:tab/>
      </w:r>
      <w:bookmarkStart w:id="167" w:name="_Toc504638845"/>
      <w:bookmarkStart w:id="168" w:name="_Toc504640576"/>
      <w:r w:rsidR="00430D62" w:rsidRPr="00DF4C24">
        <w:rPr>
          <w:rStyle w:val="SubtitleChar"/>
          <w:rFonts w:eastAsiaTheme="minorHAnsi"/>
        </w:rPr>
        <w:t>Table 2.4</w:t>
      </w:r>
      <w:bookmarkEnd w:id="165"/>
      <w:bookmarkEnd w:id="166"/>
      <w:r w:rsidR="00961B44">
        <w:rPr>
          <w:rStyle w:val="SubtitleChar"/>
          <w:rFonts w:eastAsiaTheme="minorHAnsi"/>
        </w:rPr>
        <w:t xml:space="preserve"> Creatinine determination in urine.</w:t>
      </w:r>
      <w:bookmarkEnd w:id="167"/>
      <w:bookmarkEnd w:id="168"/>
      <w:r w:rsidR="00745FDC">
        <w:t xml:space="preserve"> </w:t>
      </w:r>
      <w:r w:rsidR="00745FDC" w:rsidRPr="00EF33A9">
        <w:rPr>
          <w:b w:val="0"/>
          <w:i w:val="0"/>
        </w:rPr>
        <w:t>T</w:t>
      </w:r>
      <w:r w:rsidR="00430D62" w:rsidRPr="00EF33A9">
        <w:rPr>
          <w:b w:val="0"/>
          <w:i w:val="0"/>
        </w:rPr>
        <w:t xml:space="preserve">he composition of </w:t>
      </w:r>
      <w:r w:rsidRPr="00EF33A9">
        <w:rPr>
          <w:b w:val="0"/>
          <w:i w:val="0"/>
        </w:rPr>
        <w:t xml:space="preserve">    </w:t>
      </w:r>
      <w:r w:rsidR="00430D62" w:rsidRPr="00EF33A9">
        <w:rPr>
          <w:b w:val="0"/>
          <w:i w:val="0"/>
        </w:rPr>
        <w:t>each well in the determination of creatinine in urine with the blanks. Tests were done in duplicate at ambient temperature</w:t>
      </w:r>
      <w:r w:rsidR="00DF4C24" w:rsidRPr="00EF33A9">
        <w:rPr>
          <w:b w:val="0"/>
          <w:i w:val="0"/>
        </w:rPr>
        <w:t>.</w:t>
      </w:r>
      <w:r w:rsidR="00430D62" w:rsidRPr="00EF33A9">
        <w:rPr>
          <w:b w:val="0"/>
          <w:i w:val="0"/>
        </w:rPr>
        <w:t xml:space="preserve"> </w:t>
      </w:r>
    </w:p>
    <w:p w:rsidR="004F5E14" w:rsidRDefault="004F5E14" w:rsidP="007D497A">
      <w:r>
        <w:br w:type="page"/>
      </w:r>
    </w:p>
    <w:p w:rsidR="004F5E14" w:rsidRPr="00392836" w:rsidRDefault="004F5E14" w:rsidP="007D497A"/>
    <w:p w:rsidR="00430D62" w:rsidRPr="00392836" w:rsidRDefault="00430D62" w:rsidP="00430D62">
      <w:pPr>
        <w:autoSpaceDE w:val="0"/>
        <w:autoSpaceDN w:val="0"/>
        <w:adjustRightInd w:val="0"/>
        <w:spacing w:after="0"/>
        <w:ind w:left="720"/>
        <w:rPr>
          <w:rFonts w:ascii="Calibri" w:eastAsia="Calibri" w:hAnsi="Calibri"/>
          <w:lang w:val="en-US"/>
        </w:rPr>
      </w:pPr>
      <w:r w:rsidRPr="00392836">
        <w:rPr>
          <w:rFonts w:ascii="Calibri" w:eastAsia="Calibri" w:hAnsi="Calibri"/>
          <w:lang w:val="en-US"/>
        </w:rPr>
        <w:object w:dxaOrig="7483" w:dyaOrig="5126">
          <v:shape id="_x0000_i1027" type="#_x0000_t75" style="width:374.25pt;height:258.75pt" o:ole="">
            <v:imagedata r:id="rId46" o:title=""/>
          </v:shape>
          <o:OLEObject Type="Embed" ProgID="Prism7.Document" ShapeID="_x0000_i1027" DrawAspect="Content" ObjectID="_1583750197" r:id="rId47"/>
        </w:object>
      </w:r>
    </w:p>
    <w:p w:rsidR="00430D62" w:rsidRPr="004B681A" w:rsidRDefault="00430D62" w:rsidP="00DF4C24">
      <w:pPr>
        <w:pStyle w:val="LegText"/>
        <w:ind w:left="720"/>
        <w:rPr>
          <w:rStyle w:val="Figtext1"/>
        </w:rPr>
      </w:pPr>
      <w:bookmarkStart w:id="169" w:name="_Toc504640577"/>
      <w:r w:rsidRPr="004B681A">
        <w:rPr>
          <w:rStyle w:val="SubtitleChar"/>
        </w:rPr>
        <w:t>Figure 2.10 Creatinine standard curve</w:t>
      </w:r>
      <w:bookmarkEnd w:id="169"/>
      <w:r w:rsidRPr="00392836">
        <w:rPr>
          <w:rFonts w:ascii="Times New Roman" w:eastAsia="Calibri" w:hAnsi="Times New Roman"/>
          <w:lang w:val="en-US"/>
        </w:rPr>
        <w:t>.</w:t>
      </w:r>
      <w:r>
        <w:rPr>
          <w:rFonts w:ascii="Times New Roman" w:eastAsia="Calibri" w:hAnsi="Times New Roman"/>
          <w:lang w:val="en-US"/>
        </w:rPr>
        <w:t xml:space="preserve"> </w:t>
      </w:r>
      <w:r w:rsidRPr="004B681A">
        <w:rPr>
          <w:rStyle w:val="Figtext1"/>
        </w:rPr>
        <w:t>The figure shows data point of creatinine concentration at ambient temperature. The graph obtained at A</w:t>
      </w:r>
      <w:r w:rsidRPr="00E22283">
        <w:rPr>
          <w:rStyle w:val="Figtext1"/>
          <w:vertAlign w:val="subscript"/>
        </w:rPr>
        <w:t>570</w:t>
      </w:r>
      <w:r w:rsidRPr="004B681A">
        <w:rPr>
          <w:rStyle w:val="Figtext1"/>
        </w:rPr>
        <w:t xml:space="preserve"> shows a linear trend.   </w:t>
      </w:r>
    </w:p>
    <w:p w:rsidR="00430D62" w:rsidRPr="00392836" w:rsidRDefault="00430D62" w:rsidP="00430D62">
      <w:pPr>
        <w:spacing w:after="0"/>
        <w:ind w:left="720"/>
        <w:contextualSpacing/>
        <w:rPr>
          <w:rFonts w:ascii="Times New Roman" w:eastAsia="Calibri" w:hAnsi="Times New Roman"/>
          <w:sz w:val="20"/>
          <w:szCs w:val="20"/>
          <w:lang w:eastAsia="x-none"/>
        </w:rPr>
      </w:pPr>
    </w:p>
    <w:p w:rsidR="00430D62" w:rsidRPr="008E782D" w:rsidRDefault="00430D62" w:rsidP="00430D62">
      <w:pPr>
        <w:spacing w:after="0"/>
        <w:ind w:firstLine="720"/>
        <w:rPr>
          <w:rFonts w:eastAsia="Times New Roman" w:cs="Arial"/>
          <w:b/>
          <w:lang w:eastAsia="en-GB"/>
        </w:rPr>
      </w:pPr>
      <w:r w:rsidRPr="008E782D">
        <w:rPr>
          <w:rFonts w:eastAsia="Times New Roman" w:cs="Arial"/>
          <w:b/>
          <w:lang w:eastAsia="en-GB"/>
        </w:rPr>
        <w:t xml:space="preserve">Calculations </w:t>
      </w:r>
    </w:p>
    <w:p w:rsidR="00430D62" w:rsidRPr="00745FDC" w:rsidRDefault="00430D62" w:rsidP="00CE068D">
      <w:pPr>
        <w:ind w:left="720"/>
        <w:rPr>
          <w:rFonts w:cs="Arial"/>
          <w:lang w:eastAsia="en-GB"/>
        </w:rPr>
      </w:pPr>
      <w:r w:rsidRPr="00745FDC">
        <w:rPr>
          <w:rFonts w:cs="Arial"/>
          <w:lang w:eastAsia="en-GB"/>
        </w:rPr>
        <w:t xml:space="preserve">The mean of the blank readings were subtracted from the mean of the urine sample readings. The amount of creatinine (Sa) was then extrapolated from the standard curve. The concentration of creatinine was then calculated as shown below: </w:t>
      </w:r>
    </w:p>
    <w:p w:rsidR="00430D62" w:rsidRPr="00745FDC" w:rsidRDefault="00430D62" w:rsidP="00430D62">
      <w:pPr>
        <w:spacing w:after="0" w:line="240" w:lineRule="auto"/>
        <w:rPr>
          <w:rFonts w:eastAsia="Times New Roman" w:cs="Arial"/>
          <w:lang w:eastAsia="en-GB"/>
        </w:rPr>
      </w:pPr>
    </w:p>
    <w:p w:rsidR="00430D62" w:rsidRPr="00745FDC" w:rsidRDefault="00430D62" w:rsidP="00430D62">
      <w:pPr>
        <w:spacing w:after="0"/>
        <w:ind w:firstLine="720"/>
        <w:rPr>
          <w:rFonts w:eastAsia="Times New Roman" w:cs="Arial"/>
          <w:lang w:eastAsia="en-GB"/>
        </w:rPr>
      </w:pPr>
      <w:r w:rsidRPr="00745FDC">
        <w:rPr>
          <w:rFonts w:eastAsia="Times New Roman" w:cs="Arial"/>
          <w:lang w:eastAsia="en-GB"/>
        </w:rPr>
        <w:t>Concentration of Creatinine</w:t>
      </w:r>
    </w:p>
    <w:p w:rsidR="00430D62" w:rsidRPr="00745FDC" w:rsidRDefault="00430D62" w:rsidP="00430D62">
      <w:pPr>
        <w:spacing w:after="0"/>
        <w:ind w:firstLine="720"/>
        <w:rPr>
          <w:rFonts w:eastAsia="Times New Roman" w:cs="Arial"/>
          <w:lang w:eastAsia="en-GB"/>
        </w:rPr>
      </w:pPr>
      <w:r w:rsidRPr="00745FDC">
        <w:rPr>
          <w:rFonts w:eastAsia="Times New Roman" w:cs="Arial"/>
          <w:lang w:eastAsia="en-GB"/>
        </w:rPr>
        <w:t>Sa/Sv= C</w:t>
      </w:r>
    </w:p>
    <w:p w:rsidR="00430D62" w:rsidRPr="00745FDC" w:rsidRDefault="00430D62" w:rsidP="00E22283">
      <w:pPr>
        <w:spacing w:after="0"/>
        <w:ind w:left="720"/>
        <w:rPr>
          <w:rFonts w:eastAsia="Times New Roman" w:cs="Arial"/>
          <w:lang w:eastAsia="en-GB"/>
        </w:rPr>
      </w:pPr>
      <w:r w:rsidRPr="00745FDC">
        <w:rPr>
          <w:rFonts w:eastAsia="Times New Roman" w:cs="Arial"/>
          <w:lang w:eastAsia="en-GB"/>
        </w:rPr>
        <w:t>Sa= Amount of Creatinine in urine sample (nmole) extrapolated from standard curve</w:t>
      </w:r>
    </w:p>
    <w:p w:rsidR="00430D62" w:rsidRPr="00745FDC" w:rsidRDefault="00430D62" w:rsidP="00430D62">
      <w:pPr>
        <w:spacing w:after="0"/>
        <w:ind w:firstLine="720"/>
        <w:rPr>
          <w:rFonts w:eastAsia="Times New Roman" w:cs="Arial"/>
          <w:lang w:eastAsia="en-GB"/>
        </w:rPr>
      </w:pPr>
      <w:r w:rsidRPr="00745FDC">
        <w:rPr>
          <w:rFonts w:eastAsia="Times New Roman" w:cs="Arial"/>
          <w:lang w:eastAsia="en-GB"/>
        </w:rPr>
        <w:t>Sv= urine volume added into the wells (50μL)</w:t>
      </w:r>
    </w:p>
    <w:p w:rsidR="00430D62" w:rsidRPr="00745FDC" w:rsidRDefault="00430D62" w:rsidP="00430D62">
      <w:pPr>
        <w:spacing w:after="0"/>
        <w:ind w:firstLine="720"/>
        <w:rPr>
          <w:rFonts w:eastAsia="Times New Roman" w:cs="Arial"/>
          <w:lang w:eastAsia="en-GB"/>
        </w:rPr>
      </w:pPr>
      <w:r w:rsidRPr="00745FDC">
        <w:rPr>
          <w:rFonts w:eastAsia="Times New Roman" w:cs="Arial"/>
          <w:lang w:eastAsia="en-GB"/>
        </w:rPr>
        <w:t>C = Concentration of Creatinine in sample</w:t>
      </w:r>
    </w:p>
    <w:p w:rsidR="00430D62" w:rsidRPr="00745FDC" w:rsidRDefault="00430D62" w:rsidP="00430D62">
      <w:pPr>
        <w:spacing w:after="0"/>
        <w:ind w:firstLine="720"/>
        <w:rPr>
          <w:rFonts w:eastAsia="Times New Roman" w:cs="Arial"/>
          <w:lang w:eastAsia="en-GB"/>
        </w:rPr>
      </w:pPr>
      <w:r w:rsidRPr="00745FDC">
        <w:rPr>
          <w:rFonts w:eastAsia="Times New Roman" w:cs="Arial"/>
          <w:lang w:eastAsia="en-GB"/>
        </w:rPr>
        <w:t>Creatinine molecular weight: 113.12 g/mole</w:t>
      </w:r>
    </w:p>
    <w:p w:rsidR="00430D62" w:rsidRDefault="00430D62" w:rsidP="00430D62">
      <w:pPr>
        <w:spacing w:after="0" w:line="240" w:lineRule="auto"/>
        <w:ind w:firstLine="720"/>
        <w:rPr>
          <w:rFonts w:eastAsia="Times New Roman" w:cs="Arial"/>
          <w:lang w:eastAsia="en-GB"/>
        </w:rPr>
      </w:pPr>
      <w:r w:rsidRPr="00745FDC">
        <w:rPr>
          <w:rFonts w:eastAsia="Times New Roman" w:cs="Arial"/>
          <w:lang w:eastAsia="en-GB"/>
        </w:rPr>
        <w:t>Concentration in ng/μL= concentration in nmole/μL x MW of creatinine</w:t>
      </w:r>
    </w:p>
    <w:p w:rsidR="002F4447" w:rsidRPr="00745FDC" w:rsidRDefault="002F4447" w:rsidP="00430D62">
      <w:pPr>
        <w:spacing w:after="0" w:line="240" w:lineRule="auto"/>
        <w:ind w:firstLine="720"/>
        <w:rPr>
          <w:rFonts w:eastAsia="Times New Roman" w:cs="Arial"/>
          <w:lang w:eastAsia="en-GB"/>
        </w:rPr>
      </w:pPr>
    </w:p>
    <w:p w:rsidR="00430D62" w:rsidRPr="00745FDC" w:rsidRDefault="00430D62" w:rsidP="00430D62">
      <w:pPr>
        <w:spacing w:after="0" w:line="240" w:lineRule="auto"/>
        <w:ind w:firstLine="720"/>
        <w:rPr>
          <w:rFonts w:eastAsia="Times New Roman" w:cs="Arial"/>
          <w:lang w:eastAsia="en-GB"/>
        </w:rPr>
      </w:pPr>
    </w:p>
    <w:p w:rsidR="00430D62" w:rsidRPr="00392836" w:rsidRDefault="00430D62" w:rsidP="00430D62">
      <w:pPr>
        <w:spacing w:after="0" w:line="240" w:lineRule="auto"/>
        <w:ind w:firstLine="720"/>
        <w:rPr>
          <w:rFonts w:ascii="Times New Roman" w:eastAsia="Times New Roman" w:hAnsi="Times New Roman"/>
          <w:lang w:eastAsia="en-GB"/>
        </w:rPr>
      </w:pPr>
    </w:p>
    <w:p w:rsidR="00430D62" w:rsidRDefault="00430D62" w:rsidP="00CE068D">
      <w:pPr>
        <w:pStyle w:val="Heading4"/>
        <w:ind w:firstLine="720"/>
        <w:rPr>
          <w:rFonts w:eastAsia="Times New Roman"/>
          <w:snapToGrid w:val="0"/>
          <w:color w:val="000000"/>
          <w:w w:val="0"/>
          <w:u w:color="000000"/>
          <w:bdr w:val="none" w:sz="0" w:space="0" w:color="000000"/>
          <w:shd w:val="clear" w:color="000000" w:fill="000000"/>
          <w:lang w:val="x-none" w:bidi="x-none"/>
        </w:rPr>
      </w:pPr>
      <w:bookmarkStart w:id="170" w:name="_Toc484448837"/>
      <w:bookmarkStart w:id="171" w:name="_Toc506232342"/>
      <w:r w:rsidRPr="00392836">
        <w:rPr>
          <w:rFonts w:eastAsia="Times New Roman"/>
          <w:lang w:eastAsia="en-GB"/>
        </w:rPr>
        <w:t>2.</w:t>
      </w:r>
      <w:r>
        <w:rPr>
          <w:rFonts w:eastAsia="Times New Roman"/>
          <w:lang w:eastAsia="en-GB"/>
        </w:rPr>
        <w:t>4</w:t>
      </w:r>
      <w:r w:rsidRPr="00392836">
        <w:rPr>
          <w:rFonts w:eastAsia="Times New Roman"/>
          <w:lang w:eastAsia="en-GB"/>
        </w:rPr>
        <w:t>.5 Rat urine protein</w:t>
      </w:r>
      <w:bookmarkEnd w:id="170"/>
      <w:bookmarkEnd w:id="171"/>
      <w:r w:rsidRPr="00392836">
        <w:rPr>
          <w:rFonts w:eastAsia="Times New Roman"/>
          <w:lang w:val="en-US"/>
        </w:rPr>
        <w:t xml:space="preserve"> </w:t>
      </w:r>
      <w:r w:rsidRPr="00392836">
        <w:rPr>
          <w:rFonts w:eastAsia="Times New Roman"/>
          <w:snapToGrid w:val="0"/>
          <w:color w:val="000000"/>
          <w:w w:val="0"/>
          <w:u w:color="000000"/>
          <w:bdr w:val="none" w:sz="0" w:space="0" w:color="000000"/>
          <w:shd w:val="clear" w:color="000000" w:fill="000000"/>
          <w:lang w:val="x-none" w:bidi="x-none"/>
        </w:rPr>
        <w:t xml:space="preserve"> </w:t>
      </w:r>
    </w:p>
    <w:p w:rsidR="00430D62" w:rsidRPr="00EC1A9B" w:rsidRDefault="00430D62" w:rsidP="00EC1A9B">
      <w:pPr>
        <w:ind w:left="720"/>
        <w:rPr>
          <w:rFonts w:eastAsia="Times New Roman"/>
          <w:snapToGrid w:val="0"/>
          <w:color w:val="000000"/>
          <w:w w:val="0"/>
          <w:u w:color="000000"/>
          <w:bdr w:val="none" w:sz="0" w:space="0" w:color="000000"/>
          <w:shd w:val="clear" w:color="000000" w:fill="000000"/>
          <w:lang w:val="x-none" w:bidi="x-none"/>
        </w:rPr>
      </w:pPr>
      <w:r w:rsidRPr="00392836">
        <w:t xml:space="preserve">Pierce BCA Protein Assay Kit was </w:t>
      </w:r>
      <w:r w:rsidR="00EC1A9B">
        <w:t xml:space="preserve">used. </w:t>
      </w:r>
      <w:r w:rsidRPr="00392836">
        <w:t>This assay uses bicinchoninic acid (BCA) for the colorimetric detection and quantitation of protein. It involves the reduction of Cu</w:t>
      </w:r>
      <w:r w:rsidR="008E782D" w:rsidRPr="008E782D">
        <w:rPr>
          <w:vertAlign w:val="superscript"/>
        </w:rPr>
        <w:t>2+</w:t>
      </w:r>
      <w:r w:rsidRPr="00392836">
        <w:t xml:space="preserve"> to Cu</w:t>
      </w:r>
      <w:r w:rsidR="008E782D" w:rsidRPr="008E782D">
        <w:rPr>
          <w:vertAlign w:val="superscript"/>
        </w:rPr>
        <w:t>1+</w:t>
      </w:r>
      <w:r w:rsidRPr="00392836">
        <w:t xml:space="preserve"> by protein in an alkaline medium coupled with the colorimetric detection of cuprous cat</w:t>
      </w:r>
      <w:r w:rsidR="00EC1A9B">
        <w:t>ion with BCA. A resulting</w:t>
      </w:r>
      <w:r w:rsidRPr="00392836">
        <w:t xml:space="preserve"> purple coloured, water soluble complex with robust absorbance at 600 nm is formed by chelation of two molecules of BCA and cuprous ion. This complex demonstrates a linear relationship with increasing protein between 20-2000 µg/ml. The structure of protein, the amount of peptide bonds and the presence of cystine, cysteine, tryptophan and tyrosine </w:t>
      </w:r>
      <w:r w:rsidR="00EC1A9B">
        <w:t xml:space="preserve">residues in the protein </w:t>
      </w:r>
      <w:r w:rsidRPr="00392836">
        <w:t xml:space="preserve">are responsible for colour formation with BCA. </w:t>
      </w:r>
    </w:p>
    <w:p w:rsidR="00430D62" w:rsidRPr="00EC1A9B" w:rsidRDefault="00430D62" w:rsidP="00430D62">
      <w:pPr>
        <w:spacing w:after="0" w:line="240" w:lineRule="auto"/>
        <w:ind w:firstLine="720"/>
        <w:rPr>
          <w:rFonts w:eastAsia="Times New Roman" w:cs="Arial"/>
          <w:b/>
          <w:lang w:eastAsia="en-GB"/>
        </w:rPr>
      </w:pPr>
      <w:r w:rsidRPr="00EC1A9B">
        <w:rPr>
          <w:rFonts w:eastAsia="Times New Roman" w:cs="Arial"/>
          <w:b/>
          <w:lang w:eastAsia="en-GB"/>
        </w:rPr>
        <w:t>Procedure</w:t>
      </w:r>
    </w:p>
    <w:p w:rsidR="00430D62" w:rsidRPr="00392836" w:rsidRDefault="00430D62" w:rsidP="00430D62">
      <w:pPr>
        <w:spacing w:after="0" w:line="240" w:lineRule="auto"/>
        <w:ind w:firstLine="720"/>
        <w:rPr>
          <w:rFonts w:ascii="Times New Roman" w:eastAsia="Times New Roman" w:hAnsi="Times New Roman"/>
          <w:b/>
          <w:lang w:eastAsia="en-GB"/>
        </w:rPr>
      </w:pPr>
    </w:p>
    <w:p w:rsidR="00430D62" w:rsidRPr="00392836" w:rsidRDefault="00430D62" w:rsidP="00CE068D">
      <w:pPr>
        <w:ind w:left="720"/>
        <w:rPr>
          <w:lang w:eastAsia="en-GB"/>
        </w:rPr>
      </w:pPr>
      <w:r w:rsidRPr="00392836">
        <w:rPr>
          <w:lang w:eastAsia="en-GB"/>
        </w:rPr>
        <w:t xml:space="preserve">Preparation of diluted albumin standards. </w:t>
      </w:r>
      <w:r w:rsidRPr="00392836">
        <w:t>Protein standard curve was prepared using bovine serum albumin (BSA) as illustrated in Table 2.5.</w:t>
      </w:r>
      <w:r w:rsidRPr="00392836">
        <w:rPr>
          <w:lang w:eastAsia="en-GB"/>
        </w:rPr>
        <w:t xml:space="preserve"> A stock of 2mg/ml of albumin was bought from Thermo scientific. </w:t>
      </w:r>
    </w:p>
    <w:p w:rsidR="004F5E14" w:rsidRDefault="004F5E14" w:rsidP="00430D62">
      <w:pPr>
        <w:spacing w:after="0" w:line="240" w:lineRule="auto"/>
        <w:ind w:left="1080"/>
        <w:contextualSpacing/>
        <w:rPr>
          <w:rFonts w:ascii="Times New Roman" w:eastAsia="Times New Roman" w:hAnsi="Times New Roman"/>
          <w:sz w:val="25"/>
          <w:szCs w:val="25"/>
          <w:lang w:eastAsia="en-GB"/>
        </w:rPr>
      </w:pPr>
      <w:r>
        <w:rPr>
          <w:rFonts w:ascii="Times New Roman" w:eastAsia="Times New Roman" w:hAnsi="Times New Roman"/>
          <w:sz w:val="25"/>
          <w:szCs w:val="25"/>
          <w:lang w:eastAsia="en-GB"/>
        </w:rPr>
        <w:br w:type="page"/>
      </w:r>
    </w:p>
    <w:p w:rsidR="00430D62" w:rsidRPr="00392836" w:rsidRDefault="00430D62" w:rsidP="00430D62">
      <w:pPr>
        <w:spacing w:after="0" w:line="240" w:lineRule="auto"/>
        <w:ind w:left="1080"/>
        <w:contextualSpacing/>
        <w:rPr>
          <w:rFonts w:ascii="Times New Roman" w:eastAsia="Times New Roman" w:hAnsi="Times New Roman"/>
          <w:sz w:val="25"/>
          <w:szCs w:val="25"/>
          <w:lang w:eastAsia="en-GB"/>
        </w:rPr>
      </w:pPr>
    </w:p>
    <w:p w:rsidR="00430D62" w:rsidRPr="00392836" w:rsidRDefault="00430D62" w:rsidP="00430D62">
      <w:pPr>
        <w:spacing w:after="0"/>
        <w:rPr>
          <w:rFonts w:ascii="Times New Roman" w:hAnsi="Times New Roman"/>
        </w:rPr>
      </w:pPr>
    </w:p>
    <w:tbl>
      <w:tblPr>
        <w:tblW w:w="0" w:type="auto"/>
        <w:tblInd w:w="720" w:type="dxa"/>
        <w:tblLook w:val="04A0" w:firstRow="1" w:lastRow="0" w:firstColumn="1" w:lastColumn="0" w:noHBand="0" w:noVBand="1"/>
      </w:tblPr>
      <w:tblGrid>
        <w:gridCol w:w="1733"/>
        <w:gridCol w:w="1833"/>
        <w:gridCol w:w="1833"/>
        <w:gridCol w:w="2049"/>
      </w:tblGrid>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Vials</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 xml:space="preserve">Volume of diluent (µl) </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Volume of BSA (µl)</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BSA concentration (µg/ml)</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0</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300 of stock</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2000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2</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125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375 of stock</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1500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325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325 of stock</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1000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4</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175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line="240" w:lineRule="auto"/>
              <w:rPr>
                <w:rFonts w:eastAsia="Times New Roman" w:cs="Arial"/>
                <w:lang w:eastAsia="en-GB"/>
              </w:rPr>
            </w:pPr>
            <w:r w:rsidRPr="00EC1A9B">
              <w:rPr>
                <w:rFonts w:eastAsia="Times New Roman" w:cs="Arial"/>
                <w:lang w:eastAsia="en-GB"/>
              </w:rPr>
              <w:t>175 of vial 2 dilution</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750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325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line="240" w:lineRule="auto"/>
              <w:rPr>
                <w:rFonts w:eastAsia="Times New Roman" w:cs="Arial"/>
                <w:lang w:eastAsia="en-GB"/>
              </w:rPr>
            </w:pPr>
            <w:r w:rsidRPr="00EC1A9B">
              <w:rPr>
                <w:rFonts w:eastAsia="Times New Roman" w:cs="Arial"/>
                <w:lang w:eastAsia="en-GB"/>
              </w:rPr>
              <w:t>325 of vial 3 dilution</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500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6</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325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line="240" w:lineRule="auto"/>
              <w:rPr>
                <w:rFonts w:eastAsia="Times New Roman" w:cs="Arial"/>
                <w:lang w:eastAsia="en-GB"/>
              </w:rPr>
            </w:pPr>
            <w:r w:rsidRPr="00EC1A9B">
              <w:rPr>
                <w:rFonts w:eastAsia="Times New Roman" w:cs="Arial"/>
                <w:lang w:eastAsia="en-GB"/>
              </w:rPr>
              <w:t>325 of vial 5 dilution</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250</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7</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325</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line="240" w:lineRule="auto"/>
              <w:rPr>
                <w:rFonts w:eastAsia="Times New Roman" w:cs="Arial"/>
                <w:lang w:eastAsia="en-GB"/>
              </w:rPr>
            </w:pPr>
            <w:r w:rsidRPr="00EC1A9B">
              <w:rPr>
                <w:rFonts w:eastAsia="Times New Roman" w:cs="Arial"/>
                <w:lang w:eastAsia="en-GB"/>
              </w:rPr>
              <w:t>325 of vial 6 dilution</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125</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8</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400</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line="240" w:lineRule="auto"/>
              <w:rPr>
                <w:rFonts w:eastAsia="Times New Roman" w:cs="Arial"/>
                <w:lang w:eastAsia="en-GB"/>
              </w:rPr>
            </w:pPr>
            <w:r w:rsidRPr="00EC1A9B">
              <w:rPr>
                <w:rFonts w:eastAsia="Times New Roman" w:cs="Arial"/>
                <w:lang w:eastAsia="en-GB"/>
              </w:rPr>
              <w:t>100 of vial 7 dilution</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25</w:t>
            </w:r>
          </w:p>
        </w:tc>
      </w:tr>
      <w:tr w:rsidR="00430D62" w:rsidRPr="00392836" w:rsidTr="00F20AA3">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9</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400</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0</w:t>
            </w:r>
          </w:p>
        </w:tc>
        <w:tc>
          <w:tcPr>
            <w:tcW w:w="2254" w:type="dxa"/>
            <w:tcBorders>
              <w:top w:val="single" w:sz="12" w:space="0" w:color="auto"/>
              <w:left w:val="single" w:sz="12" w:space="0" w:color="auto"/>
              <w:bottom w:val="single" w:sz="12" w:space="0" w:color="auto"/>
              <w:right w:val="single" w:sz="12" w:space="0" w:color="auto"/>
            </w:tcBorders>
          </w:tcPr>
          <w:p w:rsidR="00430D62" w:rsidRPr="00EC1A9B" w:rsidRDefault="00430D62" w:rsidP="007D497A">
            <w:pPr>
              <w:spacing w:after="0"/>
              <w:rPr>
                <w:rFonts w:cs="Arial"/>
              </w:rPr>
            </w:pPr>
            <w:r w:rsidRPr="00EC1A9B">
              <w:rPr>
                <w:rFonts w:cs="Arial"/>
              </w:rPr>
              <w:t>0</w:t>
            </w:r>
          </w:p>
        </w:tc>
      </w:tr>
    </w:tbl>
    <w:p w:rsidR="00430D62" w:rsidRPr="00392836" w:rsidRDefault="00430D62" w:rsidP="00430D62">
      <w:pPr>
        <w:spacing w:after="0"/>
        <w:ind w:left="720"/>
        <w:rPr>
          <w:rFonts w:ascii="Times New Roman" w:hAnsi="Times New Roman"/>
        </w:rPr>
      </w:pPr>
    </w:p>
    <w:p w:rsidR="00430D62" w:rsidRPr="00FE71CA" w:rsidRDefault="00EF33A9" w:rsidP="00EF33A9">
      <w:pPr>
        <w:pStyle w:val="Table"/>
      </w:pPr>
      <w:r>
        <w:t xml:space="preserve">          </w:t>
      </w:r>
      <w:r w:rsidR="00430D62" w:rsidRPr="00FE71CA">
        <w:t xml:space="preserve">Table 2.5. </w:t>
      </w:r>
      <w:r w:rsidR="00EC1A9B" w:rsidRPr="00FE71CA">
        <w:t>Setting up a standard curve from 0-2.5 mg/ml BSA</w:t>
      </w:r>
      <w:r w:rsidR="00DF4C24" w:rsidRPr="00FE71CA">
        <w:t>.</w:t>
      </w:r>
    </w:p>
    <w:p w:rsidR="00430D62" w:rsidRPr="00392836" w:rsidRDefault="00430D62" w:rsidP="00DC2382">
      <w:pPr>
        <w:ind w:left="720"/>
        <w:rPr>
          <w:lang w:eastAsia="en-GB"/>
        </w:rPr>
      </w:pPr>
      <w:r w:rsidRPr="00392836">
        <w:rPr>
          <w:rFonts w:eastAsia="Calibri"/>
        </w:rPr>
        <w:t>Preparation of BCA Working Reagent (WR).</w:t>
      </w:r>
      <w:r w:rsidRPr="00392836">
        <w:rPr>
          <w:lang w:eastAsia="en-GB"/>
        </w:rPr>
        <w:t xml:space="preserve"> 50 mls of reagent A was mixed with 1 ml of reagent B to obtain a 50:1 ratio.</w:t>
      </w:r>
    </w:p>
    <w:p w:rsidR="00430D62" w:rsidRPr="00392836" w:rsidRDefault="00430D62" w:rsidP="00DC2382">
      <w:pPr>
        <w:ind w:left="720"/>
      </w:pPr>
      <w:r w:rsidRPr="00392836">
        <w:rPr>
          <w:lang w:eastAsia="en-GB"/>
        </w:rPr>
        <w:t xml:space="preserve">Test procedure: 0.1 ml of each standard and urine samples were pipetted in duplicates into labelled test tubes. </w:t>
      </w:r>
      <w:r w:rsidRPr="00392836">
        <w:rPr>
          <w:lang w:val="en-US" w:eastAsia="en-GB"/>
        </w:rPr>
        <w:t>2.0 mls of WR was added into the tubes</w:t>
      </w:r>
      <w:r w:rsidRPr="00392836">
        <w:rPr>
          <w:lang w:eastAsia="en-GB"/>
        </w:rPr>
        <w:t>, to achieve 1:20 sample to WR rat</w:t>
      </w:r>
      <w:r w:rsidR="00A20EE2">
        <w:rPr>
          <w:lang w:eastAsia="en-GB"/>
        </w:rPr>
        <w:t>io. The content in the tubes were</w:t>
      </w:r>
      <w:r w:rsidRPr="00392836">
        <w:rPr>
          <w:lang w:eastAsia="en-GB"/>
        </w:rPr>
        <w:t xml:space="preserve"> well mixed and incubated at 37°C for 30 mins and gradually cooled to room temperature.</w:t>
      </w:r>
      <w:r w:rsidRPr="00392836">
        <w:t xml:space="preserve"> The spectrophotometer was blanked and the absorbance was read at 600 nm. The standard curve was plotted and used to calculate the protein content in the urine samples (</w:t>
      </w:r>
      <w:r w:rsidR="00D42EAE">
        <w:t xml:space="preserve">Fig. </w:t>
      </w:r>
      <w:r w:rsidRPr="00392836">
        <w:t>2.11).</w:t>
      </w:r>
    </w:p>
    <w:p w:rsidR="00430D62" w:rsidRPr="00392836" w:rsidRDefault="00511091" w:rsidP="00430D62">
      <w:pPr>
        <w:ind w:left="720"/>
        <w:rPr>
          <w:rFonts w:ascii="Calibri" w:eastAsia="Calibri" w:hAnsi="Calibri"/>
          <w:lang w:val="en-US"/>
        </w:rPr>
      </w:pPr>
      <w:r w:rsidRPr="00392836">
        <w:rPr>
          <w:rFonts w:ascii="Calibri" w:eastAsia="Calibri" w:hAnsi="Calibri"/>
          <w:lang w:val="en-US"/>
        </w:rPr>
        <w:object w:dxaOrig="7644" w:dyaOrig="5148">
          <v:shape id="_x0000_i1028" type="#_x0000_t75" style="width:381.75pt;height:259.5pt" o:ole="">
            <v:imagedata r:id="rId48" o:title=""/>
          </v:shape>
          <o:OLEObject Type="Embed" ProgID="Prism7.Document" ShapeID="_x0000_i1028" DrawAspect="Content" ObjectID="_1583750198" r:id="rId49"/>
        </w:object>
      </w:r>
    </w:p>
    <w:p w:rsidR="00430D62" w:rsidRPr="00430D62" w:rsidRDefault="00430D62" w:rsidP="00DF4C24">
      <w:pPr>
        <w:pStyle w:val="LegText"/>
        <w:ind w:firstLine="720"/>
        <w:rPr>
          <w:rFonts w:eastAsia="Calibri"/>
        </w:rPr>
      </w:pPr>
      <w:bookmarkStart w:id="172" w:name="_Toc504640578"/>
      <w:r w:rsidRPr="00430D62">
        <w:rPr>
          <w:rStyle w:val="SubtitleChar"/>
        </w:rPr>
        <w:t>Figure 2.11 Protein standard curve.</w:t>
      </w:r>
      <w:bookmarkEnd w:id="172"/>
    </w:p>
    <w:p w:rsidR="00DA3299" w:rsidRDefault="00430D62" w:rsidP="00DF4C24">
      <w:pPr>
        <w:pStyle w:val="LegText"/>
        <w:ind w:left="720"/>
        <w:rPr>
          <w:rStyle w:val="Figtext1"/>
        </w:rPr>
      </w:pPr>
      <w:r w:rsidRPr="004B681A">
        <w:rPr>
          <w:rStyle w:val="Figtext1"/>
        </w:rPr>
        <w:t>The figure shows data points of protein concentration at ambient temperature. The graph obtained a</w:t>
      </w:r>
      <w:r w:rsidR="00DA3299">
        <w:rPr>
          <w:rStyle w:val="Figtext1"/>
        </w:rPr>
        <w:t>t A</w:t>
      </w:r>
      <w:r w:rsidR="00DA3299" w:rsidRPr="00C056EF">
        <w:rPr>
          <w:rStyle w:val="Figtext1"/>
          <w:vertAlign w:val="subscript"/>
        </w:rPr>
        <w:t>600</w:t>
      </w:r>
      <w:r w:rsidR="00C056EF" w:rsidRPr="00C056EF">
        <w:rPr>
          <w:rStyle w:val="Figtext1"/>
          <w:vertAlign w:val="subscript"/>
        </w:rPr>
        <w:t>nM</w:t>
      </w:r>
      <w:r w:rsidR="00DA3299">
        <w:rPr>
          <w:rStyle w:val="Figtext1"/>
        </w:rPr>
        <w:t xml:space="preserve"> shows a linear trend, n=3</w:t>
      </w:r>
      <w:r w:rsidRPr="004B681A">
        <w:rPr>
          <w:rStyle w:val="Figtext1"/>
        </w:rPr>
        <w:t xml:space="preserve">.  </w:t>
      </w:r>
    </w:p>
    <w:p w:rsidR="00DA3299" w:rsidRDefault="00DA3299" w:rsidP="00530456">
      <w:pPr>
        <w:pStyle w:val="LegText"/>
        <w:rPr>
          <w:rStyle w:val="Figtext1"/>
        </w:rPr>
      </w:pPr>
    </w:p>
    <w:p w:rsidR="00DA3299" w:rsidRDefault="00DA3299" w:rsidP="00DC2382">
      <w:pPr>
        <w:pStyle w:val="Heading4"/>
        <w:ind w:firstLine="720"/>
      </w:pPr>
      <w:bookmarkStart w:id="173" w:name="_Toc506232343"/>
      <w:r w:rsidRPr="00DA3299">
        <w:t>2.4.6 Serum creatinine</w:t>
      </w:r>
      <w:bookmarkEnd w:id="173"/>
    </w:p>
    <w:p w:rsidR="00036F92" w:rsidRPr="00036F92" w:rsidRDefault="00036F92" w:rsidP="00DC2382">
      <w:pPr>
        <w:ind w:left="720"/>
      </w:pPr>
      <w:r>
        <w:t>Blood creatinine was determined with the stat sensor Xpres</w:t>
      </w:r>
      <w:r w:rsidR="006F5893">
        <w:t>s creatinine measuring analyser</w:t>
      </w:r>
      <w:r>
        <w:t xml:space="preserve">. </w:t>
      </w:r>
      <w:r w:rsidR="006F5893" w:rsidRPr="002F27E2">
        <w:rPr>
          <w:rFonts w:cs="Arial"/>
        </w:rPr>
        <w:t>This analyser uses test st</w:t>
      </w:r>
      <w:r w:rsidR="006F5893">
        <w:rPr>
          <w:rFonts w:cs="Arial"/>
        </w:rPr>
        <w:t>r</w:t>
      </w:r>
      <w:r w:rsidR="006F5893" w:rsidRPr="002F27E2">
        <w:rPr>
          <w:rFonts w:cs="Arial"/>
        </w:rPr>
        <w:t xml:space="preserve">ips based on miniaturized, disposable biosensors </w:t>
      </w:r>
      <w:r w:rsidR="006F5893">
        <w:rPr>
          <w:rFonts w:cs="Arial"/>
        </w:rPr>
        <w:t>technology</w:t>
      </w:r>
      <w:r w:rsidR="006F5893" w:rsidRPr="002F27E2">
        <w:rPr>
          <w:rFonts w:cs="Arial"/>
        </w:rPr>
        <w:t xml:space="preserve"> which is sensitive to whole blood. It also allows rapid</w:t>
      </w:r>
      <w:r w:rsidR="006F5893">
        <w:rPr>
          <w:rFonts w:cs="Arial"/>
        </w:rPr>
        <w:t>,</w:t>
      </w:r>
      <w:r w:rsidR="006F5893" w:rsidRPr="002F27E2">
        <w:rPr>
          <w:rFonts w:cs="Arial"/>
        </w:rPr>
        <w:t xml:space="preserve"> simple and accurate measurement of creatinine</w:t>
      </w:r>
      <w:r w:rsidR="006F5893">
        <w:rPr>
          <w:rFonts w:cs="Arial"/>
        </w:rPr>
        <w:t>.</w:t>
      </w:r>
      <w:r w:rsidR="006F5893">
        <w:t xml:space="preserve"> </w:t>
      </w:r>
      <w:r>
        <w:t>The</w:t>
      </w:r>
      <w:r w:rsidR="006F5893">
        <w:t xml:space="preserve"> </w:t>
      </w:r>
      <w:r>
        <w:t xml:space="preserve">equipment comes with its test strips </w:t>
      </w:r>
      <w:r w:rsidR="00C4177C">
        <w:t xml:space="preserve">and the manufacturers’ </w:t>
      </w:r>
      <w:r w:rsidR="00C4177C" w:rsidRPr="006F5893">
        <w:t xml:space="preserve">manual. </w:t>
      </w:r>
      <w:r w:rsidR="006F5893">
        <w:t>A drop</w:t>
      </w:r>
      <w:r w:rsidR="00C4177C">
        <w:t xml:space="preserve"> is placed on the terminal chamber and this is automatically aspirated into the machine </w:t>
      </w:r>
      <w:r w:rsidR="006F5893">
        <w:t>w</w:t>
      </w:r>
      <w:r w:rsidR="00C4177C">
        <w:t xml:space="preserve">hich then provides the result in 30 sec. </w:t>
      </w:r>
    </w:p>
    <w:p w:rsidR="00F73D3E" w:rsidRPr="00015CCE" w:rsidRDefault="00F73D3E" w:rsidP="00015CCE">
      <w:pPr>
        <w:pStyle w:val="LegText"/>
        <w:rPr>
          <w:rFonts w:cs="Arial"/>
        </w:rPr>
      </w:pPr>
    </w:p>
    <w:p w:rsidR="00F73D3E" w:rsidRDefault="00F73D3E" w:rsidP="00DC2382">
      <w:pPr>
        <w:pStyle w:val="Heading4"/>
        <w:ind w:firstLine="720"/>
      </w:pPr>
      <w:bookmarkStart w:id="174" w:name="_Toc506232344"/>
      <w:r w:rsidRPr="00E23556">
        <w:t>2.4</w:t>
      </w:r>
      <w:r w:rsidR="00E23556" w:rsidRPr="00E23556">
        <w:t>.7 Creatinine Clearance</w:t>
      </w:r>
      <w:bookmarkEnd w:id="174"/>
    </w:p>
    <w:p w:rsidR="00E23556" w:rsidRDefault="00E23556" w:rsidP="00DC2382">
      <w:pPr>
        <w:ind w:left="720"/>
      </w:pPr>
      <w:r>
        <w:t>Creatinine clearance was calcul</w:t>
      </w:r>
      <w:r w:rsidR="00DE3B7D">
        <w:t xml:space="preserve">ated from data obtained from 24 </w:t>
      </w:r>
      <w:r>
        <w:t>hr urine creatinine urine flow rate and serum cr</w:t>
      </w:r>
      <w:r w:rsidR="00015CCE">
        <w:t>eatinine using the formula on the next page.</w:t>
      </w:r>
    </w:p>
    <w:p w:rsidR="00015CCE" w:rsidRDefault="00015CCE" w:rsidP="00DC2382">
      <w:pPr>
        <w:ind w:left="720"/>
      </w:pPr>
    </w:p>
    <w:p w:rsidR="00E23556" w:rsidRPr="006D14AA" w:rsidRDefault="00E23556" w:rsidP="00F1084C">
      <w:pPr>
        <w:ind w:firstLine="720"/>
        <w:rPr>
          <w:sz w:val="22"/>
          <w:szCs w:val="22"/>
        </w:rPr>
      </w:pPr>
      <w:r w:rsidRPr="006D14AA">
        <w:rPr>
          <w:noProof/>
          <w:sz w:val="22"/>
          <w:szCs w:val="22"/>
          <w:lang w:eastAsia="en-GB"/>
        </w:rPr>
        <w:lastRenderedPageBreak/>
        <mc:AlternateContent>
          <mc:Choice Requires="wps">
            <w:drawing>
              <wp:anchor distT="0" distB="0" distL="114300" distR="114300" simplePos="0" relativeHeight="251702272" behindDoc="0" locked="0" layoutInCell="1" allowOverlap="1">
                <wp:simplePos x="0" y="0"/>
                <wp:positionH relativeFrom="column">
                  <wp:posOffset>1521460</wp:posOffset>
                </wp:positionH>
                <wp:positionV relativeFrom="paragraph">
                  <wp:posOffset>269875</wp:posOffset>
                </wp:positionV>
                <wp:extent cx="3381375" cy="28575"/>
                <wp:effectExtent l="0" t="0" r="28575" b="28575"/>
                <wp:wrapNone/>
                <wp:docPr id="31" name="Straight Connector 31"/>
                <wp:cNvGraphicFramePr/>
                <a:graphic xmlns:a="http://schemas.openxmlformats.org/drawingml/2006/main">
                  <a:graphicData uri="http://schemas.microsoft.com/office/word/2010/wordprocessingShape">
                    <wps:wsp>
                      <wps:cNvCnPr/>
                      <wps:spPr>
                        <a:xfrm>
                          <a:off x="0" y="0"/>
                          <a:ext cx="3381375" cy="28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7DE762" id="Straight Connector 31"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19.8pt,21.25pt" to="386.0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SXg1AEAAAkEAAAOAAAAZHJzL2Uyb0RvYy54bWysU8GO2yAQvVfqPyDuje1E20ZWnD1ktb1U&#10;bdTtfgCLhxgJGAQ0cf6+A06cVVupatULZmDem3mP8eZ+tIYdIUSNruPNouYMnMReu0PHn789vltz&#10;FpNwvTDooONniPx++/bN5uRbWOKApofAiMTF9uQ7PqTk26qKcgAr4gI9OLpUGKxIFIZD1QdxInZr&#10;qmVdv69OGHofUEKMdPowXfJt4VcKZPqiVITETMept1TWUNaXvFbbjWgPQfhBy0sb4h+6sEI7KjpT&#10;PYgk2Pegf6GyWgaMqNJCoq1QKS2haCA1Tf2TmqdBeChayJzoZ5vi/6OVn4/7wHTf8VXDmROW3ugp&#10;BaEPQ2I7dI4cxMDokpw6+dgSYOf24RJFvw9Z9qiCzV8SxMbi7nl2F8bEJB2uVutm9eGOM0l3y/Ud&#10;bYmluoF9iOkjoGV503GjXRYvWnH8FNOUek3Jx8blNaLR/aM2pgR5bGBnAjsKevA0lrapxKssijKy&#10;ymKm9ssunQ1MrF9BkSHUcFOql1G8cQopwaUrr3GUnWGKOpiB9Z+Bl/wMhTKmfwOeEaUyujSDrXYY&#10;flf9ZoWa8q8OTLqzBS/Yn8vDFmto3srjXP6NPNCv4wK//cHbHwAAAP//AwBQSwMEFAAGAAgAAAAh&#10;AG2BUaLgAAAACQEAAA8AAABkcnMvZG93bnJldi54bWxMj8FOg0AQhu8mvsNmTLwYu5RaUGRpDEkv&#10;HkwspvG4ZadAZGcJuy307R1P9jgzX/75/nwz216ccfSdIwXLRQQCqXamo0bBV7V9fAbhgyaje0eo&#10;4IIeNsXtTa4z4yb6xPMuNIJDyGdaQRvCkEnp6xat9gs3IPHt6EarA49jI82oJw63vYyjKJFWd8Qf&#10;Wj1g2WL9sztZBd/Nw2q7r6iayvBxTNr5sn9fl0rd381vryACzuEfhj99VoeCnQ7uRMaLXkG8ekkY&#10;VfAUr0EwkKbxEsSBF2kEssjldYPiFwAA//8DAFBLAQItABQABgAIAAAAIQC2gziS/gAAAOEBAAAT&#10;AAAAAAAAAAAAAAAAAAAAAABbQ29udGVudF9UeXBlc10ueG1sUEsBAi0AFAAGAAgAAAAhADj9If/W&#10;AAAAlAEAAAsAAAAAAAAAAAAAAAAALwEAAF9yZWxzLy5yZWxzUEsBAi0AFAAGAAgAAAAhAA0dJeDU&#10;AQAACQQAAA4AAAAAAAAAAAAAAAAALgIAAGRycy9lMm9Eb2MueG1sUEsBAi0AFAAGAAgAAAAhAG2B&#10;UaLgAAAACQEAAA8AAAAAAAAAAAAAAAAALgQAAGRycy9kb3ducmV2LnhtbFBLBQYAAAAABAAEAPMA&#10;AAA7BQAAAAA=&#10;" strokecolor="black [3213]" strokeweight=".5pt">
                <v:stroke joinstyle="miter"/>
              </v:line>
            </w:pict>
          </mc:Fallback>
        </mc:AlternateContent>
      </w:r>
      <w:r w:rsidRPr="006D14AA">
        <w:rPr>
          <w:sz w:val="22"/>
          <w:szCs w:val="22"/>
        </w:rPr>
        <w:t>Creatinine clearance=Urine creatinine (</w:t>
      </w:r>
      <w:r w:rsidRPr="006D14AA">
        <w:rPr>
          <w:rStyle w:val="Strong"/>
          <w:b w:val="0"/>
          <w:sz w:val="22"/>
          <w:szCs w:val="22"/>
        </w:rPr>
        <w:t>µ</w:t>
      </w:r>
      <w:r w:rsidRPr="006D14AA">
        <w:rPr>
          <w:sz w:val="22"/>
          <w:szCs w:val="22"/>
        </w:rPr>
        <w:t>mol/L)</w:t>
      </w:r>
      <w:r w:rsidR="006F797A" w:rsidRPr="006D14AA">
        <w:rPr>
          <w:sz w:val="22"/>
          <w:szCs w:val="22"/>
        </w:rPr>
        <w:t>x</w:t>
      </w:r>
      <w:r w:rsidRPr="006D14AA">
        <w:rPr>
          <w:sz w:val="22"/>
          <w:szCs w:val="22"/>
        </w:rPr>
        <w:t>Urine flow rate (</w:t>
      </w:r>
      <w:r w:rsidRPr="006D14AA">
        <w:rPr>
          <w:rStyle w:val="Strong"/>
          <w:b w:val="0"/>
          <w:sz w:val="22"/>
          <w:szCs w:val="22"/>
        </w:rPr>
        <w:t>µ</w:t>
      </w:r>
      <w:r w:rsidRPr="006D14AA">
        <w:rPr>
          <w:sz w:val="22"/>
          <w:szCs w:val="22"/>
        </w:rPr>
        <w:t xml:space="preserve">ml/min) </w:t>
      </w:r>
    </w:p>
    <w:p w:rsidR="00430D62" w:rsidRPr="006D14AA" w:rsidRDefault="00E23556" w:rsidP="006F797A">
      <w:pPr>
        <w:rPr>
          <w:rStyle w:val="SubtitleChar"/>
          <w:rFonts w:eastAsiaTheme="minorHAnsi"/>
          <w:b/>
          <w:sz w:val="22"/>
          <w:szCs w:val="22"/>
          <w:lang w:val="en-GB"/>
        </w:rPr>
      </w:pPr>
      <w:r>
        <w:t xml:space="preserve">                                              </w:t>
      </w:r>
      <w:r w:rsidRPr="006D14AA">
        <w:rPr>
          <w:sz w:val="22"/>
          <w:szCs w:val="22"/>
        </w:rPr>
        <w:t>Serum Creatinine (</w:t>
      </w:r>
      <w:r w:rsidRPr="006D14AA">
        <w:rPr>
          <w:rStyle w:val="Strong"/>
          <w:b w:val="0"/>
          <w:sz w:val="22"/>
          <w:szCs w:val="22"/>
        </w:rPr>
        <w:t>µ</w:t>
      </w:r>
      <w:r w:rsidRPr="006D14AA">
        <w:rPr>
          <w:sz w:val="22"/>
          <w:szCs w:val="22"/>
        </w:rPr>
        <w:t>mol/L)</w:t>
      </w:r>
      <w:r w:rsidR="00F73D3E" w:rsidRPr="006D14AA">
        <w:rPr>
          <w:rStyle w:val="SubtitleChar"/>
          <w:rFonts w:eastAsiaTheme="minorHAnsi"/>
          <w:b/>
          <w:sz w:val="22"/>
          <w:szCs w:val="22"/>
          <w:lang w:val="en-GB"/>
        </w:rPr>
        <w:t xml:space="preserve"> </w:t>
      </w:r>
    </w:p>
    <w:p w:rsidR="006F797A" w:rsidRPr="00F73D3E" w:rsidRDefault="006F797A" w:rsidP="006F797A"/>
    <w:p w:rsidR="00430D62" w:rsidRPr="00392836" w:rsidRDefault="00430D62" w:rsidP="00DC2382">
      <w:pPr>
        <w:pStyle w:val="Heading3"/>
        <w:ind w:firstLine="720"/>
        <w:rPr>
          <w:lang w:val="en-US"/>
        </w:rPr>
      </w:pPr>
      <w:bookmarkStart w:id="175" w:name="_Toc484448838"/>
      <w:bookmarkStart w:id="176" w:name="_Toc506232345"/>
      <w:r w:rsidRPr="00392836">
        <w:rPr>
          <w:lang w:val="en-US"/>
        </w:rPr>
        <w:t>2.</w:t>
      </w:r>
      <w:r>
        <w:rPr>
          <w:lang w:val="en-US"/>
        </w:rPr>
        <w:t>5</w:t>
      </w:r>
      <w:r w:rsidR="006D14AA">
        <w:rPr>
          <w:lang w:val="en-US"/>
        </w:rPr>
        <w:t xml:space="preserve"> Determination of urinary GAG</w:t>
      </w:r>
      <w:r w:rsidRPr="00392836">
        <w:rPr>
          <w:lang w:val="en-US"/>
        </w:rPr>
        <w:t xml:space="preserve"> level</w:t>
      </w:r>
      <w:bookmarkEnd w:id="175"/>
      <w:bookmarkEnd w:id="176"/>
      <w:r w:rsidRPr="00392836">
        <w:rPr>
          <w:lang w:val="en-US"/>
        </w:rPr>
        <w:t xml:space="preserve">  </w:t>
      </w:r>
    </w:p>
    <w:p w:rsidR="00430D62" w:rsidRPr="00430D62" w:rsidRDefault="00430D62" w:rsidP="00DC2382">
      <w:pPr>
        <w:pStyle w:val="Heading4"/>
        <w:ind w:firstLine="720"/>
      </w:pPr>
      <w:bookmarkStart w:id="177" w:name="_Toc484448839"/>
      <w:bookmarkStart w:id="178" w:name="_Toc506232346"/>
      <w:r w:rsidRPr="00430D62">
        <w:t>2.5.1  1,9-Dimethymethylene blue (DMMB) solution</w:t>
      </w:r>
      <w:bookmarkEnd w:id="177"/>
      <w:bookmarkEnd w:id="178"/>
    </w:p>
    <w:p w:rsidR="00430D62" w:rsidRPr="00392836" w:rsidRDefault="00430D62" w:rsidP="00DC2382">
      <w:pPr>
        <w:ind w:left="720"/>
        <w:rPr>
          <w:lang w:val="en-US"/>
        </w:rPr>
      </w:pPr>
      <w:r w:rsidRPr="00392836">
        <w:rPr>
          <w:lang w:val="en-US"/>
        </w:rPr>
        <w:t xml:space="preserve">The </w:t>
      </w:r>
      <w:r w:rsidR="0057459F">
        <w:rPr>
          <w:lang w:val="en-US"/>
        </w:rPr>
        <w:t>measurement of</w:t>
      </w:r>
      <w:r w:rsidRPr="00392836">
        <w:rPr>
          <w:lang w:val="en-US"/>
        </w:rPr>
        <w:t xml:space="preserve"> GAG levels in body fluids and tissues could be of great worth in diagnostic medicine if well applied. The GAG assay involves the use of 1,9-dimethylmethylene blue (DMMB) dye. The dye was first introduced in 1969 by Taylor and Jaffe. It was then intended for histochemistry, however with time it became useful in the measurement of GAGs. The blue dye 1,9-dimethylmethylene is a thiazine chromotrope, which is responsible for the difference in absorption when metachromasia is induced following the reaction between sulphated GAGs and the dye. This reaction results into the identification of GAGs. The positively charged dye was added to a solution of highly negatively charged GAGs to form a GAGs-dye complex and the absorbance read at 525</w:t>
      </w:r>
      <w:r w:rsidR="00DE3B7D">
        <w:rPr>
          <w:lang w:val="en-US"/>
        </w:rPr>
        <w:t xml:space="preserve"> </w:t>
      </w:r>
      <w:r w:rsidRPr="00392836">
        <w:rPr>
          <w:lang w:val="en-US"/>
        </w:rPr>
        <w:t xml:space="preserve">nM. </w:t>
      </w:r>
    </w:p>
    <w:p w:rsidR="00015CCE" w:rsidRDefault="00430D62" w:rsidP="00DC2382">
      <w:pPr>
        <w:ind w:left="720"/>
        <w:rPr>
          <w:lang w:val="en-US"/>
        </w:rPr>
      </w:pPr>
      <w:r w:rsidRPr="00392836">
        <w:rPr>
          <w:lang w:val="en-US"/>
        </w:rPr>
        <w:t>Researchers continued to use the DMMB assay with very little understanding of its mechanism of action a</w:t>
      </w:r>
      <w:r w:rsidR="00F1084C">
        <w:rPr>
          <w:lang w:val="en-US"/>
        </w:rPr>
        <w:t xml:space="preserve">nd also the frustration of the lack of specificity for </w:t>
      </w:r>
      <w:r w:rsidRPr="00392836">
        <w:rPr>
          <w:lang w:val="en-US"/>
        </w:rPr>
        <w:t>GAGs</w:t>
      </w:r>
      <w:r w:rsidR="00F1084C">
        <w:rPr>
          <w:lang w:val="en-US"/>
        </w:rPr>
        <w:t>.</w:t>
      </w:r>
      <w:r w:rsidRPr="00392836">
        <w:rPr>
          <w:lang w:val="en-US"/>
        </w:rPr>
        <w:t xml:space="preserve"> This major setback continued until Farndale et al (1982)</w:t>
      </w:r>
      <w:r w:rsidR="00F1084C">
        <w:rPr>
          <w:lang w:val="en-US"/>
        </w:rPr>
        <w:t>,</w:t>
      </w:r>
      <w:r w:rsidRPr="00392836">
        <w:rPr>
          <w:lang w:val="en-US"/>
        </w:rPr>
        <w:t xml:space="preserve"> (1986) and Dey et al (1992) succeeded in stabilizing the GAGs-dye</w:t>
      </w:r>
      <w:r w:rsidR="00F1084C">
        <w:rPr>
          <w:lang w:val="en-US"/>
        </w:rPr>
        <w:t xml:space="preserve"> complex by substituting the di</w:t>
      </w:r>
      <w:r w:rsidRPr="00392836">
        <w:rPr>
          <w:lang w:val="en-US"/>
        </w:rPr>
        <w:t xml:space="preserve">basic citrate/phosphate buffer with formate buffer and a low pH to exclude the interference from DNA and RNA and non-sulphated GAGs such as hyaluronan </w:t>
      </w:r>
      <w:r w:rsidRPr="00392836">
        <w:rPr>
          <w:lang w:val="en-US"/>
        </w:rPr>
        <w:fldChar w:fldCharType="begin">
          <w:fldData xml:space="preserve">PEVuZE5vdGU+PENpdGU+PEF1dGhvcj5GYXJuZGFsZTwvQXV0aG9yPjxZZWFyPjE5ODI8L1llYXI+
PElEVGV4dD5BIGRpcmVjdCBzcGVjdHJvcGhvdG9tZXRyaWMgbWljcm9hc3NheSBmb3Igc3VsZmF0
ZWQgZ2x5Y29zYW1pbm9nbHljYW5zIGluIGNhcnRpbGFnZSBjdWx0dXJlczwvSURUZXh0PjxEaXNw
bGF5VGV4dD4oRmFybmRhbGUgZXQgYWwuLCAxOTgyLCBGYXJuZGFsZSBldCBhbC4sIDE5ODYsIERl
eSBldCBhbC4sIDE5OTIpPC9EaXNwbGF5VGV4dD48cmVjb3JkPjxrZXl3b3Jkcz48a2V5d29yZD5B
bmltYWxzPC9rZXl3b3JkPjxrZXl3b3JkPkNhcnRpbGFnZS8qYW5hbHlzaXM8L2tleXdvcmQ+PGtl
eXdvcmQ+Q3VsdHVyZSBUZWNobmlxdWVzPC9rZXl3b3JkPjxrZXl3b3JkPkdseWNvc2FtaW5vZ2x5
Y2Fucy8qYW5hbHlzaXM8L2tleXdvcmQ+PGtleXdvcmQ+SHVtYW5zPC9rZXl3b3JkPjxrZXl3b3Jk
Pk1ldGh5bGVuZSBCbHVlL2FuYWxvZ3MgJmFtcDsgZGVyaXZhdGl2ZXM8L2tleXdvcmQ+PGtleXdv
cmQ+TWljcm9jaGVtaXN0cnk8L2tleXdvcmQ+PGtleXdvcmQ+UGFwYWluPC9rZXl3b3JkPjxrZXl3
b3JkPlNwZWN0cm9waG90b21ldHJ5PC9rZXl3b3JkPjxrZXl3b3JkPlN1bGZ1cmljIEFjaWRzPC9r
ZXl3b3JkPjwva2V5d29yZHM+PGlzYm4+MDMwMC04MjA3IChQcmludCkmI3hEOzAzMDAtODIwNzwv
aXNibj48dGl0bGVzPjx0aXRsZT5BIGRpcmVjdCBzcGVjdHJvcGhvdG9tZXRyaWMgbWljcm9hc3Nh
eSBmb3Igc3VsZmF0ZWQgZ2x5Y29zYW1pbm9nbHljYW5zIGluIGNhcnRpbGFnZSBjdWx0dXJlczwv
dGl0bGU+PHNlY29uZGFyeS10aXRsZT5Db25uZWN0IFRpc3N1ZSBSZXM8L3NlY29uZGFyeS10aXRs
ZT48YWx0LXRpdGxlPkNvbm5lY3RpdmUgdGlzc3VlIHJlc2VhcmNoPC9hbHQtdGl0bGU+PC90aXRs
ZXM+PHBhZ2VzPjI0Ny04PC9wYWdlcz48bnVtYmVyPjQ8L251bWJlcj48Y29udHJpYnV0b3JzPjxh
dXRob3JzPjxhdXRob3I+RmFybmRhbGUsIFIuIFcuPC9hdXRob3I+PGF1dGhvcj5TYXllcnMsIEMu
IEEuPC9hdXRob3I+PGF1dGhvcj5CYXJyZXR0LCBBLiBKLjwvYXV0aG9yPjwvYXV0aG9ycz48L2Nv
bnRyaWJ1dG9ycz48ZWRpdGlvbj4xOTgyLzAxLzAxPC9lZGl0aW9uPjxsYW5ndWFnZT5lbmc8L2xh
bmd1YWdlPjxhZGRlZC1kYXRlIGZvcm1hdD0idXRjIj4xNDkwODk2MDgyPC9hZGRlZC1kYXRlPjxy
ZWYtdHlwZSBuYW1lPSJKb3VybmFsIEFydGljbGUiPjE3PC9yZWYtdHlwZT48ZGF0ZXM+PHllYXI+
MTk4MjwveWVhcj48L2RhdGVzPjxyZW1vdGUtZGF0YWJhc2UtcHJvdmlkZXI+TkxNPC9yZW1vdGUt
ZGF0YWJhc2UtcHJvdmlkZXI+PHJlYy1udW1iZXI+MTY1MTwvcmVjLW51bWJlcj48bGFzdC11cGRh
dGVkLWRhdGUgZm9ybWF0PSJ1dGMiPjE0OTA4OTYwODI8L2xhc3QtdXBkYXRlZC1kYXRlPjxhY2Nl
c3Npb24tbnVtPjYyMTUyMDc8L2FjY2Vzc2lvbi1udW0+PHZvbHVtZT45PC92b2x1bWU+PC9yZWNv
cmQ+PC9DaXRlPjxDaXRlPjxBdXRob3I+RmFybmRhbGU8L0F1dGhvcj48WWVhcj4xOTg2PC9ZZWFy
PjxJRFRleHQ+SW1wcm92ZWQgcXVhbnRpdGF0aW9uIGFuZCBkaXNjcmltaW5hdGlvbiBvZiBzdWxw
aGF0ZWQgZ2x5Y29zYW1pbm9nbHljYW5zIGJ5IHVzZSBvZiBkaW1ldGh5bG1ldGh5bGVuZSBibHVl
PC9JRFRleHQ+PHJlY29yZD48ZGF0ZXM+PHB1Yi1kYXRlcz48ZGF0ZT5TZXAgNDwvZGF0ZT48L3B1
Yi1kYXRlcz48eWVhcj4xOTg2PC95ZWFyPjwvZGF0ZXM+PGtleXdvcmRzPjxrZXl3b3JkPkNob25k
cm9pdGluIEx5YXNlcy9tZXRhYm9saXNtPC9rZXl3b3JkPjxrZXl3b3JkPkdseWNvc2FtaW5vZ2x5
Y2Fucy8qYW5hbHlzaXM8L2tleXdvcmQ+PGtleXdvcmQ+KkdseWNvc2lkZSBIeWRyb2xhc2VzPC9r
ZXl3b3JkPjxrZXl3b3JkPk1ldGh5bGVuZSBCbHVlLyphbmFsb2dzICZhbXA7IGRlcml2YXRpdmVz
PC9rZXl3b3JkPjxrZXl3b3JkPlNwZWN0cm9waG90b21ldHJ5PC9rZXl3b3JkPjxrZXl3b3JkPlN1
bGZhdGVzPC9rZXl3b3JkPjxrZXl3b3JkPmJldGEtR2FsYWN0b3NpZGFzZS9tZXRhYm9saXNtPC9r
ZXl3b3JkPjwva2V5d29yZHM+PGlzYm4+MDAwNi0zMDAyIChQcmludCkmI3hEOzAwMDYtMzAwMjwv
aXNibj48dGl0bGVzPjx0aXRsZT5JbXByb3ZlZCBxdWFudGl0YXRpb24gYW5kIGRpc2NyaW1pbmF0
aW9uIG9mIHN1bHBoYXRlZCBnbHljb3NhbWlub2dseWNhbnMgYnkgdXNlIG9mIGRpbWV0aHlsbWV0
aHlsZW5lIGJsdWU8L3RpdGxlPjxzZWNvbmRhcnktdGl0bGU+QmlvY2hpbSBCaW9waHlzIEFjdGE8
L3NlY29uZGFyeS10aXRsZT48YWx0LXRpdGxlPkJpb2NoaW1pY2EgZXQgYmlvcGh5c2ljYSBhY3Rh
PC9hbHQtdGl0bGU+PC90aXRsZXM+PHBhZ2VzPjE3My03PC9wYWdlcz48bnVtYmVyPjI8L251bWJl
cj48Y29udHJpYnV0b3JzPjxhdXRob3JzPjxhdXRob3I+RmFybmRhbGUsIFIuIFcuPC9hdXRob3I+
PGF1dGhvcj5CdXR0bGUsIEQuIEouPC9hdXRob3I+PGF1dGhvcj5CYXJyZXR0LCBBLiBKLjwvYXV0
aG9yPjwvYXV0aG9ycz48L2NvbnRyaWJ1dG9ycz48ZWRpdGlvbj4xOTg2LzA5LzA0PC9lZGl0aW9u
PjxsYW5ndWFnZT5Fbmc8L2xhbmd1YWdlPjxhZGRlZC1kYXRlIGZvcm1hdD0idXRjIj4xNDc5MTEw
MjYyPC9hZGRlZC1kYXRlPjxyZWYtdHlwZSBuYW1lPSJKb3VybmFsIEFydGljbGUiPjE3PC9yZWYt
dHlwZT48cmVtb3RlLWRhdGFiYXNlLXByb3ZpZGVyPk5MTTwvcmVtb3RlLWRhdGFiYXNlLXByb3Zp
ZGVyPjxyZWMtbnVtYmVyPjE1NzI8L3JlYy1udW1iZXI+PGxhc3QtdXBkYXRlZC1kYXRlIGZvcm1h
dD0idXRjIj4xNDc5MTEwMjYyPC9sYXN0LXVwZGF0ZWQtZGF0ZT48YWNjZXNzaW9uLW51bT4zMDkx
MDc0PC9hY2Nlc3Npb24tbnVtPjx2b2x1bWU+ODgzPC92b2x1bWU+PC9yZWNvcmQ+PC9DaXRlPjxD
aXRlPjxBdXRob3I+RGV5PC9BdXRob3I+PFllYXI+MTk5MjwvWWVhcj48SURUZXh0PlN0dWRpZXMg
b24gdGhlIHF1YW50aWZpY2F0aW9uIG9mIHByb3Rlb2dseWNhbnMgYnkgdGhlIGRpbWV0aHlsbWV0
aHlsZW5lIGJsdWUgZHllLWJpbmRpbmcgbWV0aG9kLiBTcGVjaWZpY2l0eSwgcXVhbnRpdGF0aW9u
IGluIHN5bm92aWFsIGxhdmFnZSBmbHVpZCwgYW5kIGF1dG9tYXRpb248L0lEVGV4dD48cmVjb3Jk
PjxrZXl3b3Jkcz48a2V5d29yZD5BbmltYWxzPC9rZXl3b3JkPjxrZXl3b3JkPkF1dG9hbmFseXNp
cy9tZXRob2RzPC9rZXl3b3JkPjxrZXl3b3JkPkNvbG9yaW5nIEFnZW50czwva2V5d29yZD48a2V5
d29yZD5EbmE8L2tleXdvcmQ+PGtleXdvcmQ+RGVveHlyaWJvbnVjbGVhc2VzPC9rZXl3b3JkPjxr
ZXl3b3JkPkZhbHNlIE5lZ2F0aXZlIFJlYWN0aW9uczwva2V5d29yZD48a2V5d29yZD5HbHljb3Nh
bWlub2dseWNhbnMvYW5hbHlzaXM8L2tleXdvcmQ+PGtleXdvcmQ+SHlhbHVyb25pYyBBY2lkPC9r
ZXl3b3JkPjxrZXl3b3JkPkh5YWx1cm9ub2dsdWNvc2FtaW5pZGFzZTwva2V5d29yZD48a2V5d29y
ZD5NZXRoeWxlbmUgQmx1ZS8qYW5hbG9ncyAmYW1wOyBkZXJpdmF0aXZlcy9tZXRhYm9saXNtPC9r
ZXl3b3JkPjxrZXl3b3JkPlByb3Rlb2dseWNhbnMvKmFuYWx5c2lzPC9rZXl3b3JkPjxrZXl3b3Jk
PlF1YWxpdHkgQ29udHJvbDwva2V5d29yZD48a2V5d29yZD5SbmE8L2tleXdvcmQ+PGtleXdvcmQ+
UmFiYml0czwva2V5d29yZD48a2V5d29yZD5SaWJvbnVjbGVhc2VzPC9rZXl3b3JkPjxrZXl3b3Jk
PlN5bm92aWFsIEZsdWlkLypjaGVtaXN0cnk8L2tleXdvcmQ+PGtleXdvcmQ+VGhlcmFwZXV0aWMg
SXJyaWdhdGlvbjwva2V5d29yZD48L2tleXdvcmRzPjxpc2JuPjAzMDAtODIwNyAoUHJpbnQpJiN4
RDswMzAwLTgyMDc8L2lzYm4+PHRpdGxlcz48dGl0bGU+U3R1ZGllcyBvbiB0aGUgcXVhbnRpZmlj
YXRpb24gb2YgcHJvdGVvZ2x5Y2FucyBieSB0aGUgZGltZXRoeWxtZXRoeWxlbmUgYmx1ZSBkeWUt
YmluZGluZyBtZXRob2QuIFNwZWNpZmljaXR5LCBxdWFudGl0YXRpb24gaW4gc3lub3ZpYWwgbGF2
YWdlIGZsdWlkLCBhbmQgYXV0b21hdGlvbjwvdGl0bGU+PHNlY29uZGFyeS10aXRsZT5Db25uZWN0
IFRpc3N1ZSBSZXM8L3NlY29uZGFyeS10aXRsZT48YWx0LXRpdGxlPkNvbm5lY3RpdmUgdGlzc3Vl
IHJlc2VhcmNoPC9hbHQtdGl0bGU+PC90aXRsZXM+PHBhZ2VzPjMxNy0yNDwvcGFnZXM+PG51bWJl
cj40PC9udW1iZXI+PGNvbnRyaWJ1dG9ycz48YXV0aG9ycz48YXV0aG9yPkRleSwgUC48L2F1dGhv
cj48YXV0aG9yPlNhcGhvcywgQy4gQS48L2F1dGhvcj48YXV0aG9yPk1jRG9ubmVsbCwgSi48L2F1
dGhvcj48YXV0aG9yPk1vb3JlLCBWLiBMLjwvYXV0aG9yPjwvYXV0aG9ycz48L2NvbnRyaWJ1dG9y
cz48ZWRpdGlvbj4xOTkyLzAxLzAxPC9lZGl0aW9uPjxsYW5ndWFnZT5lbmc8L2xhbmd1YWdlPjxh
ZGRlZC1kYXRlIGZvcm1hdD0idXRjIj4xNDkwODk2MjY2PC9hZGRlZC1kYXRlPjxyZWYtdHlwZSBu
YW1lPSJKb3VybmFsIEFydGljbGUiPjE3PC9yZWYtdHlwZT48YXV0aC1hZGRyZXNzPk1lcmNrIFJl
c2VhcmNoIExhYm9yYXRvcmllcywgUmFod2F5LCBOZXcgSmVyc2V5LjwvYXV0aC1hZGRyZXNzPjxk
YXRlcz48eWVhcj4xOTkyPC95ZWFyPjwvZGF0ZXM+PHJlbW90ZS1kYXRhYmFzZS1wcm92aWRlcj5O
TE08L3JlbW90ZS1kYXRhYmFzZS1wcm92aWRlcj48cmVjLW51bWJlcj4xNjUyPC9yZWMtbnVtYmVy
PjxsYXN0LXVwZGF0ZWQtZGF0ZSBmb3JtYXQ9InV0YyI+MTQ5MDg5NjI2NjwvbGFzdC11cGRhdGVk
LWRhdGU+PGFjY2Vzc2lvbi1udW0+MTI4NDc4NzwvYWNjZXNzaW9uLW51bT48dm9sdW1lPjI4PC92
b2x1bWU+PC9yZWNvcmQ+PC9DaXRlPjwvRW5kTm90ZT5=
</w:fldData>
        </w:fldChar>
      </w:r>
      <w:r w:rsidRPr="00392836">
        <w:rPr>
          <w:lang w:val="en-US"/>
        </w:rPr>
        <w:instrText xml:space="preserve"> ADDIN EN.CITE </w:instrText>
      </w:r>
      <w:r w:rsidRPr="00392836">
        <w:rPr>
          <w:lang w:val="en-US"/>
        </w:rPr>
        <w:fldChar w:fldCharType="begin">
          <w:fldData xml:space="preserve">PEVuZE5vdGU+PENpdGU+PEF1dGhvcj5GYXJuZGFsZTwvQXV0aG9yPjxZZWFyPjE5ODI8L1llYXI+
PElEVGV4dD5BIGRpcmVjdCBzcGVjdHJvcGhvdG9tZXRyaWMgbWljcm9hc3NheSBmb3Igc3VsZmF0
ZWQgZ2x5Y29zYW1pbm9nbHljYW5zIGluIGNhcnRpbGFnZSBjdWx0dXJlczwvSURUZXh0PjxEaXNw
bGF5VGV4dD4oRmFybmRhbGUgZXQgYWwuLCAxOTgyLCBGYXJuZGFsZSBldCBhbC4sIDE5ODYsIERl
eSBldCBhbC4sIDE5OTIpPC9EaXNwbGF5VGV4dD48cmVjb3JkPjxrZXl3b3Jkcz48a2V5d29yZD5B
bmltYWxzPC9rZXl3b3JkPjxrZXl3b3JkPkNhcnRpbGFnZS8qYW5hbHlzaXM8L2tleXdvcmQ+PGtl
eXdvcmQ+Q3VsdHVyZSBUZWNobmlxdWVzPC9rZXl3b3JkPjxrZXl3b3JkPkdseWNvc2FtaW5vZ2x5
Y2Fucy8qYW5hbHlzaXM8L2tleXdvcmQ+PGtleXdvcmQ+SHVtYW5zPC9rZXl3b3JkPjxrZXl3b3Jk
Pk1ldGh5bGVuZSBCbHVlL2FuYWxvZ3MgJmFtcDsgZGVyaXZhdGl2ZXM8L2tleXdvcmQ+PGtleXdv
cmQ+TWljcm9jaGVtaXN0cnk8L2tleXdvcmQ+PGtleXdvcmQ+UGFwYWluPC9rZXl3b3JkPjxrZXl3
b3JkPlNwZWN0cm9waG90b21ldHJ5PC9rZXl3b3JkPjxrZXl3b3JkPlN1bGZ1cmljIEFjaWRzPC9r
ZXl3b3JkPjwva2V5d29yZHM+PGlzYm4+MDMwMC04MjA3IChQcmludCkmI3hEOzAzMDAtODIwNzwv
aXNibj48dGl0bGVzPjx0aXRsZT5BIGRpcmVjdCBzcGVjdHJvcGhvdG9tZXRyaWMgbWljcm9hc3Nh
eSBmb3Igc3VsZmF0ZWQgZ2x5Y29zYW1pbm9nbHljYW5zIGluIGNhcnRpbGFnZSBjdWx0dXJlczwv
dGl0bGU+PHNlY29uZGFyeS10aXRsZT5Db25uZWN0IFRpc3N1ZSBSZXM8L3NlY29uZGFyeS10aXRs
ZT48YWx0LXRpdGxlPkNvbm5lY3RpdmUgdGlzc3VlIHJlc2VhcmNoPC9hbHQtdGl0bGU+PC90aXRs
ZXM+PHBhZ2VzPjI0Ny04PC9wYWdlcz48bnVtYmVyPjQ8L251bWJlcj48Y29udHJpYnV0b3JzPjxh
dXRob3JzPjxhdXRob3I+RmFybmRhbGUsIFIuIFcuPC9hdXRob3I+PGF1dGhvcj5TYXllcnMsIEMu
IEEuPC9hdXRob3I+PGF1dGhvcj5CYXJyZXR0LCBBLiBKLjwvYXV0aG9yPjwvYXV0aG9ycz48L2Nv
bnRyaWJ1dG9ycz48ZWRpdGlvbj4xOTgyLzAxLzAxPC9lZGl0aW9uPjxsYW5ndWFnZT5lbmc8L2xh
bmd1YWdlPjxhZGRlZC1kYXRlIGZvcm1hdD0idXRjIj4xNDkwODk2MDgyPC9hZGRlZC1kYXRlPjxy
ZWYtdHlwZSBuYW1lPSJKb3VybmFsIEFydGljbGUiPjE3PC9yZWYtdHlwZT48ZGF0ZXM+PHllYXI+
MTk4MjwveWVhcj48L2RhdGVzPjxyZW1vdGUtZGF0YWJhc2UtcHJvdmlkZXI+TkxNPC9yZW1vdGUt
ZGF0YWJhc2UtcHJvdmlkZXI+PHJlYy1udW1iZXI+MTY1MTwvcmVjLW51bWJlcj48bGFzdC11cGRh
dGVkLWRhdGUgZm9ybWF0PSJ1dGMiPjE0OTA4OTYwODI8L2xhc3QtdXBkYXRlZC1kYXRlPjxhY2Nl
c3Npb24tbnVtPjYyMTUyMDc8L2FjY2Vzc2lvbi1udW0+PHZvbHVtZT45PC92b2x1bWU+PC9yZWNv
cmQ+PC9DaXRlPjxDaXRlPjxBdXRob3I+RmFybmRhbGU8L0F1dGhvcj48WWVhcj4xOTg2PC9ZZWFy
PjxJRFRleHQ+SW1wcm92ZWQgcXVhbnRpdGF0aW9uIGFuZCBkaXNjcmltaW5hdGlvbiBvZiBzdWxw
aGF0ZWQgZ2x5Y29zYW1pbm9nbHljYW5zIGJ5IHVzZSBvZiBkaW1ldGh5bG1ldGh5bGVuZSBibHVl
PC9JRFRleHQ+PHJlY29yZD48ZGF0ZXM+PHB1Yi1kYXRlcz48ZGF0ZT5TZXAgNDwvZGF0ZT48L3B1
Yi1kYXRlcz48eWVhcj4xOTg2PC95ZWFyPjwvZGF0ZXM+PGtleXdvcmRzPjxrZXl3b3JkPkNob25k
cm9pdGluIEx5YXNlcy9tZXRhYm9saXNtPC9rZXl3b3JkPjxrZXl3b3JkPkdseWNvc2FtaW5vZ2x5
Y2Fucy8qYW5hbHlzaXM8L2tleXdvcmQ+PGtleXdvcmQ+KkdseWNvc2lkZSBIeWRyb2xhc2VzPC9r
ZXl3b3JkPjxrZXl3b3JkPk1ldGh5bGVuZSBCbHVlLyphbmFsb2dzICZhbXA7IGRlcml2YXRpdmVz
PC9rZXl3b3JkPjxrZXl3b3JkPlNwZWN0cm9waG90b21ldHJ5PC9rZXl3b3JkPjxrZXl3b3JkPlN1
bGZhdGVzPC9rZXl3b3JkPjxrZXl3b3JkPmJldGEtR2FsYWN0b3NpZGFzZS9tZXRhYm9saXNtPC9r
ZXl3b3JkPjwva2V5d29yZHM+PGlzYm4+MDAwNi0zMDAyIChQcmludCkmI3hEOzAwMDYtMzAwMjwv
aXNibj48dGl0bGVzPjx0aXRsZT5JbXByb3ZlZCBxdWFudGl0YXRpb24gYW5kIGRpc2NyaW1pbmF0
aW9uIG9mIHN1bHBoYXRlZCBnbHljb3NhbWlub2dseWNhbnMgYnkgdXNlIG9mIGRpbWV0aHlsbWV0
aHlsZW5lIGJsdWU8L3RpdGxlPjxzZWNvbmRhcnktdGl0bGU+QmlvY2hpbSBCaW9waHlzIEFjdGE8
L3NlY29uZGFyeS10aXRsZT48YWx0LXRpdGxlPkJpb2NoaW1pY2EgZXQgYmlvcGh5c2ljYSBhY3Rh
PC9hbHQtdGl0bGU+PC90aXRsZXM+PHBhZ2VzPjE3My03PC9wYWdlcz48bnVtYmVyPjI8L251bWJl
cj48Y29udHJpYnV0b3JzPjxhdXRob3JzPjxhdXRob3I+RmFybmRhbGUsIFIuIFcuPC9hdXRob3I+
PGF1dGhvcj5CdXR0bGUsIEQuIEouPC9hdXRob3I+PGF1dGhvcj5CYXJyZXR0LCBBLiBKLjwvYXV0
aG9yPjwvYXV0aG9ycz48L2NvbnRyaWJ1dG9ycz48ZWRpdGlvbj4xOTg2LzA5LzA0PC9lZGl0aW9u
PjxsYW5ndWFnZT5Fbmc8L2xhbmd1YWdlPjxhZGRlZC1kYXRlIGZvcm1hdD0idXRjIj4xNDc5MTEw
MjYyPC9hZGRlZC1kYXRlPjxyZWYtdHlwZSBuYW1lPSJKb3VybmFsIEFydGljbGUiPjE3PC9yZWYt
dHlwZT48cmVtb3RlLWRhdGFiYXNlLXByb3ZpZGVyPk5MTTwvcmVtb3RlLWRhdGFiYXNlLXByb3Zp
ZGVyPjxyZWMtbnVtYmVyPjE1NzI8L3JlYy1udW1iZXI+PGxhc3QtdXBkYXRlZC1kYXRlIGZvcm1h
dD0idXRjIj4xNDc5MTEwMjYyPC9sYXN0LXVwZGF0ZWQtZGF0ZT48YWNjZXNzaW9uLW51bT4zMDkx
MDc0PC9hY2Nlc3Npb24tbnVtPjx2b2x1bWU+ODgzPC92b2x1bWU+PC9yZWNvcmQ+PC9DaXRlPjxD
aXRlPjxBdXRob3I+RGV5PC9BdXRob3I+PFllYXI+MTk5MjwvWWVhcj48SURUZXh0PlN0dWRpZXMg
b24gdGhlIHF1YW50aWZpY2F0aW9uIG9mIHByb3Rlb2dseWNhbnMgYnkgdGhlIGRpbWV0aHlsbWV0
aHlsZW5lIGJsdWUgZHllLWJpbmRpbmcgbWV0aG9kLiBTcGVjaWZpY2l0eSwgcXVhbnRpdGF0aW9u
IGluIHN5bm92aWFsIGxhdmFnZSBmbHVpZCwgYW5kIGF1dG9tYXRpb248L0lEVGV4dD48cmVjb3Jk
PjxrZXl3b3Jkcz48a2V5d29yZD5BbmltYWxzPC9rZXl3b3JkPjxrZXl3b3JkPkF1dG9hbmFseXNp
cy9tZXRob2RzPC9rZXl3b3JkPjxrZXl3b3JkPkNvbG9yaW5nIEFnZW50czwva2V5d29yZD48a2V5
d29yZD5EbmE8L2tleXdvcmQ+PGtleXdvcmQ+RGVveHlyaWJvbnVjbGVhc2VzPC9rZXl3b3JkPjxr
ZXl3b3JkPkZhbHNlIE5lZ2F0aXZlIFJlYWN0aW9uczwva2V5d29yZD48a2V5d29yZD5HbHljb3Nh
bWlub2dseWNhbnMvYW5hbHlzaXM8L2tleXdvcmQ+PGtleXdvcmQ+SHlhbHVyb25pYyBBY2lkPC9r
ZXl3b3JkPjxrZXl3b3JkPkh5YWx1cm9ub2dsdWNvc2FtaW5pZGFzZTwva2V5d29yZD48a2V5d29y
ZD5NZXRoeWxlbmUgQmx1ZS8qYW5hbG9ncyAmYW1wOyBkZXJpdmF0aXZlcy9tZXRhYm9saXNtPC9r
ZXl3b3JkPjxrZXl3b3JkPlByb3Rlb2dseWNhbnMvKmFuYWx5c2lzPC9rZXl3b3JkPjxrZXl3b3Jk
PlF1YWxpdHkgQ29udHJvbDwva2V5d29yZD48a2V5d29yZD5SbmE8L2tleXdvcmQ+PGtleXdvcmQ+
UmFiYml0czwva2V5d29yZD48a2V5d29yZD5SaWJvbnVjbGVhc2VzPC9rZXl3b3JkPjxrZXl3b3Jk
PlN5bm92aWFsIEZsdWlkLypjaGVtaXN0cnk8L2tleXdvcmQ+PGtleXdvcmQ+VGhlcmFwZXV0aWMg
SXJyaWdhdGlvbjwva2V5d29yZD48L2tleXdvcmRzPjxpc2JuPjAzMDAtODIwNyAoUHJpbnQpJiN4
RDswMzAwLTgyMDc8L2lzYm4+PHRpdGxlcz48dGl0bGU+U3R1ZGllcyBvbiB0aGUgcXVhbnRpZmlj
YXRpb24gb2YgcHJvdGVvZ2x5Y2FucyBieSB0aGUgZGltZXRoeWxtZXRoeWxlbmUgYmx1ZSBkeWUt
YmluZGluZyBtZXRob2QuIFNwZWNpZmljaXR5LCBxdWFudGl0YXRpb24gaW4gc3lub3ZpYWwgbGF2
YWdlIGZsdWlkLCBhbmQgYXV0b21hdGlvbjwvdGl0bGU+PHNlY29uZGFyeS10aXRsZT5Db25uZWN0
IFRpc3N1ZSBSZXM8L3NlY29uZGFyeS10aXRsZT48YWx0LXRpdGxlPkNvbm5lY3RpdmUgdGlzc3Vl
IHJlc2VhcmNoPC9hbHQtdGl0bGU+PC90aXRsZXM+PHBhZ2VzPjMxNy0yNDwvcGFnZXM+PG51bWJl
cj40PC9udW1iZXI+PGNvbnRyaWJ1dG9ycz48YXV0aG9ycz48YXV0aG9yPkRleSwgUC48L2F1dGhv
cj48YXV0aG9yPlNhcGhvcywgQy4gQS48L2F1dGhvcj48YXV0aG9yPk1jRG9ubmVsbCwgSi48L2F1
dGhvcj48YXV0aG9yPk1vb3JlLCBWLiBMLjwvYXV0aG9yPjwvYXV0aG9ycz48L2NvbnRyaWJ1dG9y
cz48ZWRpdGlvbj4xOTkyLzAxLzAxPC9lZGl0aW9uPjxsYW5ndWFnZT5lbmc8L2xhbmd1YWdlPjxh
ZGRlZC1kYXRlIGZvcm1hdD0idXRjIj4xNDkwODk2MjY2PC9hZGRlZC1kYXRlPjxyZWYtdHlwZSBu
YW1lPSJKb3VybmFsIEFydGljbGUiPjE3PC9yZWYtdHlwZT48YXV0aC1hZGRyZXNzPk1lcmNrIFJl
c2VhcmNoIExhYm9yYXRvcmllcywgUmFod2F5LCBOZXcgSmVyc2V5LjwvYXV0aC1hZGRyZXNzPjxk
YXRlcz48eWVhcj4xOTkyPC95ZWFyPjwvZGF0ZXM+PHJlbW90ZS1kYXRhYmFzZS1wcm92aWRlcj5O
TE08L3JlbW90ZS1kYXRhYmFzZS1wcm92aWRlcj48cmVjLW51bWJlcj4xNjUyPC9yZWMtbnVtYmVy
PjxsYXN0LXVwZGF0ZWQtZGF0ZSBmb3JtYXQ9InV0YyI+MTQ5MDg5NjI2NjwvbGFzdC11cGRhdGVk
LWRhdGU+PGFjY2Vzc2lvbi1udW0+MTI4NDc4NzwvYWNjZXNzaW9uLW51bT48dm9sdW1lPjI4PC92
b2x1bWU+PC9yZWNvcmQ+PC9DaXRlPjwvRW5kTm90ZT5=
</w:fldData>
        </w:fldChar>
      </w:r>
      <w:r w:rsidRPr="00392836">
        <w:rPr>
          <w:lang w:val="en-US"/>
        </w:rPr>
        <w:instrText xml:space="preserve"> ADDIN EN.CITE.DATA </w:instrText>
      </w:r>
      <w:r w:rsidRPr="00392836">
        <w:rPr>
          <w:lang w:val="en-US"/>
        </w:rPr>
      </w:r>
      <w:r w:rsidRPr="00392836">
        <w:rPr>
          <w:lang w:val="en-US"/>
        </w:rPr>
        <w:fldChar w:fldCharType="end"/>
      </w:r>
      <w:r w:rsidRPr="00392836">
        <w:rPr>
          <w:lang w:val="en-US"/>
        </w:rPr>
      </w:r>
      <w:r w:rsidRPr="00392836">
        <w:rPr>
          <w:lang w:val="en-US"/>
        </w:rPr>
        <w:fldChar w:fldCharType="separate"/>
      </w:r>
      <w:r w:rsidRPr="00392836">
        <w:rPr>
          <w:noProof/>
          <w:lang w:val="en-US"/>
        </w:rPr>
        <w:t>(Farndale et al., 1982, Farndale et al., 1986, Dey et al., 1992)</w:t>
      </w:r>
      <w:r w:rsidRPr="00392836">
        <w:rPr>
          <w:lang w:val="en-US"/>
        </w:rPr>
        <w:fldChar w:fldCharType="end"/>
      </w:r>
      <w:r w:rsidRPr="00392836">
        <w:rPr>
          <w:lang w:val="en-US"/>
        </w:rPr>
        <w:t xml:space="preserve">.  </w:t>
      </w:r>
    </w:p>
    <w:p w:rsidR="00015CCE" w:rsidRDefault="00015CCE">
      <w:pPr>
        <w:spacing w:after="160" w:line="259" w:lineRule="auto"/>
        <w:jc w:val="left"/>
        <w:rPr>
          <w:lang w:val="en-US"/>
        </w:rPr>
      </w:pPr>
      <w:r>
        <w:rPr>
          <w:lang w:val="en-US"/>
        </w:rPr>
        <w:br w:type="page"/>
      </w:r>
    </w:p>
    <w:p w:rsidR="00430D62" w:rsidRPr="00392836" w:rsidRDefault="00430D62" w:rsidP="00DC2382">
      <w:pPr>
        <w:ind w:left="720"/>
        <w:rPr>
          <w:lang w:val="en-US"/>
        </w:rPr>
      </w:pPr>
    </w:p>
    <w:p w:rsidR="00430D62" w:rsidRPr="0057459F" w:rsidRDefault="00430D62" w:rsidP="00DC2382">
      <w:pPr>
        <w:ind w:firstLine="720"/>
        <w:rPr>
          <w:b/>
          <w:lang w:val="en-US" w:eastAsia="en-GB"/>
        </w:rPr>
      </w:pPr>
      <w:r w:rsidRPr="0057459F">
        <w:rPr>
          <w:b/>
          <w:lang w:val="en-US" w:eastAsia="en-GB"/>
        </w:rPr>
        <w:t xml:space="preserve">Dye Preparation: </w:t>
      </w:r>
    </w:p>
    <w:p w:rsidR="00430D62" w:rsidRPr="00392836" w:rsidRDefault="00430D62" w:rsidP="00DC2382">
      <w:pPr>
        <w:ind w:left="720"/>
        <w:rPr>
          <w:lang w:val="en-US" w:eastAsia="en-GB"/>
        </w:rPr>
      </w:pPr>
      <w:r w:rsidRPr="00392836">
        <w:rPr>
          <w:lang w:val="en-US" w:eastAsia="en-GB"/>
        </w:rPr>
        <w:t>The dye was prepared according to Farndale et al (1986). 16 mg of dimethymethylene blue was dissolved in 1 L of water with 2.37g NaCl, and 3.04 g glycine. 95 ml 0.1M HCl was added and pH adjusted to 3.0</w:t>
      </w:r>
      <w:r w:rsidR="00B069DE">
        <w:rPr>
          <w:lang w:val="en-US" w:eastAsia="en-GB"/>
        </w:rPr>
        <w:t>.</w:t>
      </w:r>
      <w:r w:rsidRPr="00392836">
        <w:rPr>
          <w:lang w:val="en-US" w:eastAsia="en-GB"/>
        </w:rPr>
        <w:t xml:space="preserve"> </w:t>
      </w:r>
      <w:r w:rsidR="00B069DE">
        <w:rPr>
          <w:lang w:val="en-US" w:eastAsia="en-GB"/>
        </w:rPr>
        <w:t xml:space="preserve">Absorbance was read at </w:t>
      </w:r>
      <w:r w:rsidRPr="00392836">
        <w:rPr>
          <w:lang w:val="en-US" w:eastAsia="en-GB"/>
        </w:rPr>
        <w:t>A</w:t>
      </w:r>
      <w:r w:rsidRPr="00392836">
        <w:rPr>
          <w:vertAlign w:val="subscript"/>
          <w:lang w:val="en-US" w:eastAsia="en-GB"/>
        </w:rPr>
        <w:t>525</w:t>
      </w:r>
      <w:r w:rsidR="00B069DE">
        <w:rPr>
          <w:vertAlign w:val="subscript"/>
          <w:lang w:val="en-US" w:eastAsia="en-GB"/>
        </w:rPr>
        <w:t xml:space="preserve"> </w:t>
      </w:r>
      <w:r w:rsidRPr="00392836">
        <w:rPr>
          <w:lang w:val="en-US" w:eastAsia="en-GB"/>
        </w:rPr>
        <w:t xml:space="preserve"> </w:t>
      </w:r>
      <w:r w:rsidR="00B069DE">
        <w:rPr>
          <w:lang w:val="en-US" w:eastAsia="en-GB"/>
        </w:rPr>
        <w:t xml:space="preserve">giving a reading of </w:t>
      </w:r>
      <w:r w:rsidRPr="00392836">
        <w:rPr>
          <w:lang w:val="en-US" w:eastAsia="en-GB"/>
        </w:rPr>
        <w:t xml:space="preserve">0.37. The reagent was stored in a brown bottle for up to three months.  </w:t>
      </w:r>
    </w:p>
    <w:p w:rsidR="00430D62" w:rsidRPr="006F797A" w:rsidRDefault="00430D62" w:rsidP="00DC2382">
      <w:pPr>
        <w:pStyle w:val="Heading4"/>
        <w:ind w:firstLine="720"/>
      </w:pPr>
      <w:bookmarkStart w:id="179" w:name="_Toc484448840"/>
      <w:bookmarkStart w:id="180" w:name="_Toc506232347"/>
      <w:r w:rsidRPr="006F797A">
        <w:t>2.5.2 Standard curve for chondroitin-4-sulphate</w:t>
      </w:r>
      <w:bookmarkEnd w:id="179"/>
      <w:r w:rsidR="007C5887">
        <w:t>.</w:t>
      </w:r>
      <w:bookmarkEnd w:id="180"/>
    </w:p>
    <w:p w:rsidR="0057459F" w:rsidRDefault="00430D62" w:rsidP="00DC2382">
      <w:pPr>
        <w:ind w:left="720"/>
        <w:rPr>
          <w:lang w:val="en-US" w:eastAsia="en-GB"/>
        </w:rPr>
      </w:pPr>
      <w:r w:rsidRPr="00392836">
        <w:rPr>
          <w:lang w:val="en-US" w:eastAsia="en-GB"/>
        </w:rPr>
        <w:t>A standard chondroitin-4-sulphate curve (</w:t>
      </w:r>
      <w:r w:rsidR="00D42EAE">
        <w:rPr>
          <w:lang w:val="en-US" w:eastAsia="en-GB"/>
        </w:rPr>
        <w:t xml:space="preserve">Fig. </w:t>
      </w:r>
      <w:r w:rsidR="00015CCE">
        <w:rPr>
          <w:lang w:val="en-US" w:eastAsia="en-GB"/>
        </w:rPr>
        <w:t>2.12</w:t>
      </w:r>
      <w:r w:rsidRPr="00392836">
        <w:rPr>
          <w:lang w:val="en-US" w:eastAsia="en-GB"/>
        </w:rPr>
        <w:t xml:space="preserve">) was done to test that the assay was working </w:t>
      </w:r>
      <w:r w:rsidRPr="00392836">
        <w:rPr>
          <w:lang w:val="en-US" w:eastAsia="en-GB"/>
        </w:rPr>
        <w:fldChar w:fldCharType="begin"/>
      </w:r>
      <w:r w:rsidRPr="00392836">
        <w:rPr>
          <w:lang w:val="en-US" w:eastAsia="en-GB"/>
        </w:rPr>
        <w:instrText xml:space="preserve"> ADDIN EN.CITE &lt;EndNote&gt;&lt;Cite&gt;&lt;Author&gt;Farndale&lt;/Author&gt;&lt;Year&gt;1986&lt;/Year&gt;&lt;IDText&gt;Improved quantitation and discrimination of sulphated glycosaminoglycans by use of dimethylmethylene blue&lt;/IDText&gt;&lt;DisplayText&gt;(Farndale et al., 1986)&lt;/DisplayText&gt;&lt;record&gt;&lt;dates&gt;&lt;pub-dates&gt;&lt;date&gt;Sep 4&lt;/date&gt;&lt;/pub-dates&gt;&lt;year&gt;1986&lt;/year&gt;&lt;/dates&gt;&lt;keywords&gt;&lt;keyword&gt;Chondroitin Lyases/metabolism&lt;/keyword&gt;&lt;keyword&gt;Glycosaminoglycans/*analysis&lt;/keyword&gt;&lt;keyword&gt;*Glycoside Hydrolases&lt;/keyword&gt;&lt;keyword&gt;Methylene Blue/*analogs &amp;amp; derivatives&lt;/keyword&gt;&lt;keyword&gt;Spectrophotometry&lt;/keyword&gt;&lt;keyword&gt;Sulfates&lt;/keyword&gt;&lt;keyword&gt;beta-Galactosidase/metabolism&lt;/keyword&gt;&lt;/keywords&gt;&lt;isbn&gt;0006-3002 (Print)&amp;#xD;0006-3002&lt;/isbn&gt;&lt;titles&gt;&lt;title&gt;Improved quantitation and discrimination of sulphated glycosaminoglycans by use of dimethylmethylene blue&lt;/title&gt;&lt;secondary-title&gt;Biochim Biophys Acta&lt;/secondary-title&gt;&lt;alt-title&gt;Biochimica et biophysica acta&lt;/alt-title&gt;&lt;/titles&gt;&lt;pages&gt;173-7&lt;/pages&gt;&lt;number&gt;2&lt;/number&gt;&lt;contributors&gt;&lt;authors&gt;&lt;author&gt;Farndale, R. W.&lt;/author&gt;&lt;author&gt;Buttle, D. J.&lt;/author&gt;&lt;author&gt;Barrett, A. J.&lt;/author&gt;&lt;/authors&gt;&lt;/contributors&gt;&lt;edition&gt;1986/09/04&lt;/edition&gt;&lt;language&gt;Eng&lt;/language&gt;&lt;added-date format="utc"&gt;1479110262&lt;/added-date&gt;&lt;ref-type name="Journal Article"&gt;17&lt;/ref-type&gt;&lt;remote-database-provider&gt;NLM&lt;/remote-database-provider&gt;&lt;rec-number&gt;1572&lt;/rec-number&gt;&lt;last-updated-date format="utc"&gt;1479110262&lt;/last-updated-date&gt;&lt;accession-num&gt;3091074&lt;/accession-num&gt;&lt;volume&gt;883&lt;/volume&gt;&lt;/record&gt;&lt;/Cite&gt;&lt;/EndNote&gt;</w:instrText>
      </w:r>
      <w:r w:rsidRPr="00392836">
        <w:rPr>
          <w:lang w:val="en-US" w:eastAsia="en-GB"/>
        </w:rPr>
        <w:fldChar w:fldCharType="separate"/>
      </w:r>
      <w:r w:rsidRPr="00392836">
        <w:rPr>
          <w:noProof/>
          <w:lang w:val="en-US" w:eastAsia="en-GB"/>
        </w:rPr>
        <w:t>(Farndale et al., 1986)</w:t>
      </w:r>
      <w:r w:rsidRPr="00392836">
        <w:rPr>
          <w:lang w:val="en-US" w:eastAsia="en-GB"/>
        </w:rPr>
        <w:fldChar w:fldCharType="end"/>
      </w:r>
      <w:r w:rsidRPr="00392836">
        <w:rPr>
          <w:lang w:val="en-US" w:eastAsia="en-GB"/>
        </w:rPr>
        <w:t>. 500 µg/ml of chondroitin-4-sulphate was prepared and a calibration curve was determined as sho</w:t>
      </w:r>
      <w:r w:rsidR="00015CCE">
        <w:rPr>
          <w:lang w:val="en-US" w:eastAsia="en-GB"/>
        </w:rPr>
        <w:t>wn in Table 2.6. Due to the rate of</w:t>
      </w:r>
      <w:r w:rsidRPr="00392836">
        <w:rPr>
          <w:lang w:val="en-US" w:eastAsia="en-GB"/>
        </w:rPr>
        <w:t xml:space="preserve"> </w:t>
      </w:r>
      <w:r w:rsidR="00677DBB">
        <w:rPr>
          <w:lang w:val="en-US" w:eastAsia="en-GB"/>
        </w:rPr>
        <w:t xml:space="preserve">precipitation </w:t>
      </w:r>
      <w:r w:rsidRPr="00392836">
        <w:rPr>
          <w:lang w:val="en-US" w:eastAsia="en-GB"/>
        </w:rPr>
        <w:t>of GAG-DMMB complexes at high concentration the mixture was read immediately.</w:t>
      </w:r>
    </w:p>
    <w:p w:rsidR="00015CCE" w:rsidRDefault="00015CCE" w:rsidP="00DC2382">
      <w:pPr>
        <w:ind w:left="720"/>
        <w:rPr>
          <w:lang w:val="en-US" w:eastAsia="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2446"/>
        <w:gridCol w:w="2451"/>
      </w:tblGrid>
      <w:tr w:rsidR="00430D62" w:rsidRPr="00392836" w:rsidTr="00015CCE">
        <w:tc>
          <w:tcPr>
            <w:tcW w:w="2571" w:type="dxa"/>
            <w:shd w:val="clear" w:color="auto" w:fill="auto"/>
          </w:tcPr>
          <w:p w:rsidR="00430D62" w:rsidRPr="00677DBB" w:rsidRDefault="0057459F" w:rsidP="007D497A">
            <w:pPr>
              <w:contextualSpacing/>
              <w:rPr>
                <w:rFonts w:eastAsia="Times New Roman" w:cs="Arial"/>
                <w:lang w:val="x-none" w:eastAsia="en-GB"/>
              </w:rPr>
            </w:pPr>
            <w:r>
              <w:rPr>
                <w:lang w:val="en-US" w:eastAsia="en-GB"/>
              </w:rPr>
              <w:br w:type="page"/>
            </w:r>
            <w:r w:rsidR="007C74F8">
              <w:rPr>
                <w:rFonts w:eastAsia="Times New Roman" w:cs="Arial"/>
                <w:lang w:val="x-none" w:eastAsia="en-GB"/>
              </w:rPr>
              <w:t xml:space="preserve">Volume of 500 µg/ml of </w:t>
            </w:r>
            <w:r w:rsidR="00430D62" w:rsidRPr="00677DBB">
              <w:rPr>
                <w:rFonts w:eastAsia="Times New Roman" w:cs="Arial"/>
                <w:lang w:val="x-none" w:eastAsia="en-GB"/>
              </w:rPr>
              <w:t>chond</w:t>
            </w:r>
            <w:r w:rsidR="00430D62" w:rsidRPr="00677DBB">
              <w:rPr>
                <w:rFonts w:eastAsia="Times New Roman" w:cs="Arial"/>
                <w:lang w:eastAsia="en-GB"/>
              </w:rPr>
              <w:t>r</w:t>
            </w:r>
            <w:r w:rsidR="00430D62" w:rsidRPr="00677DBB">
              <w:rPr>
                <w:rFonts w:eastAsia="Times New Roman" w:cs="Arial"/>
                <w:lang w:val="x-none" w:eastAsia="en-GB"/>
              </w:rPr>
              <w:t>o</w:t>
            </w:r>
            <w:r w:rsidR="00430D62" w:rsidRPr="00677DBB">
              <w:rPr>
                <w:rFonts w:eastAsia="Times New Roman" w:cs="Arial"/>
                <w:lang w:eastAsia="en-GB"/>
              </w:rPr>
              <w:t>i</w:t>
            </w:r>
            <w:r w:rsidR="00430D62" w:rsidRPr="00677DBB">
              <w:rPr>
                <w:rFonts w:eastAsia="Times New Roman" w:cs="Arial"/>
                <w:lang w:val="x-none" w:eastAsia="en-GB"/>
              </w:rPr>
              <w:t>tin-4-sulphate (µl)</w:t>
            </w:r>
          </w:p>
        </w:tc>
        <w:tc>
          <w:tcPr>
            <w:tcW w:w="2446"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Volume of water (µl)</w:t>
            </w:r>
          </w:p>
        </w:tc>
        <w:tc>
          <w:tcPr>
            <w:tcW w:w="245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Volume of DM</w:t>
            </w:r>
            <w:r w:rsidRPr="00677DBB">
              <w:rPr>
                <w:rFonts w:eastAsia="Times New Roman" w:cs="Arial"/>
                <w:lang w:eastAsia="en-GB"/>
              </w:rPr>
              <w:t>M</w:t>
            </w:r>
            <w:r w:rsidRPr="00677DBB">
              <w:rPr>
                <w:rFonts w:eastAsia="Times New Roman" w:cs="Arial"/>
                <w:lang w:val="x-none" w:eastAsia="en-GB"/>
              </w:rPr>
              <w:t>B solution (ml</w:t>
            </w:r>
            <w:r w:rsidRPr="00677DBB">
              <w:rPr>
                <w:rFonts w:eastAsia="Times New Roman" w:cs="Arial"/>
                <w:lang w:eastAsia="en-GB"/>
              </w:rPr>
              <w:t>s</w:t>
            </w:r>
            <w:r w:rsidRPr="00677DBB">
              <w:rPr>
                <w:rFonts w:eastAsia="Times New Roman" w:cs="Arial"/>
                <w:lang w:val="x-none" w:eastAsia="en-GB"/>
              </w:rPr>
              <w:t>)</w:t>
            </w:r>
          </w:p>
        </w:tc>
      </w:tr>
      <w:tr w:rsidR="00430D62" w:rsidRPr="00392836" w:rsidTr="00015CCE">
        <w:tc>
          <w:tcPr>
            <w:tcW w:w="257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0</w:t>
            </w:r>
          </w:p>
        </w:tc>
        <w:tc>
          <w:tcPr>
            <w:tcW w:w="2446"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40</w:t>
            </w:r>
          </w:p>
        </w:tc>
        <w:tc>
          <w:tcPr>
            <w:tcW w:w="245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w:t>
            </w:r>
          </w:p>
        </w:tc>
      </w:tr>
      <w:tr w:rsidR="00677DBB" w:rsidRPr="00392836" w:rsidTr="00015CCE">
        <w:tc>
          <w:tcPr>
            <w:tcW w:w="2571" w:type="dxa"/>
            <w:shd w:val="clear" w:color="auto" w:fill="auto"/>
          </w:tcPr>
          <w:p w:rsidR="00677DBB" w:rsidRPr="00677DBB" w:rsidRDefault="00677DBB" w:rsidP="007D497A">
            <w:pPr>
              <w:contextualSpacing/>
              <w:rPr>
                <w:rFonts w:eastAsia="Times New Roman" w:cs="Arial"/>
                <w:lang w:eastAsia="en-GB"/>
              </w:rPr>
            </w:pPr>
            <w:r>
              <w:rPr>
                <w:rFonts w:eastAsia="Times New Roman" w:cs="Arial"/>
                <w:lang w:eastAsia="en-GB"/>
              </w:rPr>
              <w:t>10</w:t>
            </w:r>
          </w:p>
        </w:tc>
        <w:tc>
          <w:tcPr>
            <w:tcW w:w="2446" w:type="dxa"/>
            <w:shd w:val="clear" w:color="auto" w:fill="auto"/>
          </w:tcPr>
          <w:p w:rsidR="00677DBB" w:rsidRPr="00677DBB" w:rsidRDefault="00677DBB" w:rsidP="007D497A">
            <w:pPr>
              <w:contextualSpacing/>
              <w:rPr>
                <w:rFonts w:eastAsia="Times New Roman" w:cs="Arial"/>
                <w:lang w:eastAsia="en-GB"/>
              </w:rPr>
            </w:pPr>
            <w:r>
              <w:rPr>
                <w:rFonts w:eastAsia="Times New Roman" w:cs="Arial"/>
                <w:lang w:eastAsia="en-GB"/>
              </w:rPr>
              <w:t>30</w:t>
            </w:r>
          </w:p>
        </w:tc>
        <w:tc>
          <w:tcPr>
            <w:tcW w:w="2451" w:type="dxa"/>
            <w:shd w:val="clear" w:color="auto" w:fill="auto"/>
          </w:tcPr>
          <w:p w:rsidR="00677DBB" w:rsidRPr="00677DBB" w:rsidRDefault="00677DBB" w:rsidP="007D497A">
            <w:pPr>
              <w:contextualSpacing/>
              <w:rPr>
                <w:rFonts w:eastAsia="Times New Roman" w:cs="Arial"/>
                <w:lang w:eastAsia="en-GB"/>
              </w:rPr>
            </w:pPr>
            <w:r>
              <w:rPr>
                <w:rFonts w:eastAsia="Times New Roman" w:cs="Arial"/>
                <w:lang w:eastAsia="en-GB"/>
              </w:rPr>
              <w:t>2</w:t>
            </w:r>
          </w:p>
        </w:tc>
      </w:tr>
      <w:tr w:rsidR="00430D62" w:rsidRPr="00392836" w:rsidTr="00015CCE">
        <w:tc>
          <w:tcPr>
            <w:tcW w:w="257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20</w:t>
            </w:r>
          </w:p>
        </w:tc>
        <w:tc>
          <w:tcPr>
            <w:tcW w:w="2446"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20</w:t>
            </w:r>
          </w:p>
        </w:tc>
        <w:tc>
          <w:tcPr>
            <w:tcW w:w="245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w:t>
            </w:r>
          </w:p>
        </w:tc>
      </w:tr>
      <w:tr w:rsidR="00430D62" w:rsidRPr="00392836" w:rsidTr="00015CCE">
        <w:tc>
          <w:tcPr>
            <w:tcW w:w="257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30</w:t>
            </w:r>
          </w:p>
        </w:tc>
        <w:tc>
          <w:tcPr>
            <w:tcW w:w="2446"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10</w:t>
            </w:r>
          </w:p>
        </w:tc>
        <w:tc>
          <w:tcPr>
            <w:tcW w:w="245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w:t>
            </w:r>
          </w:p>
        </w:tc>
      </w:tr>
      <w:tr w:rsidR="00430D62" w:rsidRPr="00392836" w:rsidTr="00015CCE">
        <w:tc>
          <w:tcPr>
            <w:tcW w:w="257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40</w:t>
            </w:r>
          </w:p>
        </w:tc>
        <w:tc>
          <w:tcPr>
            <w:tcW w:w="2446"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0</w:t>
            </w:r>
          </w:p>
        </w:tc>
        <w:tc>
          <w:tcPr>
            <w:tcW w:w="2451" w:type="dxa"/>
            <w:shd w:val="clear" w:color="auto" w:fill="auto"/>
          </w:tcPr>
          <w:p w:rsidR="00430D62" w:rsidRPr="00677DBB" w:rsidRDefault="00430D62" w:rsidP="007D497A">
            <w:pPr>
              <w:contextualSpacing/>
              <w:rPr>
                <w:rFonts w:eastAsia="Times New Roman" w:cs="Arial"/>
                <w:lang w:val="x-none" w:eastAsia="en-GB"/>
              </w:rPr>
            </w:pPr>
            <w:r w:rsidRPr="00677DBB">
              <w:rPr>
                <w:rFonts w:eastAsia="Times New Roman" w:cs="Arial"/>
                <w:lang w:val="x-none" w:eastAsia="en-GB"/>
              </w:rPr>
              <w:t>2</w:t>
            </w:r>
          </w:p>
        </w:tc>
      </w:tr>
    </w:tbl>
    <w:p w:rsidR="00430D62" w:rsidRPr="00392836" w:rsidRDefault="00430D62" w:rsidP="00430D62">
      <w:pPr>
        <w:spacing w:after="0"/>
        <w:ind w:left="720"/>
        <w:contextualSpacing/>
        <w:rPr>
          <w:rFonts w:ascii="Calibri" w:eastAsia="Times New Roman" w:hAnsi="Calibri"/>
          <w:lang w:val="x-none" w:eastAsia="en-GB"/>
        </w:rPr>
      </w:pPr>
    </w:p>
    <w:p w:rsidR="00430D62" w:rsidRPr="007B3EEB" w:rsidRDefault="00430D62" w:rsidP="001E2FD6">
      <w:pPr>
        <w:pStyle w:val="Table"/>
        <w:ind w:left="720"/>
      </w:pPr>
      <w:bookmarkStart w:id="181" w:name="_Toc494731233"/>
      <w:bookmarkStart w:id="182" w:name="_Toc494732968"/>
      <w:r w:rsidRPr="007B3EEB">
        <w:t>Table 2.6</w:t>
      </w:r>
      <w:r w:rsidR="001E2FD6">
        <w:t>.</w:t>
      </w:r>
      <w:r w:rsidRPr="007B3EEB">
        <w:t xml:space="preserve"> This shows the volume of DMMB solution, plus water and the volume of chondroitin-4-sulphate per cuvette.</w:t>
      </w:r>
      <w:bookmarkEnd w:id="181"/>
      <w:bookmarkEnd w:id="182"/>
      <w:r w:rsidRPr="007B3EEB">
        <w:t xml:space="preserve"> </w:t>
      </w:r>
    </w:p>
    <w:p w:rsidR="00430D62" w:rsidRPr="00392836" w:rsidRDefault="00430D62" w:rsidP="00430D62">
      <w:pPr>
        <w:spacing w:after="0"/>
        <w:ind w:left="720"/>
        <w:contextualSpacing/>
        <w:rPr>
          <w:rFonts w:ascii="Times New Roman" w:eastAsia="Times New Roman" w:hAnsi="Times New Roman"/>
          <w:lang w:eastAsia="en-GB"/>
        </w:rPr>
      </w:pPr>
    </w:p>
    <w:p w:rsidR="00015CCE" w:rsidRPr="00015CCE" w:rsidRDefault="00015CCE" w:rsidP="00015CCE">
      <w:pPr>
        <w:spacing w:after="0"/>
        <w:ind w:left="720"/>
        <w:contextualSpacing/>
        <w:rPr>
          <w:rStyle w:val="SubtitleChar"/>
          <w:rFonts w:ascii="Calibri" w:eastAsia="Calibri" w:hAnsi="Calibri" w:cs="Times New Roman"/>
          <w:b/>
          <w:sz w:val="20"/>
          <w:szCs w:val="20"/>
          <w:lang w:eastAsia="x-none"/>
        </w:rPr>
      </w:pPr>
      <w:r w:rsidRPr="00392836">
        <w:rPr>
          <w:rFonts w:ascii="Calibri" w:eastAsia="Calibri" w:hAnsi="Calibri"/>
          <w:sz w:val="20"/>
          <w:szCs w:val="20"/>
          <w:lang w:val="x-none" w:eastAsia="x-none"/>
        </w:rPr>
        <w:object w:dxaOrig="5981" w:dyaOrig="4198">
          <v:shape id="_x0000_i1029" type="#_x0000_t75" style="width:377.25pt;height:260.25pt" o:ole="">
            <v:imagedata r:id="rId50" o:title=""/>
          </v:shape>
          <o:OLEObject Type="Embed" ProgID="Prism7.Document" ShapeID="_x0000_i1029" DrawAspect="Content" ObjectID="_1583750199" r:id="rId51"/>
        </w:object>
      </w:r>
    </w:p>
    <w:p w:rsidR="00430D62" w:rsidRPr="00430D62" w:rsidRDefault="00015CCE" w:rsidP="00E155EB">
      <w:pPr>
        <w:pStyle w:val="LegText"/>
        <w:ind w:left="720"/>
        <w:rPr>
          <w:rFonts w:eastAsia="Calibri"/>
        </w:rPr>
      </w:pPr>
      <w:bookmarkStart w:id="183" w:name="_Toc504640579"/>
      <w:r w:rsidRPr="00A70F56">
        <w:rPr>
          <w:rStyle w:val="SubtitleChar"/>
        </w:rPr>
        <w:t>Figure 2.12</w:t>
      </w:r>
      <w:r w:rsidR="00430D62" w:rsidRPr="00A70F56">
        <w:rPr>
          <w:rStyle w:val="SubtitleChar"/>
        </w:rPr>
        <w:t xml:space="preserve"> Calibration curve for chrondrotin-4-sulphate</w:t>
      </w:r>
      <w:bookmarkEnd w:id="183"/>
      <w:r w:rsidR="00430D62">
        <w:rPr>
          <w:rFonts w:eastAsia="Calibri"/>
        </w:rPr>
        <w:t xml:space="preserve">. </w:t>
      </w:r>
      <w:r w:rsidR="00677DBB">
        <w:rPr>
          <w:rFonts w:eastAsia="Calibri"/>
        </w:rPr>
        <w:t>The plots are</w:t>
      </w:r>
      <w:r w:rsidR="00430D62" w:rsidRPr="00430D62">
        <w:rPr>
          <w:rFonts w:eastAsia="Calibri"/>
        </w:rPr>
        <w:t xml:space="preserve"> absorbance at different concentration of chrondrontin-4-sulphate at ambient temperature</w:t>
      </w:r>
      <w:r w:rsidR="00336E2D">
        <w:rPr>
          <w:rFonts w:eastAsia="Calibri"/>
        </w:rPr>
        <w:t>, compared with a blank with no</w:t>
      </w:r>
      <w:r w:rsidR="00336E2D" w:rsidRPr="00336E2D">
        <w:rPr>
          <w:rFonts w:eastAsia="Calibri"/>
        </w:rPr>
        <w:t xml:space="preserve"> </w:t>
      </w:r>
      <w:r w:rsidR="00336E2D" w:rsidRPr="00430D62">
        <w:rPr>
          <w:rFonts w:eastAsia="Calibri"/>
        </w:rPr>
        <w:t>chrondrontin-4-sulphate</w:t>
      </w:r>
      <w:r w:rsidR="00430D62" w:rsidRPr="00430D62">
        <w:rPr>
          <w:rFonts w:eastAsia="Calibri"/>
        </w:rPr>
        <w:t>.</w:t>
      </w:r>
      <w:r w:rsidR="00430D62" w:rsidRPr="00430D62">
        <w:t xml:space="preserve"> The graph obtained at A</w:t>
      </w:r>
      <w:r w:rsidR="00430D62" w:rsidRPr="00336E2D">
        <w:rPr>
          <w:vertAlign w:val="subscript"/>
        </w:rPr>
        <w:t>525</w:t>
      </w:r>
      <w:r w:rsidR="00430D62" w:rsidRPr="00430D62">
        <w:t xml:space="preserve"> shows a linear trend. </w:t>
      </w:r>
      <w:r w:rsidR="00430D62" w:rsidRPr="00430D62">
        <w:rPr>
          <w:rFonts w:eastAsia="Calibri"/>
        </w:rPr>
        <w:t xml:space="preserve">  </w:t>
      </w:r>
    </w:p>
    <w:p w:rsidR="00430D62" w:rsidRDefault="00430D62" w:rsidP="00430D62">
      <w:pPr>
        <w:spacing w:after="0"/>
        <w:ind w:left="720"/>
        <w:contextualSpacing/>
        <w:rPr>
          <w:rFonts w:ascii="Times New Roman" w:eastAsia="Calibri" w:hAnsi="Times New Roman"/>
          <w:sz w:val="20"/>
          <w:szCs w:val="20"/>
          <w:lang w:eastAsia="x-none"/>
        </w:rPr>
      </w:pPr>
    </w:p>
    <w:p w:rsidR="00430D62" w:rsidRPr="00392836" w:rsidRDefault="00430D62" w:rsidP="00430D62">
      <w:pPr>
        <w:spacing w:after="0"/>
        <w:ind w:left="720"/>
        <w:contextualSpacing/>
        <w:rPr>
          <w:rFonts w:ascii="Times New Roman" w:eastAsia="Times New Roman" w:hAnsi="Times New Roman"/>
          <w:sz w:val="20"/>
          <w:szCs w:val="20"/>
          <w:lang w:eastAsia="en-GB"/>
        </w:rPr>
      </w:pPr>
    </w:p>
    <w:p w:rsidR="00430D62" w:rsidRPr="00430D62" w:rsidRDefault="00430D62" w:rsidP="00DC2382">
      <w:pPr>
        <w:pStyle w:val="Heading4"/>
        <w:ind w:left="720"/>
      </w:pPr>
      <w:bookmarkStart w:id="184" w:name="_Toc484448841"/>
      <w:bookmarkStart w:id="185" w:name="_Toc506232348"/>
      <w:r w:rsidRPr="00430D62">
        <w:t>2.5.3 To determine glycosaminoglycan levels in urine of rat with diabetic nephropathy with and without UK-396082 treatment</w:t>
      </w:r>
      <w:bookmarkEnd w:id="184"/>
      <w:r w:rsidR="007C5887">
        <w:t>.</w:t>
      </w:r>
      <w:bookmarkEnd w:id="185"/>
      <w:r w:rsidRPr="00430D62">
        <w:t xml:space="preserve"> </w:t>
      </w:r>
    </w:p>
    <w:p w:rsidR="00430D62" w:rsidRPr="00392836" w:rsidRDefault="00430D62" w:rsidP="00DC2382">
      <w:pPr>
        <w:ind w:left="720"/>
        <w:rPr>
          <w:lang w:val="en-US" w:eastAsia="en-GB"/>
        </w:rPr>
      </w:pPr>
      <w:r w:rsidRPr="00392836">
        <w:rPr>
          <w:lang w:val="en-US" w:eastAsia="en-GB"/>
        </w:rPr>
        <w:t xml:space="preserve">The glycosaminoglycan assay was carried out </w:t>
      </w:r>
      <w:r w:rsidR="007C74F8">
        <w:rPr>
          <w:lang w:val="en-US" w:eastAsia="en-GB"/>
        </w:rPr>
        <w:t xml:space="preserve">using the principle described </w:t>
      </w:r>
      <w:r w:rsidRPr="00392836">
        <w:rPr>
          <w:lang w:val="en-US" w:eastAsia="en-GB"/>
        </w:rPr>
        <w:t xml:space="preserve">by </w:t>
      </w:r>
      <w:r w:rsidRPr="00392836">
        <w:rPr>
          <w:lang w:val="en-US" w:eastAsia="en-GB"/>
        </w:rPr>
        <w:fldChar w:fldCharType="begin"/>
      </w:r>
      <w:r w:rsidRPr="00392836">
        <w:rPr>
          <w:lang w:val="en-US" w:eastAsia="en-GB"/>
        </w:rPr>
        <w:instrText xml:space="preserve"> ADDIN EN.CITE &lt;EndNote&gt;&lt;Cite&gt;&lt;Author&gt;Farndale&lt;/Author&gt;&lt;Year&gt;1986&lt;/Year&gt;&lt;IDText&gt;Improved quantitation and discrimination of sulphated glycosaminoglycans by use of dimethylmethylene blue&lt;/IDText&gt;&lt;DisplayText&gt;(Farndale et al., 1986)&lt;/DisplayText&gt;&lt;record&gt;&lt;dates&gt;&lt;pub-dates&gt;&lt;date&gt;Sep 4&lt;/date&gt;&lt;/pub-dates&gt;&lt;year&gt;1986&lt;/year&gt;&lt;/dates&gt;&lt;keywords&gt;&lt;keyword&gt;Chondroitin Lyases/metabolism&lt;/keyword&gt;&lt;keyword&gt;Glycosaminoglycans/*analysis&lt;/keyword&gt;&lt;keyword&gt;*Glycoside Hydrolases&lt;/keyword&gt;&lt;keyword&gt;Methylene Blue/*analogs &amp;amp; derivatives&lt;/keyword&gt;&lt;keyword&gt;Spectrophotometry&lt;/keyword&gt;&lt;keyword&gt;Sulfates&lt;/keyword&gt;&lt;keyword&gt;beta-Galactosidase/metabolism&lt;/keyword&gt;&lt;/keywords&gt;&lt;isbn&gt;0006-3002 (Print)&amp;#xD;0006-3002&lt;/isbn&gt;&lt;titles&gt;&lt;title&gt;Improved quantitation and discrimination of sulphated glycosaminoglycans by use of dimethylmethylene blue&lt;/title&gt;&lt;secondary-title&gt;Biochim Biophys Acta&lt;/secondary-title&gt;&lt;alt-title&gt;Biochimica et biophysica acta&lt;/alt-title&gt;&lt;/titles&gt;&lt;pages&gt;173-7&lt;/pages&gt;&lt;number&gt;2&lt;/number&gt;&lt;contributors&gt;&lt;authors&gt;&lt;author&gt;Farndale, R. W.&lt;/author&gt;&lt;author&gt;Buttle, D. J.&lt;/author&gt;&lt;author&gt;Barrett, A. J.&lt;/author&gt;&lt;/authors&gt;&lt;/contributors&gt;&lt;edition&gt;1986/09/04&lt;/edition&gt;&lt;language&gt;Eng&lt;/language&gt;&lt;added-date format="utc"&gt;1479110262&lt;/added-date&gt;&lt;ref-type name="Journal Article"&gt;17&lt;/ref-type&gt;&lt;remote-database-provider&gt;NLM&lt;/remote-database-provider&gt;&lt;rec-number&gt;1572&lt;/rec-number&gt;&lt;last-updated-date format="utc"&gt;1479110262&lt;/last-updated-date&gt;&lt;accession-num&gt;3091074&lt;/accession-num&gt;&lt;volume&gt;883&lt;/volume&gt;&lt;/record&gt;&lt;/Cite&gt;&lt;/EndNote&gt;</w:instrText>
      </w:r>
      <w:r w:rsidRPr="00392836">
        <w:rPr>
          <w:lang w:val="en-US" w:eastAsia="en-GB"/>
        </w:rPr>
        <w:fldChar w:fldCharType="separate"/>
      </w:r>
      <w:r w:rsidRPr="00392836">
        <w:rPr>
          <w:noProof/>
          <w:lang w:val="en-US" w:eastAsia="en-GB"/>
        </w:rPr>
        <w:t>Farndale et al., 1986</w:t>
      </w:r>
      <w:r w:rsidRPr="00392836">
        <w:rPr>
          <w:lang w:val="en-US" w:eastAsia="en-GB"/>
        </w:rPr>
        <w:fldChar w:fldCharType="end"/>
      </w:r>
      <w:r w:rsidRPr="00392836">
        <w:rPr>
          <w:lang w:val="en-US" w:eastAsia="en-GB"/>
        </w:rPr>
        <w:t>. 250 µl of monthly u</w:t>
      </w:r>
      <w:r w:rsidR="00573D25">
        <w:rPr>
          <w:lang w:val="en-US" w:eastAsia="en-GB"/>
        </w:rPr>
        <w:t>rine samples were mixed with 2.0 ml</w:t>
      </w:r>
      <w:r w:rsidRPr="00392836">
        <w:rPr>
          <w:lang w:val="en-US" w:eastAsia="en-GB"/>
        </w:rPr>
        <w:t xml:space="preserve"> of DMMB and mixed in a universal bottle and poured into a spectrophotometry cuvette. The absorbance was read immediately at A</w:t>
      </w:r>
      <w:r w:rsidRPr="00392836">
        <w:rPr>
          <w:vertAlign w:val="subscript"/>
          <w:lang w:val="en-US" w:eastAsia="en-GB"/>
        </w:rPr>
        <w:t>525</w:t>
      </w:r>
      <w:r w:rsidRPr="00392836">
        <w:rPr>
          <w:lang w:val="en-US" w:eastAsia="en-GB"/>
        </w:rPr>
        <w:t xml:space="preserve"> against a reagent blank </w:t>
      </w:r>
      <w:r w:rsidR="00336E2D">
        <w:rPr>
          <w:lang w:val="en-US" w:eastAsia="en-GB"/>
        </w:rPr>
        <w:t xml:space="preserve">(no GAG) </w:t>
      </w:r>
      <w:r w:rsidRPr="00392836">
        <w:rPr>
          <w:lang w:val="en-US" w:eastAsia="en-GB"/>
        </w:rPr>
        <w:t>using a Biomate 5 spectrophotometer by Thermo Electron Corporation. The optical densities were put into a calibration curve for</w:t>
      </w:r>
      <w:r w:rsidRPr="00392836">
        <w:rPr>
          <w:bCs/>
          <w:lang w:val="en-US"/>
        </w:rPr>
        <w:t xml:space="preserve"> Chondroitin</w:t>
      </w:r>
      <w:r w:rsidRPr="00392836">
        <w:rPr>
          <w:lang w:val="en-US" w:eastAsia="en-GB"/>
        </w:rPr>
        <w:t>-4-sulphate (</w:t>
      </w:r>
      <w:r w:rsidR="00D42EAE">
        <w:rPr>
          <w:lang w:val="en-US" w:eastAsia="en-GB"/>
        </w:rPr>
        <w:t xml:space="preserve">Fig. </w:t>
      </w:r>
      <w:r w:rsidR="006D7B17">
        <w:rPr>
          <w:lang w:val="en-US" w:eastAsia="en-GB"/>
        </w:rPr>
        <w:t>2.12</w:t>
      </w:r>
      <w:r w:rsidRPr="00392836">
        <w:rPr>
          <w:lang w:val="en-US" w:eastAsia="en-GB"/>
        </w:rPr>
        <w:t xml:space="preserve">). </w:t>
      </w:r>
    </w:p>
    <w:p w:rsidR="00430D62" w:rsidRPr="00392836" w:rsidRDefault="00430D62" w:rsidP="00DC2382">
      <w:pPr>
        <w:pStyle w:val="Heading4"/>
        <w:ind w:firstLine="720"/>
        <w:rPr>
          <w:rFonts w:eastAsia="Times New Roman"/>
          <w:lang w:val="en-US" w:eastAsia="en-GB"/>
        </w:rPr>
      </w:pPr>
      <w:bookmarkStart w:id="186" w:name="_Toc506232349"/>
      <w:r w:rsidRPr="00392836">
        <w:rPr>
          <w:rFonts w:eastAsia="Times New Roman"/>
          <w:lang w:val="en-US" w:eastAsia="en-GB"/>
        </w:rPr>
        <w:t>2.</w:t>
      </w:r>
      <w:r>
        <w:rPr>
          <w:rFonts w:eastAsia="Times New Roman"/>
          <w:lang w:val="en-US" w:eastAsia="en-GB"/>
        </w:rPr>
        <w:t>5</w:t>
      </w:r>
      <w:r w:rsidRPr="00392836">
        <w:rPr>
          <w:rFonts w:eastAsia="Times New Roman"/>
          <w:lang w:val="en-US" w:eastAsia="en-GB"/>
        </w:rPr>
        <w:t>.4 To determine the standard curve for heparan sulphate</w:t>
      </w:r>
      <w:r w:rsidR="007C5887">
        <w:rPr>
          <w:rFonts w:eastAsia="Times New Roman"/>
          <w:lang w:val="en-US" w:eastAsia="en-GB"/>
        </w:rPr>
        <w:t>.</w:t>
      </w:r>
      <w:bookmarkEnd w:id="186"/>
      <w:r w:rsidRPr="00392836">
        <w:rPr>
          <w:rFonts w:eastAsia="Times New Roman"/>
          <w:lang w:val="en-US" w:eastAsia="en-GB"/>
        </w:rPr>
        <w:t xml:space="preserve"> </w:t>
      </w:r>
    </w:p>
    <w:p w:rsidR="00430D62" w:rsidRPr="00392836" w:rsidRDefault="00430D62" w:rsidP="00DC2382">
      <w:pPr>
        <w:ind w:left="720"/>
        <w:rPr>
          <w:lang w:val="en-US" w:eastAsia="en-GB"/>
        </w:rPr>
      </w:pPr>
      <w:r w:rsidRPr="00392836">
        <w:rPr>
          <w:lang w:val="en-US" w:eastAsia="en-GB"/>
        </w:rPr>
        <w:t xml:space="preserve">2 mg of heparan </w:t>
      </w:r>
      <w:r w:rsidR="002F44A1">
        <w:rPr>
          <w:lang w:val="en-US" w:eastAsia="en-GB"/>
        </w:rPr>
        <w:t>sulphate was dissolved with 2 ml</w:t>
      </w:r>
      <w:r w:rsidRPr="00392836">
        <w:rPr>
          <w:lang w:val="en-US" w:eastAsia="en-GB"/>
        </w:rPr>
        <w:t xml:space="preserve"> of water</w:t>
      </w:r>
      <w:r w:rsidR="006D7B17">
        <w:rPr>
          <w:lang w:val="en-US" w:eastAsia="en-GB"/>
        </w:rPr>
        <w:t xml:space="preserve"> to give a concentration of 1 mg/ml</w:t>
      </w:r>
      <w:r w:rsidR="00765AD9">
        <w:rPr>
          <w:lang w:val="en-US" w:eastAsia="en-GB"/>
        </w:rPr>
        <w:t xml:space="preserve"> (stock)</w:t>
      </w:r>
      <w:r w:rsidR="00042E02">
        <w:rPr>
          <w:lang w:val="en-US" w:eastAsia="en-GB"/>
        </w:rPr>
        <w:t>. Four different volumes</w:t>
      </w:r>
      <w:r w:rsidR="00765AD9">
        <w:rPr>
          <w:lang w:val="en-US" w:eastAsia="en-GB"/>
        </w:rPr>
        <w:t xml:space="preserve"> of 17.5 </w:t>
      </w:r>
      <w:r w:rsidR="00042E02">
        <w:rPr>
          <w:lang w:val="en-US" w:eastAsia="en-GB"/>
        </w:rPr>
        <w:t>µ</w:t>
      </w:r>
      <w:r w:rsidR="00765AD9">
        <w:rPr>
          <w:lang w:val="en-US" w:eastAsia="en-GB"/>
        </w:rPr>
        <w:t>l</w:t>
      </w:r>
      <w:r w:rsidR="00042E02">
        <w:rPr>
          <w:lang w:val="en-US" w:eastAsia="en-GB"/>
        </w:rPr>
        <w:t>, 25 µ</w:t>
      </w:r>
      <w:r w:rsidR="00765AD9">
        <w:rPr>
          <w:lang w:val="en-US" w:eastAsia="en-GB"/>
        </w:rPr>
        <w:t>l</w:t>
      </w:r>
      <w:r w:rsidR="00E67C9C">
        <w:rPr>
          <w:lang w:val="en-US" w:eastAsia="en-GB"/>
        </w:rPr>
        <w:t>,</w:t>
      </w:r>
      <w:r w:rsidR="00042E02">
        <w:rPr>
          <w:lang w:val="en-US" w:eastAsia="en-GB"/>
        </w:rPr>
        <w:t xml:space="preserve"> 50 µ</w:t>
      </w:r>
      <w:r w:rsidR="00765AD9">
        <w:rPr>
          <w:lang w:val="en-US" w:eastAsia="en-GB"/>
        </w:rPr>
        <w:t>l</w:t>
      </w:r>
      <w:r w:rsidR="006D7B17">
        <w:rPr>
          <w:lang w:val="en-US" w:eastAsia="en-GB"/>
        </w:rPr>
        <w:t xml:space="preserve"> and 100 µ</w:t>
      </w:r>
      <w:r w:rsidR="00765AD9">
        <w:rPr>
          <w:lang w:val="en-US" w:eastAsia="en-GB"/>
        </w:rPr>
        <w:t>l</w:t>
      </w:r>
      <w:r w:rsidRPr="00392836">
        <w:rPr>
          <w:lang w:val="en-US" w:eastAsia="en-GB"/>
        </w:rPr>
        <w:t xml:space="preserve"> </w:t>
      </w:r>
      <w:r w:rsidR="00765AD9">
        <w:rPr>
          <w:lang w:val="en-US" w:eastAsia="en-GB"/>
        </w:rPr>
        <w:t>were prepared from the stock</w:t>
      </w:r>
      <w:r w:rsidR="00336E2D">
        <w:rPr>
          <w:lang w:val="en-US" w:eastAsia="en-GB"/>
        </w:rPr>
        <w:t>. 250 µl of each concentration</w:t>
      </w:r>
      <w:r w:rsidR="00765AD9">
        <w:rPr>
          <w:lang w:val="en-US" w:eastAsia="en-GB"/>
        </w:rPr>
        <w:t xml:space="preserve"> was</w:t>
      </w:r>
      <w:r w:rsidRPr="00392836">
        <w:rPr>
          <w:lang w:val="en-US" w:eastAsia="en-GB"/>
        </w:rPr>
        <w:t xml:space="preserve"> added to 2mls of DMMB</w:t>
      </w:r>
      <w:r w:rsidR="00336E2D">
        <w:rPr>
          <w:lang w:val="en-US" w:eastAsia="en-GB"/>
        </w:rPr>
        <w:t>,</w:t>
      </w:r>
      <w:r w:rsidRPr="00392836">
        <w:rPr>
          <w:lang w:val="en-US" w:eastAsia="en-GB"/>
        </w:rPr>
        <w:t xml:space="preserve"> mixed and poured into a </w:t>
      </w:r>
      <w:r w:rsidRPr="00392836">
        <w:rPr>
          <w:lang w:val="en-US" w:eastAsia="en-GB"/>
        </w:rPr>
        <w:lastRenderedPageBreak/>
        <w:t>cuvette and the absorbance read immediately at A</w:t>
      </w:r>
      <w:r w:rsidRPr="00392836">
        <w:rPr>
          <w:vertAlign w:val="subscript"/>
          <w:lang w:val="en-US" w:eastAsia="en-GB"/>
        </w:rPr>
        <w:t>525</w:t>
      </w:r>
      <w:r w:rsidRPr="00392836">
        <w:rPr>
          <w:lang w:val="en-US" w:eastAsia="en-GB"/>
        </w:rPr>
        <w:t xml:space="preserve"> against a blank of 2</w:t>
      </w:r>
      <w:r w:rsidR="002F44A1">
        <w:rPr>
          <w:lang w:val="en-US" w:eastAsia="en-GB"/>
        </w:rPr>
        <w:t xml:space="preserve"> ml</w:t>
      </w:r>
      <w:r w:rsidRPr="00392836">
        <w:rPr>
          <w:lang w:val="en-US" w:eastAsia="en-GB"/>
        </w:rPr>
        <w:t xml:space="preserve"> of DMMB and 250 µl of distilled water.</w:t>
      </w:r>
    </w:p>
    <w:p w:rsidR="00430D62" w:rsidRPr="002D56BD" w:rsidRDefault="00430D62" w:rsidP="00DC2382">
      <w:pPr>
        <w:pStyle w:val="Heading4"/>
        <w:ind w:left="720"/>
      </w:pPr>
      <w:bookmarkStart w:id="187" w:name="_Toc484448842"/>
      <w:bookmarkStart w:id="188" w:name="_Toc506232350"/>
      <w:r w:rsidRPr="002D56BD">
        <w:rPr>
          <w:rStyle w:val="Heading3Char1"/>
          <w:b/>
        </w:rPr>
        <w:t>2.5.5 To determine the effect of UK-396082 on the standard curve of heparan sulphate</w:t>
      </w:r>
      <w:bookmarkEnd w:id="187"/>
      <w:r w:rsidRPr="002D56BD">
        <w:t>.</w:t>
      </w:r>
      <w:bookmarkEnd w:id="188"/>
      <w:r w:rsidRPr="002D56BD">
        <w:t xml:space="preserve"> </w:t>
      </w:r>
    </w:p>
    <w:p w:rsidR="0057459F" w:rsidRDefault="00430D62" w:rsidP="00DC2382">
      <w:pPr>
        <w:ind w:left="720"/>
        <w:rPr>
          <w:lang w:val="en-US" w:eastAsia="en-GB"/>
        </w:rPr>
      </w:pPr>
      <w:r w:rsidRPr="00392836">
        <w:rPr>
          <w:lang w:val="en-US" w:eastAsia="en-GB"/>
        </w:rPr>
        <w:t xml:space="preserve">2 mg of heparan </w:t>
      </w:r>
      <w:r w:rsidR="00573D25">
        <w:rPr>
          <w:lang w:val="en-US" w:eastAsia="en-GB"/>
        </w:rPr>
        <w:t>sulphate was dissolved with 2ml</w:t>
      </w:r>
      <w:r w:rsidRPr="00392836">
        <w:rPr>
          <w:lang w:val="en-US" w:eastAsia="en-GB"/>
        </w:rPr>
        <w:t xml:space="preserve"> of wat</w:t>
      </w:r>
      <w:r w:rsidR="00961912">
        <w:rPr>
          <w:lang w:val="en-US" w:eastAsia="en-GB"/>
        </w:rPr>
        <w:t>er</w:t>
      </w:r>
      <w:r w:rsidR="00765AD9">
        <w:rPr>
          <w:lang w:val="en-US" w:eastAsia="en-GB"/>
        </w:rPr>
        <w:t xml:space="preserve"> to get a stock solution with a concentration of 1 mg/ml. Four different concentrations of 17.5 µg/ml, 25 µg/ml 50 µg/ml and 100 µg</w:t>
      </w:r>
      <w:r w:rsidRPr="00392836">
        <w:rPr>
          <w:lang w:val="en-US" w:eastAsia="en-GB"/>
        </w:rPr>
        <w:t xml:space="preserve">/ml </w:t>
      </w:r>
      <w:r w:rsidR="00765AD9">
        <w:rPr>
          <w:lang w:val="en-US" w:eastAsia="en-GB"/>
        </w:rPr>
        <w:t>were prepared from the stock solution</w:t>
      </w:r>
      <w:r w:rsidRPr="00392836">
        <w:rPr>
          <w:lang w:val="en-US" w:eastAsia="en-GB"/>
        </w:rPr>
        <w:t>.  Eight universal tubes were labelle</w:t>
      </w:r>
      <w:r w:rsidR="00765AD9">
        <w:rPr>
          <w:lang w:val="en-US" w:eastAsia="en-GB"/>
        </w:rPr>
        <w:t>d as shown in the Table 2.7.</w:t>
      </w:r>
      <w:r w:rsidRPr="00392836">
        <w:rPr>
          <w:lang w:val="en-US" w:eastAsia="en-GB"/>
        </w:rPr>
        <w:t xml:space="preserve"> 2</w:t>
      </w:r>
      <w:r w:rsidR="00765AD9">
        <w:rPr>
          <w:lang w:val="en-US" w:eastAsia="en-GB"/>
        </w:rPr>
        <w:t>50 µl of each concentration was</w:t>
      </w:r>
      <w:r w:rsidR="00AD21F2">
        <w:rPr>
          <w:lang w:val="en-US" w:eastAsia="en-GB"/>
        </w:rPr>
        <w:t xml:space="preserve"> added into each tube with 2ml</w:t>
      </w:r>
      <w:r w:rsidRPr="00392836">
        <w:rPr>
          <w:lang w:val="en-US" w:eastAsia="en-GB"/>
        </w:rPr>
        <w:t xml:space="preserve"> of DMMB, all the tubes labelled B had UK-396082 with a final concentration of 100 nM added to the heparan sulphate. The contents in the tubes were mixed and poured into a cuvette and the absorbance read immediately at A</w:t>
      </w:r>
      <w:r w:rsidRPr="00392836">
        <w:rPr>
          <w:vertAlign w:val="subscript"/>
          <w:lang w:val="en-US" w:eastAsia="en-GB"/>
        </w:rPr>
        <w:t>525</w:t>
      </w:r>
      <w:r w:rsidRPr="00392836">
        <w:rPr>
          <w:lang w:val="en-US" w:eastAsia="en-GB"/>
        </w:rPr>
        <w:t xml:space="preserve"> against a reagent blank.</w:t>
      </w:r>
    </w:p>
    <w:p w:rsidR="0057459F" w:rsidRDefault="0057459F">
      <w:pPr>
        <w:spacing w:after="160" w:line="259" w:lineRule="auto"/>
        <w:jc w:val="left"/>
        <w:rPr>
          <w:lang w:val="en-US" w:eastAsia="en-GB"/>
        </w:rPr>
      </w:pPr>
      <w:r>
        <w:rPr>
          <w:lang w:val="en-US" w:eastAsia="en-GB"/>
        </w:rPr>
        <w:br w:type="page"/>
      </w:r>
    </w:p>
    <w:p w:rsidR="00430D62" w:rsidRPr="00392836" w:rsidRDefault="00430D62" w:rsidP="0057459F">
      <w:pPr>
        <w:spacing w:after="0"/>
        <w:rPr>
          <w:rFonts w:ascii="Calibri" w:eastAsia="Times New Roman" w:hAnsi="Calibri"/>
          <w:lang w:val="en-US" w:eastAsia="en-G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1716"/>
        <w:gridCol w:w="1551"/>
        <w:gridCol w:w="1084"/>
        <w:gridCol w:w="1541"/>
      </w:tblGrid>
      <w:tr w:rsidR="00273660" w:rsidRPr="00392836" w:rsidTr="00273660">
        <w:tc>
          <w:tcPr>
            <w:tcW w:w="1576" w:type="dxa"/>
            <w:shd w:val="clear" w:color="auto" w:fill="auto"/>
          </w:tcPr>
          <w:p w:rsidR="00273660" w:rsidRPr="0057459F" w:rsidRDefault="00273660" w:rsidP="003C4A40">
            <w:pPr>
              <w:rPr>
                <w:rFonts w:eastAsia="Times New Roman" w:cs="Arial"/>
                <w:sz w:val="22"/>
                <w:szCs w:val="22"/>
                <w:lang w:val="en-US" w:eastAsia="en-GB"/>
              </w:rPr>
            </w:pPr>
            <w:r w:rsidRPr="0057459F">
              <w:rPr>
                <w:rFonts w:eastAsia="Times New Roman" w:cs="Arial"/>
                <w:sz w:val="22"/>
                <w:szCs w:val="22"/>
                <w:lang w:val="en-US" w:eastAsia="en-GB"/>
              </w:rPr>
              <w:br w:type="page"/>
              <w:t xml:space="preserve">Tubes </w:t>
            </w:r>
          </w:p>
        </w:tc>
        <w:tc>
          <w:tcPr>
            <w:tcW w:w="1716" w:type="dxa"/>
            <w:shd w:val="clear" w:color="auto" w:fill="auto"/>
          </w:tcPr>
          <w:p w:rsidR="00273660" w:rsidRPr="0057459F" w:rsidRDefault="00273660" w:rsidP="00E67C9C">
            <w:pPr>
              <w:rPr>
                <w:rFonts w:eastAsia="Times New Roman" w:cs="Arial"/>
                <w:sz w:val="22"/>
                <w:szCs w:val="22"/>
                <w:lang w:val="en-US" w:eastAsia="en-GB"/>
              </w:rPr>
            </w:pPr>
            <w:r>
              <w:rPr>
                <w:rFonts w:eastAsia="Times New Roman" w:cs="Arial"/>
                <w:sz w:val="22"/>
                <w:szCs w:val="22"/>
                <w:lang w:val="en-US" w:eastAsia="en-GB"/>
              </w:rPr>
              <w:t>Heparan sulphate (1mg/ml</w:t>
            </w:r>
            <w:r w:rsidRPr="0057459F">
              <w:rPr>
                <w:rFonts w:eastAsia="Times New Roman" w:cs="Arial"/>
                <w:sz w:val="22"/>
                <w:szCs w:val="22"/>
                <w:lang w:val="en-US" w:eastAsia="en-GB"/>
              </w:rPr>
              <w:t>)</w:t>
            </w:r>
          </w:p>
        </w:tc>
        <w:tc>
          <w:tcPr>
            <w:tcW w:w="1551" w:type="dxa"/>
            <w:shd w:val="clear" w:color="auto" w:fill="auto"/>
          </w:tcPr>
          <w:p w:rsidR="00273660" w:rsidRPr="0057459F" w:rsidRDefault="00273660" w:rsidP="0057459F">
            <w:pPr>
              <w:rPr>
                <w:rFonts w:eastAsia="Times New Roman" w:cs="Arial"/>
                <w:sz w:val="22"/>
                <w:szCs w:val="22"/>
                <w:lang w:val="en-US" w:eastAsia="en-GB"/>
              </w:rPr>
            </w:pPr>
            <w:r w:rsidRPr="0057459F">
              <w:rPr>
                <w:rFonts w:eastAsia="Times New Roman" w:cs="Arial"/>
                <w:sz w:val="22"/>
                <w:szCs w:val="22"/>
                <w:lang w:val="en-US" w:eastAsia="en-GB"/>
              </w:rPr>
              <w:t>Uk</w:t>
            </w:r>
            <w:r>
              <w:rPr>
                <w:rFonts w:eastAsia="Times New Roman" w:cs="Arial"/>
                <w:sz w:val="22"/>
                <w:szCs w:val="22"/>
                <w:lang w:val="en-US" w:eastAsia="en-GB"/>
              </w:rPr>
              <w:t>-</w:t>
            </w:r>
            <w:r w:rsidRPr="0057459F">
              <w:rPr>
                <w:rFonts w:eastAsia="Times New Roman" w:cs="Arial"/>
                <w:sz w:val="22"/>
                <w:szCs w:val="22"/>
                <w:lang w:val="en-US" w:eastAsia="en-GB"/>
              </w:rPr>
              <w:t>396082 (100 nM)</w:t>
            </w:r>
          </w:p>
        </w:tc>
        <w:tc>
          <w:tcPr>
            <w:tcW w:w="1084" w:type="dxa"/>
          </w:tcPr>
          <w:p w:rsidR="00273660" w:rsidRPr="0057459F" w:rsidRDefault="00273660" w:rsidP="003C4A40">
            <w:pPr>
              <w:rPr>
                <w:rFonts w:eastAsia="Times New Roman" w:cs="Arial"/>
                <w:sz w:val="22"/>
                <w:szCs w:val="22"/>
                <w:lang w:val="en-US" w:eastAsia="en-GB"/>
              </w:rPr>
            </w:pPr>
            <w:r>
              <w:rPr>
                <w:rFonts w:eastAsia="Times New Roman" w:cs="Arial"/>
                <w:sz w:val="22"/>
                <w:szCs w:val="22"/>
                <w:lang w:val="en-US" w:eastAsia="en-GB"/>
              </w:rPr>
              <w:t>Distilled water</w:t>
            </w:r>
          </w:p>
        </w:tc>
        <w:tc>
          <w:tcPr>
            <w:tcW w:w="1541" w:type="dxa"/>
            <w:shd w:val="clear" w:color="auto" w:fill="auto"/>
          </w:tcPr>
          <w:p w:rsidR="00273660" w:rsidRPr="0057459F" w:rsidRDefault="00AD21F2" w:rsidP="003C4A40">
            <w:pPr>
              <w:rPr>
                <w:rFonts w:eastAsia="Times New Roman" w:cs="Arial"/>
                <w:sz w:val="22"/>
                <w:szCs w:val="22"/>
                <w:lang w:val="en-US" w:eastAsia="en-GB"/>
              </w:rPr>
            </w:pPr>
            <w:r>
              <w:rPr>
                <w:rFonts w:eastAsia="Times New Roman" w:cs="Arial"/>
                <w:sz w:val="22"/>
                <w:szCs w:val="22"/>
                <w:lang w:val="en-US" w:eastAsia="en-GB"/>
              </w:rPr>
              <w:t>DMMB 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A1</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17.5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w:t>
            </w:r>
          </w:p>
        </w:tc>
        <w:tc>
          <w:tcPr>
            <w:tcW w:w="1084" w:type="dxa"/>
          </w:tcPr>
          <w:p w:rsidR="00273660" w:rsidRPr="0057459F" w:rsidRDefault="00273660" w:rsidP="00273660">
            <w:pPr>
              <w:rPr>
                <w:rFonts w:eastAsia="Times New Roman" w:cs="Arial"/>
                <w:sz w:val="22"/>
                <w:szCs w:val="22"/>
                <w:lang w:val="en-US" w:eastAsia="en-GB"/>
              </w:rPr>
            </w:pPr>
            <w:r w:rsidRPr="0057459F">
              <w:rPr>
                <w:rFonts w:eastAsia="Times New Roman" w:cs="Arial"/>
                <w:sz w:val="22"/>
                <w:szCs w:val="22"/>
                <w:lang w:val="en-US" w:eastAsia="en-GB"/>
              </w:rPr>
              <w:t>2 µl</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A2</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25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w:t>
            </w:r>
          </w:p>
        </w:tc>
        <w:tc>
          <w:tcPr>
            <w:tcW w:w="1084" w:type="dxa"/>
          </w:tcPr>
          <w:p w:rsidR="00273660" w:rsidRPr="0057459F" w:rsidRDefault="00273660" w:rsidP="00273660">
            <w:pPr>
              <w:rPr>
                <w:rFonts w:eastAsia="Times New Roman" w:cs="Arial"/>
                <w:sz w:val="22"/>
                <w:szCs w:val="22"/>
                <w:lang w:val="en-US" w:eastAsia="en-GB"/>
              </w:rPr>
            </w:pPr>
            <w:r w:rsidRPr="0057459F">
              <w:rPr>
                <w:rFonts w:eastAsia="Times New Roman" w:cs="Arial"/>
                <w:sz w:val="22"/>
                <w:szCs w:val="22"/>
                <w:lang w:val="en-US" w:eastAsia="en-GB"/>
              </w:rPr>
              <w:t>2 µl</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A3</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50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w:t>
            </w:r>
          </w:p>
        </w:tc>
        <w:tc>
          <w:tcPr>
            <w:tcW w:w="1084" w:type="dxa"/>
          </w:tcPr>
          <w:p w:rsidR="00273660" w:rsidRPr="0057459F" w:rsidRDefault="00273660" w:rsidP="00273660">
            <w:pPr>
              <w:rPr>
                <w:rFonts w:eastAsia="Times New Roman" w:cs="Arial"/>
                <w:sz w:val="22"/>
                <w:szCs w:val="22"/>
                <w:lang w:val="en-US" w:eastAsia="en-GB"/>
              </w:rPr>
            </w:pPr>
            <w:r w:rsidRPr="0057459F">
              <w:rPr>
                <w:rFonts w:eastAsia="Times New Roman" w:cs="Arial"/>
                <w:sz w:val="22"/>
                <w:szCs w:val="22"/>
                <w:lang w:val="en-US" w:eastAsia="en-GB"/>
              </w:rPr>
              <w:t>2 µl</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A4</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100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w:t>
            </w:r>
          </w:p>
        </w:tc>
        <w:tc>
          <w:tcPr>
            <w:tcW w:w="1084" w:type="dxa"/>
          </w:tcPr>
          <w:p w:rsidR="00273660" w:rsidRPr="0057459F" w:rsidRDefault="00273660" w:rsidP="00273660">
            <w:pPr>
              <w:rPr>
                <w:rFonts w:eastAsia="Times New Roman" w:cs="Arial"/>
                <w:sz w:val="22"/>
                <w:szCs w:val="22"/>
                <w:lang w:val="en-US" w:eastAsia="en-GB"/>
              </w:rPr>
            </w:pPr>
            <w:r w:rsidRPr="0057459F">
              <w:rPr>
                <w:rFonts w:eastAsia="Times New Roman" w:cs="Arial"/>
                <w:sz w:val="22"/>
                <w:szCs w:val="22"/>
                <w:lang w:val="en-US" w:eastAsia="en-GB"/>
              </w:rPr>
              <w:t>2 µl</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B1</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 xml:space="preserve">17.5 </w:t>
            </w:r>
            <w:bookmarkStart w:id="189" w:name="OLE_LINK1"/>
            <w:r w:rsidRPr="0057459F">
              <w:rPr>
                <w:rFonts w:eastAsia="Times New Roman" w:cs="Arial"/>
                <w:sz w:val="22"/>
                <w:szCs w:val="22"/>
                <w:lang w:val="en-US" w:eastAsia="en-GB"/>
              </w:rPr>
              <w:t>µl</w:t>
            </w:r>
            <w:bookmarkEnd w:id="189"/>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 µl</w:t>
            </w:r>
          </w:p>
        </w:tc>
        <w:tc>
          <w:tcPr>
            <w:tcW w:w="1084" w:type="dxa"/>
          </w:tcPr>
          <w:p w:rsidR="00273660" w:rsidRPr="0057459F" w:rsidRDefault="00273660" w:rsidP="00273660">
            <w:pPr>
              <w:rPr>
                <w:rFonts w:eastAsia="Times New Roman" w:cs="Arial"/>
                <w:sz w:val="22"/>
                <w:szCs w:val="22"/>
                <w:lang w:val="en-US" w:eastAsia="en-GB"/>
              </w:rPr>
            </w:pPr>
            <w:r>
              <w:rPr>
                <w:rFonts w:eastAsia="Times New Roman" w:cs="Arial"/>
                <w:sz w:val="22"/>
                <w:szCs w:val="22"/>
                <w:lang w:val="en-US" w:eastAsia="en-GB"/>
              </w:rPr>
              <w:t>-</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B2</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25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 µl</w:t>
            </w:r>
          </w:p>
        </w:tc>
        <w:tc>
          <w:tcPr>
            <w:tcW w:w="1084" w:type="dxa"/>
          </w:tcPr>
          <w:p w:rsidR="00273660" w:rsidRPr="0057459F" w:rsidRDefault="00273660" w:rsidP="00273660">
            <w:pPr>
              <w:rPr>
                <w:rFonts w:eastAsia="Times New Roman" w:cs="Arial"/>
                <w:sz w:val="22"/>
                <w:szCs w:val="22"/>
                <w:lang w:val="en-US" w:eastAsia="en-GB"/>
              </w:rPr>
            </w:pPr>
            <w:r>
              <w:rPr>
                <w:rFonts w:eastAsia="Times New Roman" w:cs="Arial"/>
                <w:sz w:val="22"/>
                <w:szCs w:val="22"/>
                <w:lang w:val="en-US" w:eastAsia="en-GB"/>
              </w:rPr>
              <w:t>-</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B3</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50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 µl</w:t>
            </w:r>
          </w:p>
        </w:tc>
        <w:tc>
          <w:tcPr>
            <w:tcW w:w="1084" w:type="dxa"/>
          </w:tcPr>
          <w:p w:rsidR="00273660" w:rsidRPr="0057459F" w:rsidRDefault="00273660" w:rsidP="00273660">
            <w:pPr>
              <w:rPr>
                <w:rFonts w:eastAsia="Times New Roman" w:cs="Arial"/>
                <w:sz w:val="22"/>
                <w:szCs w:val="22"/>
                <w:lang w:val="en-US" w:eastAsia="en-GB"/>
              </w:rPr>
            </w:pPr>
            <w:r>
              <w:rPr>
                <w:rFonts w:eastAsia="Times New Roman" w:cs="Arial"/>
                <w:sz w:val="22"/>
                <w:szCs w:val="22"/>
                <w:lang w:val="en-US" w:eastAsia="en-GB"/>
              </w:rPr>
              <w:t>-</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r w:rsidR="00273660" w:rsidRPr="00392836" w:rsidTr="00273660">
        <w:tc>
          <w:tcPr>
            <w:tcW w:w="157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B4</w:t>
            </w:r>
          </w:p>
        </w:tc>
        <w:tc>
          <w:tcPr>
            <w:tcW w:w="1716"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100 µl</w:t>
            </w:r>
          </w:p>
        </w:tc>
        <w:tc>
          <w:tcPr>
            <w:tcW w:w="1551" w:type="dxa"/>
            <w:shd w:val="clear" w:color="auto" w:fill="auto"/>
          </w:tcPr>
          <w:p w:rsidR="00273660" w:rsidRPr="0057459F" w:rsidRDefault="00273660" w:rsidP="007D497A">
            <w:pPr>
              <w:ind w:left="720"/>
              <w:rPr>
                <w:rFonts w:eastAsia="Times New Roman" w:cs="Arial"/>
                <w:sz w:val="22"/>
                <w:szCs w:val="22"/>
                <w:lang w:val="en-US" w:eastAsia="en-GB"/>
              </w:rPr>
            </w:pPr>
            <w:r w:rsidRPr="0057459F">
              <w:rPr>
                <w:rFonts w:eastAsia="Times New Roman" w:cs="Arial"/>
                <w:sz w:val="22"/>
                <w:szCs w:val="22"/>
                <w:lang w:val="en-US" w:eastAsia="en-GB"/>
              </w:rPr>
              <w:t>2 µl</w:t>
            </w:r>
          </w:p>
        </w:tc>
        <w:tc>
          <w:tcPr>
            <w:tcW w:w="1084" w:type="dxa"/>
          </w:tcPr>
          <w:p w:rsidR="00273660" w:rsidRPr="0057459F" w:rsidRDefault="00273660" w:rsidP="00273660">
            <w:pPr>
              <w:rPr>
                <w:rFonts w:eastAsia="Times New Roman" w:cs="Arial"/>
                <w:sz w:val="22"/>
                <w:szCs w:val="22"/>
                <w:lang w:val="en-US" w:eastAsia="en-GB"/>
              </w:rPr>
            </w:pPr>
            <w:r>
              <w:rPr>
                <w:rFonts w:eastAsia="Times New Roman" w:cs="Arial"/>
                <w:sz w:val="22"/>
                <w:szCs w:val="22"/>
                <w:lang w:val="en-US" w:eastAsia="en-GB"/>
              </w:rPr>
              <w:t>-</w:t>
            </w:r>
          </w:p>
        </w:tc>
        <w:tc>
          <w:tcPr>
            <w:tcW w:w="1541" w:type="dxa"/>
            <w:shd w:val="clear" w:color="auto" w:fill="auto"/>
          </w:tcPr>
          <w:p w:rsidR="00273660" w:rsidRPr="0057459F" w:rsidRDefault="00AD21F2" w:rsidP="007D497A">
            <w:pPr>
              <w:ind w:left="720"/>
              <w:rPr>
                <w:rFonts w:eastAsia="Times New Roman" w:cs="Arial"/>
                <w:sz w:val="22"/>
                <w:szCs w:val="22"/>
                <w:lang w:val="en-US" w:eastAsia="en-GB"/>
              </w:rPr>
            </w:pPr>
            <w:r>
              <w:rPr>
                <w:rFonts w:eastAsia="Times New Roman" w:cs="Arial"/>
                <w:sz w:val="22"/>
                <w:szCs w:val="22"/>
                <w:lang w:val="en-US" w:eastAsia="en-GB"/>
              </w:rPr>
              <w:t>2 ml</w:t>
            </w:r>
          </w:p>
        </w:tc>
      </w:tr>
    </w:tbl>
    <w:p w:rsidR="00430D62" w:rsidRPr="00392836" w:rsidRDefault="00430D62" w:rsidP="00430D62">
      <w:pPr>
        <w:spacing w:after="0"/>
        <w:ind w:left="720"/>
        <w:contextualSpacing/>
        <w:rPr>
          <w:rFonts w:ascii="Calibri" w:eastAsia="Calibri" w:hAnsi="Calibri"/>
          <w:sz w:val="20"/>
          <w:szCs w:val="20"/>
          <w:lang w:val="x-none" w:eastAsia="en-GB"/>
        </w:rPr>
      </w:pPr>
    </w:p>
    <w:p w:rsidR="00430D62" w:rsidRPr="001E2FD6" w:rsidRDefault="001E2FD6" w:rsidP="001E2FD6">
      <w:pPr>
        <w:pStyle w:val="Table"/>
        <w:ind w:left="720"/>
        <w:rPr>
          <w:b w:val="0"/>
          <w:i w:val="0"/>
        </w:rPr>
      </w:pPr>
      <w:bookmarkStart w:id="190" w:name="_Toc494731235"/>
      <w:bookmarkStart w:id="191" w:name="_Toc494732970"/>
      <w:r>
        <w:rPr>
          <w:rStyle w:val="SubtitleChar"/>
        </w:rPr>
        <w:tab/>
      </w:r>
      <w:bookmarkStart w:id="192" w:name="_Toc504638849"/>
      <w:bookmarkStart w:id="193" w:name="_Toc504640580"/>
      <w:r w:rsidR="00430D62" w:rsidRPr="00DC2382">
        <w:rPr>
          <w:rStyle w:val="SubtitleChar"/>
        </w:rPr>
        <w:t>Table 2.7 Standard curve of heparan sulphate in the presence and absence of UK-396082</w:t>
      </w:r>
      <w:bookmarkEnd w:id="190"/>
      <w:bookmarkEnd w:id="191"/>
      <w:bookmarkEnd w:id="192"/>
      <w:bookmarkEnd w:id="193"/>
      <w:r w:rsidR="00430D62" w:rsidRPr="00392836">
        <w:rPr>
          <w:rFonts w:ascii="Times New Roman" w:hAnsi="Times New Roman"/>
          <w:bCs/>
          <w:lang w:val="en-US"/>
        </w:rPr>
        <w:t xml:space="preserve">. </w:t>
      </w:r>
      <w:r w:rsidR="00430D62" w:rsidRPr="001E2FD6">
        <w:rPr>
          <w:b w:val="0"/>
          <w:i w:val="0"/>
        </w:rPr>
        <w:t>This shows the volume of DMMB solution, with the volume and concentration of heparan sulphate used, per cuvette. Tubes A1-A4 was for the standard curve without UK-396082 while tubes B1-B4 were tubes with UK-396082 with final concentration of 100nM.</w:t>
      </w:r>
    </w:p>
    <w:p w:rsidR="00DC2382" w:rsidRPr="00DC2382" w:rsidRDefault="00DC2382" w:rsidP="00DC2382">
      <w:pPr>
        <w:pStyle w:val="LegText"/>
        <w:rPr>
          <w:rFonts w:ascii="Times New Roman" w:hAnsi="Times New Roman"/>
          <w:bCs/>
          <w:lang w:val="en-US"/>
        </w:rPr>
      </w:pPr>
    </w:p>
    <w:p w:rsidR="00430D62" w:rsidRPr="00392836" w:rsidRDefault="00430D62" w:rsidP="00DC2382">
      <w:pPr>
        <w:pStyle w:val="Heading4"/>
        <w:ind w:firstLine="720"/>
        <w:rPr>
          <w:rFonts w:eastAsia="Times New Roman"/>
          <w:lang w:val="en-US" w:eastAsia="en-GB"/>
        </w:rPr>
      </w:pPr>
      <w:bookmarkStart w:id="194" w:name="_Toc484448843"/>
      <w:bookmarkStart w:id="195" w:name="_Toc506232351"/>
      <w:r w:rsidRPr="00392836">
        <w:rPr>
          <w:rFonts w:eastAsia="Times New Roman"/>
          <w:lang w:val="en-US" w:eastAsia="en-GB"/>
        </w:rPr>
        <w:t>2.</w:t>
      </w:r>
      <w:r>
        <w:rPr>
          <w:rFonts w:eastAsia="Times New Roman"/>
          <w:lang w:val="en-US" w:eastAsia="en-GB"/>
        </w:rPr>
        <w:t>5</w:t>
      </w:r>
      <w:r w:rsidRPr="00392836">
        <w:rPr>
          <w:rFonts w:eastAsia="Times New Roman"/>
          <w:lang w:val="en-US" w:eastAsia="en-GB"/>
        </w:rPr>
        <w:t>.6 To determine the activity of heparinase II</w:t>
      </w:r>
      <w:bookmarkEnd w:id="194"/>
      <w:r w:rsidR="007C5887">
        <w:rPr>
          <w:rFonts w:eastAsia="Times New Roman"/>
          <w:lang w:val="en-US" w:eastAsia="en-GB"/>
        </w:rPr>
        <w:t>.</w:t>
      </w:r>
      <w:bookmarkEnd w:id="195"/>
      <w:r w:rsidRPr="00392836">
        <w:rPr>
          <w:rFonts w:eastAsia="Times New Roman"/>
          <w:lang w:val="en-US" w:eastAsia="en-GB"/>
        </w:rPr>
        <w:t xml:space="preserve">  </w:t>
      </w:r>
    </w:p>
    <w:p w:rsidR="00430D62" w:rsidRPr="00392836" w:rsidRDefault="00AD21F2" w:rsidP="00DC2382">
      <w:pPr>
        <w:ind w:left="720"/>
        <w:rPr>
          <w:lang w:val="en-US" w:eastAsia="en-GB"/>
        </w:rPr>
      </w:pPr>
      <w:r>
        <w:rPr>
          <w:lang w:val="en-US" w:eastAsia="en-GB"/>
        </w:rPr>
        <w:t>20</w:t>
      </w:r>
      <w:r w:rsidR="00430D62" w:rsidRPr="00392836">
        <w:rPr>
          <w:lang w:val="en-US" w:eastAsia="en-GB"/>
        </w:rPr>
        <w:t>0</w:t>
      </w:r>
      <w:r w:rsidR="00430D62" w:rsidRPr="00392836">
        <w:rPr>
          <w:rFonts w:eastAsia="Times New Roman"/>
          <w:lang w:val="en-US" w:eastAsia="en-GB"/>
        </w:rPr>
        <w:t xml:space="preserve"> µl</w:t>
      </w:r>
      <w:r w:rsidR="00430D62" w:rsidRPr="00392836">
        <w:rPr>
          <w:lang w:val="en-US" w:eastAsia="en-GB"/>
        </w:rPr>
        <w:t xml:space="preserve"> of 25 </w:t>
      </w:r>
      <w:r w:rsidR="00430D62" w:rsidRPr="00392836">
        <w:rPr>
          <w:rFonts w:eastAsia="Times New Roman"/>
          <w:lang w:val="en-US" w:eastAsia="en-GB"/>
        </w:rPr>
        <w:t>µg/ml</w:t>
      </w:r>
      <w:r w:rsidR="00430D62" w:rsidRPr="00392836">
        <w:rPr>
          <w:lang w:val="en-US" w:eastAsia="en-GB"/>
        </w:rPr>
        <w:t xml:space="preserve"> of heparan sulphate was added to 2</w:t>
      </w:r>
      <w:r w:rsidR="002F44A1">
        <w:rPr>
          <w:lang w:val="en-US" w:eastAsia="en-GB"/>
        </w:rPr>
        <w:t xml:space="preserve"> ml</w:t>
      </w:r>
      <w:r w:rsidR="00430D62" w:rsidRPr="00392836">
        <w:rPr>
          <w:lang w:val="en-US" w:eastAsia="en-GB"/>
        </w:rPr>
        <w:t xml:space="preserve"> of DM</w:t>
      </w:r>
      <w:r w:rsidR="007C5887">
        <w:rPr>
          <w:lang w:val="en-US" w:eastAsia="en-GB"/>
        </w:rPr>
        <w:t>M</w:t>
      </w:r>
      <w:r w:rsidR="00430D62" w:rsidRPr="00392836">
        <w:rPr>
          <w:lang w:val="en-US" w:eastAsia="en-GB"/>
        </w:rPr>
        <w:t xml:space="preserve">B, this was read against a reagent blank as point 0. </w:t>
      </w:r>
    </w:p>
    <w:p w:rsidR="00430D62" w:rsidRPr="00392836" w:rsidRDefault="00961912" w:rsidP="00DC2382">
      <w:pPr>
        <w:ind w:left="720"/>
        <w:rPr>
          <w:lang w:val="en-US" w:eastAsia="en-GB"/>
        </w:rPr>
      </w:pPr>
      <w:r>
        <w:rPr>
          <w:lang w:val="en-US" w:eastAsia="en-GB"/>
        </w:rPr>
        <w:t>10 µl of 0.025 IU of heparina</w:t>
      </w:r>
      <w:r w:rsidR="00430D62" w:rsidRPr="00392836">
        <w:rPr>
          <w:lang w:val="en-US" w:eastAsia="en-GB"/>
        </w:rPr>
        <w:t>se II was added to 1 m</w:t>
      </w:r>
      <w:r w:rsidR="00430D62" w:rsidRPr="00392836">
        <w:rPr>
          <w:rFonts w:eastAsia="Times New Roman"/>
          <w:lang w:val="en-US" w:eastAsia="en-GB"/>
        </w:rPr>
        <w:t>l</w:t>
      </w:r>
      <w:r w:rsidR="00430D62" w:rsidRPr="00392836">
        <w:rPr>
          <w:lang w:val="en-US" w:eastAsia="en-GB"/>
        </w:rPr>
        <w:t xml:space="preserve"> of 25 </w:t>
      </w:r>
      <w:r w:rsidR="00430D62" w:rsidRPr="00392836">
        <w:rPr>
          <w:rFonts w:eastAsia="Times New Roman"/>
          <w:lang w:val="en-US" w:eastAsia="en-GB"/>
        </w:rPr>
        <w:t>µg/ml</w:t>
      </w:r>
      <w:r w:rsidR="00430D62" w:rsidRPr="00392836">
        <w:rPr>
          <w:lang w:val="en-US" w:eastAsia="en-GB"/>
        </w:rPr>
        <w:t xml:space="preserve"> of heparan sulphate, aliquots</w:t>
      </w:r>
      <w:r w:rsidR="00AD21F2">
        <w:rPr>
          <w:lang w:val="en-US" w:eastAsia="en-GB"/>
        </w:rPr>
        <w:t xml:space="preserve"> of 20</w:t>
      </w:r>
      <w:r w:rsidR="00430D62" w:rsidRPr="00392836">
        <w:rPr>
          <w:lang w:val="en-US" w:eastAsia="en-GB"/>
        </w:rPr>
        <w:t>0 µl was taken at interval</w:t>
      </w:r>
      <w:r w:rsidR="00AE48BC">
        <w:rPr>
          <w:lang w:val="en-US" w:eastAsia="en-GB"/>
        </w:rPr>
        <w:t xml:space="preserve"> of 5, 10, 20, 30, and 60 mins </w:t>
      </w:r>
      <w:r w:rsidR="00430D62" w:rsidRPr="00392836">
        <w:rPr>
          <w:lang w:val="en-US" w:eastAsia="en-GB"/>
        </w:rPr>
        <w:t>and added to 2</w:t>
      </w:r>
      <w:r w:rsidR="002F44A1">
        <w:rPr>
          <w:lang w:val="en-US" w:eastAsia="en-GB"/>
        </w:rPr>
        <w:t xml:space="preserve"> ml</w:t>
      </w:r>
      <w:r w:rsidR="00430D62" w:rsidRPr="00392836">
        <w:rPr>
          <w:lang w:val="en-US" w:eastAsia="en-GB"/>
        </w:rPr>
        <w:t xml:space="preserve"> of DM</w:t>
      </w:r>
      <w:r>
        <w:rPr>
          <w:lang w:val="en-US" w:eastAsia="en-GB"/>
        </w:rPr>
        <w:t>M</w:t>
      </w:r>
      <w:r w:rsidR="00430D62" w:rsidRPr="00392836">
        <w:rPr>
          <w:lang w:val="en-US" w:eastAsia="en-GB"/>
        </w:rPr>
        <w:t>B and absorbance was read at A</w:t>
      </w:r>
      <w:r w:rsidR="00430D62" w:rsidRPr="00392836">
        <w:rPr>
          <w:vertAlign w:val="subscript"/>
          <w:lang w:val="en-US" w:eastAsia="en-GB"/>
        </w:rPr>
        <w:t>525</w:t>
      </w:r>
      <w:r w:rsidR="00430D62" w:rsidRPr="00392836">
        <w:rPr>
          <w:lang w:val="en-US" w:eastAsia="en-GB"/>
        </w:rPr>
        <w:t xml:space="preserve">.  </w:t>
      </w:r>
    </w:p>
    <w:p w:rsidR="00430D62" w:rsidRPr="00392836" w:rsidRDefault="00430D62" w:rsidP="00DC2382">
      <w:pPr>
        <w:pStyle w:val="Heading4"/>
        <w:ind w:firstLine="720"/>
        <w:rPr>
          <w:rFonts w:eastAsia="Times New Roman"/>
          <w:lang w:val="en-US" w:eastAsia="en-GB"/>
        </w:rPr>
      </w:pPr>
      <w:bookmarkStart w:id="196" w:name="_Toc484448844"/>
      <w:bookmarkStart w:id="197" w:name="_Toc506232352"/>
      <w:r w:rsidRPr="00392836">
        <w:rPr>
          <w:rFonts w:eastAsia="Times New Roman"/>
          <w:lang w:val="en-US" w:eastAsia="en-GB"/>
        </w:rPr>
        <w:lastRenderedPageBreak/>
        <w:t>2.</w:t>
      </w:r>
      <w:r>
        <w:rPr>
          <w:rFonts w:eastAsia="Times New Roman"/>
          <w:lang w:val="en-US" w:eastAsia="en-GB"/>
        </w:rPr>
        <w:t>5</w:t>
      </w:r>
      <w:r w:rsidRPr="00392836">
        <w:rPr>
          <w:rFonts w:eastAsia="Times New Roman"/>
          <w:lang w:val="en-US" w:eastAsia="en-GB"/>
        </w:rPr>
        <w:t>.7 To determine the activity of heparinase III</w:t>
      </w:r>
      <w:bookmarkEnd w:id="196"/>
      <w:r w:rsidR="007C5887">
        <w:rPr>
          <w:rFonts w:eastAsia="Times New Roman"/>
          <w:lang w:val="en-US" w:eastAsia="en-GB"/>
        </w:rPr>
        <w:t>.</w:t>
      </w:r>
      <w:bookmarkEnd w:id="197"/>
    </w:p>
    <w:p w:rsidR="00430D62" w:rsidRPr="00392836" w:rsidRDefault="00430D62" w:rsidP="00DC2382">
      <w:pPr>
        <w:ind w:left="720"/>
        <w:rPr>
          <w:lang w:val="en-US" w:eastAsia="en-GB"/>
        </w:rPr>
      </w:pPr>
      <w:r w:rsidRPr="00392836">
        <w:rPr>
          <w:lang w:val="en-US" w:eastAsia="en-GB"/>
        </w:rPr>
        <w:t>200</w:t>
      </w:r>
      <w:r w:rsidRPr="00392836">
        <w:rPr>
          <w:rFonts w:eastAsia="Times New Roman"/>
          <w:lang w:val="en-US" w:eastAsia="en-GB"/>
        </w:rPr>
        <w:t xml:space="preserve"> µl</w:t>
      </w:r>
      <w:r w:rsidRPr="00392836">
        <w:rPr>
          <w:lang w:val="en-US" w:eastAsia="en-GB"/>
        </w:rPr>
        <w:t xml:space="preserve"> of 25 </w:t>
      </w:r>
      <w:r w:rsidRPr="00392836">
        <w:rPr>
          <w:rFonts w:eastAsia="Times New Roman"/>
          <w:lang w:val="en-US" w:eastAsia="en-GB"/>
        </w:rPr>
        <w:t>µg/ml</w:t>
      </w:r>
      <w:r w:rsidRPr="00392836">
        <w:rPr>
          <w:lang w:val="en-US" w:eastAsia="en-GB"/>
        </w:rPr>
        <w:t xml:space="preserve"> of heparan sulphate was </w:t>
      </w:r>
      <w:r w:rsidR="002F44A1">
        <w:rPr>
          <w:lang w:val="en-US" w:eastAsia="en-GB"/>
        </w:rPr>
        <w:t>added to 2 ml</w:t>
      </w:r>
      <w:r w:rsidRPr="00392836">
        <w:rPr>
          <w:lang w:val="en-US" w:eastAsia="en-GB"/>
        </w:rPr>
        <w:t xml:space="preserve"> of DM</w:t>
      </w:r>
      <w:r w:rsidR="0086439C">
        <w:rPr>
          <w:lang w:val="en-US" w:eastAsia="en-GB"/>
        </w:rPr>
        <w:t>M</w:t>
      </w:r>
      <w:r w:rsidR="003C6087">
        <w:rPr>
          <w:lang w:val="en-US" w:eastAsia="en-GB"/>
        </w:rPr>
        <w:t xml:space="preserve">B, and </w:t>
      </w:r>
      <w:r w:rsidRPr="00392836">
        <w:rPr>
          <w:lang w:val="en-US" w:eastAsia="en-GB"/>
        </w:rPr>
        <w:t xml:space="preserve">read against a reagent blank as point 0. </w:t>
      </w:r>
    </w:p>
    <w:p w:rsidR="00430D62" w:rsidRPr="00392836" w:rsidRDefault="00961912" w:rsidP="00DC2382">
      <w:pPr>
        <w:ind w:left="720"/>
        <w:rPr>
          <w:lang w:val="en-US" w:eastAsia="en-GB"/>
        </w:rPr>
      </w:pPr>
      <w:r>
        <w:rPr>
          <w:lang w:val="en-US" w:eastAsia="en-GB"/>
        </w:rPr>
        <w:t>10 µl of 0.025 IU of heparina</w:t>
      </w:r>
      <w:r w:rsidR="00430D62" w:rsidRPr="00392836">
        <w:rPr>
          <w:lang w:val="en-US" w:eastAsia="en-GB"/>
        </w:rPr>
        <w:t>se III was added to 1</w:t>
      </w:r>
      <w:r w:rsidR="00430D62" w:rsidRPr="00392836">
        <w:rPr>
          <w:rFonts w:eastAsia="Times New Roman"/>
          <w:lang w:val="en-US" w:eastAsia="en-GB"/>
        </w:rPr>
        <w:t xml:space="preserve"> ml</w:t>
      </w:r>
      <w:r w:rsidR="00430D62" w:rsidRPr="00392836">
        <w:rPr>
          <w:lang w:val="en-US" w:eastAsia="en-GB"/>
        </w:rPr>
        <w:t xml:space="preserve"> of 25 </w:t>
      </w:r>
      <w:r w:rsidR="00430D62" w:rsidRPr="00392836">
        <w:rPr>
          <w:rFonts w:eastAsia="Times New Roman"/>
          <w:lang w:val="en-US" w:eastAsia="en-GB"/>
        </w:rPr>
        <w:t>µg/ml</w:t>
      </w:r>
      <w:r>
        <w:rPr>
          <w:lang w:val="en-US" w:eastAsia="en-GB"/>
        </w:rPr>
        <w:t xml:space="preserve"> of heparan </w:t>
      </w:r>
      <w:r w:rsidR="00DC2382">
        <w:rPr>
          <w:lang w:val="en-US" w:eastAsia="en-GB"/>
        </w:rPr>
        <w:t>s</w:t>
      </w:r>
      <w:r w:rsidR="00430D62" w:rsidRPr="00392836">
        <w:rPr>
          <w:lang w:val="en-US" w:eastAsia="en-GB"/>
        </w:rPr>
        <w:t>ulphate, aliquots of 200 µl was taken at interval</w:t>
      </w:r>
      <w:r w:rsidR="00AE48BC">
        <w:rPr>
          <w:lang w:val="en-US" w:eastAsia="en-GB"/>
        </w:rPr>
        <w:t xml:space="preserve"> of 5, 10, 20, 30, and 60 mins </w:t>
      </w:r>
      <w:r w:rsidR="00957B9D">
        <w:rPr>
          <w:lang w:val="en-US" w:eastAsia="en-GB"/>
        </w:rPr>
        <w:t>and added to 2 ml</w:t>
      </w:r>
      <w:r w:rsidR="00430D62" w:rsidRPr="00392836">
        <w:rPr>
          <w:lang w:val="en-US" w:eastAsia="en-GB"/>
        </w:rPr>
        <w:t xml:space="preserve"> of DM</w:t>
      </w:r>
      <w:r w:rsidR="00AE48BC">
        <w:rPr>
          <w:lang w:val="en-US" w:eastAsia="en-GB"/>
        </w:rPr>
        <w:t>M</w:t>
      </w:r>
      <w:r w:rsidR="00430D62" w:rsidRPr="00392836">
        <w:rPr>
          <w:lang w:val="en-US" w:eastAsia="en-GB"/>
        </w:rPr>
        <w:t>B and absorbance was read at A</w:t>
      </w:r>
      <w:r w:rsidR="00430D62" w:rsidRPr="00392836">
        <w:rPr>
          <w:vertAlign w:val="subscript"/>
          <w:lang w:val="en-US" w:eastAsia="en-GB"/>
        </w:rPr>
        <w:t>525</w:t>
      </w:r>
      <w:r w:rsidR="00430D62" w:rsidRPr="00392836">
        <w:rPr>
          <w:lang w:val="en-US" w:eastAsia="en-GB"/>
        </w:rPr>
        <w:t xml:space="preserve">.  </w:t>
      </w:r>
    </w:p>
    <w:p w:rsidR="00430D62" w:rsidRPr="00392836" w:rsidRDefault="00430D62" w:rsidP="007C5887">
      <w:pPr>
        <w:pStyle w:val="Heading4"/>
        <w:ind w:left="720"/>
        <w:rPr>
          <w:rFonts w:eastAsia="Times New Roman"/>
          <w:lang w:val="en-US" w:eastAsia="en-GB"/>
        </w:rPr>
      </w:pPr>
      <w:bookmarkStart w:id="198" w:name="_Toc484448845"/>
      <w:bookmarkStart w:id="199" w:name="_Toc506232353"/>
      <w:r w:rsidRPr="00392836">
        <w:rPr>
          <w:rFonts w:eastAsia="Times New Roman"/>
          <w:lang w:val="en-US" w:eastAsia="en-GB"/>
        </w:rPr>
        <w:t>2.</w:t>
      </w:r>
      <w:r>
        <w:rPr>
          <w:rFonts w:eastAsia="Times New Roman"/>
          <w:lang w:val="en-US" w:eastAsia="en-GB"/>
        </w:rPr>
        <w:t>5</w:t>
      </w:r>
      <w:r w:rsidRPr="00392836">
        <w:rPr>
          <w:rFonts w:eastAsia="Times New Roman"/>
          <w:lang w:val="en-US" w:eastAsia="en-GB"/>
        </w:rPr>
        <w:t xml:space="preserve">.8 To determine </w:t>
      </w:r>
      <w:r w:rsidR="00AE48BC">
        <w:rPr>
          <w:rFonts w:eastAsia="Times New Roman"/>
          <w:lang w:val="en-US" w:eastAsia="en-GB"/>
        </w:rPr>
        <w:t xml:space="preserve">the effect of </w:t>
      </w:r>
      <w:r w:rsidRPr="00392836">
        <w:rPr>
          <w:rFonts w:eastAsia="Times New Roman"/>
          <w:lang w:val="en-US" w:eastAsia="en-GB"/>
        </w:rPr>
        <w:t>heparinase II activity on urine sample</w:t>
      </w:r>
      <w:bookmarkEnd w:id="198"/>
      <w:r w:rsidR="007C5887">
        <w:rPr>
          <w:rFonts w:eastAsia="Times New Roman"/>
          <w:lang w:val="en-US" w:eastAsia="en-GB"/>
        </w:rPr>
        <w:t>.</w:t>
      </w:r>
      <w:bookmarkEnd w:id="199"/>
    </w:p>
    <w:p w:rsidR="00957B9D" w:rsidRDefault="00430D62" w:rsidP="007C5887">
      <w:pPr>
        <w:ind w:left="720"/>
        <w:rPr>
          <w:lang w:val="en-US" w:eastAsia="en-GB"/>
        </w:rPr>
      </w:pPr>
      <w:r w:rsidRPr="00392836">
        <w:rPr>
          <w:lang w:val="en-US" w:eastAsia="en-GB"/>
        </w:rPr>
        <w:t xml:space="preserve">Four universal tubes were labelled A-D and 1 ml of corresponding sample with 10 µl of </w:t>
      </w:r>
      <w:r w:rsidR="0061142D">
        <w:rPr>
          <w:lang w:val="en-US" w:eastAsia="en-GB"/>
        </w:rPr>
        <w:t xml:space="preserve">0.025 UI of </w:t>
      </w:r>
      <w:r w:rsidRPr="00392836">
        <w:rPr>
          <w:lang w:val="en-US" w:eastAsia="en-GB"/>
        </w:rPr>
        <w:t>heparinase II was added as shown in Table 2.8. 200 µl of urine samples fr</w:t>
      </w:r>
      <w:r w:rsidR="00957B9D">
        <w:rPr>
          <w:lang w:val="en-US" w:eastAsia="en-GB"/>
        </w:rPr>
        <w:t>om tubes A-D were added to 2 ml</w:t>
      </w:r>
      <w:r w:rsidRPr="00392836">
        <w:rPr>
          <w:lang w:val="en-US" w:eastAsia="en-GB"/>
        </w:rPr>
        <w:t xml:space="preserve"> of DM</w:t>
      </w:r>
      <w:r w:rsidR="00AE48BC">
        <w:rPr>
          <w:lang w:val="en-US" w:eastAsia="en-GB"/>
        </w:rPr>
        <w:t>M</w:t>
      </w:r>
      <w:r w:rsidRPr="00392836">
        <w:rPr>
          <w:lang w:val="en-US" w:eastAsia="en-GB"/>
        </w:rPr>
        <w:t>B at timed intervals and absorbance was read against a reagent blank as point 0.</w:t>
      </w:r>
    </w:p>
    <w:p w:rsidR="00957B9D" w:rsidRDefault="00957B9D">
      <w:pPr>
        <w:spacing w:after="160" w:line="259" w:lineRule="auto"/>
        <w:jc w:val="left"/>
        <w:rPr>
          <w:lang w:val="en-US" w:eastAsia="en-GB"/>
        </w:rPr>
      </w:pPr>
      <w:r>
        <w:rPr>
          <w:lang w:val="en-US" w:eastAsia="en-GB"/>
        </w:rPr>
        <w:br w:type="page"/>
      </w:r>
    </w:p>
    <w:p w:rsidR="00DA3299" w:rsidRPr="00392836" w:rsidRDefault="00DA3299" w:rsidP="007C5887">
      <w:pPr>
        <w:ind w:left="720"/>
        <w:rPr>
          <w:lang w:val="en-US" w:eastAsia="en-GB"/>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2650"/>
        <w:gridCol w:w="2655"/>
      </w:tblGrid>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Tubes</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Samples </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Heparinase II</w:t>
            </w: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A</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1</w:t>
            </w:r>
            <w:r w:rsidR="00AE48BC" w:rsidRPr="0061142D">
              <w:rPr>
                <w:rFonts w:eastAsia="Calibri" w:cs="Arial"/>
                <w:lang w:val="en-US" w:eastAsia="en-GB"/>
              </w:rPr>
              <w:t xml:space="preserve"> ml of urine sample from prophylaxis group</w:t>
            </w:r>
          </w:p>
        </w:tc>
        <w:tc>
          <w:tcPr>
            <w:tcW w:w="2941" w:type="dxa"/>
            <w:shd w:val="clear" w:color="auto" w:fill="auto"/>
          </w:tcPr>
          <w:p w:rsidR="00430D62" w:rsidRPr="0061142D" w:rsidRDefault="00430D62" w:rsidP="007D497A">
            <w:pPr>
              <w:ind w:left="720"/>
              <w:rPr>
                <w:rFonts w:eastAsia="Calibri" w:cs="Arial"/>
                <w:lang w:val="en-US" w:eastAsia="en-GB"/>
              </w:rPr>
            </w:pP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B</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1 ml of urine sample from disease group </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10 µl of 0.025 IU </w:t>
            </w: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C</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1 ml of urine sample from prophylaxis group</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10 µl of 0.025 IU</w:t>
            </w: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D</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1 ml of urine sample from treatment group </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10 µl of 0.025 IU</w:t>
            </w:r>
          </w:p>
        </w:tc>
      </w:tr>
    </w:tbl>
    <w:p w:rsidR="007C5887" w:rsidRDefault="007C5887" w:rsidP="007C5887">
      <w:pPr>
        <w:pStyle w:val="LegText"/>
        <w:ind w:left="720"/>
        <w:rPr>
          <w:rStyle w:val="SubtitleChar"/>
        </w:rPr>
      </w:pPr>
    </w:p>
    <w:p w:rsidR="00430D62" w:rsidRPr="001E2FD6" w:rsidRDefault="00430D62" w:rsidP="001E2FD6">
      <w:pPr>
        <w:pStyle w:val="Table"/>
        <w:ind w:left="720"/>
        <w:rPr>
          <w:b w:val="0"/>
          <w:i w:val="0"/>
          <w:vertAlign w:val="subscript"/>
          <w:lang w:val="en-US"/>
        </w:rPr>
      </w:pPr>
      <w:bookmarkStart w:id="200" w:name="_Toc494731236"/>
      <w:bookmarkStart w:id="201" w:name="_Toc494732971"/>
      <w:bookmarkStart w:id="202" w:name="_Toc504638850"/>
      <w:bookmarkStart w:id="203" w:name="_Toc504640581"/>
      <w:r w:rsidRPr="009F47DE">
        <w:rPr>
          <w:rStyle w:val="SubtitleChar"/>
        </w:rPr>
        <w:t xml:space="preserve">Table 2.8 </w:t>
      </w:r>
      <w:r w:rsidR="0061142D">
        <w:rPr>
          <w:rStyle w:val="SubtitleChar"/>
        </w:rPr>
        <w:t>Composition in tubes investigating h</w:t>
      </w:r>
      <w:r w:rsidRPr="009F47DE">
        <w:rPr>
          <w:rStyle w:val="SubtitleChar"/>
        </w:rPr>
        <w:t xml:space="preserve">eparinase </w:t>
      </w:r>
      <w:bookmarkStart w:id="204" w:name="OLE_LINK2"/>
      <w:r w:rsidR="009F47DE" w:rsidRPr="009F47DE">
        <w:rPr>
          <w:rStyle w:val="SubtitleChar"/>
        </w:rPr>
        <w:t>II activity on rat urine sample.</w:t>
      </w:r>
      <w:bookmarkEnd w:id="200"/>
      <w:bookmarkEnd w:id="201"/>
      <w:bookmarkEnd w:id="202"/>
      <w:bookmarkEnd w:id="203"/>
      <w:r w:rsidR="009F47DE">
        <w:rPr>
          <w:lang w:val="en-US"/>
        </w:rPr>
        <w:t xml:space="preserve"> </w:t>
      </w:r>
      <w:r w:rsidRPr="001E2FD6">
        <w:rPr>
          <w:b w:val="0"/>
          <w:i w:val="0"/>
          <w:lang w:val="en-US"/>
        </w:rPr>
        <w:t xml:space="preserve">The table shows the composition of each tubes. Tube A was the control, while tubes B-D were the test tubes. The experiment was started at the same time with the addition of 10 µl of 0.025 IU of heparinase II into tubes B-D. 200 µl was taken from each tube at 0, 10, 30, 60, and 120 </w:t>
      </w:r>
      <w:r w:rsidR="00EF433F" w:rsidRPr="001E2FD6">
        <w:rPr>
          <w:b w:val="0"/>
          <w:i w:val="0"/>
          <w:lang w:val="en-US"/>
        </w:rPr>
        <w:t>mins and this was added to 2 ml</w:t>
      </w:r>
      <w:r w:rsidRPr="001E2FD6">
        <w:rPr>
          <w:b w:val="0"/>
          <w:i w:val="0"/>
          <w:lang w:val="en-US"/>
        </w:rPr>
        <w:t xml:space="preserve"> of DMMB and the absorbance was read at A</w:t>
      </w:r>
      <w:r w:rsidRPr="001E2FD6">
        <w:rPr>
          <w:b w:val="0"/>
          <w:i w:val="0"/>
          <w:vertAlign w:val="subscript"/>
          <w:lang w:val="en-US"/>
        </w:rPr>
        <w:t xml:space="preserve">525. </w:t>
      </w:r>
    </w:p>
    <w:p w:rsidR="009F47DE" w:rsidRPr="00392836" w:rsidRDefault="009F47DE" w:rsidP="009F47DE">
      <w:pPr>
        <w:pStyle w:val="LegText"/>
        <w:rPr>
          <w:lang w:val="en-US" w:eastAsia="en-US"/>
        </w:rPr>
      </w:pPr>
    </w:p>
    <w:p w:rsidR="00430D62" w:rsidRPr="00CB533E" w:rsidRDefault="00430D62" w:rsidP="009F47DE">
      <w:pPr>
        <w:pStyle w:val="Heading4"/>
        <w:ind w:firstLine="720"/>
      </w:pPr>
      <w:bookmarkStart w:id="205" w:name="_Toc484448846"/>
      <w:bookmarkStart w:id="206" w:name="_Toc506232354"/>
      <w:bookmarkEnd w:id="204"/>
      <w:r w:rsidRPr="00CB533E">
        <w:t>2.</w:t>
      </w:r>
      <w:r>
        <w:t>5</w:t>
      </w:r>
      <w:r w:rsidRPr="00CB533E">
        <w:t>.9 To determine heparinase III activity on urine sample</w:t>
      </w:r>
      <w:bookmarkEnd w:id="205"/>
      <w:bookmarkEnd w:id="206"/>
    </w:p>
    <w:p w:rsidR="009F47DE" w:rsidRDefault="00430D62" w:rsidP="000C2844">
      <w:pPr>
        <w:ind w:left="720"/>
        <w:rPr>
          <w:lang w:val="en-US" w:eastAsia="en-GB"/>
        </w:rPr>
      </w:pPr>
      <w:r w:rsidRPr="00392836">
        <w:rPr>
          <w:lang w:val="en-US" w:eastAsia="en-GB"/>
        </w:rPr>
        <w:t xml:space="preserve">200 µl of urine samples from </w:t>
      </w:r>
      <w:r w:rsidR="0061142D">
        <w:rPr>
          <w:lang w:val="en-US" w:eastAsia="en-GB"/>
        </w:rPr>
        <w:t xml:space="preserve">the </w:t>
      </w:r>
      <w:r w:rsidRPr="00392836">
        <w:rPr>
          <w:lang w:val="en-US" w:eastAsia="en-GB"/>
        </w:rPr>
        <w:t xml:space="preserve">prophylaxis group of rats with diabetic nephropathy was added to </w:t>
      </w:r>
      <w:r w:rsidR="00EF433F">
        <w:rPr>
          <w:lang w:val="en-US" w:eastAsia="en-GB"/>
        </w:rPr>
        <w:t>2 ml</w:t>
      </w:r>
      <w:r w:rsidRPr="00392836">
        <w:rPr>
          <w:lang w:val="en-US" w:eastAsia="en-GB"/>
        </w:rPr>
        <w:t xml:space="preserve"> of DMB and absorbance read against a reagent blank as point 0. 10 µl of 0.025 IU of heparinase III was added to 1 ml of urine from prophylaxis group as shown in Table 2.9 and 200 </w:t>
      </w:r>
      <w:r w:rsidRPr="00392836">
        <w:rPr>
          <w:lang w:val="en-US" w:eastAsia="en-GB"/>
        </w:rPr>
        <w:lastRenderedPageBreak/>
        <w:t>µl was taken at ti</w:t>
      </w:r>
      <w:r w:rsidR="00EF433F">
        <w:rPr>
          <w:lang w:val="en-US" w:eastAsia="en-GB"/>
        </w:rPr>
        <w:t>med intervals and added to 2 ml</w:t>
      </w:r>
      <w:r w:rsidRPr="00392836">
        <w:rPr>
          <w:lang w:val="en-US" w:eastAsia="en-GB"/>
        </w:rPr>
        <w:t xml:space="preserve"> of DMMB and the absorbance was read at A</w:t>
      </w:r>
      <w:r w:rsidRPr="00392836">
        <w:rPr>
          <w:vertAlign w:val="subscript"/>
          <w:lang w:val="en-US" w:eastAsia="en-GB"/>
        </w:rPr>
        <w:t>525</w:t>
      </w:r>
      <w:r w:rsidRPr="00392836">
        <w:rPr>
          <w:lang w:val="en-US" w:eastAsia="en-GB"/>
        </w:rPr>
        <w:t xml:space="preserve">. </w:t>
      </w:r>
    </w:p>
    <w:p w:rsidR="000C2844" w:rsidRPr="00392836" w:rsidRDefault="000C2844" w:rsidP="000C2844">
      <w:pPr>
        <w:ind w:left="720"/>
        <w:rPr>
          <w:lang w:val="en-US" w:eastAsia="en-GB"/>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2650"/>
        <w:gridCol w:w="2655"/>
      </w:tblGrid>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Tubes</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Samples </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Heparinase III</w:t>
            </w: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A</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1 ml of urine sample from </w:t>
            </w:r>
            <w:r w:rsidR="0061142D" w:rsidRPr="0061142D">
              <w:rPr>
                <w:rFonts w:eastAsia="Calibri" w:cs="Arial"/>
                <w:lang w:val="en-US" w:eastAsia="en-GB"/>
              </w:rPr>
              <w:t>prophylaxis group</w:t>
            </w:r>
          </w:p>
        </w:tc>
        <w:tc>
          <w:tcPr>
            <w:tcW w:w="2941" w:type="dxa"/>
            <w:shd w:val="clear" w:color="auto" w:fill="auto"/>
          </w:tcPr>
          <w:p w:rsidR="00430D62" w:rsidRPr="0061142D" w:rsidRDefault="00430D62" w:rsidP="007D497A">
            <w:pPr>
              <w:ind w:left="720"/>
              <w:rPr>
                <w:rFonts w:eastAsia="Calibri" w:cs="Arial"/>
                <w:lang w:val="en-US" w:eastAsia="en-GB"/>
              </w:rPr>
            </w:pPr>
          </w:p>
        </w:tc>
      </w:tr>
      <w:tr w:rsidR="00430D62" w:rsidRPr="00392836" w:rsidTr="007D497A">
        <w:tc>
          <w:tcPr>
            <w:tcW w:w="2288"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B</w:t>
            </w:r>
          </w:p>
        </w:tc>
        <w:tc>
          <w:tcPr>
            <w:tcW w:w="2941" w:type="dxa"/>
            <w:shd w:val="clear" w:color="auto" w:fill="auto"/>
          </w:tcPr>
          <w:p w:rsidR="00430D62" w:rsidRPr="0061142D" w:rsidRDefault="00430D62" w:rsidP="0061142D">
            <w:pPr>
              <w:ind w:left="720"/>
              <w:rPr>
                <w:rFonts w:eastAsia="Calibri" w:cs="Arial"/>
                <w:lang w:val="en-US" w:eastAsia="en-GB"/>
              </w:rPr>
            </w:pPr>
            <w:r w:rsidRPr="0061142D">
              <w:rPr>
                <w:rFonts w:eastAsia="Calibri" w:cs="Arial"/>
                <w:lang w:val="en-US" w:eastAsia="en-GB"/>
              </w:rPr>
              <w:t xml:space="preserve">1 ml of urine sample from </w:t>
            </w:r>
            <w:r w:rsidR="0061142D" w:rsidRPr="0061142D">
              <w:rPr>
                <w:rFonts w:eastAsia="Calibri" w:cs="Arial"/>
                <w:lang w:val="en-US" w:eastAsia="en-GB"/>
              </w:rPr>
              <w:t>prophylaxis group</w:t>
            </w:r>
          </w:p>
        </w:tc>
        <w:tc>
          <w:tcPr>
            <w:tcW w:w="2941" w:type="dxa"/>
            <w:shd w:val="clear" w:color="auto" w:fill="auto"/>
          </w:tcPr>
          <w:p w:rsidR="00430D62" w:rsidRPr="0061142D" w:rsidRDefault="00430D62" w:rsidP="007D497A">
            <w:pPr>
              <w:ind w:left="720"/>
              <w:rPr>
                <w:rFonts w:eastAsia="Calibri" w:cs="Arial"/>
                <w:lang w:val="en-US" w:eastAsia="en-GB"/>
              </w:rPr>
            </w:pPr>
            <w:r w:rsidRPr="0061142D">
              <w:rPr>
                <w:rFonts w:eastAsia="Calibri" w:cs="Arial"/>
                <w:lang w:val="en-US" w:eastAsia="en-GB"/>
              </w:rPr>
              <w:t xml:space="preserve">10 µl of 0.025 IU </w:t>
            </w:r>
          </w:p>
        </w:tc>
      </w:tr>
    </w:tbl>
    <w:p w:rsidR="00430D62" w:rsidRPr="00392836" w:rsidRDefault="00430D62" w:rsidP="00430D62">
      <w:pPr>
        <w:ind w:left="720"/>
        <w:rPr>
          <w:rFonts w:ascii="Times New Roman" w:eastAsia="Calibri" w:hAnsi="Times New Roman"/>
          <w:lang w:val="en-US" w:eastAsia="en-GB"/>
        </w:rPr>
      </w:pPr>
    </w:p>
    <w:p w:rsidR="0029197D" w:rsidRPr="001E2FD6" w:rsidRDefault="001E2FD6" w:rsidP="001E2FD6">
      <w:pPr>
        <w:pStyle w:val="Table"/>
        <w:ind w:left="720"/>
        <w:rPr>
          <w:b w:val="0"/>
          <w:i w:val="0"/>
          <w:vertAlign w:val="subscript"/>
          <w:lang w:val="en-US"/>
        </w:rPr>
      </w:pPr>
      <w:bookmarkStart w:id="207" w:name="_Toc494731237"/>
      <w:bookmarkStart w:id="208" w:name="_Toc494732972"/>
      <w:r>
        <w:rPr>
          <w:rStyle w:val="SubtitleChar"/>
          <w:lang w:val="en-GB"/>
        </w:rPr>
        <w:tab/>
        <w:t xml:space="preserve"> </w:t>
      </w:r>
      <w:bookmarkStart w:id="209" w:name="_Toc504638851"/>
      <w:bookmarkStart w:id="210" w:name="_Toc504640582"/>
      <w:r w:rsidR="00430D62" w:rsidRPr="009F47DE">
        <w:rPr>
          <w:rStyle w:val="SubtitleChar"/>
        </w:rPr>
        <w:t>Table 2.9 Heparinase III activi</w:t>
      </w:r>
      <w:r w:rsidR="009F47DE" w:rsidRPr="009F47DE">
        <w:rPr>
          <w:rStyle w:val="SubtitleChar"/>
        </w:rPr>
        <w:t xml:space="preserve">ty on urine sample from </w:t>
      </w:r>
      <w:r w:rsidR="0061142D">
        <w:rPr>
          <w:rStyle w:val="SubtitleChar"/>
        </w:rPr>
        <w:t xml:space="preserve">the </w:t>
      </w:r>
      <w:r w:rsidR="009F47DE" w:rsidRPr="009F47DE">
        <w:rPr>
          <w:rStyle w:val="SubtitleChar"/>
        </w:rPr>
        <w:t>prophylaxis group.</w:t>
      </w:r>
      <w:bookmarkEnd w:id="207"/>
      <w:bookmarkEnd w:id="208"/>
      <w:bookmarkEnd w:id="209"/>
      <w:bookmarkEnd w:id="210"/>
      <w:r w:rsidR="009F47DE">
        <w:rPr>
          <w:lang w:val="en-US"/>
        </w:rPr>
        <w:t xml:space="preserve"> </w:t>
      </w:r>
      <w:r w:rsidR="00430D62" w:rsidRPr="001E2FD6">
        <w:rPr>
          <w:b w:val="0"/>
          <w:i w:val="0"/>
          <w:lang w:val="en-US"/>
        </w:rPr>
        <w:t>The table shows the composition of tubes A and B. Tube A was the control, while tube B had</w:t>
      </w:r>
      <w:r w:rsidR="0061142D" w:rsidRPr="001E2FD6">
        <w:rPr>
          <w:b w:val="0"/>
          <w:i w:val="0"/>
          <w:lang w:val="en-US"/>
        </w:rPr>
        <w:t xml:space="preserve"> a urine sample from the prophylaxis </w:t>
      </w:r>
      <w:r w:rsidR="00430D62" w:rsidRPr="001E2FD6">
        <w:rPr>
          <w:b w:val="0"/>
          <w:i w:val="0"/>
          <w:lang w:val="en-US"/>
        </w:rPr>
        <w:t xml:space="preserve">group. The experiment was started at the same time with the addition of 10 µl of 0.025 IU of heparinase III into tube B. 200 µl was taken from each tube at 0, 30, 60, 90, and 120 </w:t>
      </w:r>
      <w:r w:rsidR="00EF433F" w:rsidRPr="001E2FD6">
        <w:rPr>
          <w:b w:val="0"/>
          <w:i w:val="0"/>
          <w:lang w:val="en-US"/>
        </w:rPr>
        <w:t>mins and this was added to 2 ml</w:t>
      </w:r>
      <w:r w:rsidR="00430D62" w:rsidRPr="001E2FD6">
        <w:rPr>
          <w:b w:val="0"/>
          <w:i w:val="0"/>
          <w:lang w:val="en-US"/>
        </w:rPr>
        <w:t xml:space="preserve"> of DMMB and the absorbance was read at A</w:t>
      </w:r>
      <w:r w:rsidR="00430D62" w:rsidRPr="001E2FD6">
        <w:rPr>
          <w:b w:val="0"/>
          <w:i w:val="0"/>
          <w:vertAlign w:val="subscript"/>
          <w:lang w:val="en-US"/>
        </w:rPr>
        <w:t xml:space="preserve">525. </w:t>
      </w:r>
    </w:p>
    <w:p w:rsidR="0029197D" w:rsidRDefault="0029197D">
      <w:pPr>
        <w:spacing w:after="160" w:line="259" w:lineRule="auto"/>
        <w:jc w:val="left"/>
        <w:rPr>
          <w:rFonts w:eastAsia="Times New Roman"/>
          <w:color w:val="000000"/>
          <w:sz w:val="22"/>
          <w:szCs w:val="22"/>
          <w:vertAlign w:val="subscript"/>
          <w:lang w:val="en-US" w:eastAsia="en-GB"/>
        </w:rPr>
      </w:pPr>
      <w:r>
        <w:rPr>
          <w:vertAlign w:val="subscript"/>
          <w:lang w:val="en-US"/>
        </w:rPr>
        <w:br w:type="page"/>
      </w:r>
    </w:p>
    <w:p w:rsidR="00430D62" w:rsidRPr="00392836" w:rsidRDefault="00430D62" w:rsidP="0029197D">
      <w:pPr>
        <w:pStyle w:val="Heading3"/>
        <w:ind w:firstLine="720"/>
      </w:pPr>
      <w:bookmarkStart w:id="211" w:name="_Toc484448847"/>
      <w:bookmarkStart w:id="212" w:name="_Toc506232355"/>
      <w:r w:rsidRPr="00392836">
        <w:lastRenderedPageBreak/>
        <w:t>2.</w:t>
      </w:r>
      <w:r>
        <w:t>6</w:t>
      </w:r>
      <w:r w:rsidRPr="00392836">
        <w:t xml:space="preserve"> Renal Histology</w:t>
      </w:r>
      <w:bookmarkEnd w:id="211"/>
      <w:bookmarkEnd w:id="212"/>
    </w:p>
    <w:p w:rsidR="00430D62" w:rsidRPr="00392836" w:rsidRDefault="00430D62" w:rsidP="009F47DE">
      <w:pPr>
        <w:pStyle w:val="Heading4"/>
        <w:ind w:firstLine="720"/>
        <w:rPr>
          <w:rFonts w:eastAsia="Times New Roman"/>
          <w:lang w:eastAsia="en-GB"/>
        </w:rPr>
      </w:pPr>
      <w:bookmarkStart w:id="213" w:name="_Toc484448848"/>
      <w:bookmarkStart w:id="214" w:name="_Toc506232356"/>
      <w:r w:rsidRPr="00392836">
        <w:rPr>
          <w:rFonts w:eastAsia="Times New Roman"/>
          <w:lang w:eastAsia="en-GB"/>
        </w:rPr>
        <w:t>2.</w:t>
      </w:r>
      <w:r>
        <w:rPr>
          <w:rFonts w:eastAsia="Times New Roman"/>
          <w:lang w:eastAsia="en-GB"/>
        </w:rPr>
        <w:t>6</w:t>
      </w:r>
      <w:r w:rsidRPr="00392836">
        <w:rPr>
          <w:rFonts w:eastAsia="Times New Roman"/>
          <w:lang w:eastAsia="en-GB"/>
        </w:rPr>
        <w:t>.</w:t>
      </w:r>
      <w:r w:rsidR="006D2768">
        <w:rPr>
          <w:rFonts w:eastAsia="Times New Roman"/>
          <w:lang w:eastAsia="en-GB"/>
        </w:rPr>
        <w:t>1 Haemato</w:t>
      </w:r>
      <w:r w:rsidR="00022AAD">
        <w:rPr>
          <w:rFonts w:eastAsia="Times New Roman"/>
          <w:lang w:eastAsia="en-GB"/>
        </w:rPr>
        <w:t>xylin and eosin (H&amp;E) staining p</w:t>
      </w:r>
      <w:r w:rsidRPr="00392836">
        <w:rPr>
          <w:rFonts w:eastAsia="Times New Roman"/>
          <w:lang w:eastAsia="en-GB"/>
        </w:rPr>
        <w:t>rotocol</w:t>
      </w:r>
      <w:bookmarkEnd w:id="213"/>
      <w:bookmarkEnd w:id="214"/>
    </w:p>
    <w:p w:rsidR="0029197D" w:rsidRDefault="00430D62" w:rsidP="009F47DE">
      <w:pPr>
        <w:ind w:left="720"/>
        <w:rPr>
          <w:lang w:val="en-US"/>
        </w:rPr>
      </w:pPr>
      <w:r w:rsidRPr="0029197D">
        <w:rPr>
          <w:b/>
          <w:lang w:val="en-US"/>
        </w:rPr>
        <w:t>Principle:</w:t>
      </w:r>
      <w:r w:rsidRPr="00392836">
        <w:rPr>
          <w:lang w:val="en-US"/>
        </w:rPr>
        <w:t xml:space="preserve"> </w:t>
      </w:r>
    </w:p>
    <w:p w:rsidR="00430D62" w:rsidRPr="00392836" w:rsidRDefault="00430D62" w:rsidP="009F47DE">
      <w:pPr>
        <w:ind w:left="720"/>
        <w:rPr>
          <w:rFonts w:eastAsia="Times New Roman"/>
          <w:bCs/>
          <w:lang w:eastAsia="en-GB"/>
        </w:rPr>
      </w:pPr>
      <w:r w:rsidRPr="00392836">
        <w:rPr>
          <w:lang w:val="en-US"/>
        </w:rPr>
        <w:t xml:space="preserve">The haematoxylin and eosin stain (H&amp;E) is a common stain in histology and histopathology. It is used to demonstrate a broad range of normal cell and tissue components as well as cellular and tissue abnormalities. </w:t>
      </w:r>
    </w:p>
    <w:p w:rsidR="00430D62" w:rsidRPr="00392836" w:rsidRDefault="00430D62" w:rsidP="009F47DE">
      <w:pPr>
        <w:ind w:left="720"/>
        <w:rPr>
          <w:lang w:eastAsia="en-GB"/>
        </w:rPr>
      </w:pPr>
      <w:r w:rsidRPr="00392836">
        <w:rPr>
          <w:lang w:eastAsia="en-GB"/>
        </w:rPr>
        <w:t xml:space="preserve">The process involves the use of haemalum, a complex formed from aluminium ions and haematin (haematin is the oxidative product of haematoxylin) Haematoxylin can be prepared in many ways </w:t>
      </w:r>
      <w:r w:rsidRPr="00392836">
        <w:rPr>
          <w:lang w:eastAsia="en-GB"/>
        </w:rPr>
        <w:fldChar w:fldCharType="begin"/>
      </w:r>
      <w:r w:rsidRPr="00392836">
        <w:rPr>
          <w:lang w:eastAsia="en-GB"/>
        </w:rPr>
        <w:instrText xml:space="preserve"> ADDIN EN.CITE &lt;EndNote&gt;&lt;Cite&gt;&lt;Author&gt;Bancroft&lt;/Author&gt;&lt;Year&gt;2013&lt;/Year&gt;&lt;IDText&gt;The Hematoxylin and eosin&lt;/IDText&gt;&lt;DisplayText&gt;(Bancroft and Layton, 2013)&lt;/DisplayText&gt;&lt;record&gt;&lt;titles&gt;&lt;title&gt;The Hematoxylin and eosin&lt;/title&gt;&lt;secondary-title&gt;Theory &amp;amp; Practice of histological techniques. 7th ed., Churchill Livingstone of El Sevier, Philadelphia&lt;/secondary-title&gt;&lt;/titles&gt;&lt;pages&gt;173-214&lt;/pages&gt;&lt;contributors&gt;&lt;authors&gt;&lt;author&gt;Bancroft, John D&lt;/author&gt;&lt;author&gt;Layton, Christopher&lt;/author&gt;&lt;/authors&gt;&lt;/contributors&gt;&lt;added-date format="utc"&gt;1494886161&lt;/added-date&gt;&lt;ref-type name="Journal Article"&gt;17&lt;/ref-type&gt;&lt;dates&gt;&lt;year&gt;2013&lt;/year&gt;&lt;/dates&gt;&lt;rec-number&gt;1694&lt;/rec-number&gt;&lt;last-updated-date format="utc"&gt;1494886161&lt;/last-updated-date&gt;&lt;/record&gt;&lt;/Cite&gt;&lt;/EndNote&gt;</w:instrText>
      </w:r>
      <w:r w:rsidRPr="00392836">
        <w:rPr>
          <w:lang w:eastAsia="en-GB"/>
        </w:rPr>
        <w:fldChar w:fldCharType="separate"/>
      </w:r>
      <w:r w:rsidRPr="00392836">
        <w:rPr>
          <w:noProof/>
          <w:lang w:eastAsia="en-GB"/>
        </w:rPr>
        <w:t>(Bancroft and Layton, 2013)</w:t>
      </w:r>
      <w:r w:rsidRPr="00392836">
        <w:rPr>
          <w:lang w:eastAsia="en-GB"/>
        </w:rPr>
        <w:fldChar w:fldCharType="end"/>
      </w:r>
      <w:r w:rsidRPr="00392836">
        <w:rPr>
          <w:lang w:eastAsia="en-GB"/>
        </w:rPr>
        <w:t xml:space="preserve">. Haemalum gives the cell nuclei a blue colouration. The nuclear stain is followed by counterstaining with alcoholic solution of eosin which colours eosinophilic structures with shades of red </w:t>
      </w:r>
      <w:r w:rsidRPr="00392836">
        <w:rPr>
          <w:lang w:eastAsia="en-GB"/>
        </w:rPr>
        <w:fldChar w:fldCharType="begin"/>
      </w:r>
      <w:r w:rsidRPr="00392836">
        <w:rPr>
          <w:lang w:eastAsia="en-GB"/>
        </w:rPr>
        <w:instrText xml:space="preserve"> ADDIN EN.CITE &lt;EndNote&gt;&lt;Cite&gt;&lt;Author&gt;Al-Refu&lt;/Author&gt;&lt;Year&gt;2011&lt;/Year&gt;&lt;IDText&gt;General Methods in Preparation of Skin Biopsies for Haematoxylin &amp;amp; Eosin Stain and Immunohistochemistry&lt;/IDText&gt;&lt;DisplayText&gt;(Al-Refu, 2011)&lt;/DisplayText&gt;&lt;record&gt;&lt;isbn&gt;9533072903&lt;/isbn&gt;&lt;titles&gt;&lt;title&gt;General Methods in Preparation of Skin Biopsies for Haematoxylin &amp;amp; Eosin Stain and Immunohistochemistry&lt;/title&gt;&lt;/titles&gt;&lt;contributors&gt;&lt;authors&gt;&lt;author&gt;Al-Refu, Khitam&lt;/author&gt;&lt;/authors&gt;&lt;/contributors&gt;&lt;added-date format="utc"&gt;1494884293&lt;/added-date&gt;&lt;ref-type name="Book"&gt;6&lt;/ref-type&gt;&lt;dates&gt;&lt;year&gt;2011&lt;/year&gt;&lt;/dates&gt;&lt;rec-number&gt;1692&lt;/rec-number&gt;&lt;publisher&gt;INTECH Open Access Publisher&lt;/publisher&gt;&lt;last-updated-date format="utc"&gt;1494884293&lt;/last-updated-date&gt;&lt;/record&gt;&lt;/Cite&gt;&lt;/EndNote&gt;</w:instrText>
      </w:r>
      <w:r w:rsidRPr="00392836">
        <w:rPr>
          <w:lang w:eastAsia="en-GB"/>
        </w:rPr>
        <w:fldChar w:fldCharType="separate"/>
      </w:r>
      <w:r w:rsidRPr="00392836">
        <w:rPr>
          <w:noProof/>
          <w:lang w:eastAsia="en-GB"/>
        </w:rPr>
        <w:t>(Al-Refu, 2011)</w:t>
      </w:r>
      <w:r w:rsidRPr="00392836">
        <w:rPr>
          <w:lang w:eastAsia="en-GB"/>
        </w:rPr>
        <w:fldChar w:fldCharType="end"/>
      </w:r>
      <w:r w:rsidRPr="00392836">
        <w:rPr>
          <w:lang w:eastAsia="en-GB"/>
        </w:rPr>
        <w:t xml:space="preserve">. Eosin is best prepared as described by Yutaka (1968) with modifications </w:t>
      </w:r>
      <w:r w:rsidRPr="00392836">
        <w:rPr>
          <w:lang w:eastAsia="en-GB"/>
        </w:rPr>
        <w:fldChar w:fldCharType="begin"/>
      </w:r>
      <w:r w:rsidRPr="00392836">
        <w:rPr>
          <w:lang w:eastAsia="en-GB"/>
        </w:rPr>
        <w:instrText xml:space="preserve"> ADDIN EN.CITE &lt;EndNote&gt;&lt;Cite&gt;&lt;Author&gt;Yutaka&lt;/Author&gt;&lt;Year&gt;1968&lt;/Year&gt;&lt;IDText&gt;A removing method of the resin from epoxy-embedded sections for light microscopy&lt;/IDText&gt;&lt;DisplayText&gt;(Yutaka et al., 1968)&lt;/DisplayText&gt;&lt;record&gt;&lt;isbn&gt;2050-5698&lt;/isbn&gt;&lt;titles&gt;&lt;title&gt;A removing method of the resin from epoxy-embedded sections for light microscopy&lt;/title&gt;&lt;secondary-title&gt;Journal of Electron Microscopy&lt;/secondary-title&gt;&lt;/titles&gt;&lt;pages&gt;84-85&lt;/pages&gt;&lt;number&gt;1&lt;/number&gt;&lt;contributors&gt;&lt;authors&gt;&lt;author&gt;Yutaka, IMAI&lt;/author&gt;&lt;author&gt;Akira, SUE&lt;/author&gt;&lt;author&gt;YAMAGUCHI, Akihiko&lt;/author&gt;&lt;/authors&gt;&lt;/contributors&gt;&lt;added-date format="utc"&gt;1494920434&lt;/added-date&gt;&lt;ref-type name="Journal Article"&gt;17&lt;/ref-type&gt;&lt;dates&gt;&lt;year&gt;1968&lt;/year&gt;&lt;/dates&gt;&lt;rec-number&gt;1695&lt;/rec-number&gt;&lt;last-updated-date format="utc"&gt;1494920445&lt;/last-updated-date&gt;&lt;volume&gt;17&lt;/volume&gt;&lt;/record&gt;&lt;/Cite&gt;&lt;/EndNote&gt;</w:instrText>
      </w:r>
      <w:r w:rsidRPr="00392836">
        <w:rPr>
          <w:lang w:eastAsia="en-GB"/>
        </w:rPr>
        <w:fldChar w:fldCharType="separate"/>
      </w:r>
      <w:r w:rsidRPr="00392836">
        <w:rPr>
          <w:noProof/>
          <w:lang w:eastAsia="en-GB"/>
        </w:rPr>
        <w:t>(Yutaka et al., 1968)</w:t>
      </w:r>
      <w:r w:rsidRPr="00392836">
        <w:rPr>
          <w:lang w:eastAsia="en-GB"/>
        </w:rPr>
        <w:fldChar w:fldCharType="end"/>
      </w:r>
      <w:r w:rsidRPr="00392836">
        <w:rPr>
          <w:lang w:eastAsia="en-GB"/>
        </w:rPr>
        <w:t>.</w:t>
      </w:r>
    </w:p>
    <w:p w:rsidR="00430D62" w:rsidRPr="00392836" w:rsidRDefault="00430D62" w:rsidP="009F47DE">
      <w:pPr>
        <w:ind w:left="720"/>
        <w:rPr>
          <w:lang w:val="en-US"/>
        </w:rPr>
      </w:pPr>
      <w:r w:rsidRPr="00392836">
        <w:rPr>
          <w:rFonts w:eastAsia="Times New Roman"/>
          <w:bCs/>
          <w:lang w:eastAsia="en-GB"/>
        </w:rPr>
        <w:t>Procedure: 5 µm paraffin-fixed sections were dep</w:t>
      </w:r>
      <w:r w:rsidR="00EF433F">
        <w:rPr>
          <w:rFonts w:eastAsia="Times New Roman"/>
          <w:bCs/>
          <w:lang w:eastAsia="en-GB"/>
        </w:rPr>
        <w:t>araffinised in xylene for 3 min</w:t>
      </w:r>
      <w:r w:rsidRPr="00392836">
        <w:rPr>
          <w:rFonts w:eastAsia="Times New Roman"/>
          <w:bCs/>
          <w:lang w:eastAsia="en-GB"/>
        </w:rPr>
        <w:t xml:space="preserve">, followed by rehydration in 100%, 90% and </w:t>
      </w:r>
      <w:r w:rsidRPr="00392836">
        <w:rPr>
          <w:lang w:val="en-US"/>
        </w:rPr>
        <w:t>70% ethanol in water, after which they were rinsed with deionized water for 5 min. The slides were stained in haematoxylin for 5 min and rinsed under a tap for 20 min, decolourized in acid alcohol for 1 sec, rinsed under a tap for 5 min and then immersed in lithium carbonate for 3 sec and run under tap water for another 5 min. This was followed by counter staining with eosin for about 15 sec and dehydrated in 95</w:t>
      </w:r>
      <w:r w:rsidR="00F64E55">
        <w:rPr>
          <w:lang w:val="en-US"/>
        </w:rPr>
        <w:t xml:space="preserve"> </w:t>
      </w:r>
      <w:r w:rsidRPr="00392836">
        <w:rPr>
          <w:lang w:val="en-US"/>
        </w:rPr>
        <w:t>% and 100 % ethanol for 3 min each. They were cleared with xylene I and II and finally transferred to a fume cupboard where they were mounted with low-viscosity Cytoseal. This helps to ensure even spreading and also removes air bubble</w:t>
      </w:r>
      <w:r w:rsidR="0061142D">
        <w:rPr>
          <w:lang w:val="en-US"/>
        </w:rPr>
        <w:t>s</w:t>
      </w:r>
      <w:r w:rsidRPr="00392836">
        <w:rPr>
          <w:lang w:val="en-US"/>
        </w:rPr>
        <w:t>.</w:t>
      </w:r>
    </w:p>
    <w:p w:rsidR="00430D62" w:rsidRPr="00392836" w:rsidRDefault="00430D62" w:rsidP="0072363B">
      <w:pPr>
        <w:pStyle w:val="Heading4"/>
        <w:ind w:firstLine="720"/>
        <w:rPr>
          <w:rFonts w:eastAsia="Times New Roman"/>
          <w:lang w:val="en-US"/>
        </w:rPr>
      </w:pPr>
      <w:bookmarkStart w:id="215" w:name="_Toc484448849"/>
      <w:bookmarkStart w:id="216" w:name="_Toc506232357"/>
      <w:r w:rsidRPr="00392836">
        <w:rPr>
          <w:rFonts w:eastAsia="Times New Roman"/>
          <w:lang w:val="en-US"/>
        </w:rPr>
        <w:t>2.</w:t>
      </w:r>
      <w:r>
        <w:rPr>
          <w:rFonts w:eastAsia="Times New Roman"/>
          <w:lang w:val="en-US"/>
        </w:rPr>
        <w:t>6</w:t>
      </w:r>
      <w:r w:rsidRPr="00392836">
        <w:rPr>
          <w:rFonts w:eastAsia="Times New Roman"/>
          <w:lang w:val="en-US"/>
        </w:rPr>
        <w:t>.2 Picrosirius red</w:t>
      </w:r>
      <w:bookmarkEnd w:id="215"/>
      <w:bookmarkEnd w:id="216"/>
    </w:p>
    <w:p w:rsidR="00430D62" w:rsidRPr="00392836" w:rsidRDefault="00430D62" w:rsidP="0072363B">
      <w:pPr>
        <w:ind w:left="720"/>
        <w:rPr>
          <w:lang w:val="en-US"/>
        </w:rPr>
      </w:pPr>
      <w:r w:rsidRPr="00392836">
        <w:rPr>
          <w:lang w:val="en-US"/>
        </w:rPr>
        <w:t xml:space="preserve">It is </w:t>
      </w:r>
      <w:r w:rsidR="00EF433F">
        <w:rPr>
          <w:lang w:val="en-US"/>
        </w:rPr>
        <w:t>a good technique</w:t>
      </w:r>
      <w:r w:rsidRPr="00392836">
        <w:rPr>
          <w:lang w:val="en-US"/>
        </w:rPr>
        <w:t xml:space="preserve"> used for collagen histochemistry. It uses the stain sirius red which is an ionic dye that stains collagen. </w:t>
      </w:r>
      <w:r w:rsidR="0061142D">
        <w:rPr>
          <w:lang w:val="en-US"/>
        </w:rPr>
        <w:t>The dye reacts via the sulphate</w:t>
      </w:r>
      <w:r w:rsidRPr="00392836">
        <w:rPr>
          <w:lang w:val="en-US"/>
        </w:rPr>
        <w:t xml:space="preserve"> groups with the base groups on the collagen molecule. The dye molecules attach to collagen fibres in a parallel manner and </w:t>
      </w:r>
      <w:r w:rsidRPr="00392836">
        <w:rPr>
          <w:lang w:val="en-US"/>
        </w:rPr>
        <w:lastRenderedPageBreak/>
        <w:t xml:space="preserve">this parallel relationship enhances birefringency </w:t>
      </w:r>
      <w:r w:rsidRPr="00392836">
        <w:rPr>
          <w:lang w:val="en-US"/>
        </w:rPr>
        <w:fldChar w:fldCharType="begin"/>
      </w:r>
      <w:r w:rsidRPr="00392836">
        <w:rPr>
          <w:lang w:val="en-US"/>
        </w:rPr>
        <w:instrText xml:space="preserve"> ADDIN EN.CITE &lt;EndNote&gt;&lt;Cite&gt;&lt;Author&gt;Junqueira&lt;/Author&gt;&lt;Year&gt;1979&lt;/Year&gt;&lt;IDText&gt;Picrosirius staining plus polarization microscopy, a specific method for collagen detection in tissue sections&lt;/IDText&gt;&lt;DisplayText&gt;(Junqueira et al., 1979)&lt;/DisplayText&gt;&lt;record&gt;&lt;isbn&gt;0018-2214&lt;/isbn&gt;&lt;titles&gt;&lt;title&gt;Picrosirius staining plus polarization microscopy, a specific method for collagen detection in tissue sections&lt;/title&gt;&lt;secondary-title&gt;The Histochemical journal&lt;/secondary-title&gt;&lt;/titles&gt;&lt;pages&gt;447-455&lt;/pages&gt;&lt;number&gt;4&lt;/number&gt;&lt;contributors&gt;&lt;authors&gt;&lt;author&gt;Junqueira, L CẋU&lt;/author&gt;&lt;author&gt;Bignolas, G&lt;/author&gt;&lt;author&gt;Brentani, RR&lt;/author&gt;&lt;/authors&gt;&lt;/contributors&gt;&lt;added-date format="utc"&gt;1488750414&lt;/added-date&gt;&lt;ref-type name="Journal Article"&gt;17&lt;/ref-type&gt;&lt;dates&gt;&lt;year&gt;1979&lt;/year&gt;&lt;/dates&gt;&lt;rec-number&gt;1639&lt;/rec-number&gt;&lt;last-updated-date format="utc"&gt;1488750414&lt;/last-updated-date&gt;&lt;volume&gt;11&lt;/volume&gt;&lt;/record&gt;&lt;/Cite&gt;&lt;Cite&gt;&lt;Author&gt;Junqueira&lt;/Author&gt;&lt;Year&gt;1979&lt;/Year&gt;&lt;IDText&gt;Picrosirius staining plus polarization microscopy, a specific method for collagen detection in tissue sections&lt;/IDText&gt;&lt;record&gt;&lt;isbn&gt;0018-2214&lt;/isbn&gt;&lt;titles&gt;&lt;title&gt;Picrosirius staining plus polarization microscopy, a specific method for collagen detection in tissue sections&lt;/title&gt;&lt;secondary-title&gt;The Histochemical journal&lt;/secondary-title&gt;&lt;/titles&gt;&lt;pages&gt;447-455&lt;/pages&gt;&lt;number&gt;4&lt;/number&gt;&lt;contributors&gt;&lt;authors&gt;&lt;author&gt;Junqueira, L CẋU&lt;/author&gt;&lt;author&gt;Bignolas, G&lt;/author&gt;&lt;author&gt;Brentani, RR&lt;/author&gt;&lt;/authors&gt;&lt;/contributors&gt;&lt;added-date format="utc"&gt;1488750414&lt;/added-date&gt;&lt;ref-type name="Journal Article"&gt;17&lt;/ref-type&gt;&lt;dates&gt;&lt;year&gt;1979&lt;/year&gt;&lt;/dates&gt;&lt;rec-number&gt;1639&lt;/rec-number&gt;&lt;last-updated-date format="utc"&gt;1488750414&lt;/last-updated-date&gt;&lt;volume&gt;11&lt;/volume&gt;&lt;/record&gt;&lt;/Cite&gt;&lt;/EndNote&gt;</w:instrText>
      </w:r>
      <w:r w:rsidRPr="00392836">
        <w:rPr>
          <w:lang w:val="en-US"/>
        </w:rPr>
        <w:fldChar w:fldCharType="separate"/>
      </w:r>
      <w:r w:rsidRPr="00392836">
        <w:rPr>
          <w:noProof/>
          <w:lang w:val="en-US"/>
        </w:rPr>
        <w:t>(Junqueira et al., 1979)</w:t>
      </w:r>
      <w:r w:rsidRPr="00392836">
        <w:rPr>
          <w:lang w:val="en-US"/>
        </w:rPr>
        <w:fldChar w:fldCharType="end"/>
      </w:r>
      <w:r w:rsidRPr="00392836">
        <w:rPr>
          <w:lang w:val="en-US"/>
        </w:rPr>
        <w:t>.</w:t>
      </w:r>
    </w:p>
    <w:p w:rsidR="00EE44D4" w:rsidRDefault="00430D62" w:rsidP="0072363B">
      <w:pPr>
        <w:ind w:left="720"/>
        <w:rPr>
          <w:lang w:eastAsia="en-GB"/>
        </w:rPr>
      </w:pPr>
      <w:r w:rsidRPr="00EE44D4">
        <w:rPr>
          <w:b/>
          <w:lang w:val="en-US"/>
        </w:rPr>
        <w:t>Principle:</w:t>
      </w:r>
      <w:r w:rsidRPr="00392836">
        <w:rPr>
          <w:lang w:val="en-US"/>
        </w:rPr>
        <w:t xml:space="preserve"> </w:t>
      </w:r>
    </w:p>
    <w:p w:rsidR="00430D62" w:rsidRPr="00392836" w:rsidRDefault="00430D62" w:rsidP="0072363B">
      <w:pPr>
        <w:ind w:left="720"/>
        <w:rPr>
          <w:lang w:eastAsia="en-GB"/>
        </w:rPr>
      </w:pPr>
      <w:r w:rsidRPr="00392836">
        <w:rPr>
          <w:lang w:eastAsia="en-GB"/>
        </w:rPr>
        <w:t>The mechanism involves a small yellow picric hydrophobic anionic dye and a large red hydrophilic acid combined with a metal complex. Anionic dye is the basis for the mechanism that stains collagen fibres and associated tissues. Initially, nuclei and cytoplasm are stained by the metal complex dye (Weigert’s hematoxylin) which is stable to withstand the acid dyes in subsequent steps. If necessary, staining may be differentiated in acid alcohol. The second staining step stains collagen red, cytoplasm and other protein-rich material being stained different shades of yellow. The staining patterns are controlled at a rate</w:t>
      </w:r>
      <w:r w:rsidR="002C510E">
        <w:rPr>
          <w:lang w:eastAsia="en-GB"/>
        </w:rPr>
        <w:t xml:space="preserve"> determined</w:t>
      </w:r>
      <w:r w:rsidRPr="00392836">
        <w:rPr>
          <w:lang w:eastAsia="en-GB"/>
        </w:rPr>
        <w:t xml:space="preserve"> by the size of the dye molecule which is large and slower to diffuse permeable sites: the collagen fibres </w:t>
      </w:r>
      <w:r w:rsidRPr="00392836">
        <w:rPr>
          <w:lang w:eastAsia="en-GB"/>
        </w:rPr>
        <w:fldChar w:fldCharType="begin"/>
      </w:r>
      <w:r w:rsidRPr="00392836">
        <w:rPr>
          <w:lang w:eastAsia="en-GB"/>
        </w:rPr>
        <w:instrText xml:space="preserve"> ADDIN EN.CITE &lt;EndNote&gt;&lt;Cite&gt;&lt;Author&gt;Phadnis&lt;/Author&gt;&lt;Year&gt;2011&lt;/Year&gt;&lt;IDText&gt;Regeneration of cervix after excisional treatment for cervical intraepithelial neoplasia: a study of collagen distribution&lt;/IDText&gt;&lt;DisplayText&gt;(Phadnis et al., 2011)&lt;/DisplayText&gt;&lt;record&gt;&lt;keywords&gt;&lt;keyword&gt;Cervix biopsy&lt;/keyword&gt;&lt;keyword&gt;cervix cone&lt;/keyword&gt;&lt;keyword&gt;collagen&lt;/keyword&gt;&lt;keyword&gt;large loop excision of transformation zone&lt;/keyword&gt;&lt;/keywords&gt;&lt;urls&gt;&lt;related-urls&gt;&lt;url&gt;http://dx.doi.org/10.1111/j.1471-0528.2011.03085.x&lt;/url&gt;&lt;/related-urls&gt;&lt;/urls&gt;&lt;isbn&gt;1471-0528&lt;/isbn&gt;&lt;titles&gt;&lt;title&gt;Regeneration of cervix after excisional treatment for cervical intraepithelial neoplasia: a study of collagen distribution&lt;/title&gt;&lt;secondary-title&gt;BJOG: An International Journal of Obstetrics &amp;amp; Gynaecology&lt;/secondary-title&gt;&lt;/titles&gt;&lt;pages&gt;1585-1591&lt;/pages&gt;&lt;number&gt;13&lt;/number&gt;&lt;contributors&gt;&lt;authors&gt;&lt;author&gt;Phadnis, S. V.&lt;/author&gt;&lt;author&gt;Atilade, A.&lt;/author&gt;&lt;author&gt;Bowring, J.&lt;/author&gt;&lt;author&gt;Kyrgiou, M.&lt;/author&gt;&lt;author&gt;Young, M. P. A.&lt;/author&gt;&lt;author&gt;Evans, H.&lt;/author&gt;&lt;author&gt;Paraskevaidis, E.&lt;/author&gt;&lt;author&gt;Walker, P.&lt;/author&gt;&lt;/authors&gt;&lt;/contributors&gt;&lt;added-date format="utc"&gt;1494923435&lt;/added-date&gt;&lt;ref-type name="Journal Article"&gt;17&lt;/ref-type&gt;&lt;dates&gt;&lt;year&gt;2011&lt;/year&gt;&lt;/dates&gt;&lt;rec-number&gt;1696&lt;/rec-number&gt;&lt;publisher&gt;Blackwell Publishing Ltd&lt;/publisher&gt;&lt;last-updated-date format="utc"&gt;1494923435&lt;/last-updated-date&gt;&lt;electronic-resource-num&gt;10.1111/j.1471-0528.2011.03085.x&lt;/electronic-resource-num&gt;&lt;volume&gt;118&lt;/volume&gt;&lt;/record&gt;&lt;/Cite&gt;&lt;/EndNote&gt;</w:instrText>
      </w:r>
      <w:r w:rsidRPr="00392836">
        <w:rPr>
          <w:lang w:eastAsia="en-GB"/>
        </w:rPr>
        <w:fldChar w:fldCharType="separate"/>
      </w:r>
      <w:r w:rsidRPr="00392836">
        <w:rPr>
          <w:noProof/>
          <w:lang w:eastAsia="en-GB"/>
        </w:rPr>
        <w:t>(Phadnis et al., 2011)</w:t>
      </w:r>
      <w:r w:rsidRPr="00392836">
        <w:rPr>
          <w:lang w:eastAsia="en-GB"/>
        </w:rPr>
        <w:fldChar w:fldCharType="end"/>
      </w:r>
      <w:r w:rsidRPr="00392836">
        <w:rPr>
          <w:lang w:eastAsia="en-GB"/>
        </w:rPr>
        <w:t xml:space="preserve">. Fixatives that increase staining rates result in a redder section, whereas thick sections stain more yellow than thin sections. Selectivity is influenced by a variety of factors like time, temperature, fixation, thickness of sections and pH. </w:t>
      </w:r>
    </w:p>
    <w:p w:rsidR="002C510E" w:rsidRDefault="00430D62" w:rsidP="0072363B">
      <w:pPr>
        <w:ind w:left="720"/>
        <w:rPr>
          <w:lang w:val="en-US"/>
        </w:rPr>
      </w:pPr>
      <w:r w:rsidRPr="002C510E">
        <w:rPr>
          <w:b/>
          <w:lang w:val="en-US"/>
        </w:rPr>
        <w:t>Procedure:</w:t>
      </w:r>
      <w:r w:rsidRPr="00392836">
        <w:rPr>
          <w:lang w:val="en-US"/>
        </w:rPr>
        <w:t xml:space="preserve"> </w:t>
      </w:r>
    </w:p>
    <w:p w:rsidR="00430D62" w:rsidRPr="00392836" w:rsidRDefault="00430D62" w:rsidP="0072363B">
      <w:pPr>
        <w:ind w:left="720"/>
        <w:rPr>
          <w:rFonts w:ascii="Calibri" w:hAnsi="Calibri" w:cs="Calibri"/>
          <w:lang w:val="en-US"/>
        </w:rPr>
      </w:pPr>
      <w:r w:rsidRPr="00392836">
        <w:rPr>
          <w:lang w:val="en-US"/>
        </w:rPr>
        <w:t>Paraffin sections were de-waxed and hydrated. Weigert’s haematoxylin was prepare</w:t>
      </w:r>
      <w:r w:rsidR="006E71E4">
        <w:rPr>
          <w:lang w:val="en-US"/>
        </w:rPr>
        <w:t>d as described by Bancroft and Stevens</w:t>
      </w:r>
      <w:r w:rsidRPr="00392836">
        <w:rPr>
          <w:lang w:val="en-US"/>
        </w:rPr>
        <w:t xml:space="preserve"> (1982). Weigert’s haematoxylin was used to stain the nuclei for eight minutes and then washed und</w:t>
      </w:r>
      <w:r w:rsidR="00F64E55">
        <w:rPr>
          <w:lang w:val="en-US"/>
        </w:rPr>
        <w:t>er a tap for 10 min</w:t>
      </w:r>
      <w:r w:rsidR="002C510E">
        <w:rPr>
          <w:lang w:val="en-US"/>
        </w:rPr>
        <w:t>. Picro-s</w:t>
      </w:r>
      <w:r w:rsidRPr="00392836">
        <w:rPr>
          <w:lang w:val="en-US"/>
        </w:rPr>
        <w:t>irius re</w:t>
      </w:r>
      <w:r w:rsidR="00EF433F">
        <w:rPr>
          <w:lang w:val="en-US"/>
        </w:rPr>
        <w:t>d was prepared by mixing 100 ml</w:t>
      </w:r>
      <w:r w:rsidRPr="00392836">
        <w:rPr>
          <w:lang w:val="en-US"/>
        </w:rPr>
        <w:t xml:space="preserve"> of deionized water with 1 g of Sirius red powder to achieve 1% aqu</w:t>
      </w:r>
      <w:r w:rsidR="002C510E">
        <w:rPr>
          <w:lang w:val="en-US"/>
        </w:rPr>
        <w:t>eous s</w:t>
      </w:r>
      <w:r w:rsidR="00EF433F">
        <w:rPr>
          <w:lang w:val="en-US"/>
        </w:rPr>
        <w:t>irius red. 10 ml</w:t>
      </w:r>
      <w:r w:rsidRPr="00392836">
        <w:rPr>
          <w:lang w:val="en-US"/>
        </w:rPr>
        <w:t xml:space="preserve"> of this soluti</w:t>
      </w:r>
      <w:r w:rsidR="00EF433F">
        <w:rPr>
          <w:lang w:val="en-US"/>
        </w:rPr>
        <w:t>on was then vortexed with 90 ml</w:t>
      </w:r>
      <w:r w:rsidRPr="00392836">
        <w:rPr>
          <w:lang w:val="en-US"/>
        </w:rPr>
        <w:t xml:space="preserve"> of picric acid, the solution was then stored a</w:t>
      </w:r>
      <w:r w:rsidR="00F64E55">
        <w:rPr>
          <w:lang w:val="en-US"/>
        </w:rPr>
        <w:t>t ambient temperature for 24 hr</w:t>
      </w:r>
      <w:r w:rsidRPr="00392836">
        <w:rPr>
          <w:lang w:val="en-US"/>
        </w:rPr>
        <w:t xml:space="preserve"> before use </w:t>
      </w:r>
      <w:r w:rsidRPr="00392836">
        <w:rPr>
          <w:lang w:val="en-US"/>
        </w:rPr>
        <w:fldChar w:fldCharType="begin"/>
      </w:r>
      <w:r w:rsidRPr="00392836">
        <w:rPr>
          <w:lang w:val="en-US"/>
        </w:rPr>
        <w:instrText xml:space="preserve"> ADDIN EN.CITE &lt;EndNote&gt;&lt;Cite&gt;&lt;Author&gt;Phadnis&lt;/Author&gt;&lt;Year&gt;2011&lt;/Year&gt;&lt;IDText&gt;Regeneration of cervix after excisional treatment for cervical intraepithelial neoplasia: a study of collagen distribution&lt;/IDText&gt;&lt;DisplayText&gt;(Phadnis et al., 2011)&lt;/DisplayText&gt;&lt;record&gt;&lt;keywords&gt;&lt;keyword&gt;Cervix biopsy&lt;/keyword&gt;&lt;keyword&gt;cervix cone&lt;/keyword&gt;&lt;keyword&gt;collagen&lt;/keyword&gt;&lt;keyword&gt;large loop excision of transformation zone&lt;/keyword&gt;&lt;/keywords&gt;&lt;urls&gt;&lt;related-urls&gt;&lt;url&gt;http://dx.doi.org/10.1111/j.1471-0528.2011.03085.x&lt;/url&gt;&lt;/related-urls&gt;&lt;/urls&gt;&lt;isbn&gt;1471-0528&lt;/isbn&gt;&lt;titles&gt;&lt;title&gt;Regeneration of cervix after excisional treatment for cervical intraepithelial neoplasia: a study of collagen distribution&lt;/title&gt;&lt;secondary-title&gt;BJOG: An International Journal of Obstetrics &amp;amp; Gynaecology&lt;/secondary-title&gt;&lt;/titles&gt;&lt;pages&gt;1585-1591&lt;/pages&gt;&lt;number&gt;13&lt;/number&gt;&lt;contributors&gt;&lt;authors&gt;&lt;author&gt;Phadnis, S. V.&lt;/author&gt;&lt;author&gt;Atilade, A.&lt;/author&gt;&lt;author&gt;Bowring, J.&lt;/author&gt;&lt;author&gt;Kyrgiou, M.&lt;/author&gt;&lt;author&gt;Young, M. P. A.&lt;/author&gt;&lt;author&gt;Evans, H.&lt;/author&gt;&lt;author&gt;Paraskevaidis, E.&lt;/author&gt;&lt;author&gt;Walker, P.&lt;/author&gt;&lt;/authors&gt;&lt;/contributors&gt;&lt;added-date format="utc"&gt;1494923435&lt;/added-date&gt;&lt;ref-type name="Journal Article"&gt;17&lt;/ref-type&gt;&lt;dates&gt;&lt;year&gt;2011&lt;/year&gt;&lt;/dates&gt;&lt;rec-number&gt;1696&lt;/rec-number&gt;&lt;publisher&gt;Blackwell Publishing Ltd&lt;/publisher&gt;&lt;last-updated-date format="utc"&gt;1494923435&lt;/last-updated-date&gt;&lt;electronic-resource-num&gt;10.1111/j.1471-0528.2011.03085.x&lt;/electronic-resource-num&gt;&lt;volume&gt;118&lt;/volume&gt;&lt;/record&gt;&lt;/Cite&gt;&lt;/EndNote&gt;</w:instrText>
      </w:r>
      <w:r w:rsidRPr="00392836">
        <w:rPr>
          <w:lang w:val="en-US"/>
        </w:rPr>
        <w:fldChar w:fldCharType="separate"/>
      </w:r>
      <w:r w:rsidRPr="00392836">
        <w:rPr>
          <w:noProof/>
          <w:lang w:val="en-US"/>
        </w:rPr>
        <w:t>(Phadnis et al., 2011)</w:t>
      </w:r>
      <w:r w:rsidRPr="00392836">
        <w:rPr>
          <w:lang w:val="en-US"/>
        </w:rPr>
        <w:fldChar w:fldCharType="end"/>
      </w:r>
      <w:r w:rsidRPr="00392836">
        <w:rPr>
          <w:lang w:val="en-US"/>
        </w:rPr>
        <w:t>. The slides were then placed in picro-sirius red for one hour, followed by washing in acidified water twice (</w:t>
      </w:r>
      <w:r w:rsidRPr="00392836">
        <w:rPr>
          <w:lang w:val="en-US" w:eastAsia="en-GB"/>
        </w:rPr>
        <w:t xml:space="preserve">5 ml of </w:t>
      </w:r>
      <w:r w:rsidR="00EF433F">
        <w:rPr>
          <w:lang w:val="en-US" w:eastAsia="en-GB"/>
        </w:rPr>
        <w:t>acetic acid was added to 1 L</w:t>
      </w:r>
      <w:r w:rsidRPr="00392836">
        <w:rPr>
          <w:lang w:val="en-US" w:eastAsia="en-GB"/>
        </w:rPr>
        <w:t xml:space="preserve"> of deionized water)</w:t>
      </w:r>
      <w:r w:rsidRPr="00392836">
        <w:rPr>
          <w:lang w:val="en-US"/>
        </w:rPr>
        <w:t>. The slides were dried after which they were dehydrated in 100% ethanol thrice, cleared in xylene and mounted with cytoseal</w:t>
      </w:r>
      <w:r w:rsidRPr="00392836">
        <w:rPr>
          <w:rFonts w:ascii="Calibri" w:hAnsi="Calibri" w:cs="Calibri"/>
          <w:lang w:val="en-US"/>
        </w:rPr>
        <w:t>.</w:t>
      </w:r>
    </w:p>
    <w:p w:rsidR="00430D62" w:rsidRPr="00392836" w:rsidRDefault="00430D62" w:rsidP="0072363B">
      <w:pPr>
        <w:pStyle w:val="Heading4"/>
        <w:ind w:firstLine="720"/>
        <w:rPr>
          <w:rFonts w:eastAsia="Times New Roman"/>
          <w:lang w:val="en-US"/>
        </w:rPr>
      </w:pPr>
      <w:bookmarkStart w:id="217" w:name="_Toc484448850"/>
      <w:bookmarkStart w:id="218" w:name="_Toc506232358"/>
      <w:r w:rsidRPr="00392836">
        <w:rPr>
          <w:rFonts w:eastAsia="Times New Roman"/>
          <w:lang w:val="en-US"/>
        </w:rPr>
        <w:lastRenderedPageBreak/>
        <w:t>2.</w:t>
      </w:r>
      <w:r>
        <w:rPr>
          <w:rFonts w:eastAsia="Times New Roman"/>
          <w:lang w:val="en-US"/>
        </w:rPr>
        <w:t>6</w:t>
      </w:r>
      <w:r w:rsidRPr="00392836">
        <w:rPr>
          <w:rFonts w:eastAsia="Times New Roman"/>
          <w:lang w:val="en-US"/>
        </w:rPr>
        <w:t>.3. Picrosirus red analysis</w:t>
      </w:r>
      <w:bookmarkEnd w:id="217"/>
      <w:bookmarkEnd w:id="218"/>
    </w:p>
    <w:p w:rsidR="00430D62" w:rsidRPr="00392836" w:rsidRDefault="00430D62" w:rsidP="0072363B">
      <w:pPr>
        <w:ind w:left="720"/>
      </w:pPr>
      <w:r w:rsidRPr="00392836">
        <w:rPr>
          <w:lang w:val="en-US"/>
        </w:rPr>
        <w:t>Two independent and blinded observers were used to determine the intensity of the collagen staining.</w:t>
      </w:r>
      <w:r w:rsidRPr="00392836">
        <w:t xml:space="preserve"> </w:t>
      </w:r>
      <w:r w:rsidRPr="00392836">
        <w:rPr>
          <w:lang w:val="en-US"/>
        </w:rPr>
        <w:t>Ten random non-overlapping fields at 10X magnification were captured from each picrosirius red slide of each kidney using a CC-12 digital camera and Cell F software (Olympus, UK) with the Olympus BX 61 microscope.</w:t>
      </w:r>
    </w:p>
    <w:p w:rsidR="00430D62" w:rsidRPr="00392836" w:rsidRDefault="00430D62" w:rsidP="0072363B">
      <w:pPr>
        <w:ind w:left="720"/>
        <w:rPr>
          <w:lang w:val="en-US"/>
        </w:rPr>
      </w:pPr>
      <w:r w:rsidRPr="00392836">
        <w:rPr>
          <w:lang w:val="en-US"/>
        </w:rPr>
        <w:t xml:space="preserve">Analysis was done using a phase overlay system where differentially stained areas of the slides were demarcated by representative phase allocation </w:t>
      </w:r>
      <w:r w:rsidRPr="00392836">
        <w:rPr>
          <w:lang w:val="en-US"/>
        </w:rPr>
        <w:fldChar w:fldCharType="begin"/>
      </w:r>
      <w:r w:rsidRPr="00392836">
        <w:rPr>
          <w:lang w:val="en-US"/>
        </w:rPr>
        <w:instrText xml:space="preserve"> ADDIN EN.CITE &lt;EndNote&gt;&lt;Cite&gt;&lt;Author&gt;Calvaruso&lt;/Author&gt;&lt;Year&gt;2009&lt;/Year&gt;&lt;IDText&gt;Computer-assisted image analysis of liver collagen: Relationship to Ishak scoring and hepatic venous pressure gradient&lt;/IDText&gt;&lt;DisplayText&gt;(Calvaruso et al., 2009)&lt;/DisplayText&gt;&lt;record&gt;&lt;urls&gt;&lt;related-urls&gt;&lt;url&gt;http://dx.doi.org/10.1002/hep.22745&lt;/url&gt;&lt;/related-urls&gt;&lt;/urls&gt;&lt;isbn&gt;1527-3350&lt;/isbn&gt;&lt;titles&gt;&lt;title&gt;Computer-assisted image analysis of liver collagen: Relationship to Ishak scoring and hepatic venous pressure gradient&lt;/title&gt;&lt;secondary-title&gt;Hepatology&lt;/secondary-title&gt;&lt;/titles&gt;&lt;pages&gt;1236-1244&lt;/pages&gt;&lt;number&gt;4&lt;/number&gt;&lt;contributors&gt;&lt;authors&gt;&lt;author&gt;Calvaruso, Vincenza&lt;/author&gt;&lt;author&gt;Burroughs, Andrew Kenneth&lt;/author&gt;&lt;author&gt;Standish, Richard&lt;/author&gt;&lt;author&gt;Manousou, Pinelopi&lt;/author&gt;&lt;author&gt;Grillo, Federica&lt;/author&gt;&lt;author&gt;Leandro, Gioacchino&lt;/author&gt;&lt;author&gt;Maimone, Sergio&lt;/author&gt;&lt;author&gt;Pleguezuelo, Maria&lt;/author&gt;&lt;author&gt;Xirouchakis, Ilias&lt;/author&gt;&lt;author&gt;Piero Guerrini, Gian&lt;/author&gt;&lt;author&gt;Patch, David&lt;/author&gt;&lt;author&gt;Yu, Dominic&lt;/author&gt;&lt;author&gt;O&amp;apos;Beirne, James&lt;/author&gt;&lt;author&gt;Dhillon, Amar Paul&lt;/author&gt;&lt;/authors&gt;&lt;/contributors&gt;&lt;added-date format="utc"&gt;1494956812&lt;/added-date&gt;&lt;ref-type name="Journal Article"&gt;17&lt;/ref-type&gt;&lt;dates&gt;&lt;year&gt;2009&lt;/year&gt;&lt;/dates&gt;&lt;rec-number&gt;1698&lt;/rec-number&gt;&lt;publisher&gt;Wiley Subscription Services, Inc., A Wiley Company&lt;/publisher&gt;&lt;last-updated-date format="utc"&gt;1494956812&lt;/last-updated-date&gt;&lt;electronic-resource-num&gt;10.1002/hep.22745&lt;/electronic-resource-num&gt;&lt;volume&gt;49&lt;/volume&gt;&lt;/record&gt;&lt;/Cite&gt;&lt;/EndNote&gt;</w:instrText>
      </w:r>
      <w:r w:rsidRPr="00392836">
        <w:rPr>
          <w:lang w:val="en-US"/>
        </w:rPr>
        <w:fldChar w:fldCharType="separate"/>
      </w:r>
      <w:r w:rsidRPr="00392836">
        <w:rPr>
          <w:noProof/>
          <w:lang w:val="en-US"/>
        </w:rPr>
        <w:t>(Calvaruso et al., 2009)</w:t>
      </w:r>
      <w:r w:rsidRPr="00392836">
        <w:rPr>
          <w:lang w:val="en-US"/>
        </w:rPr>
        <w:fldChar w:fldCharType="end"/>
      </w:r>
      <w:r w:rsidRPr="00392836">
        <w:rPr>
          <w:lang w:val="en-US"/>
        </w:rPr>
        <w:t xml:space="preserve">.  Each phase was defined by an upper and lower limit of intensity, colour and saturation settings, which was then applied to the fields captured. Each field was assessed using multiphase image analysis with 4 phases (phase1: healthy phase. phase2: scarred phase, phase3: void phase and phase 4: nuclei). Summation of the four phases were over 95% for accurate quantification. The percentage of scarred area divided by healthy area gave us the scarred percentage. The average data from the two independent analysts were plotted. </w:t>
      </w:r>
    </w:p>
    <w:p w:rsidR="00430D62" w:rsidRPr="00392836" w:rsidRDefault="00430D62" w:rsidP="0072363B">
      <w:pPr>
        <w:pStyle w:val="Heading4"/>
        <w:ind w:firstLine="720"/>
        <w:rPr>
          <w:rFonts w:eastAsia="Times New Roman"/>
          <w:lang w:val="en-US"/>
        </w:rPr>
      </w:pPr>
      <w:bookmarkStart w:id="219" w:name="_Toc484448851"/>
      <w:bookmarkStart w:id="220" w:name="_Toc506232359"/>
      <w:r w:rsidRPr="00392836">
        <w:rPr>
          <w:rFonts w:eastAsia="Times New Roman"/>
          <w:lang w:val="en-US"/>
        </w:rPr>
        <w:t>2.</w:t>
      </w:r>
      <w:r>
        <w:rPr>
          <w:rFonts w:eastAsia="Times New Roman"/>
          <w:lang w:val="en-US"/>
        </w:rPr>
        <w:t>6</w:t>
      </w:r>
      <w:r w:rsidRPr="00392836">
        <w:rPr>
          <w:rFonts w:eastAsia="Times New Roman"/>
          <w:lang w:val="en-US"/>
        </w:rPr>
        <w:t>.4 Masson’s Trichrome</w:t>
      </w:r>
      <w:bookmarkEnd w:id="219"/>
      <w:bookmarkEnd w:id="220"/>
    </w:p>
    <w:p w:rsidR="00430D62" w:rsidRPr="00392836" w:rsidRDefault="00430D62" w:rsidP="0072363B">
      <w:pPr>
        <w:ind w:left="720"/>
        <w:rPr>
          <w:lang w:val="en-US"/>
        </w:rPr>
      </w:pPr>
      <w:r w:rsidRPr="00392836">
        <w:rPr>
          <w:lang w:val="en-US"/>
        </w:rPr>
        <w:t>This is a three colour staining process, where three dyes are used to selectively stain collagen fibres, fibrin deposits and erythrocytes (</w:t>
      </w:r>
      <w:r w:rsidR="006E71E4">
        <w:rPr>
          <w:bCs/>
          <w:lang w:val="en-US"/>
        </w:rPr>
        <w:t>Bancroft and</w:t>
      </w:r>
      <w:r w:rsidRPr="00392836">
        <w:rPr>
          <w:bCs/>
          <w:lang w:val="en-US"/>
        </w:rPr>
        <w:t xml:space="preserve"> Gamble, 2008).</w:t>
      </w:r>
      <w:r w:rsidRPr="00392836">
        <w:rPr>
          <w:lang w:val="en-US"/>
        </w:rPr>
        <w:t xml:space="preserve"> Keratin and muscle fibres stain red, collagen stains green, the cytoplasm stains red, while the cell nuclei are seen as black. The stain is used to distinguish cells from the surrounding ECM. The stain is useful in the study of muscular dystrophies, cardiac infarcts, hepatic and kidney fibrosis. </w:t>
      </w:r>
    </w:p>
    <w:p w:rsidR="00FA3229" w:rsidRDefault="00430D62" w:rsidP="0072363B">
      <w:pPr>
        <w:ind w:left="720"/>
        <w:rPr>
          <w:bCs/>
          <w:lang w:val="en-US"/>
        </w:rPr>
      </w:pPr>
      <w:r w:rsidRPr="00FA3229">
        <w:rPr>
          <w:b/>
          <w:bCs/>
          <w:lang w:val="en-US"/>
        </w:rPr>
        <w:t>Principle:</w:t>
      </w:r>
      <w:r w:rsidRPr="00392836">
        <w:rPr>
          <w:bCs/>
          <w:lang w:val="en-US"/>
        </w:rPr>
        <w:t xml:space="preserve"> </w:t>
      </w:r>
    </w:p>
    <w:p w:rsidR="00430D62" w:rsidRPr="00392836" w:rsidRDefault="00430D62" w:rsidP="0072363B">
      <w:pPr>
        <w:ind w:left="720"/>
      </w:pPr>
      <w:r w:rsidRPr="00392836">
        <w:rPr>
          <w:bCs/>
          <w:lang w:val="en-US"/>
        </w:rPr>
        <w:t>In Masson’s trichrome staining the</w:t>
      </w:r>
      <w:r w:rsidRPr="00392836">
        <w:rPr>
          <w:lang w:val="en-US"/>
        </w:rPr>
        <w:t xml:space="preserve"> principle was to selectively stain erythrocytes, with small MW yellow acid dyes such as picric acid and martius yellow to stain the erythrocytes</w:t>
      </w:r>
      <w:r w:rsidRPr="00392836">
        <w:rPr>
          <w:b/>
          <w:bCs/>
          <w:lang w:val="en-US"/>
        </w:rPr>
        <w:t xml:space="preserve">. </w:t>
      </w:r>
      <w:r w:rsidRPr="00392836">
        <w:rPr>
          <w:lang w:val="en-US"/>
        </w:rPr>
        <w:t xml:space="preserve">The sections were washed under running tap water, to get rid of excess yellow stains from tissues. The erythrocyte membrane allows the inflow of water subsequently </w:t>
      </w:r>
      <w:r w:rsidRPr="00392836">
        <w:rPr>
          <w:lang w:val="en-US"/>
        </w:rPr>
        <w:lastRenderedPageBreak/>
        <w:t>diluting the ethanol and increases the polarity. This results in the dye</w:t>
      </w:r>
      <w:r w:rsidR="006E71E4">
        <w:rPr>
          <w:lang w:val="en-US"/>
        </w:rPr>
        <w:t xml:space="preserve"> increasing in charge</w:t>
      </w:r>
      <w:r w:rsidRPr="00392836">
        <w:rPr>
          <w:lang w:val="en-US"/>
        </w:rPr>
        <w:t>, thereby trapping the dye within the erythrocytes.</w:t>
      </w:r>
      <w:r w:rsidRPr="00392836">
        <w:rPr>
          <w:rFonts w:ascii="Calibri" w:hAnsi="Calibri"/>
          <w:lang w:val="en-US"/>
        </w:rPr>
        <w:t xml:space="preserve"> </w:t>
      </w:r>
      <w:r w:rsidR="006E71E4">
        <w:t>The second dye (the cytoplasm</w:t>
      </w:r>
      <w:r w:rsidRPr="00392836">
        <w:t xml:space="preserve"> stain) is red, and of intermediate MW. This was applied for a longer duration so as to deeply stain the cytoplasm, muscle and collagen. The pre-stained erythrocytes resist staining from this dye. This is followed by the polyacid</w:t>
      </w:r>
      <w:r w:rsidR="006E71E4">
        <w:t>,</w:t>
      </w:r>
      <w:r w:rsidRPr="00392836">
        <w:t xml:space="preserve"> a large molecule that differentiates the plasma stain from tissues.</w:t>
      </w:r>
      <w:r w:rsidRPr="00392836">
        <w:rPr>
          <w:lang w:val="en-US"/>
        </w:rPr>
        <w:t xml:space="preserve"> Finally a contrast dye (fibre dye) is applied. The fibre dye has a molecular weight lesser than the polyacid but larg</w:t>
      </w:r>
      <w:r w:rsidR="006E71E4">
        <w:rPr>
          <w:lang w:val="en-US"/>
        </w:rPr>
        <w:t>er than the plasma stain, and</w:t>
      </w:r>
      <w:r w:rsidRPr="00392836">
        <w:rPr>
          <w:lang w:val="en-US"/>
        </w:rPr>
        <w:t xml:space="preserve"> is applied for long duration to stain collagen fibres.</w:t>
      </w:r>
    </w:p>
    <w:p w:rsidR="00FA3229" w:rsidRDefault="00430D62" w:rsidP="0072363B">
      <w:pPr>
        <w:ind w:left="720"/>
        <w:rPr>
          <w:lang w:val="en-US"/>
        </w:rPr>
      </w:pPr>
      <w:r w:rsidRPr="00FA3229">
        <w:rPr>
          <w:b/>
          <w:lang w:val="en-US"/>
        </w:rPr>
        <w:t>Procedure:</w:t>
      </w:r>
      <w:r w:rsidR="00FA3229">
        <w:rPr>
          <w:lang w:val="en-US"/>
        </w:rPr>
        <w:t xml:space="preserve"> </w:t>
      </w:r>
    </w:p>
    <w:p w:rsidR="00430D62" w:rsidRDefault="00FA3229" w:rsidP="0072363B">
      <w:pPr>
        <w:ind w:left="720"/>
        <w:rPr>
          <w:bCs/>
          <w:color w:val="000000"/>
          <w:lang w:eastAsia="zh-CN"/>
        </w:rPr>
      </w:pPr>
      <w:r>
        <w:rPr>
          <w:lang w:val="en-US"/>
        </w:rPr>
        <w:t>T</w:t>
      </w:r>
      <w:r w:rsidR="00430D62" w:rsidRPr="00392836">
        <w:rPr>
          <w:lang w:val="en-US"/>
        </w:rPr>
        <w:t>he paraffin sections were deparaffinized through 100% ethanol, 95% ethanol and 70% ethanol. The slides were then washed in deionized water and refixed in Bouin’s solution for one hour at 56°C. The slides were there-after rinsed u</w:t>
      </w:r>
      <w:r w:rsidR="00EF433F">
        <w:rPr>
          <w:lang w:val="en-US"/>
        </w:rPr>
        <w:t>nder a running tap for 5 min</w:t>
      </w:r>
      <w:r w:rsidR="00430D62" w:rsidRPr="00392836">
        <w:rPr>
          <w:lang w:val="en-US"/>
        </w:rPr>
        <w:t xml:space="preserve"> to remove the yellow stain. The slides were then stained in Weiger’s iron haematoxy</w:t>
      </w:r>
      <w:r w:rsidR="00EF433F">
        <w:rPr>
          <w:lang w:val="en-US"/>
        </w:rPr>
        <w:t>lin working solution for 10 min</w:t>
      </w:r>
      <w:r w:rsidR="00430D62" w:rsidRPr="00392836">
        <w:rPr>
          <w:lang w:val="en-US"/>
        </w:rPr>
        <w:t>, followed by rinsing</w:t>
      </w:r>
      <w:r w:rsidR="00EF433F">
        <w:rPr>
          <w:lang w:val="en-US"/>
        </w:rPr>
        <w:t xml:space="preserve"> under a flowing tap for 10 min</w:t>
      </w:r>
      <w:r w:rsidR="00430D62" w:rsidRPr="00392836">
        <w:rPr>
          <w:lang w:val="en-US"/>
        </w:rPr>
        <w:t>. The slides were then washed with deionized water and stained in Biebrich scarlet-a</w:t>
      </w:r>
      <w:r w:rsidR="00EF433F">
        <w:rPr>
          <w:lang w:val="en-US"/>
        </w:rPr>
        <w:t>cid fuchsin solution for 10 min</w:t>
      </w:r>
      <w:r w:rsidR="00430D62" w:rsidRPr="00392836">
        <w:rPr>
          <w:lang w:val="en-US"/>
        </w:rPr>
        <w:t xml:space="preserve">, followed by washing in deionized water. The slides were put into </w:t>
      </w:r>
      <w:r w:rsidR="00430D62" w:rsidRPr="00392836">
        <w:rPr>
          <w:bCs/>
          <w:color w:val="000000"/>
          <w:lang w:eastAsia="en-GB"/>
        </w:rPr>
        <w:t>phosphomolybdic-phosphotungstic acid</w:t>
      </w:r>
      <w:r w:rsidR="00EF433F">
        <w:rPr>
          <w:bCs/>
          <w:color w:val="000000"/>
          <w:lang w:eastAsia="en-GB"/>
        </w:rPr>
        <w:t xml:space="preserve"> solution for 10 min</w:t>
      </w:r>
      <w:r w:rsidR="00430D62" w:rsidRPr="00392836">
        <w:rPr>
          <w:bCs/>
          <w:color w:val="000000"/>
          <w:lang w:eastAsia="en-GB"/>
        </w:rPr>
        <w:t xml:space="preserve"> and collagen fibres were viewed under the microscope to confirm they were no longer red. The slides were put in light green solution (cont</w:t>
      </w:r>
      <w:r w:rsidR="00EF433F">
        <w:rPr>
          <w:bCs/>
          <w:color w:val="000000"/>
          <w:lang w:eastAsia="en-GB"/>
        </w:rPr>
        <w:t>rast dye) and stained for 5 min</w:t>
      </w:r>
      <w:r w:rsidR="00430D62" w:rsidRPr="00392836">
        <w:rPr>
          <w:bCs/>
          <w:color w:val="000000"/>
          <w:lang w:eastAsia="en-GB"/>
        </w:rPr>
        <w:t>, and rinsed in deionized water and differentiated in 1% ethanol</w:t>
      </w:r>
      <w:r w:rsidR="00EF433F">
        <w:rPr>
          <w:bCs/>
          <w:color w:val="000000"/>
          <w:lang w:eastAsia="en-GB"/>
        </w:rPr>
        <w:t xml:space="preserve"> for 5 min</w:t>
      </w:r>
      <w:r w:rsidR="00430D62" w:rsidRPr="00392836">
        <w:rPr>
          <w:bCs/>
          <w:color w:val="000000"/>
          <w:lang w:eastAsia="en-GB"/>
        </w:rPr>
        <w:t xml:space="preserve"> followed by washing in deionized water and dehydrated quickly in </w:t>
      </w:r>
      <w:r w:rsidR="00430D62" w:rsidRPr="00392836">
        <w:rPr>
          <w:bCs/>
          <w:color w:val="000000"/>
          <w:lang w:eastAsia="zh-CN"/>
        </w:rPr>
        <w:t>95% ethanol, 100% ethanol and cleared in</w:t>
      </w:r>
      <w:r>
        <w:rPr>
          <w:bCs/>
          <w:color w:val="000000"/>
          <w:lang w:eastAsia="zh-CN"/>
        </w:rPr>
        <w:t xml:space="preserve"> xylene. The cleared slides were</w:t>
      </w:r>
      <w:r w:rsidR="00430D62" w:rsidRPr="00392836">
        <w:rPr>
          <w:bCs/>
          <w:color w:val="000000"/>
          <w:lang w:eastAsia="zh-CN"/>
        </w:rPr>
        <w:t xml:space="preserve"> mounted and sealed.</w:t>
      </w:r>
    </w:p>
    <w:p w:rsidR="006E71E4" w:rsidRPr="006E71E4" w:rsidRDefault="006E71E4" w:rsidP="006E71E4">
      <w:pPr>
        <w:spacing w:after="160" w:line="259" w:lineRule="auto"/>
        <w:jc w:val="left"/>
        <w:rPr>
          <w:bCs/>
          <w:color w:val="000000"/>
          <w:lang w:eastAsia="zh-CN"/>
        </w:rPr>
      </w:pPr>
      <w:r>
        <w:rPr>
          <w:bCs/>
          <w:color w:val="000000"/>
          <w:lang w:eastAsia="zh-CN"/>
        </w:rPr>
        <w:br w:type="page"/>
      </w:r>
    </w:p>
    <w:p w:rsidR="00430D62" w:rsidRPr="00392836" w:rsidRDefault="00430D62" w:rsidP="0072363B">
      <w:pPr>
        <w:pStyle w:val="Heading3"/>
        <w:ind w:firstLine="720"/>
        <w:rPr>
          <w:lang w:val="en-US"/>
        </w:rPr>
      </w:pPr>
      <w:bookmarkStart w:id="221" w:name="_Toc484448852"/>
      <w:bookmarkStart w:id="222" w:name="_Toc506232360"/>
      <w:bookmarkStart w:id="223" w:name="_Toc419657259"/>
      <w:bookmarkStart w:id="224" w:name="_Toc419657331"/>
      <w:bookmarkStart w:id="225" w:name="_Toc419659336"/>
      <w:bookmarkStart w:id="226" w:name="_Toc419852031"/>
      <w:r w:rsidRPr="00392836">
        <w:rPr>
          <w:lang w:val="en-US"/>
        </w:rPr>
        <w:lastRenderedPageBreak/>
        <w:t>2.</w:t>
      </w:r>
      <w:r>
        <w:rPr>
          <w:lang w:val="en-US"/>
        </w:rPr>
        <w:t>7</w:t>
      </w:r>
      <w:r w:rsidRPr="00392836">
        <w:rPr>
          <w:lang w:val="en-US"/>
        </w:rPr>
        <w:t xml:space="preserve"> </w:t>
      </w:r>
      <w:r w:rsidRPr="00392836">
        <w:rPr>
          <w:i/>
          <w:lang w:val="en-US"/>
        </w:rPr>
        <w:t>In vitro</w:t>
      </w:r>
      <w:r w:rsidRPr="00392836">
        <w:rPr>
          <w:lang w:val="en-US"/>
        </w:rPr>
        <w:t xml:space="preserve"> experiments</w:t>
      </w:r>
      <w:bookmarkEnd w:id="221"/>
      <w:bookmarkEnd w:id="222"/>
    </w:p>
    <w:p w:rsidR="00430D62" w:rsidRPr="00392836" w:rsidRDefault="00430D62" w:rsidP="0072363B">
      <w:pPr>
        <w:pStyle w:val="Heading4"/>
        <w:ind w:firstLine="720"/>
        <w:rPr>
          <w:rFonts w:eastAsia="Times New Roman"/>
          <w:lang w:val="en-US"/>
        </w:rPr>
      </w:pPr>
      <w:bookmarkStart w:id="227" w:name="_Toc484448853"/>
      <w:bookmarkStart w:id="228" w:name="_Toc506232361"/>
      <w:r w:rsidRPr="00392836">
        <w:rPr>
          <w:rFonts w:eastAsia="Times New Roman"/>
          <w:lang w:val="en-US"/>
        </w:rPr>
        <w:t>2.</w:t>
      </w:r>
      <w:r>
        <w:rPr>
          <w:rFonts w:eastAsia="Times New Roman"/>
          <w:lang w:val="en-US"/>
        </w:rPr>
        <w:t>7</w:t>
      </w:r>
      <w:r w:rsidRPr="00392836">
        <w:rPr>
          <w:rFonts w:eastAsia="Times New Roman"/>
          <w:lang w:val="en-US"/>
        </w:rPr>
        <w:t>.1 Cell lines</w:t>
      </w:r>
      <w:bookmarkEnd w:id="223"/>
      <w:bookmarkEnd w:id="224"/>
      <w:bookmarkEnd w:id="225"/>
      <w:bookmarkEnd w:id="226"/>
      <w:bookmarkEnd w:id="227"/>
      <w:bookmarkEnd w:id="228"/>
    </w:p>
    <w:p w:rsidR="00430D62" w:rsidRPr="00392836" w:rsidRDefault="00430D62" w:rsidP="0072363B">
      <w:pPr>
        <w:ind w:firstLine="720"/>
        <w:rPr>
          <w:lang w:val="en-US"/>
        </w:rPr>
      </w:pPr>
      <w:r w:rsidRPr="00392836">
        <w:rPr>
          <w:lang w:val="en-US"/>
        </w:rPr>
        <w:t>All cell lines were originally from rat kidney tissues.</w:t>
      </w:r>
    </w:p>
    <w:p w:rsidR="00430D62" w:rsidRPr="00392836" w:rsidRDefault="00430D62" w:rsidP="0072363B">
      <w:pPr>
        <w:ind w:left="720"/>
        <w:rPr>
          <w:lang w:val="en-US"/>
        </w:rPr>
      </w:pPr>
      <w:r w:rsidRPr="00392836">
        <w:rPr>
          <w:lang w:val="en-US"/>
        </w:rPr>
        <w:t>Rat proxima</w:t>
      </w:r>
      <w:r w:rsidR="00EF433F">
        <w:rPr>
          <w:lang w:val="en-US"/>
        </w:rPr>
        <w:t>l tubular epithelial cells (NRK</w:t>
      </w:r>
      <w:r w:rsidRPr="00392836">
        <w:rPr>
          <w:lang w:val="en-US"/>
        </w:rPr>
        <w:t>52E) and fibroblast cells (NRK49F) were obtained from the European Cell Culture Collection. Both NRK52E (epithelioid)  and NRK49F (fibroblast) clones were previously isolated from normal rat kidney line NRK</w:t>
      </w:r>
      <w:r w:rsidR="00FA3229">
        <w:rPr>
          <w:lang w:val="en-US"/>
        </w:rPr>
        <w:t xml:space="preserve"> </w:t>
      </w:r>
      <w:r w:rsidRPr="00392836">
        <w:rPr>
          <w:lang w:val="en-US"/>
        </w:rPr>
        <w:fldChar w:fldCharType="begin"/>
      </w:r>
      <w:r w:rsidRPr="00392836">
        <w:rPr>
          <w:lang w:val="en-US"/>
        </w:rPr>
        <w:instrText xml:space="preserve"> ADDIN EN.CITE &lt;EndNote&gt;&lt;Cite&gt;&lt;Author&gt;Jej&lt;/Author&gt;&lt;Year&gt;1978&lt;/Year&gt;&lt;IDText&gt;Epithelioid and fibroblastic rat kidney cell clones: epidermal growth factor (EGF) receptors and the effect of mouse sarcoma virus transformation&lt;/IDText&gt;&lt;DisplayText&gt;(LarcoTodaro et al., 1978)&lt;/DisplayText&gt;&lt;record&gt;&lt;isbn&gt;0021-9541&lt;/isbn&gt;&lt;titles&gt;&lt;title&gt;Epithelioid and fibroblastic rat kidney cell clones: epidermal growth factor (EGF) receptors and the effect of mouse sarcoma virus transformation&lt;/title&gt;&lt;secondary-title&gt;J CELL PHYSIOL&lt;/secondary-title&gt;&lt;/titles&gt;&lt;pages&gt;335-342&lt;/pages&gt;&lt;number&gt;3&lt;/number&gt;&lt;contributors&gt;&lt;authors&gt;&lt;author&gt;Jej Eg J. Jegj DELARCOde LarcoTodaro&lt;/author&gt;&lt;author&gt;de Larco, J. E.&lt;/author&gt;&lt;author&gt;Todaro, G. J.&lt;/author&gt;&lt;/authors&gt;&lt;/contributors&gt;&lt;added-date format="utc"&gt;1423689761&lt;/added-date&gt;&lt;ref-type name="Journal Article"&gt;17&lt;/ref-type&gt;&lt;dates&gt;&lt;year&gt;1978&lt;/year&gt;&lt;/dates&gt;&lt;rec-number&gt;181&lt;/rec-number&gt;&lt;last-updated-date format="utc"&gt;1423689761&lt;/last-updated-date&gt;&lt;electronic-resource-num&gt;10.1002/jcp.1040940311&lt;/electronic-resource-num&gt;&lt;volume&gt;94&lt;/volume&gt;&lt;/record&gt;&lt;/Cite&gt;&lt;/EndNote&gt;</w:instrText>
      </w:r>
      <w:r w:rsidRPr="00392836">
        <w:rPr>
          <w:lang w:val="en-US"/>
        </w:rPr>
        <w:fldChar w:fldCharType="separate"/>
      </w:r>
      <w:r w:rsidRPr="00392836">
        <w:rPr>
          <w:noProof/>
          <w:lang w:val="en-US"/>
        </w:rPr>
        <w:t>(LarcoTodaro et al., 1978)</w:t>
      </w:r>
      <w:r w:rsidRPr="00392836">
        <w:rPr>
          <w:lang w:val="en-US"/>
        </w:rPr>
        <w:fldChar w:fldCharType="end"/>
      </w:r>
      <w:r w:rsidRPr="00392836">
        <w:rPr>
          <w:lang w:val="en-US"/>
        </w:rPr>
        <w:t xml:space="preserve">. </w:t>
      </w:r>
    </w:p>
    <w:p w:rsidR="00430D62" w:rsidRPr="00392836" w:rsidRDefault="00430D62" w:rsidP="0072363B">
      <w:pPr>
        <w:ind w:left="720"/>
        <w:rPr>
          <w:lang w:val="en-US"/>
        </w:rPr>
      </w:pPr>
      <w:r w:rsidRPr="00392836">
        <w:rPr>
          <w:lang w:val="en-US"/>
        </w:rPr>
        <w:t xml:space="preserve">Rat mesangial cells (CRL2573) isolated from Sprague-Dawley rats </w:t>
      </w:r>
      <w:r w:rsidRPr="00392836">
        <w:rPr>
          <w:lang w:val="en-US"/>
        </w:rPr>
        <w:fldChar w:fldCharType="begin"/>
      </w:r>
      <w:r w:rsidRPr="00392836">
        <w:rPr>
          <w:lang w:val="en-US"/>
        </w:rPr>
        <w:instrText xml:space="preserve"> ADDIN EN.CITE &lt;EndNote&gt;&lt;Cite&gt;&lt;Author&gt;Encarnacion&lt;/Author&gt;&lt;Year&gt;2011&lt;/Year&gt;&lt;RecNum&gt;0&lt;/RecNum&gt;&lt;IDText&gt;n- 3 Fatty acids block TNF-alpha- stimulated MCP- 1 expression in rat mesangial cells&lt;/IDText&gt;&lt;DisplayText&gt;(Encarnacion et al., 2011)&lt;/DisplayText&gt;&lt;record&gt;&lt;isbn&gt;1931-857X&lt;/isbn&gt;&lt;titles&gt;&lt;title&gt;n- 3 Fatty acids block TNF-alpha- stimulated MCP- 1 expression in rat mesangial cells&lt;/title&gt;&lt;secondary-title&gt;Am. J. Physiol.-Renal Physiol.&lt;/secondary-title&gt;&lt;/titles&gt;&lt;pages&gt;F1142-F1151&lt;/pages&gt;&lt;number&gt;5&lt;/number&gt;&lt;contributors&gt;&lt;authors&gt;&lt;author&gt;Encarnacion, Mmd&lt;/author&gt;&lt;author&gt;Warner, Gm&lt;/author&gt;&lt;author&gt;Cheng, Jf&lt;/author&gt;&lt;author&gt;Gray, C. E.&lt;/author&gt;&lt;author&gt;Nath, Ka&lt;/author&gt;&lt;author&gt;Grande, J. P.&lt;/author&gt;&lt;/authors&gt;&lt;/contributors&gt;&lt;added-date format="utc"&gt;1423838403&lt;/added-date&gt;&lt;ref-type name="Journal Article"&gt;17&lt;/ref-type&gt;&lt;dates&gt;&lt;year&gt;2011&lt;/year&gt;&lt;/dates&gt;&lt;rec-number&gt;182&lt;/rec-number&gt;&lt;last-updated-date format="utc"&gt;1423838403&lt;/last-updated-date&gt;&lt;electronic-resource-num&gt;10.1152/ajprenal.00064.2011&lt;/electronic-resource-num&gt;&lt;volume&gt;300&lt;/volume&gt;&lt;/record&gt;&lt;/Cite&gt;&lt;Cite&gt;&lt;Author&gt;Encarnacion&lt;/Author&gt;&lt;Year&gt;2011&lt;/Year&gt;&lt;IDText&gt;n- 3 Fatty acids block TNF-alpha- stimulated MCP- 1 expression in rat mesangial cells&lt;/IDText&gt;&lt;record&gt;&lt;isbn&gt;1931-857X&lt;/isbn&gt;&lt;titles&gt;&lt;title&gt;n- 3 Fatty acids block TNF-alpha- stimulated MCP- 1 expression in rat mesangial cells&lt;/title&gt;&lt;secondary-title&gt;Am. J. Physiol.-Renal Physiol.&lt;/secondary-title&gt;&lt;/titles&gt;&lt;pages&gt;F1142-F1151&lt;/pages&gt;&lt;number&gt;5&lt;/number&gt;&lt;contributors&gt;&lt;authors&gt;&lt;author&gt;Encarnacion, Mmd&lt;/author&gt;&lt;author&gt;Warner, Gm&lt;/author&gt;&lt;author&gt;Cheng, Jf&lt;/author&gt;&lt;author&gt;Gray, C. E.&lt;/author&gt;&lt;author&gt;Nath, Ka&lt;/author&gt;&lt;author&gt;Grande, J. P.&lt;/author&gt;&lt;/authors&gt;&lt;/contributors&gt;&lt;added-date format="utc"&gt;1423838403&lt;/added-date&gt;&lt;ref-type name="Journal Article"&gt;17&lt;/ref-type&gt;&lt;dates&gt;&lt;year&gt;2011&lt;/year&gt;&lt;/dates&gt;&lt;rec-number&gt;182&lt;/rec-number&gt;&lt;last-updated-date format="utc"&gt;1423838403&lt;/last-updated-date&gt;&lt;electronic-resource-num&gt;10.1152/ajprenal.00064.2011&lt;/electronic-resource-num&gt;&lt;volume&gt;300&lt;/volume&gt;&lt;/record&gt;&lt;/Cite&gt;&lt;/EndNote&gt;</w:instrText>
      </w:r>
      <w:r w:rsidRPr="00392836">
        <w:rPr>
          <w:lang w:val="en-US"/>
        </w:rPr>
        <w:fldChar w:fldCharType="separate"/>
      </w:r>
      <w:r w:rsidRPr="00392836">
        <w:rPr>
          <w:noProof/>
          <w:lang w:val="en-US"/>
        </w:rPr>
        <w:t>(Encarnacion et al., 2011)</w:t>
      </w:r>
      <w:r w:rsidRPr="00392836">
        <w:rPr>
          <w:lang w:val="en-US"/>
        </w:rPr>
        <w:fldChar w:fldCharType="end"/>
      </w:r>
      <w:r w:rsidRPr="00392836">
        <w:rPr>
          <w:lang w:val="en-US"/>
        </w:rPr>
        <w:t xml:space="preserve"> were obtained from American Type Culture Collection (ATCC).</w:t>
      </w:r>
    </w:p>
    <w:p w:rsidR="00430D62" w:rsidRPr="00392836" w:rsidRDefault="00430D62" w:rsidP="0072363B">
      <w:pPr>
        <w:pStyle w:val="Heading4"/>
        <w:ind w:firstLine="720"/>
        <w:rPr>
          <w:rFonts w:eastAsia="Times New Roman"/>
          <w:lang w:val="en-US"/>
        </w:rPr>
      </w:pPr>
      <w:bookmarkStart w:id="229" w:name="_Toc419657260"/>
      <w:bookmarkStart w:id="230" w:name="_Toc419657332"/>
      <w:bookmarkStart w:id="231" w:name="_Toc419659337"/>
      <w:bookmarkStart w:id="232" w:name="_Toc419852032"/>
      <w:bookmarkStart w:id="233" w:name="_Toc484448854"/>
      <w:bookmarkStart w:id="234" w:name="_Toc506232362"/>
      <w:r w:rsidRPr="00392836">
        <w:rPr>
          <w:rFonts w:eastAsia="Times New Roman"/>
          <w:lang w:val="en-US"/>
        </w:rPr>
        <w:t>2.</w:t>
      </w:r>
      <w:r>
        <w:rPr>
          <w:rFonts w:eastAsia="Times New Roman"/>
          <w:lang w:val="en-US"/>
        </w:rPr>
        <w:t>7</w:t>
      </w:r>
      <w:r w:rsidRPr="00392836">
        <w:rPr>
          <w:rFonts w:eastAsia="Times New Roman"/>
          <w:lang w:val="en-US"/>
        </w:rPr>
        <w:t>.2 Cell counting protocol</w:t>
      </w:r>
      <w:bookmarkEnd w:id="229"/>
      <w:bookmarkEnd w:id="230"/>
      <w:bookmarkEnd w:id="231"/>
      <w:bookmarkEnd w:id="232"/>
      <w:bookmarkEnd w:id="233"/>
      <w:bookmarkEnd w:id="234"/>
    </w:p>
    <w:p w:rsidR="00430D62" w:rsidRPr="00392836" w:rsidRDefault="00430D62" w:rsidP="0072363B">
      <w:pPr>
        <w:ind w:left="720"/>
        <w:rPr>
          <w:lang w:val="en-US"/>
        </w:rPr>
      </w:pPr>
      <w:r w:rsidRPr="00392836">
        <w:rPr>
          <w:lang w:val="en-US"/>
        </w:rPr>
        <w:t>Cell counting was done using the TC20 automated cell counter (</w:t>
      </w:r>
      <w:r w:rsidR="00D42EAE">
        <w:rPr>
          <w:lang w:val="en-US"/>
        </w:rPr>
        <w:t xml:space="preserve">Fig. </w:t>
      </w:r>
      <w:r w:rsidR="006F797A">
        <w:rPr>
          <w:lang w:val="en-US"/>
        </w:rPr>
        <w:t>2.14</w:t>
      </w:r>
      <w:r w:rsidRPr="00392836">
        <w:rPr>
          <w:lang w:val="en-US"/>
        </w:rPr>
        <w:t>). This is able to count suspended cells with diameter between 6 and 50 µm and cell concentration range between 5 x 10</w:t>
      </w:r>
      <w:r w:rsidRPr="00392836">
        <w:rPr>
          <w:vertAlign w:val="superscript"/>
          <w:lang w:val="en-US"/>
        </w:rPr>
        <w:t>4</w:t>
      </w:r>
      <w:r w:rsidR="009D2515">
        <w:rPr>
          <w:vertAlign w:val="superscript"/>
          <w:lang w:val="en-US"/>
        </w:rPr>
        <w:t xml:space="preserve"> </w:t>
      </w:r>
      <w:r w:rsidRPr="00392836">
        <w:rPr>
          <w:lang w:val="en-US"/>
        </w:rPr>
        <w:t>–</w:t>
      </w:r>
      <w:r w:rsidR="009D2515">
        <w:rPr>
          <w:lang w:val="en-US"/>
        </w:rPr>
        <w:t xml:space="preserve"> </w:t>
      </w:r>
      <w:r w:rsidRPr="00392836">
        <w:rPr>
          <w:lang w:val="en-US"/>
        </w:rPr>
        <w:t>1 x 10</w:t>
      </w:r>
      <w:r w:rsidRPr="00392836">
        <w:rPr>
          <w:vertAlign w:val="superscript"/>
          <w:lang w:val="en-US"/>
        </w:rPr>
        <w:t>7</w:t>
      </w:r>
      <w:r w:rsidRPr="00392836">
        <w:rPr>
          <w:lang w:val="en-US"/>
        </w:rPr>
        <w:t xml:space="preserve"> cells/ml, in one simple step with its auto-focus innovation which eliminates variation experienced with manual focusing. It also assessed cell viability via trypan blue exclusion. It demonstrated greater reproducibility and accuracy compared to the haemocytometer. </w:t>
      </w:r>
    </w:p>
    <w:p w:rsidR="00430D62" w:rsidRDefault="00430D62" w:rsidP="0072363B">
      <w:pPr>
        <w:ind w:left="720"/>
        <w:rPr>
          <w:lang w:val="en-US"/>
        </w:rPr>
      </w:pPr>
      <w:r w:rsidRPr="00392836">
        <w:rPr>
          <w:lang w:val="en-US"/>
        </w:rPr>
        <w:t>10 µl of the cell suspension was mixed with 10 µl of trypan blue [0.4 %( w/v) trypan blue in PBS]. 10 µl of this mixture was slowly loaded into the outer edge of the opening in a two way chamber counting slide. The counting slide was completely inserted into the slide slot of the TC20 automated cell counter. Results were displayed on the top screen of TC20 automated cell counter in 30 seconds. Results obtained were total cell counts and viable cell counts.</w:t>
      </w:r>
      <w:bookmarkStart w:id="235" w:name="_Toc419657261"/>
      <w:bookmarkStart w:id="236" w:name="_Toc419657333"/>
      <w:bookmarkStart w:id="237" w:name="_Toc419659338"/>
      <w:bookmarkStart w:id="238" w:name="_Toc419852033"/>
    </w:p>
    <w:p w:rsidR="00B01F6C" w:rsidRDefault="00B01F6C" w:rsidP="00E155EB">
      <w:pPr>
        <w:ind w:firstLine="720"/>
        <w:rPr>
          <w:lang w:val="en-US"/>
        </w:rPr>
      </w:pPr>
      <w:r>
        <w:rPr>
          <w:noProof/>
          <w:lang w:eastAsia="en-GB"/>
        </w:rPr>
        <w:lastRenderedPageBreak/>
        <w:drawing>
          <wp:inline distT="0" distB="0" distL="0" distR="0">
            <wp:extent cx="2190750" cy="3143250"/>
            <wp:effectExtent l="0" t="0" r="0" b="0"/>
            <wp:docPr id="224" name="Picture 224" descr="Screenshot_2016-08-10-11-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_2016-08-10-11-49-39"/>
                    <pic:cNvPicPr>
                      <a:picLocks noChangeAspect="1" noChangeArrowheads="1"/>
                    </pic:cNvPicPr>
                  </pic:nvPicPr>
                  <pic:blipFill>
                    <a:blip r:embed="rId52" cstate="print">
                      <a:extLst>
                        <a:ext uri="{28A0092B-C50C-407E-A947-70E740481C1C}">
                          <a14:useLocalDpi xmlns:a14="http://schemas.microsoft.com/office/drawing/2010/main" val="0"/>
                        </a:ext>
                      </a:extLst>
                    </a:blip>
                    <a:srcRect l="8746" t="13745" r="9038" b="20459"/>
                    <a:stretch>
                      <a:fillRect/>
                    </a:stretch>
                  </pic:blipFill>
                  <pic:spPr bwMode="auto">
                    <a:xfrm>
                      <a:off x="0" y="0"/>
                      <a:ext cx="2190750" cy="3143250"/>
                    </a:xfrm>
                    <a:prstGeom prst="rect">
                      <a:avLst/>
                    </a:prstGeom>
                    <a:noFill/>
                    <a:ln>
                      <a:noFill/>
                    </a:ln>
                  </pic:spPr>
                </pic:pic>
              </a:graphicData>
            </a:graphic>
          </wp:inline>
        </w:drawing>
      </w:r>
    </w:p>
    <w:p w:rsidR="00B01F6C" w:rsidRPr="00B01F6C" w:rsidRDefault="00B01F6C" w:rsidP="007B3EEB">
      <w:pPr>
        <w:pStyle w:val="Subtitle"/>
      </w:pPr>
      <w:bookmarkStart w:id="239" w:name="_Toc504640583"/>
      <w:r w:rsidRPr="000C38B3">
        <w:t>Figure 2.1</w:t>
      </w:r>
      <w:r w:rsidR="00A70F56">
        <w:t>3</w:t>
      </w:r>
      <w:r w:rsidRPr="000C38B3">
        <w:t>: TC20 automated cell counter</w:t>
      </w:r>
      <w:bookmarkEnd w:id="239"/>
    </w:p>
    <w:p w:rsidR="00B01F6C" w:rsidRPr="00392836" w:rsidRDefault="00B01F6C" w:rsidP="002D56BD">
      <w:pPr>
        <w:rPr>
          <w:lang w:val="en-US"/>
        </w:rPr>
      </w:pPr>
    </w:p>
    <w:p w:rsidR="00430D62" w:rsidRPr="00392836" w:rsidRDefault="00430D62" w:rsidP="002A1222">
      <w:pPr>
        <w:pStyle w:val="Heading4"/>
        <w:ind w:firstLine="720"/>
        <w:rPr>
          <w:rFonts w:eastAsia="Times New Roman"/>
          <w:lang w:val="en-US"/>
        </w:rPr>
      </w:pPr>
      <w:bookmarkStart w:id="240" w:name="_Toc484448855"/>
      <w:bookmarkStart w:id="241" w:name="_Toc506232363"/>
      <w:r w:rsidRPr="00392836">
        <w:rPr>
          <w:rFonts w:eastAsia="Times New Roman"/>
          <w:lang w:val="en-US"/>
        </w:rPr>
        <w:t>2.</w:t>
      </w:r>
      <w:r>
        <w:rPr>
          <w:rFonts w:eastAsia="Times New Roman"/>
          <w:lang w:val="en-US"/>
        </w:rPr>
        <w:t>7</w:t>
      </w:r>
      <w:r w:rsidRPr="00392836">
        <w:rPr>
          <w:rFonts w:eastAsia="Times New Roman"/>
          <w:lang w:val="en-US"/>
        </w:rPr>
        <w:t>.3 Fibrin preparation</w:t>
      </w:r>
      <w:bookmarkEnd w:id="235"/>
      <w:bookmarkEnd w:id="236"/>
      <w:bookmarkEnd w:id="237"/>
      <w:bookmarkEnd w:id="238"/>
      <w:bookmarkEnd w:id="240"/>
      <w:bookmarkEnd w:id="241"/>
    </w:p>
    <w:p w:rsidR="00430D62" w:rsidRDefault="00430D62" w:rsidP="002A1222">
      <w:pPr>
        <w:ind w:left="720"/>
        <w:rPr>
          <w:lang w:val="en-US"/>
        </w:rPr>
      </w:pPr>
      <w:r w:rsidRPr="00392836">
        <w:rPr>
          <w:lang w:val="en-US"/>
        </w:rPr>
        <w:t xml:space="preserve">Fibrin preparation was as described </w:t>
      </w:r>
      <w:r w:rsidRPr="00392836">
        <w:rPr>
          <w:lang w:val="en-US"/>
        </w:rPr>
        <w:fldChar w:fldCharType="begin">
          <w:fldData xml:space="preserve">PEVuZE5vdGU+PENpdGU+PEF1dGhvcj5SaW9wZWw8L0F1dGhvcj48WWVhcj4yMDE1PC9ZZWFyPjxJ
RFRleHQ+RmlicmluIHN1cHBvcnRzIGh1bWFuIGZldGFsIGlzbGV0LWVwaXRoZWxpYWwgY2VsbCBk
aWZmZXJlbnRpYXRpb24gdmlhIHA3MHM2ayBhbmQgcHJvbW90ZXMgdmFzY3VsYXIgZm9ybWF0aW9u
IGR1cmluZyB0cmFuc3BsYW50YXRpb248L0lEVGV4dD48RGlzcGxheVRleHQ+KFJpb3BlbCBldCBh
bC4sIDIwMTUpPC9EaXNwbGF5VGV4dD48cmVjb3JkPjxkYXRlcz48cHViLWRhdGVzPjxkYXRlPjA4
Ly9wcmludDwvZGF0ZT48L3B1Yi1kYXRlcz48eWVhcj4yMDE1PC95ZWFyPjwvZGF0ZXM+PHVybHM+
PHJlbGF0ZWQtdXJscz48dXJsPmh0dHA6Ly9keC5kb2kub3JnLzEwLjEwMzgvbGFiaW52ZXN0LjIw
MTUuNzQ8L3VybD48L3JlbGF0ZWQtdXJscz48L3VybHM+PGlzYm4+MDAyMy02ODM3PC9pc2JuPjx3
b3JrLXR5cGU+UmVzZWFyY2ggQXJ0aWNsZTwvd29yay10eXBlPjx0aXRsZXM+PHRpdGxlPkZpYnJp
biBzdXBwb3J0cyBodW1hbiBmZXRhbCBpc2xldC1lcGl0aGVsaWFsIGNlbGwgZGlmZmVyZW50aWF0
aW9uIHZpYSBwNzBzNmsgYW5kIHByb21vdGVzIHZhc2N1bGFyIGZvcm1hdGlvbiBkdXJpbmcgdHJh
bnNwbGFudGF0aW9uPC90aXRsZT48c2Vjb25kYXJ5LXRpdGxlPkxhYiBJbnZlc3Q8L3NlY29uZGFy
eS10aXRsZT48L3RpdGxlcz48cGFnZXM+OTI1LTkzNjwvcGFnZXM+PG51bWJlcj44PC9udW1iZXI+
PGNvbnRyaWJ1dG9ycz48YXV0aG9ycz48YXV0aG9yPlJpb3BlbCwgTWF0dGhldzwvYXV0aG9yPjxh
dXRob3I+TGksIEppbm1pbmc8L2F1dGhvcj48YXV0aG9yPlRyaW5kZXIsIE1hcms8L2F1dGhvcj48
YXV0aG9yPkZlbGxvd3MsIEdlb3JnZSBGLjwvYXV0aG9yPjxhdXRob3I+V2FuZywgUmVubmlhbjwv
YXV0aG9yPjwvYXV0aG9ycz48L2NvbnRyaWJ1dG9ycz48YWRkZWQtZGF0ZSBmb3JtYXQ9InV0YyI+
MTQ3MjMyMzU1NTwvYWRkZWQtZGF0ZT48cmVmLXR5cGUgbmFtZT0iSm91cm5hbCBBcnRpY2xlIj4x
NzwvcmVmLXR5cGU+PHJlYy1udW1iZXI+MTU1MzwvcmVjLW51bWJlcj48cHVibGlzaGVyPlVuaXRl
ZCBTdGF0ZXMgJmFtcDsgQ2FuYWRpYW4gQWNhZGVteSBvZiBQYXRob2xvZ3k8L3B1Ymxpc2hlcj48
bGFzdC11cGRhdGVkLWRhdGUgZm9ybWF0PSJ1dGMiPjE0NzIzMjM1NTU8L2xhc3QtdXBkYXRlZC1k
YXRlPjxlbGVjdHJvbmljLXJlc291cmNlLW51bT4xMC4xMDM4L2xhYmludmVzdC4yMDE1Ljc0PC9l
bGVjdHJvbmljLXJlc291cmNlLW51bT48dm9sdW1lPjk1PC92b2x1bWU+PC9yZWNvcmQ+PC9DaXRl
PjxDaXRlPjxBdXRob3I+UmlvcGVsPC9BdXRob3I+PFllYXI+MjAxNTwvWWVhcj48SURUZXh0PkZp
YnJpbiBzdXBwb3J0cyBodW1hbiBmZXRhbCBpc2xldC1lcGl0aGVsaWFsIGNlbGwgZGlmZmVyZW50
aWF0aW9uIHZpYSBwNzBzNmsgYW5kIHByb21vdGVzIHZhc2N1bGFyIGZvcm1hdGlvbiBkdXJpbmcg
dHJhbnNwbGFudGF0aW9uPC9JRFRleHQ+PHJlY29yZD48ZGF0ZXM+PHB1Yi1kYXRlcz48ZGF0ZT4w
OC8vcHJpbnQ8L2RhdGU+PC9wdWItZGF0ZXM+PHllYXI+MjAxNTwveWVhcj48L2RhdGVzPjx1cmxz
PjxyZWxhdGVkLXVybHM+PHVybD5odHRwOi8vZHguZG9pLm9yZy8xMC4xMDM4L2xhYmludmVzdC4y
MDE1Ljc0PC91cmw+PC9yZWxhdGVkLXVybHM+PC91cmxzPjxpc2JuPjAwMjMtNjgzNzwvaXNibj48
d29yay10eXBlPlJlc2VhcmNoIEFydGljbGU8L3dvcmstdHlwZT48dGl0bGVzPjx0aXRsZT5GaWJy
aW4gc3VwcG9ydHMgaHVtYW4gZmV0YWwgaXNsZXQtZXBpdGhlbGlhbCBjZWxsIGRpZmZlcmVudGlh
dGlvbiB2aWEgcDcwczZrIGFuZCBwcm9tb3RlcyB2YXNjdWxhciBmb3JtYXRpb24gZHVyaW5nIHRy
YW5zcGxhbnRhdGlvbjwvdGl0bGU+PHNlY29uZGFyeS10aXRsZT5MYWIgSW52ZXN0PC9zZWNvbmRh
cnktdGl0bGU+PC90aXRsZXM+PHBhZ2VzPjkyNS05MzY8L3BhZ2VzPjxudW1iZXI+ODwvbnVtYmVy
Pjxjb250cmlidXRvcnM+PGF1dGhvcnM+PGF1dGhvcj5SaW9wZWwsIE1hdHRoZXc8L2F1dGhvcj48
YXV0aG9yPkxpLCBKaW5taW5nPC9hdXRob3I+PGF1dGhvcj5UcmluZGVyLCBNYXJrPC9hdXRob3I+
PGF1dGhvcj5GZWxsb3dzLCBHZW9yZ2UgRi48L2F1dGhvcj48YXV0aG9yPldhbmcsIFJlbm5pYW48
L2F1dGhvcj48L2F1dGhvcnM+PC9jb250cmlidXRvcnM+PGFkZGVkLWRhdGUgZm9ybWF0PSJ1dGMi
PjE0NzYzNzY2MzM8L2FkZGVkLWRhdGU+PHJlZi10eXBlIG5hbWU9IkpvdXJuYWwgQXJ0aWNsZSI+
MTc8L3JlZi10eXBlPjxyZWMtbnVtYmVyPjE1NjU8L3JlYy1udW1iZXI+PHB1Ymxpc2hlcj5Vbml0
ZWQgU3RhdGVzICZhbXA7IENhbmFkaWFuIEFjYWRlbXkgb2YgUGF0aG9sb2d5PC9wdWJsaXNoZXI+
PGxhc3QtdXBkYXRlZC1kYXRlIGZvcm1hdD0idXRjIj4xNDc2Mzc2NjMzPC9sYXN0LXVwZGF0ZWQt
ZGF0ZT48ZWxlY3Ryb25pYy1yZXNvdXJjZS1udW0+MTAuMTAzOC9sYWJpbnZlc3QuMjAxNS43NDwv
ZWxlY3Ryb25pYy1yZXNvdXJjZS1udW0+PHZvbHVtZT45NTwvdm9sdW1lPjwvcmVjb3JkPjwvQ2l0
ZT48L0VuZE5vdGU+AG==
</w:fldData>
        </w:fldChar>
      </w:r>
      <w:r w:rsidRPr="00392836">
        <w:rPr>
          <w:lang w:val="en-US"/>
        </w:rPr>
        <w:instrText xml:space="preserve"> ADDIN EN.CITE </w:instrText>
      </w:r>
      <w:r w:rsidRPr="00392836">
        <w:rPr>
          <w:lang w:val="en-US"/>
        </w:rPr>
        <w:fldChar w:fldCharType="begin">
          <w:fldData xml:space="preserve">PEVuZE5vdGU+PENpdGU+PEF1dGhvcj5SaW9wZWw8L0F1dGhvcj48WWVhcj4yMDE1PC9ZZWFyPjxJ
RFRleHQ+RmlicmluIHN1cHBvcnRzIGh1bWFuIGZldGFsIGlzbGV0LWVwaXRoZWxpYWwgY2VsbCBk
aWZmZXJlbnRpYXRpb24gdmlhIHA3MHM2ayBhbmQgcHJvbW90ZXMgdmFzY3VsYXIgZm9ybWF0aW9u
IGR1cmluZyB0cmFuc3BsYW50YXRpb248L0lEVGV4dD48RGlzcGxheVRleHQ+KFJpb3BlbCBldCBh
bC4sIDIwMTUpPC9EaXNwbGF5VGV4dD48cmVjb3JkPjxkYXRlcz48cHViLWRhdGVzPjxkYXRlPjA4
Ly9wcmludDwvZGF0ZT48L3B1Yi1kYXRlcz48eWVhcj4yMDE1PC95ZWFyPjwvZGF0ZXM+PHVybHM+
PHJlbGF0ZWQtdXJscz48dXJsPmh0dHA6Ly9keC5kb2kub3JnLzEwLjEwMzgvbGFiaW52ZXN0LjIw
MTUuNzQ8L3VybD48L3JlbGF0ZWQtdXJscz48L3VybHM+PGlzYm4+MDAyMy02ODM3PC9pc2JuPjx3
b3JrLXR5cGU+UmVzZWFyY2ggQXJ0aWNsZTwvd29yay10eXBlPjx0aXRsZXM+PHRpdGxlPkZpYnJp
biBzdXBwb3J0cyBodW1hbiBmZXRhbCBpc2xldC1lcGl0aGVsaWFsIGNlbGwgZGlmZmVyZW50aWF0
aW9uIHZpYSBwNzBzNmsgYW5kIHByb21vdGVzIHZhc2N1bGFyIGZvcm1hdGlvbiBkdXJpbmcgdHJh
bnNwbGFudGF0aW9uPC90aXRsZT48c2Vjb25kYXJ5LXRpdGxlPkxhYiBJbnZlc3Q8L3NlY29uZGFy
eS10aXRsZT48L3RpdGxlcz48cGFnZXM+OTI1LTkzNjwvcGFnZXM+PG51bWJlcj44PC9udW1iZXI+
PGNvbnRyaWJ1dG9ycz48YXV0aG9ycz48YXV0aG9yPlJpb3BlbCwgTWF0dGhldzwvYXV0aG9yPjxh
dXRob3I+TGksIEppbm1pbmc8L2F1dGhvcj48YXV0aG9yPlRyaW5kZXIsIE1hcms8L2F1dGhvcj48
YXV0aG9yPkZlbGxvd3MsIEdlb3JnZSBGLjwvYXV0aG9yPjxhdXRob3I+V2FuZywgUmVubmlhbjwv
YXV0aG9yPjwvYXV0aG9ycz48L2NvbnRyaWJ1dG9ycz48YWRkZWQtZGF0ZSBmb3JtYXQ9InV0YyI+
MTQ3MjMyMzU1NTwvYWRkZWQtZGF0ZT48cmVmLXR5cGUgbmFtZT0iSm91cm5hbCBBcnRpY2xlIj4x
NzwvcmVmLXR5cGU+PHJlYy1udW1iZXI+MTU1MzwvcmVjLW51bWJlcj48cHVibGlzaGVyPlVuaXRl
ZCBTdGF0ZXMgJmFtcDsgQ2FuYWRpYW4gQWNhZGVteSBvZiBQYXRob2xvZ3k8L3B1Ymxpc2hlcj48
bGFzdC11cGRhdGVkLWRhdGUgZm9ybWF0PSJ1dGMiPjE0NzIzMjM1NTU8L2xhc3QtdXBkYXRlZC1k
YXRlPjxlbGVjdHJvbmljLXJlc291cmNlLW51bT4xMC4xMDM4L2xhYmludmVzdC4yMDE1Ljc0PC9l
bGVjdHJvbmljLXJlc291cmNlLW51bT48dm9sdW1lPjk1PC92b2x1bWU+PC9yZWNvcmQ+PC9DaXRl
PjxDaXRlPjxBdXRob3I+UmlvcGVsPC9BdXRob3I+PFllYXI+MjAxNTwvWWVhcj48SURUZXh0PkZp
YnJpbiBzdXBwb3J0cyBodW1hbiBmZXRhbCBpc2xldC1lcGl0aGVsaWFsIGNlbGwgZGlmZmVyZW50
aWF0aW9uIHZpYSBwNzBzNmsgYW5kIHByb21vdGVzIHZhc2N1bGFyIGZvcm1hdGlvbiBkdXJpbmcg
dHJhbnNwbGFudGF0aW9uPC9JRFRleHQ+PHJlY29yZD48ZGF0ZXM+PHB1Yi1kYXRlcz48ZGF0ZT4w
OC8vcHJpbnQ8L2RhdGU+PC9wdWItZGF0ZXM+PHllYXI+MjAxNTwveWVhcj48L2RhdGVzPjx1cmxz
PjxyZWxhdGVkLXVybHM+PHVybD5odHRwOi8vZHguZG9pLm9yZy8xMC4xMDM4L2xhYmludmVzdC4y
MDE1Ljc0PC91cmw+PC9yZWxhdGVkLXVybHM+PC91cmxzPjxpc2JuPjAwMjMtNjgzNzwvaXNibj48
d29yay10eXBlPlJlc2VhcmNoIEFydGljbGU8L3dvcmstdHlwZT48dGl0bGVzPjx0aXRsZT5GaWJy
aW4gc3VwcG9ydHMgaHVtYW4gZmV0YWwgaXNsZXQtZXBpdGhlbGlhbCBjZWxsIGRpZmZlcmVudGlh
dGlvbiB2aWEgcDcwczZrIGFuZCBwcm9tb3RlcyB2YXNjdWxhciBmb3JtYXRpb24gZHVyaW5nIHRy
YW5zcGxhbnRhdGlvbjwvdGl0bGU+PHNlY29uZGFyeS10aXRsZT5MYWIgSW52ZXN0PC9zZWNvbmRh
cnktdGl0bGU+PC90aXRsZXM+PHBhZ2VzPjkyNS05MzY8L3BhZ2VzPjxudW1iZXI+ODwvbnVtYmVy
Pjxjb250cmlidXRvcnM+PGF1dGhvcnM+PGF1dGhvcj5SaW9wZWwsIE1hdHRoZXc8L2F1dGhvcj48
YXV0aG9yPkxpLCBKaW5taW5nPC9hdXRob3I+PGF1dGhvcj5UcmluZGVyLCBNYXJrPC9hdXRob3I+
PGF1dGhvcj5GZWxsb3dzLCBHZW9yZ2UgRi48L2F1dGhvcj48YXV0aG9yPldhbmcsIFJlbm5pYW48
L2F1dGhvcj48L2F1dGhvcnM+PC9jb250cmlidXRvcnM+PGFkZGVkLWRhdGUgZm9ybWF0PSJ1dGMi
PjE0NzYzNzY2MzM8L2FkZGVkLWRhdGU+PHJlZi10eXBlIG5hbWU9IkpvdXJuYWwgQXJ0aWNsZSI+
MTc8L3JlZi10eXBlPjxyZWMtbnVtYmVyPjE1NjU8L3JlYy1udW1iZXI+PHB1Ymxpc2hlcj5Vbml0
ZWQgU3RhdGVzICZhbXA7IENhbmFkaWFuIEFjYWRlbXkgb2YgUGF0aG9sb2d5PC9wdWJsaXNoZXI+
PGxhc3QtdXBkYXRlZC1kYXRlIGZvcm1hdD0idXRjIj4xNDc2Mzc2NjMzPC9sYXN0LXVwZGF0ZWQt
ZGF0ZT48ZWxlY3Ryb25pYy1yZXNvdXJjZS1udW0+MTAuMTAzOC9sYWJpbnZlc3QuMjAxNS43NDwv
ZWxlY3Ryb25pYy1yZXNvdXJjZS1udW0+PHZvbHVtZT45NTwvdm9sdW1lPjwvcmVjb3JkPjwvQ2l0
ZT48L0VuZE5vdGU+AG==
</w:fldData>
        </w:fldChar>
      </w:r>
      <w:r w:rsidRPr="00392836">
        <w:rPr>
          <w:lang w:val="en-US"/>
        </w:rPr>
        <w:instrText xml:space="preserve"> ADDIN EN.CITE.DATA </w:instrText>
      </w:r>
      <w:r w:rsidRPr="00392836">
        <w:rPr>
          <w:lang w:val="en-US"/>
        </w:rPr>
      </w:r>
      <w:r w:rsidRPr="00392836">
        <w:rPr>
          <w:lang w:val="en-US"/>
        </w:rPr>
        <w:fldChar w:fldCharType="end"/>
      </w:r>
      <w:r w:rsidRPr="00392836">
        <w:rPr>
          <w:lang w:val="en-US"/>
        </w:rPr>
      </w:r>
      <w:r w:rsidRPr="00392836">
        <w:rPr>
          <w:lang w:val="en-US"/>
        </w:rPr>
        <w:fldChar w:fldCharType="separate"/>
      </w:r>
      <w:r w:rsidRPr="00392836">
        <w:rPr>
          <w:noProof/>
          <w:lang w:val="en-US"/>
        </w:rPr>
        <w:t>(Riopel et al., 2015)</w:t>
      </w:r>
      <w:r w:rsidRPr="00392836">
        <w:rPr>
          <w:lang w:val="en-US"/>
        </w:rPr>
        <w:fldChar w:fldCharType="end"/>
      </w:r>
      <w:r w:rsidRPr="00392836">
        <w:rPr>
          <w:lang w:val="en-US"/>
        </w:rPr>
        <w:t>. A concentration of 1.8 mg/ml of fibrinogen was prepared by dissolving 0.18 mg of fibrinogen, from bovine plasma in warm phenol-red free/serum-free DMEM at 37</w:t>
      </w:r>
      <w:r w:rsidRPr="00392836">
        <w:rPr>
          <w:vertAlign w:val="superscript"/>
          <w:lang w:val="en-US"/>
        </w:rPr>
        <w:t>°</w:t>
      </w:r>
      <w:r w:rsidRPr="00392836">
        <w:rPr>
          <w:lang w:val="en-US"/>
        </w:rPr>
        <w:t>C. The mixture was gently agitated until it was fully dissolved and 1</w:t>
      </w:r>
      <w:r w:rsidR="00EF433F">
        <w:rPr>
          <w:lang w:val="en-US"/>
        </w:rPr>
        <w:t xml:space="preserve"> </w:t>
      </w:r>
      <w:r w:rsidRPr="00392836">
        <w:rPr>
          <w:lang w:val="en-US"/>
        </w:rPr>
        <w:t>ml was sterile-filtered into each well of a sterile 12-well plate using a 0.22 µm syringe filter. Thrombin (0.05 mg/ml) from bovine plasma was prepared by dissol</w:t>
      </w:r>
      <w:r w:rsidR="00EF433F">
        <w:rPr>
          <w:lang w:val="en-US"/>
        </w:rPr>
        <w:t>ving 0.5 mg of thrombin in 10 ml</w:t>
      </w:r>
      <w:r w:rsidRPr="00392836">
        <w:rPr>
          <w:lang w:val="en-US"/>
        </w:rPr>
        <w:t xml:space="preserve"> of phenol-red free/serum-free DMEM at 37°C and 1</w:t>
      </w:r>
      <w:r w:rsidR="00EF433F">
        <w:rPr>
          <w:lang w:val="en-US"/>
        </w:rPr>
        <w:t xml:space="preserve"> </w:t>
      </w:r>
      <w:r w:rsidRPr="00392836">
        <w:rPr>
          <w:lang w:val="en-US"/>
        </w:rPr>
        <w:t>ml was sterile-filtered into the fibrinogen mixture to induce polymerization. The 12-well plates were incubated at 37</w:t>
      </w:r>
      <w:r w:rsidRPr="00392836">
        <w:rPr>
          <w:vertAlign w:val="superscript"/>
          <w:lang w:val="en-US"/>
        </w:rPr>
        <w:t>0</w:t>
      </w:r>
      <w:r w:rsidR="009D2515">
        <w:rPr>
          <w:lang w:val="en-US"/>
        </w:rPr>
        <w:t>C for 1 h</w:t>
      </w:r>
      <w:r w:rsidRPr="00392836">
        <w:rPr>
          <w:lang w:val="en-US"/>
        </w:rPr>
        <w:t>r, rinsed with 0.1 M PBS and stored sterile at 4</w:t>
      </w:r>
      <w:r w:rsidRPr="00392836">
        <w:rPr>
          <w:vertAlign w:val="superscript"/>
          <w:lang w:val="en-US"/>
        </w:rPr>
        <w:t>0</w:t>
      </w:r>
      <w:r w:rsidRPr="00392836">
        <w:rPr>
          <w:lang w:val="en-US"/>
        </w:rPr>
        <w:t>C. (</w:t>
      </w:r>
      <w:r w:rsidR="00D42EAE">
        <w:rPr>
          <w:lang w:val="en-US"/>
        </w:rPr>
        <w:t xml:space="preserve">Fig. </w:t>
      </w:r>
      <w:bookmarkStart w:id="242" w:name="_Toc419657262"/>
      <w:bookmarkStart w:id="243" w:name="_Toc419657334"/>
      <w:bookmarkStart w:id="244" w:name="_Toc419659339"/>
      <w:bookmarkStart w:id="245" w:name="_Toc419852034"/>
      <w:bookmarkStart w:id="246" w:name="_Toc484448856"/>
      <w:r w:rsidR="00A70F56">
        <w:rPr>
          <w:lang w:val="en-US"/>
        </w:rPr>
        <w:t>2.14</w:t>
      </w:r>
      <w:r w:rsidR="003809B6">
        <w:rPr>
          <w:lang w:val="en-US"/>
        </w:rPr>
        <w:t>)</w:t>
      </w:r>
    </w:p>
    <w:p w:rsidR="001A78A7" w:rsidRDefault="001A78A7" w:rsidP="00E155EB">
      <w:pPr>
        <w:ind w:firstLine="720"/>
        <w:rPr>
          <w:lang w:val="en-US"/>
        </w:rPr>
      </w:pPr>
      <w:r>
        <w:rPr>
          <w:noProof/>
          <w:lang w:eastAsia="en-GB"/>
        </w:rPr>
        <w:lastRenderedPageBreak/>
        <mc:AlternateContent>
          <mc:Choice Requires="wps">
            <w:drawing>
              <wp:anchor distT="0" distB="0" distL="114300" distR="114300" simplePos="0" relativeHeight="251704320" behindDoc="0" locked="0" layoutInCell="1" hidden="0" allowOverlap="1" wp14:anchorId="2D803894" wp14:editId="2B076381">
                <wp:simplePos x="0" y="0"/>
                <wp:positionH relativeFrom="margin">
                  <wp:posOffset>3371850</wp:posOffset>
                </wp:positionH>
                <wp:positionV relativeFrom="paragraph">
                  <wp:posOffset>1403985</wp:posOffset>
                </wp:positionV>
                <wp:extent cx="609600" cy="45719"/>
                <wp:effectExtent l="0" t="133350" r="0" b="107315"/>
                <wp:wrapNone/>
                <wp:docPr id="252" name="Freeform 252"/>
                <wp:cNvGraphicFramePr/>
                <a:graphic xmlns:a="http://schemas.openxmlformats.org/drawingml/2006/main">
                  <a:graphicData uri="http://schemas.microsoft.com/office/word/2010/wordprocessingShape">
                    <wps:wsp>
                      <wps:cNvSpPr/>
                      <wps:spPr>
                        <a:xfrm flipH="1" flipV="1">
                          <a:off x="0" y="0"/>
                          <a:ext cx="609600" cy="45719"/>
                        </a:xfrm>
                        <a:custGeom>
                          <a:avLst/>
                          <a:gdLst/>
                          <a:ahLst/>
                          <a:cxnLst/>
                          <a:rect l="0" t="0" r="0" b="0"/>
                          <a:pathLst>
                            <a:path w="590550" h="45720" extrusionOk="0">
                              <a:moveTo>
                                <a:pt x="0" y="0"/>
                              </a:moveTo>
                              <a:lnTo>
                                <a:pt x="590550" y="45720"/>
                              </a:lnTo>
                            </a:path>
                          </a:pathLst>
                        </a:custGeom>
                        <a:solidFill>
                          <a:srgbClr val="FFFFFF"/>
                        </a:solidFill>
                        <a:ln w="28575" cap="flat" cmpd="sng">
                          <a:solidFill>
                            <a:srgbClr val="000000"/>
                          </a:solidFill>
                          <a:prstDash val="solid"/>
                          <a:miter/>
                          <a:headEnd type="none" w="med" len="med"/>
                          <a:tailEnd type="triangle" w="lg" len="lg"/>
                        </a:ln>
                      </wps:spPr>
                      <wps:bodyPr lIns="91425" tIns="91425" rIns="91425" bIns="91425" anchor="ctr" anchorCtr="0"/>
                    </wps:wsp>
                  </a:graphicData>
                </a:graphic>
                <wp14:sizeRelV relativeFrom="margin">
                  <wp14:pctHeight>0</wp14:pctHeight>
                </wp14:sizeRelV>
              </wp:anchor>
            </w:drawing>
          </mc:Choice>
          <mc:Fallback>
            <w:pict>
              <v:shape w14:anchorId="46B5E4A2" id="Freeform 252" o:spid="_x0000_s1026" style="position:absolute;margin-left:265.5pt;margin-top:110.55pt;width:48pt;height:3.6pt;flip:x y;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59055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zNBVgIAAAQFAAAOAAAAZHJzL2Uyb0RvYy54bWysVE2P2yAQvVfqf0DcGzvWencTxdnDpmkr&#10;Vd2Vdts7AWyjYkBAEuffdwbnw9lWPVTlgN7A8Jg3M7B46DtNdtIHZU1Fp5OcEmm4Fco0Ff3+uv5w&#10;T0mIzAimrZEVPchAH5bv3y32bi4L21otpCdAYsJ87yraxujmWRZ4KzsWJtZJA5u19R2LYPomE57t&#10;gb3TWZHnt9neeuG85TIEWF0Nm3SZ+Ota8vhU10FGoisKscU0+zRvcM6WCzZvPHOt4scw2D9E0TFl&#10;4NIz1YpFRrZe/UbVKe5tsHWccNtltq4Vl0kDqJnmb9S8tMzJpAWSE9w5TeH/0fJvu2dPlKhoURaU&#10;GNZBkdZeSkw5wTXI0N6FOTi+uGd/tAJAlNvX4FVr5T5D8WlCPxDhHogjfcr04Zxp2UfCYfE2n93m&#10;UA8OWzfl3XSG12QDH57l2xA/SdshZruvIQ51EifE2hPivTlBD9X+a50di3gOSRGSfUXLWV6WEEib&#10;4iiwffvot9jOTz8xbHTu7E6+2nQsvpEEMV92tRl7nagHiUA9SByc4ByGkESfw4LFsfBgtRJrpTXe&#10;HHyzedSe7Bh08jqNI+GVmzaoqrgv70rILoMXVWsWAXYOahxMkwRdHbliztP4E7PzIa5YaIcIEgO6&#10;gX4VpU+olUx8NILEg4MuMvDgKUbTSUGJlvA/IEqekSl98YxeMdPowVs3R2cAp4xBmrAHh65DtLHi&#10;AH2rvxh4C7PpTQFq49jwY2MzNpjhrYUfgEdPyWA8xvQj4G1IDk8t1eX4LeBbHtvJ6/J5LX8BAAD/&#10;/wMAUEsDBBQABgAIAAAAIQDERntl4AAAAAsBAAAPAAAAZHJzL2Rvd25yZXYueG1sTI/BTsMwEETv&#10;SPyDtUjcqONUlCjEqVARqDdEqYS4ufEmjojXwXabwNfjnuC4s6OZN9V6tgM7oQ+9IwlikQFDapzu&#10;qZOwf3u6KYCFqEirwRFK+MYA6/ryolKldhO94mkXO5ZCKJRKgolxLDkPjUGrwsKNSOnXOm9VTKfv&#10;uPZqSuF24HmWrbhVPaUGo0bcGGw+d0crYWOK7OXZf+ybadu+/zxu269ZcCmvr+aHe2AR5/hnhjN+&#10;Qoc6MR3ckXRgg4TbpUhbooQ8FwJYcqzyu6QczkqxBF5X/P+G+hcAAP//AwBQSwECLQAUAAYACAAA&#10;ACEAtoM4kv4AAADhAQAAEwAAAAAAAAAAAAAAAAAAAAAAW0NvbnRlbnRfVHlwZXNdLnhtbFBLAQIt&#10;ABQABgAIAAAAIQA4/SH/1gAAAJQBAAALAAAAAAAAAAAAAAAAAC8BAABfcmVscy8ucmVsc1BLAQIt&#10;ABQABgAIAAAAIQADtzNBVgIAAAQFAAAOAAAAAAAAAAAAAAAAAC4CAABkcnMvZTJvRG9jLnhtbFBL&#10;AQItABQABgAIAAAAIQDERntl4AAAAAsBAAAPAAAAAAAAAAAAAAAAALAEAABkcnMvZG93bnJldi54&#10;bWxQSwUGAAAAAAQABADzAAAAvQUAAAAA&#10;" path="m,l590550,45720e" strokeweight="2.25pt">
                <v:stroke endarrow="block" endarrowwidth="wide" endarrowlength="long" joinstyle="miter"/>
                <v:path arrowok="t" o:extrusionok="f" textboxrect="0,0,590550,45720"/>
                <w10:wrap anchorx="margin"/>
              </v:shape>
            </w:pict>
          </mc:Fallback>
        </mc:AlternateContent>
      </w:r>
      <w:r>
        <w:rPr>
          <w:noProof/>
          <w:lang w:eastAsia="en-GB"/>
        </w:rPr>
        <w:drawing>
          <wp:inline distT="0" distB="0" distL="0" distR="0" wp14:anchorId="7A2BD575" wp14:editId="7EA8D4DF">
            <wp:extent cx="3390900" cy="1866900"/>
            <wp:effectExtent l="0" t="0" r="0" b="0"/>
            <wp:docPr id="72" name="image144.jpg" descr="DSC_0014 (2)"/>
            <wp:cNvGraphicFramePr/>
            <a:graphic xmlns:a="http://schemas.openxmlformats.org/drawingml/2006/main">
              <a:graphicData uri="http://schemas.openxmlformats.org/drawingml/2006/picture">
                <pic:pic xmlns:pic="http://schemas.openxmlformats.org/drawingml/2006/picture">
                  <pic:nvPicPr>
                    <pic:cNvPr id="0" name="image144.jpg" descr="DSC_0014 (2)"/>
                    <pic:cNvPicPr preferRelativeResize="0"/>
                  </pic:nvPicPr>
                  <pic:blipFill>
                    <a:blip r:embed="rId53"/>
                    <a:srcRect l="195" t="41605" r="17809" b="499"/>
                    <a:stretch>
                      <a:fillRect/>
                    </a:stretch>
                  </pic:blipFill>
                  <pic:spPr>
                    <a:xfrm>
                      <a:off x="0" y="0"/>
                      <a:ext cx="3390900" cy="1866900"/>
                    </a:xfrm>
                    <a:prstGeom prst="rect">
                      <a:avLst/>
                    </a:prstGeom>
                    <a:ln/>
                  </pic:spPr>
                </pic:pic>
              </a:graphicData>
            </a:graphic>
          </wp:inline>
        </w:drawing>
      </w:r>
    </w:p>
    <w:p w:rsidR="001A78A7" w:rsidRDefault="00A70F56" w:rsidP="006E71E4">
      <w:pPr>
        <w:pStyle w:val="LegText"/>
        <w:ind w:left="720"/>
      </w:pPr>
      <w:bookmarkStart w:id="247" w:name="_Toc504640584"/>
      <w:r>
        <w:rPr>
          <w:rStyle w:val="SubtitleChar"/>
        </w:rPr>
        <w:t>Figure 2.14</w:t>
      </w:r>
      <w:r w:rsidR="001A78A7" w:rsidRPr="001A78A7">
        <w:rPr>
          <w:rStyle w:val="SubtitleChar"/>
        </w:rPr>
        <w:t>: 12-well plate with fibrin gel</w:t>
      </w:r>
      <w:bookmarkEnd w:id="247"/>
      <w:r w:rsidR="001A78A7">
        <w:t>. The black arrow is pointing to the fibrin gel</w:t>
      </w:r>
    </w:p>
    <w:p w:rsidR="001A78A7" w:rsidRPr="003809B6" w:rsidRDefault="001A78A7" w:rsidP="001A78A7">
      <w:pPr>
        <w:pStyle w:val="LegText"/>
        <w:rPr>
          <w:rFonts w:eastAsiaTheme="minorHAnsi"/>
          <w:lang w:val="en-US"/>
        </w:rPr>
      </w:pPr>
    </w:p>
    <w:p w:rsidR="00430D62" w:rsidRPr="00392836" w:rsidRDefault="00430D62" w:rsidP="002A1222">
      <w:pPr>
        <w:pStyle w:val="Heading4"/>
        <w:ind w:firstLine="720"/>
        <w:rPr>
          <w:rFonts w:eastAsia="Times New Roman"/>
          <w:lang w:val="en-US"/>
        </w:rPr>
      </w:pPr>
      <w:bookmarkStart w:id="248" w:name="_Toc506232364"/>
      <w:r w:rsidRPr="00392836">
        <w:rPr>
          <w:rFonts w:eastAsia="Times New Roman"/>
          <w:lang w:val="en-US"/>
        </w:rPr>
        <w:t>2.</w:t>
      </w:r>
      <w:r>
        <w:rPr>
          <w:rFonts w:eastAsia="Times New Roman"/>
          <w:lang w:val="en-US"/>
        </w:rPr>
        <w:t>7</w:t>
      </w:r>
      <w:r w:rsidR="0024755D">
        <w:rPr>
          <w:rFonts w:eastAsia="Times New Roman"/>
          <w:lang w:val="en-US"/>
        </w:rPr>
        <w:t>.4 Culture m</w:t>
      </w:r>
      <w:r w:rsidRPr="00392836">
        <w:rPr>
          <w:rFonts w:eastAsia="Times New Roman"/>
          <w:lang w:val="en-US"/>
        </w:rPr>
        <w:t>edia</w:t>
      </w:r>
      <w:bookmarkEnd w:id="242"/>
      <w:bookmarkEnd w:id="243"/>
      <w:bookmarkEnd w:id="244"/>
      <w:bookmarkEnd w:id="245"/>
      <w:bookmarkEnd w:id="246"/>
      <w:bookmarkEnd w:id="248"/>
    </w:p>
    <w:p w:rsidR="00430D62" w:rsidRPr="00D42EAE" w:rsidRDefault="00430D62" w:rsidP="002A1222">
      <w:pPr>
        <w:ind w:firstLine="720"/>
        <w:rPr>
          <w:b/>
          <w:lang w:val="en-US"/>
        </w:rPr>
      </w:pPr>
      <w:bookmarkStart w:id="249" w:name="_Toc484448857"/>
      <w:r w:rsidRPr="00D42EAE">
        <w:rPr>
          <w:b/>
          <w:i/>
          <w:lang w:val="en-US"/>
        </w:rPr>
        <w:t>In vitro</w:t>
      </w:r>
      <w:r w:rsidRPr="00D42EAE">
        <w:rPr>
          <w:b/>
          <w:lang w:val="en-US"/>
        </w:rPr>
        <w:t xml:space="preserve"> diabetic model</w:t>
      </w:r>
      <w:bookmarkEnd w:id="249"/>
      <w:r w:rsidRPr="00D42EAE">
        <w:rPr>
          <w:b/>
          <w:lang w:val="en-US"/>
        </w:rPr>
        <w:t xml:space="preserve"> </w:t>
      </w:r>
    </w:p>
    <w:p w:rsidR="002A1222" w:rsidRPr="00392836" w:rsidRDefault="00430D62" w:rsidP="005127D0">
      <w:pPr>
        <w:ind w:left="720"/>
        <w:rPr>
          <w:lang w:val="en-US"/>
        </w:rPr>
      </w:pPr>
      <w:r w:rsidRPr="00392836">
        <w:rPr>
          <w:lang w:val="en-US"/>
        </w:rPr>
        <w:t xml:space="preserve">NRK52E and NRK49F were cultured in DMEM containing 2 mM L-glutamine, </w:t>
      </w:r>
      <w:r w:rsidR="0068295E">
        <w:rPr>
          <w:lang w:val="en-US"/>
        </w:rPr>
        <w:t>25 mM</w:t>
      </w:r>
      <w:r w:rsidR="004E513E">
        <w:rPr>
          <w:lang w:val="en-US"/>
        </w:rPr>
        <w:t xml:space="preserve"> glucose, </w:t>
      </w:r>
      <w:r w:rsidRPr="00392836">
        <w:rPr>
          <w:lang w:val="en-US"/>
        </w:rPr>
        <w:t xml:space="preserve">10% (v/v) heat-inactivated foetal calf serum, 100 IU/ml penicillin and 100 µg/ml streptomycin, while CRL2573 was cultured in DMEM containing 2 mM L-glutamine, </w:t>
      </w:r>
      <w:r w:rsidR="00F264A3">
        <w:rPr>
          <w:lang w:val="en-US"/>
        </w:rPr>
        <w:t>25</w:t>
      </w:r>
      <w:r w:rsidR="004E513E">
        <w:rPr>
          <w:lang w:val="en-US"/>
        </w:rPr>
        <w:t xml:space="preserve"> m</w:t>
      </w:r>
      <w:r w:rsidR="00F264A3">
        <w:rPr>
          <w:lang w:val="en-US"/>
        </w:rPr>
        <w:t>M</w:t>
      </w:r>
      <w:r w:rsidR="004E513E">
        <w:rPr>
          <w:lang w:val="en-US"/>
        </w:rPr>
        <w:t xml:space="preserve"> glucose</w:t>
      </w:r>
      <w:r w:rsidR="00332688">
        <w:rPr>
          <w:lang w:val="en-US"/>
        </w:rPr>
        <w:t>,</w:t>
      </w:r>
      <w:r w:rsidR="004E513E" w:rsidRPr="00392836">
        <w:rPr>
          <w:lang w:val="en-US"/>
        </w:rPr>
        <w:t xml:space="preserve"> </w:t>
      </w:r>
      <w:r w:rsidRPr="00392836">
        <w:rPr>
          <w:lang w:val="en-US"/>
        </w:rPr>
        <w:t>15% (v/v) heat inactivated foetal calf serum, 100 IU/ml penicillin and 100 µg/ml streptomycin. The cells were grown in T75 flasks and all cell cultures were kept at 37</w:t>
      </w:r>
      <w:r w:rsidRPr="00392836">
        <w:rPr>
          <w:vertAlign w:val="superscript"/>
          <w:lang w:val="en-US"/>
        </w:rPr>
        <w:t>0</w:t>
      </w:r>
      <w:r w:rsidRPr="00392836">
        <w:rPr>
          <w:lang w:val="en-US"/>
        </w:rPr>
        <w:t>C in humidified atmosphere of 5% CO</w:t>
      </w:r>
      <w:r w:rsidRPr="00392836">
        <w:rPr>
          <w:vertAlign w:val="subscript"/>
          <w:lang w:val="en-US"/>
        </w:rPr>
        <w:t>2</w:t>
      </w:r>
      <w:r w:rsidRPr="00392836">
        <w:rPr>
          <w:lang w:val="en-US"/>
        </w:rPr>
        <w:t xml:space="preserve"> in air (incubator).</w:t>
      </w:r>
    </w:p>
    <w:p w:rsidR="00430D62" w:rsidRPr="00D42EAE" w:rsidRDefault="00430D62" w:rsidP="002A1222">
      <w:pPr>
        <w:ind w:firstLine="720"/>
        <w:rPr>
          <w:b/>
          <w:lang w:val="en-US"/>
        </w:rPr>
      </w:pPr>
      <w:bookmarkStart w:id="250" w:name="_Toc484448858"/>
      <w:r w:rsidRPr="00D42EAE">
        <w:rPr>
          <w:b/>
          <w:lang w:val="en-US"/>
        </w:rPr>
        <w:t>Low glucose medium</w:t>
      </w:r>
      <w:bookmarkEnd w:id="250"/>
      <w:r w:rsidRPr="00D42EAE">
        <w:rPr>
          <w:b/>
          <w:lang w:val="en-US"/>
        </w:rPr>
        <w:t xml:space="preserve"> </w:t>
      </w:r>
    </w:p>
    <w:p w:rsidR="00B3781F" w:rsidRDefault="00430D62" w:rsidP="002A1222">
      <w:pPr>
        <w:ind w:left="720"/>
        <w:rPr>
          <w:lang w:val="en-US"/>
        </w:rPr>
      </w:pPr>
      <w:r w:rsidRPr="00392836">
        <w:rPr>
          <w:lang w:val="en-US"/>
        </w:rPr>
        <w:t>NRK52E and NRK49F were cultured in Dulbecco’s Modification of Eagles Medium (DMEM) containing 2 mM L-glutamine, 10% (v/v) heat inactivated foetal calf serum, 5.5 mM glucose, 100 IU/ml penicillin and 100 µg/ml streptomycin, while CRL2573 was cultured in DMEM containing 2 mM L-glutamine, 15% (v/v) heat-inactivated foetal calf serum, 5.5 mM glucose, 100 IU/ml penicillin and 100 µg/ml streptomycin. The cells were grown in T75 flasks and all cell cultures were kept at 37</w:t>
      </w:r>
      <w:r w:rsidRPr="00392836">
        <w:rPr>
          <w:vertAlign w:val="superscript"/>
          <w:lang w:val="en-US"/>
        </w:rPr>
        <w:t>0</w:t>
      </w:r>
      <w:r w:rsidRPr="00392836">
        <w:rPr>
          <w:lang w:val="en-US"/>
        </w:rPr>
        <w:t>C in a humidified atmosphere of 5% CO</w:t>
      </w:r>
      <w:r w:rsidRPr="00392836">
        <w:rPr>
          <w:vertAlign w:val="subscript"/>
          <w:lang w:val="en-US"/>
        </w:rPr>
        <w:t>2</w:t>
      </w:r>
      <w:r w:rsidRPr="00392836">
        <w:rPr>
          <w:lang w:val="en-US"/>
        </w:rPr>
        <w:t xml:space="preserve"> in air (incubator).</w:t>
      </w:r>
    </w:p>
    <w:p w:rsidR="00B3781F" w:rsidRDefault="00B3781F">
      <w:pPr>
        <w:spacing w:after="160" w:line="259" w:lineRule="auto"/>
        <w:jc w:val="left"/>
        <w:rPr>
          <w:lang w:val="en-US"/>
        </w:rPr>
      </w:pPr>
      <w:r>
        <w:rPr>
          <w:lang w:val="en-US"/>
        </w:rPr>
        <w:br w:type="page"/>
      </w:r>
    </w:p>
    <w:p w:rsidR="00430D62" w:rsidRPr="00D42EAE" w:rsidRDefault="00D42EAE" w:rsidP="00B3781F">
      <w:pPr>
        <w:ind w:firstLine="720"/>
        <w:rPr>
          <w:b/>
          <w:lang w:val="en-US"/>
        </w:rPr>
      </w:pPr>
      <w:bookmarkStart w:id="251" w:name="_Toc419657263"/>
      <w:bookmarkStart w:id="252" w:name="_Toc419657335"/>
      <w:bookmarkStart w:id="253" w:name="_Toc419659340"/>
      <w:bookmarkStart w:id="254" w:name="_Toc419852035"/>
      <w:r>
        <w:rPr>
          <w:b/>
          <w:lang w:val="en-US"/>
        </w:rPr>
        <w:lastRenderedPageBreak/>
        <w:t>C</w:t>
      </w:r>
      <w:r w:rsidR="00430D62" w:rsidRPr="00D42EAE">
        <w:rPr>
          <w:b/>
          <w:lang w:val="en-US"/>
        </w:rPr>
        <w:t>onditioned media</w:t>
      </w:r>
      <w:bookmarkEnd w:id="251"/>
      <w:bookmarkEnd w:id="252"/>
      <w:bookmarkEnd w:id="253"/>
      <w:bookmarkEnd w:id="254"/>
    </w:p>
    <w:p w:rsidR="00430D62" w:rsidRDefault="00430D62" w:rsidP="002A1222">
      <w:pPr>
        <w:ind w:left="720"/>
        <w:rPr>
          <w:lang w:val="en-US"/>
        </w:rPr>
      </w:pPr>
      <w:r w:rsidRPr="00392836">
        <w:rPr>
          <w:lang w:val="en-US"/>
        </w:rPr>
        <w:t xml:space="preserve">All conditioned media were made using phenol-red free/serum-free DMEM. Cells were cultured in 12-well plates until confluent, the media were removed, and the cells were rinsed with </w:t>
      </w:r>
      <w:r w:rsidR="005966E1">
        <w:rPr>
          <w:lang w:val="en-US"/>
        </w:rPr>
        <w:t xml:space="preserve">X1 PBS solution containing 0.01 M phosphate buffer and NaCl of 0.154 M and a of </w:t>
      </w:r>
      <w:r w:rsidRPr="00392836">
        <w:rPr>
          <w:lang w:val="en-US"/>
        </w:rPr>
        <w:t>pH7.4 and re-filled with 2 mls phenol-red free/serum-free DMEM for 24 hours</w:t>
      </w:r>
      <w:r w:rsidR="005127D0">
        <w:rPr>
          <w:lang w:val="en-US"/>
        </w:rPr>
        <w:t xml:space="preserve"> and the media were collected and stored at -20</w:t>
      </w:r>
      <w:r w:rsidR="005127D0">
        <w:rPr>
          <w:rFonts w:cs="Arial"/>
          <w:lang w:val="en-US"/>
        </w:rPr>
        <w:t>°</w:t>
      </w:r>
      <w:r w:rsidR="005127D0">
        <w:rPr>
          <w:lang w:val="en-US"/>
        </w:rPr>
        <w:t>C</w:t>
      </w:r>
      <w:r w:rsidRPr="00392836">
        <w:rPr>
          <w:lang w:val="en-US"/>
        </w:rPr>
        <w:t>.</w:t>
      </w:r>
    </w:p>
    <w:p w:rsidR="00D42EAE" w:rsidRPr="00D42EAE" w:rsidRDefault="00D42EAE" w:rsidP="002A1222">
      <w:pPr>
        <w:ind w:firstLine="720"/>
        <w:rPr>
          <w:b/>
          <w:lang w:val="en-US"/>
        </w:rPr>
      </w:pPr>
      <w:r w:rsidRPr="00D42EAE">
        <w:rPr>
          <w:b/>
          <w:lang w:val="en-US"/>
        </w:rPr>
        <w:t>Storage of cells</w:t>
      </w:r>
    </w:p>
    <w:p w:rsidR="00D42EAE" w:rsidRPr="00392836" w:rsidRDefault="00D42EAE" w:rsidP="002A1222">
      <w:pPr>
        <w:ind w:left="720"/>
        <w:rPr>
          <w:lang w:val="en-US"/>
        </w:rPr>
      </w:pPr>
      <w:r w:rsidRPr="00392836">
        <w:rPr>
          <w:lang w:val="en-US"/>
        </w:rPr>
        <w:t>Initial seeding was 1- 2 x 10</w:t>
      </w:r>
      <w:r w:rsidRPr="00392836">
        <w:rPr>
          <w:vertAlign w:val="superscript"/>
          <w:lang w:val="en-US"/>
        </w:rPr>
        <w:t>5</w:t>
      </w:r>
      <w:r w:rsidRPr="00392836">
        <w:rPr>
          <w:lang w:val="en-US"/>
        </w:rPr>
        <w:t xml:space="preserve"> cells for 48 hours in a T25 flask and then passaged. Passaging was done at ratio 1:3 after flasks were over 85% confluent. Cells were detached with 3ml 0.05% trypsin EDTA. Cells were stored in storage media [70% DMEM, 20% (v/v) fetal calf serum and 10% (v/v) DMSO] frozen at -80</w:t>
      </w:r>
      <w:r w:rsidRPr="00392836">
        <w:rPr>
          <w:vertAlign w:val="superscript"/>
          <w:lang w:val="en-US"/>
        </w:rPr>
        <w:t>°</w:t>
      </w:r>
      <w:r w:rsidRPr="00392836">
        <w:rPr>
          <w:lang w:val="en-US"/>
        </w:rPr>
        <w:t>C for 24 hours and transferred to liquid N</w:t>
      </w:r>
      <w:r w:rsidRPr="00392836">
        <w:rPr>
          <w:vertAlign w:val="subscript"/>
          <w:lang w:val="en-US"/>
        </w:rPr>
        <w:t>2</w:t>
      </w:r>
      <w:r w:rsidR="003809B6">
        <w:rPr>
          <w:lang w:val="en-US"/>
        </w:rPr>
        <w:t xml:space="preserve"> thereafter.</w:t>
      </w:r>
    </w:p>
    <w:p w:rsidR="00430D62" w:rsidRPr="00392836" w:rsidRDefault="00430D62" w:rsidP="002A1222">
      <w:pPr>
        <w:pStyle w:val="Heading4"/>
        <w:ind w:firstLine="720"/>
        <w:rPr>
          <w:rFonts w:eastAsia="Times New Roman"/>
          <w:lang w:val="en-US"/>
        </w:rPr>
      </w:pPr>
      <w:bookmarkStart w:id="255" w:name="_Toc419657264"/>
      <w:bookmarkStart w:id="256" w:name="_Toc419657336"/>
      <w:bookmarkStart w:id="257" w:name="_Toc419659341"/>
      <w:bookmarkStart w:id="258" w:name="_Toc419852036"/>
      <w:bookmarkStart w:id="259" w:name="_Toc506232365"/>
      <w:r w:rsidRPr="00392836">
        <w:rPr>
          <w:rFonts w:eastAsia="Times New Roman"/>
          <w:lang w:val="en-US"/>
        </w:rPr>
        <w:t>2.</w:t>
      </w:r>
      <w:r>
        <w:rPr>
          <w:rFonts w:eastAsia="Times New Roman"/>
          <w:lang w:val="en-US"/>
        </w:rPr>
        <w:t>7</w:t>
      </w:r>
      <w:r w:rsidRPr="00392836">
        <w:rPr>
          <w:rFonts w:eastAsia="Times New Roman"/>
          <w:lang w:val="en-US"/>
        </w:rPr>
        <w:t>.</w:t>
      </w:r>
      <w:r w:rsidR="00D42EAE">
        <w:rPr>
          <w:rFonts w:eastAsia="Times New Roman"/>
          <w:lang w:val="en-US"/>
        </w:rPr>
        <w:t>5</w:t>
      </w:r>
      <w:r w:rsidRPr="00392836">
        <w:rPr>
          <w:rFonts w:eastAsia="Times New Roman"/>
          <w:lang w:val="en-US"/>
        </w:rPr>
        <w:t xml:space="preserve"> Colorimetric </w:t>
      </w:r>
      <w:r>
        <w:rPr>
          <w:rFonts w:eastAsia="Times New Roman"/>
          <w:lang w:val="en-US"/>
        </w:rPr>
        <w:t>p</w:t>
      </w:r>
      <w:r w:rsidRPr="00392836">
        <w:rPr>
          <w:rFonts w:eastAsia="Times New Roman"/>
          <w:lang w:val="en-US"/>
        </w:rPr>
        <w:t xml:space="preserve">roteinase activity </w:t>
      </w:r>
      <w:r>
        <w:rPr>
          <w:rFonts w:eastAsia="Times New Roman"/>
          <w:lang w:val="en-US"/>
        </w:rPr>
        <w:t>a</w:t>
      </w:r>
      <w:r w:rsidRPr="00392836">
        <w:rPr>
          <w:rFonts w:eastAsia="Times New Roman"/>
          <w:lang w:val="en-US"/>
        </w:rPr>
        <w:t>ssays</w:t>
      </w:r>
      <w:bookmarkEnd w:id="255"/>
      <w:bookmarkEnd w:id="256"/>
      <w:bookmarkEnd w:id="257"/>
      <w:bookmarkEnd w:id="258"/>
      <w:bookmarkEnd w:id="259"/>
    </w:p>
    <w:p w:rsidR="00430D62" w:rsidRPr="00392836" w:rsidRDefault="00430D62" w:rsidP="002A1222">
      <w:pPr>
        <w:ind w:left="720"/>
        <w:rPr>
          <w:lang w:val="en-US"/>
        </w:rPr>
      </w:pPr>
      <w:r w:rsidRPr="00392836">
        <w:rPr>
          <w:lang w:val="en-US"/>
        </w:rPr>
        <w:t>The assays used were colorimetric activity assays based on continuous spectrophotometric rate determination. The principle of these assays involves the cleavage of the amide bond by a proteinase to release nitroaniline, a yellow coloured product which is proportional to the amount of substrate cleaved, detected by the multiskan Ascent VI.24 plate reader (</w:t>
      </w:r>
      <w:r w:rsidR="00D42EAE">
        <w:rPr>
          <w:lang w:val="en-US"/>
        </w:rPr>
        <w:t xml:space="preserve">Fig. </w:t>
      </w:r>
      <w:r w:rsidR="00A70F56">
        <w:rPr>
          <w:lang w:val="en-US"/>
        </w:rPr>
        <w:t>2.15</w:t>
      </w:r>
      <w:r w:rsidRPr="00392836">
        <w:rPr>
          <w:lang w:val="en-US"/>
        </w:rPr>
        <w:t>) set at a wavelength of 405</w:t>
      </w:r>
      <w:r w:rsidR="00583423">
        <w:rPr>
          <w:lang w:val="en-US"/>
        </w:rPr>
        <w:t xml:space="preserve"> </w:t>
      </w:r>
      <w:r w:rsidRPr="00392836">
        <w:rPr>
          <w:lang w:val="en-US"/>
        </w:rPr>
        <w:t>nm. Conditioned media of the three cell lines were used for the assays as this gave more consistent values than using homogenized cell pellets.</w:t>
      </w:r>
      <w:r w:rsidR="005127D0">
        <w:rPr>
          <w:lang w:val="en-US"/>
        </w:rPr>
        <w:t xml:space="preserve"> </w:t>
      </w:r>
      <w:r w:rsidRPr="00392836">
        <w:rPr>
          <w:lang w:val="en-US"/>
        </w:rPr>
        <w:fldChar w:fldCharType="begin">
          <w:fldData xml:space="preserve">PEVuZE5vdGU+PENpdGU+PEF1dGhvcj5BdGtpbnNvbjwvQXV0aG9yPjxZZWFyPjIwMTM8L1llYXI+
PFJlY051bT4wPC9SZWNOdW0+PElEVGV4dD5BbiBpbmhpYml0b3Igb2YgdGhyb21iaW4gYWN0aXZh
dGVkIGZpYnJpbm9seXNpcyBpbmhpYml0b3IgKFRBRkkpIGNhbiByZWR1Y2UgZXh0cmFjZWxsdWxh
ciBtYXRyaXggYWNjdW11bGF0aW9uIGluIGFuIGluIHZpdHJvIG1vZGVsIG9mIGdsdWNvc2UgaW5k
dWNlZCBFQ00gZXhwYW5zaW9uPC9JRFRleHQ+PERpc3BsYXlUZXh0PihBdGtpbnNvbiBldCBhbC4s
IDIwMTMpPC9EaXNwbGF5VGV4dD48cmVjb3JkPjxkYXRlcz48cHViLWRhdGVzPjxkYXRlPkp1biAy
NDwvZGF0ZT48L3B1Yi1kYXRlcz48eWVhcj4yMDEzPC95ZWFyPjwvZGF0ZXM+PHVybHM+PHJlbGF0
ZWQtdXJscz48dXJsPiZsdDtHbyB0byBJU0kmZ3Q7Oi8vV09TOjAwMDMyMjI5ODAwMDAwOTwvdXJs
PjwvcmVsYXRlZC11cmxzPjwvdXJscz48aXNibj4wOTQ1LTA1M1g8L2lzYm4+PHRpdGxlcz48dGl0
bGU+QW4gaW5oaWJpdG9yIG9mIHRocm9tYmluIGFjdGl2YXRlZCBmaWJyaW5vbHlzaXMgaW5oaWJp
dG9yIChUQUZJKSBjYW4gcmVkdWNlIGV4dHJhY2VsbHVsYXIgbWF0cml4IGFjY3VtdWxhdGlvbiBp
biBhbiBpbiB2aXRybyBtb2RlbCBvZiBnbHVjb3NlIGluZHVjZWQgRUNNIGV4cGFuc2lvbjwvdGl0
bGU+PHNlY29uZGFyeS10aXRsZT5NYXRyaXggQmlvbG9neTwvc2Vjb25kYXJ5LXRpdGxlPjwvdGl0
bGVzPjxwYWdlcz4yNzctMjg3PC9wYWdlcz48bnVtYmVyPjU8L251bWJlcj48Y29udHJpYnV0b3Jz
PjxhdXRob3JzPjxhdXRob3I+QXRraW5zb24sIEouIE0uPC9hdXRob3I+PGF1dGhvcj5QdWxsZW4s
IE4uPC9hdXRob3I+PGF1dGhvcj5Kb2huc29uLCBULiBTLjwvYXV0aG9yPjwvYXV0aG9ycz48L2Nv
bnRyaWJ1dG9ycz48YWRkZWQtZGF0ZSBmb3JtYXQ9InV0YyI+MTQwMzE4Mjk0OTwvYWRkZWQtZGF0
ZT48cmVmLXR5cGUgbmFtZT0iSm91cm5hbCBBcnRpY2xlIj4xNzwvcmVmLXR5cGU+PHJlYy1udW1i
ZXI+MTI3PC9yZWMtbnVtYmVyPjxsYXN0LXVwZGF0ZWQtZGF0ZSBmb3JtYXQ9InV0YyI+MTQwMzE4
MzYwOTwvbGFzdC11cGRhdGVkLWRhdGU+PGFjY2Vzc2lvbi1udW0+V09TOjAwMDMyMjI5ODAwMDAw
OTwvYWNjZXNzaW9uLW51bT48ZWxlY3Ryb25pYy1yZXNvdXJjZS1udW0+MTAuMTAxNi9qLm1hdGJp
by4yMDEzLjAxLjAwNjwvZWxlY3Ryb25pYy1yZXNvdXJjZS1udW0+PHZvbHVtZT4zMjwvdm9sdW1l
PjwvcmVjb3JkPjwvQ2l0ZT48Q2l0ZT48QXV0aG9yPkF0a2luc29uPC9BdXRob3I+PFllYXI+MjAx
MzwvWWVhcj48SURUZXh0PkFuIGluaGliaXRvciBvZiB0aHJvbWJpbiBhY3RpdmF0ZWQgZmlicmlu
b2x5c2lzIGluaGliaXRvciAoVEFGSSkgY2FuIHJlZHVjZSBleHRyYWNlbGx1bGFyIG1hdHJpeCBh
Y2N1bXVsYXRpb24gaW4gYW4gaW4gdml0cm8gbW9kZWwgb2YgZ2x1Y29zZSBpbmR1Y2VkIEVDTSBl
eHBhbnNpb248L0lEVGV4dD48cmVjb3JkPjxkYXRlcz48cHViLWRhdGVzPjxkYXRlPkp1biAyNDwv
ZGF0ZT48L3B1Yi1kYXRlcz48eWVhcj4yMDEzPC95ZWFyPjwvZGF0ZXM+PHVybHM+PHJlbGF0ZWQt
dXJscz48dXJsPiZsdDtHbyB0byBJU0kmZ3Q7Oi8vV09TOjAwMDMyMjI5ODAwMDAwOTwvdXJsPjwv
cmVsYXRlZC11cmxzPjwvdXJscz48aXNibj4wOTQ1LTA1M1g8L2lzYm4+PHRpdGxlcz48dGl0bGU+
QW4gaW5oaWJpdG9yIG9mIHRocm9tYmluIGFjdGl2YXRlZCBmaWJyaW5vbHlzaXMgaW5oaWJpdG9y
IChUQUZJKSBjYW4gcmVkdWNlIGV4dHJhY2VsbHVsYXIgbWF0cml4IGFjY3VtdWxhdGlvbiBpbiBh
biBpbiB2aXRybyBtb2RlbCBvZiBnbHVjb3NlIGluZHVjZWQgRUNNIGV4cGFuc2lvbjwvdGl0bGU+
PHNlY29uZGFyeS10aXRsZT5NYXRyaXggQmlvbG9neTwvc2Vjb25kYXJ5LXRpdGxlPjwvdGl0bGVz
PjxwYWdlcz4yNzctMjg3PC9wYWdlcz48bnVtYmVyPjU8L251bWJlcj48Y29udHJpYnV0b3JzPjxh
dXRob3JzPjxhdXRob3I+QXRraW5zb24sIEouIE0uPC9hdXRob3I+PGF1dGhvcj5QdWxsZW4sIE4u
PC9hdXRob3I+PGF1dGhvcj5Kb2huc29uLCBULiBTLjwvYXV0aG9yPjwvYXV0aG9ycz48L2NvbnRy
aWJ1dG9ycz48YWRkZWQtZGF0ZSBmb3JtYXQ9InV0YyI+MTQzMDIxNTk5NzwvYWRkZWQtZGF0ZT48
cmVmLXR5cGUgbmFtZT0iSm91cm5hbCBBcnRpY2xlIj4xNzwvcmVmLXR5cGU+PHJlYy1udW1iZXI+
NzE2PC9yZWMtbnVtYmVyPjxsYXN0LXVwZGF0ZWQtZGF0ZSBmb3JtYXQ9InV0YyI+MTQzMDIxNTk5
NzwvbGFzdC11cGRhdGVkLWRhdGU+PGFjY2Vzc2lvbi1udW0+V09TOjAwMDMyMjI5ODAwMDAwOTwv
YWNjZXNzaW9uLW51bT48ZWxlY3Ryb25pYy1yZXNvdXJjZS1udW0+MTAuMTAxNi9qLm1hdGJpby4y
MDEzLjAxLjAwNjwvZWxlY3Ryb25pYy1yZXNvdXJjZS1udW0+PHZvbHVtZT4zMjwvdm9sdW1lPjwv
cmVjb3JkPjwvQ2l0ZT48L0VuZE5vdGU+AG==
</w:fldData>
        </w:fldChar>
      </w:r>
      <w:r w:rsidRPr="00392836">
        <w:rPr>
          <w:lang w:val="en-US"/>
        </w:rPr>
        <w:instrText xml:space="preserve"> ADDIN EN.CITE </w:instrText>
      </w:r>
      <w:r w:rsidRPr="00392836">
        <w:rPr>
          <w:lang w:val="en-US"/>
        </w:rPr>
        <w:fldChar w:fldCharType="begin">
          <w:fldData xml:space="preserve">PEVuZE5vdGU+PENpdGU+PEF1dGhvcj5BdGtpbnNvbjwvQXV0aG9yPjxZZWFyPjIwMTM8L1llYXI+
PFJlY051bT4wPC9SZWNOdW0+PElEVGV4dD5BbiBpbmhpYml0b3Igb2YgdGhyb21iaW4gYWN0aXZh
dGVkIGZpYnJpbm9seXNpcyBpbmhpYml0b3IgKFRBRkkpIGNhbiByZWR1Y2UgZXh0cmFjZWxsdWxh
ciBtYXRyaXggYWNjdW11bGF0aW9uIGluIGFuIGluIHZpdHJvIG1vZGVsIG9mIGdsdWNvc2UgaW5k
dWNlZCBFQ00gZXhwYW5zaW9uPC9JRFRleHQ+PERpc3BsYXlUZXh0PihBdGtpbnNvbiBldCBhbC4s
IDIwMTMpPC9EaXNwbGF5VGV4dD48cmVjb3JkPjxkYXRlcz48cHViLWRhdGVzPjxkYXRlPkp1biAy
NDwvZGF0ZT48L3B1Yi1kYXRlcz48eWVhcj4yMDEzPC95ZWFyPjwvZGF0ZXM+PHVybHM+PHJlbGF0
ZWQtdXJscz48dXJsPiZsdDtHbyB0byBJU0kmZ3Q7Oi8vV09TOjAwMDMyMjI5ODAwMDAwOTwvdXJs
PjwvcmVsYXRlZC11cmxzPjwvdXJscz48aXNibj4wOTQ1LTA1M1g8L2lzYm4+PHRpdGxlcz48dGl0
bGU+QW4gaW5oaWJpdG9yIG9mIHRocm9tYmluIGFjdGl2YXRlZCBmaWJyaW5vbHlzaXMgaW5oaWJp
dG9yIChUQUZJKSBjYW4gcmVkdWNlIGV4dHJhY2VsbHVsYXIgbWF0cml4IGFjY3VtdWxhdGlvbiBp
biBhbiBpbiB2aXRybyBtb2RlbCBvZiBnbHVjb3NlIGluZHVjZWQgRUNNIGV4cGFuc2lvbjwvdGl0
bGU+PHNlY29uZGFyeS10aXRsZT5NYXRyaXggQmlvbG9neTwvc2Vjb25kYXJ5LXRpdGxlPjwvdGl0
bGVzPjxwYWdlcz4yNzctMjg3PC9wYWdlcz48bnVtYmVyPjU8L251bWJlcj48Y29udHJpYnV0b3Jz
PjxhdXRob3JzPjxhdXRob3I+QXRraW5zb24sIEouIE0uPC9hdXRob3I+PGF1dGhvcj5QdWxsZW4s
IE4uPC9hdXRob3I+PGF1dGhvcj5Kb2huc29uLCBULiBTLjwvYXV0aG9yPjwvYXV0aG9ycz48L2Nv
bnRyaWJ1dG9ycz48YWRkZWQtZGF0ZSBmb3JtYXQ9InV0YyI+MTQwMzE4Mjk0OTwvYWRkZWQtZGF0
ZT48cmVmLXR5cGUgbmFtZT0iSm91cm5hbCBBcnRpY2xlIj4xNzwvcmVmLXR5cGU+PHJlYy1udW1i
ZXI+MTI3PC9yZWMtbnVtYmVyPjxsYXN0LXVwZGF0ZWQtZGF0ZSBmb3JtYXQ9InV0YyI+MTQwMzE4
MzYwOTwvbGFzdC11cGRhdGVkLWRhdGU+PGFjY2Vzc2lvbi1udW0+V09TOjAwMDMyMjI5ODAwMDAw
OTwvYWNjZXNzaW9uLW51bT48ZWxlY3Ryb25pYy1yZXNvdXJjZS1udW0+MTAuMTAxNi9qLm1hdGJp
by4yMDEzLjAxLjAwNjwvZWxlY3Ryb25pYy1yZXNvdXJjZS1udW0+PHZvbHVtZT4zMjwvdm9sdW1l
PjwvcmVjb3JkPjwvQ2l0ZT48Q2l0ZT48QXV0aG9yPkF0a2luc29uPC9BdXRob3I+PFllYXI+MjAx
MzwvWWVhcj48SURUZXh0PkFuIGluaGliaXRvciBvZiB0aHJvbWJpbiBhY3RpdmF0ZWQgZmlicmlu
b2x5c2lzIGluaGliaXRvciAoVEFGSSkgY2FuIHJlZHVjZSBleHRyYWNlbGx1bGFyIG1hdHJpeCBh
Y2N1bXVsYXRpb24gaW4gYW4gaW4gdml0cm8gbW9kZWwgb2YgZ2x1Y29zZSBpbmR1Y2VkIEVDTSBl
eHBhbnNpb248L0lEVGV4dD48cmVjb3JkPjxkYXRlcz48cHViLWRhdGVzPjxkYXRlPkp1biAyNDwv
ZGF0ZT48L3B1Yi1kYXRlcz48eWVhcj4yMDEzPC95ZWFyPjwvZGF0ZXM+PHVybHM+PHJlbGF0ZWQt
dXJscz48dXJsPiZsdDtHbyB0byBJU0kmZ3Q7Oi8vV09TOjAwMDMyMjI5ODAwMDAwOTwvdXJsPjwv
cmVsYXRlZC11cmxzPjwvdXJscz48aXNibj4wOTQ1LTA1M1g8L2lzYm4+PHRpdGxlcz48dGl0bGU+
QW4gaW5oaWJpdG9yIG9mIHRocm9tYmluIGFjdGl2YXRlZCBmaWJyaW5vbHlzaXMgaW5oaWJpdG9y
IChUQUZJKSBjYW4gcmVkdWNlIGV4dHJhY2VsbHVsYXIgbWF0cml4IGFjY3VtdWxhdGlvbiBpbiBh
biBpbiB2aXRybyBtb2RlbCBvZiBnbHVjb3NlIGluZHVjZWQgRUNNIGV4cGFuc2lvbjwvdGl0bGU+
PHNlY29uZGFyeS10aXRsZT5NYXRyaXggQmlvbG9neTwvc2Vjb25kYXJ5LXRpdGxlPjwvdGl0bGVz
PjxwYWdlcz4yNzctMjg3PC9wYWdlcz48bnVtYmVyPjU8L251bWJlcj48Y29udHJpYnV0b3JzPjxh
dXRob3JzPjxhdXRob3I+QXRraW5zb24sIEouIE0uPC9hdXRob3I+PGF1dGhvcj5QdWxsZW4sIE4u
PC9hdXRob3I+PGF1dGhvcj5Kb2huc29uLCBULiBTLjwvYXV0aG9yPjwvYXV0aG9ycz48L2NvbnRy
aWJ1dG9ycz48YWRkZWQtZGF0ZSBmb3JtYXQ9InV0YyI+MTQzMDIxNTk5NzwvYWRkZWQtZGF0ZT48
cmVmLXR5cGUgbmFtZT0iSm91cm5hbCBBcnRpY2xlIj4xNzwvcmVmLXR5cGU+PHJlYy1udW1iZXI+
NzE2PC9yZWMtbnVtYmVyPjxsYXN0LXVwZGF0ZWQtZGF0ZSBmb3JtYXQ9InV0YyI+MTQzMDIxNTk5
NzwvbGFzdC11cGRhdGVkLWRhdGU+PGFjY2Vzc2lvbi1udW0+V09TOjAwMDMyMjI5ODAwMDAwOTwv
YWNjZXNzaW9uLW51bT48ZWxlY3Ryb25pYy1yZXNvdXJjZS1udW0+MTAuMTAxNi9qLm1hdGJpby4y
MDEzLjAxLjAwNjwvZWxlY3Ryb25pYy1yZXNvdXJjZS1udW0+PHZvbHVtZT4zMjwvdm9sdW1lPjwv
cmVjb3JkPjwvQ2l0ZT48L0VuZE5vdGU+AG==
</w:fldData>
        </w:fldChar>
      </w:r>
      <w:r w:rsidRPr="00392836">
        <w:rPr>
          <w:lang w:val="en-US"/>
        </w:rPr>
        <w:instrText xml:space="preserve"> ADDIN EN.CITE.DATA </w:instrText>
      </w:r>
      <w:r w:rsidRPr="00392836">
        <w:rPr>
          <w:lang w:val="en-US"/>
        </w:rPr>
      </w:r>
      <w:r w:rsidRPr="00392836">
        <w:rPr>
          <w:lang w:val="en-US"/>
        </w:rPr>
        <w:fldChar w:fldCharType="end"/>
      </w:r>
      <w:r w:rsidRPr="00392836">
        <w:rPr>
          <w:lang w:val="en-US"/>
        </w:rPr>
      </w:r>
      <w:r w:rsidRPr="00392836">
        <w:rPr>
          <w:lang w:val="en-US"/>
        </w:rPr>
        <w:fldChar w:fldCharType="separate"/>
      </w:r>
      <w:r w:rsidRPr="00392836">
        <w:rPr>
          <w:noProof/>
          <w:lang w:val="en-US"/>
        </w:rPr>
        <w:t>(Atkinson et al., 2013)</w:t>
      </w:r>
      <w:r w:rsidRPr="00392836">
        <w:rPr>
          <w:lang w:val="en-US"/>
        </w:rPr>
        <w:fldChar w:fldCharType="end"/>
      </w:r>
      <w:r w:rsidR="00583423">
        <w:rPr>
          <w:lang w:val="en-US"/>
        </w:rPr>
        <w:t>.</w:t>
      </w:r>
    </w:p>
    <w:p w:rsidR="00430D62" w:rsidRPr="00392836" w:rsidRDefault="00583423" w:rsidP="002D56BD">
      <w:pPr>
        <w:rPr>
          <w:lang w:val="en-US"/>
        </w:rPr>
      </w:pPr>
      <w:r>
        <w:rPr>
          <w:noProof/>
          <w:lang w:eastAsia="en-GB"/>
        </w:rPr>
        <mc:AlternateContent>
          <mc:Choice Requires="wps">
            <w:drawing>
              <wp:anchor distT="0" distB="0" distL="114300" distR="114300" simplePos="0" relativeHeight="252049408" behindDoc="0" locked="0" layoutInCell="1" allowOverlap="1">
                <wp:simplePos x="0" y="0"/>
                <wp:positionH relativeFrom="column">
                  <wp:posOffset>2379345</wp:posOffset>
                </wp:positionH>
                <wp:positionV relativeFrom="paragraph">
                  <wp:posOffset>85725</wp:posOffset>
                </wp:positionV>
                <wp:extent cx="781050" cy="0"/>
                <wp:effectExtent l="0" t="76200" r="19050" b="95250"/>
                <wp:wrapNone/>
                <wp:docPr id="73" name="Straight Arrow Connector 73"/>
                <wp:cNvGraphicFramePr/>
                <a:graphic xmlns:a="http://schemas.openxmlformats.org/drawingml/2006/main">
                  <a:graphicData uri="http://schemas.microsoft.com/office/word/2010/wordprocessingShape">
                    <wps:wsp>
                      <wps:cNvCnPr/>
                      <wps:spPr>
                        <a:xfrm>
                          <a:off x="0" y="0"/>
                          <a:ext cx="7810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A557A1" id="Straight Arrow Connector 73" o:spid="_x0000_s1026" type="#_x0000_t32" style="position:absolute;margin-left:187.35pt;margin-top:6.75pt;width:61.5pt;height:0;z-index:25204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KGR5gEAADQEAAAOAAAAZHJzL2Uyb0RvYy54bWysU9tu2zAMfR+wfxD0vtjpsLUw4hRDuu5l&#10;2IJ1+wBVlmIBuoHi4vjvR8mOsxsKdNgLbUo8JM8htbk9OcuOCpIJvuXrVc2Z8jJ0xh9a/u3r/asb&#10;zhIK3wkbvGr5qBK/3b58sRlio65CH2yngFESn5ohtrxHjE1VJdkrJ9IqROXpUgdwAsmFQ9WBGCi7&#10;s9VVXb+thgBdhCBVSnR6N13ybcmvtZL4WeukkNmWU29YLBT7mG213YjmACL2Rs5tiH/owgnjqeiS&#10;6k6gYN/B/JHKGQkhBY0rGVwVtDZSFQ7EZl3/xuahF1EVLiROiotM6f+llZ+Oe2Cma/n1a868cDSj&#10;BwRhDj2ydwBhYLvgPekYgFEI6TXE1BBs5/cweynuIZM/aXD5S7TYqWg8LhqrEzJJh9c36/oNTUKe&#10;r6oLLkLCDyo4ln9anuY+lgbWRWJx/JiQKhPwDMhFrc82BWu6e2NtcfIWqZ0FdhQ0fzytc/+E+yUK&#10;hbHvfcdwjEQewQh/sGqOzFmrzHjiWP5wtGqq+EVp0o5YTZ2Vrb3UE1Iqj+ea1lN0hmnqbgHWhdKT&#10;wDk+Q1XZ6OeAF0SpHDwuYGd8gL9Vv8ikp/izAhPvLMFj6MYy/SINrWZRdX5Gefd/9gv88ti3PwAA&#10;AP//AwBQSwMEFAAGAAgAAAAhAPehRyDeAAAACQEAAA8AAABkcnMvZG93bnJldi54bWxMj8FOwzAQ&#10;RO9I/IO1SNyoU1pIG+JUFVKlClSplH6AEy9JRLwOttsmf88iDnDcmafZmXw12E6c0YfWkYLpJAGB&#10;VDnTUq3g+L65W4AIUZPRnSNUMGKAVXF9levMuAu94fkQa8EhFDKtoImxz6QMVYNWh4nrkdj7cN7q&#10;yKevpfH6wuG2k/dJ8iitbok/NLrH5warz8PJKlhu+7rs9q8v06/Eb7btftwN61Gp25th/QQi4hD/&#10;YPipz9Wh4E6lO5EJolMwS+cpo2zMHkAwMF+mLJS/gixy+X9B8Q0AAP//AwBQSwECLQAUAAYACAAA&#10;ACEAtoM4kv4AAADhAQAAEwAAAAAAAAAAAAAAAAAAAAAAW0NvbnRlbnRfVHlwZXNdLnhtbFBLAQIt&#10;ABQABgAIAAAAIQA4/SH/1gAAAJQBAAALAAAAAAAAAAAAAAAAAC8BAABfcmVscy8ucmVsc1BLAQIt&#10;ABQABgAIAAAAIQDPRKGR5gEAADQEAAAOAAAAAAAAAAAAAAAAAC4CAABkcnMvZTJvRG9jLnhtbFBL&#10;AQItABQABgAIAAAAIQD3oUcg3gAAAAkBAAAPAAAAAAAAAAAAAAAAAEAEAABkcnMvZG93bnJldi54&#10;bWxQSwUGAAAAAAQABADzAAAASwUAAAAA&#10;" strokecolor="black [3213]" strokeweight=".5pt">
                <v:stroke endarrow="block" joinstyle="miter"/>
              </v:shape>
            </w:pict>
          </mc:Fallback>
        </mc:AlternateContent>
      </w:r>
      <w:r w:rsidR="00430D62" w:rsidRPr="00392836">
        <w:rPr>
          <w:lang w:val="en-US"/>
        </w:rPr>
        <w:t xml:space="preserve">   </w:t>
      </w:r>
      <w:r w:rsidR="002A1222">
        <w:rPr>
          <w:lang w:val="en-US"/>
        </w:rPr>
        <w:tab/>
      </w:r>
      <w:r w:rsidR="00430D62" w:rsidRPr="00392836">
        <w:rPr>
          <w:lang w:val="en-US"/>
        </w:rPr>
        <w:t xml:space="preserve"> Peptide nitroanilide + H</w:t>
      </w:r>
      <w:r w:rsidR="00430D62" w:rsidRPr="00392836">
        <w:rPr>
          <w:vertAlign w:val="subscript"/>
          <w:lang w:val="en-US"/>
        </w:rPr>
        <w:t>2</w:t>
      </w:r>
      <w:r w:rsidR="00430D62" w:rsidRPr="00392836">
        <w:rPr>
          <w:lang w:val="en-US"/>
        </w:rPr>
        <w:t xml:space="preserve">O           </w:t>
      </w:r>
      <w:r w:rsidR="003809B6">
        <w:rPr>
          <w:lang w:val="en-US"/>
        </w:rPr>
        <w:t xml:space="preserve">            </w:t>
      </w:r>
      <w:r w:rsidR="00430D62" w:rsidRPr="00392836">
        <w:rPr>
          <w:lang w:val="en-US"/>
        </w:rPr>
        <w:t xml:space="preserve">  Peptide   +   </w:t>
      </w:r>
      <w:r w:rsidR="00430D62" w:rsidRPr="00392836">
        <w:rPr>
          <w:i/>
          <w:lang w:val="en-US"/>
        </w:rPr>
        <w:t>p</w:t>
      </w:r>
      <w:r w:rsidR="00430D62" w:rsidRPr="00392836">
        <w:rPr>
          <w:lang w:val="en-US"/>
        </w:rPr>
        <w:t>-Nitroaniline</w:t>
      </w:r>
    </w:p>
    <w:p w:rsidR="00430D62" w:rsidRPr="00392836" w:rsidRDefault="00430D62" w:rsidP="002A1222">
      <w:pPr>
        <w:ind w:left="720"/>
        <w:rPr>
          <w:lang w:val="en-US"/>
        </w:rPr>
      </w:pPr>
      <w:r w:rsidRPr="00392836">
        <w:rPr>
          <w:lang w:val="en-US"/>
        </w:rPr>
        <w:t xml:space="preserve">The slope of the graph that is change in absorbance over time was calculated which is proportional to the activity of the enzyme. </w:t>
      </w:r>
    </w:p>
    <w:p w:rsidR="00B01F6C" w:rsidRDefault="00AD5B97" w:rsidP="002A1222">
      <w:pPr>
        <w:ind w:firstLine="720"/>
        <w:rPr>
          <w:b/>
          <w:lang w:val="en-US"/>
        </w:rPr>
      </w:pPr>
      <w:bookmarkStart w:id="260" w:name="_Toc419657265"/>
      <w:bookmarkStart w:id="261" w:name="_Toc419657337"/>
      <w:bookmarkStart w:id="262" w:name="_Toc419659342"/>
      <w:bookmarkStart w:id="263" w:name="_Toc419852037"/>
      <w:r>
        <w:rPr>
          <w:noProof/>
          <w:lang w:eastAsia="en-GB"/>
        </w:rPr>
        <w:lastRenderedPageBreak/>
        <w:drawing>
          <wp:inline distT="0" distB="0" distL="0" distR="0">
            <wp:extent cx="3162300" cy="1924050"/>
            <wp:effectExtent l="0" t="0" r="0" b="0"/>
            <wp:docPr id="225" name="Picture 225" descr="Screenshot_2016-08-10-11-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2016-08-10-11-50-03"/>
                    <pic:cNvPicPr>
                      <a:picLocks noChangeAspect="1" noChangeArrowheads="1"/>
                    </pic:cNvPicPr>
                  </pic:nvPicPr>
                  <pic:blipFill>
                    <a:blip r:embed="rId54" cstate="print">
                      <a:extLst>
                        <a:ext uri="{28A0092B-C50C-407E-A947-70E740481C1C}">
                          <a14:useLocalDpi xmlns:a14="http://schemas.microsoft.com/office/drawing/2010/main" val="0"/>
                        </a:ext>
                      </a:extLst>
                    </a:blip>
                    <a:srcRect l="1819" t="-1613" r="13635" b="10323"/>
                    <a:stretch>
                      <a:fillRect/>
                    </a:stretch>
                  </pic:blipFill>
                  <pic:spPr bwMode="auto">
                    <a:xfrm>
                      <a:off x="0" y="0"/>
                      <a:ext cx="3162300" cy="1924050"/>
                    </a:xfrm>
                    <a:prstGeom prst="rect">
                      <a:avLst/>
                    </a:prstGeom>
                    <a:noFill/>
                    <a:ln>
                      <a:noFill/>
                    </a:ln>
                  </pic:spPr>
                </pic:pic>
              </a:graphicData>
            </a:graphic>
          </wp:inline>
        </w:drawing>
      </w:r>
    </w:p>
    <w:p w:rsidR="00AD5B97" w:rsidRDefault="00A70F56" w:rsidP="007B3EEB">
      <w:pPr>
        <w:pStyle w:val="Subtitle"/>
      </w:pPr>
      <w:bookmarkStart w:id="264" w:name="_Toc504640585"/>
      <w:r>
        <w:t>Figure 2.15</w:t>
      </w:r>
      <w:r w:rsidR="00AD5B97" w:rsidRPr="000C38B3">
        <w:t>: Multiskan Ascent VI.24 plate reader</w:t>
      </w:r>
      <w:bookmarkEnd w:id="264"/>
      <w:r w:rsidR="00AD5B97" w:rsidRPr="000C38B3">
        <w:t xml:space="preserve"> </w:t>
      </w:r>
    </w:p>
    <w:p w:rsidR="00B3781F" w:rsidRPr="00B3781F" w:rsidRDefault="00B3781F" w:rsidP="00B3781F">
      <w:pPr>
        <w:rPr>
          <w:lang w:val="en-US" w:eastAsia="en-GB"/>
        </w:rPr>
      </w:pPr>
    </w:p>
    <w:p w:rsidR="00430D62" w:rsidRPr="00D42EAE" w:rsidRDefault="00430D62" w:rsidP="002A1222">
      <w:pPr>
        <w:ind w:firstLine="720"/>
        <w:rPr>
          <w:b/>
          <w:lang w:val="en-US"/>
        </w:rPr>
      </w:pPr>
      <w:r w:rsidRPr="00D42EAE">
        <w:rPr>
          <w:b/>
          <w:lang w:val="en-US"/>
        </w:rPr>
        <w:t>Plasmin Assay.</w:t>
      </w:r>
      <w:bookmarkEnd w:id="260"/>
      <w:bookmarkEnd w:id="261"/>
      <w:bookmarkEnd w:id="262"/>
      <w:bookmarkEnd w:id="263"/>
    </w:p>
    <w:p w:rsidR="00430D62" w:rsidRPr="00392836" w:rsidRDefault="00430D62" w:rsidP="002A1222">
      <w:pPr>
        <w:ind w:left="720"/>
        <w:rPr>
          <w:lang w:val="en-US"/>
        </w:rPr>
      </w:pPr>
      <w:r w:rsidRPr="00392836">
        <w:rPr>
          <w:lang w:val="en-US"/>
        </w:rPr>
        <w:t>The substrate used to assay plasmin was V0882 (Sigma), referred to as VALY [D- Val-Leu-Lys –</w:t>
      </w:r>
      <w:r w:rsidRPr="00392836">
        <w:rPr>
          <w:i/>
          <w:lang w:val="en-US"/>
        </w:rPr>
        <w:t>p</w:t>
      </w:r>
      <w:r w:rsidRPr="00392836">
        <w:rPr>
          <w:lang w:val="en-US"/>
        </w:rPr>
        <w:t>- nitroanilide dichloride</w:t>
      </w:r>
      <w:r w:rsidR="00C15E69" w:rsidRPr="00392836">
        <w:rPr>
          <w:lang w:val="en-US"/>
        </w:rPr>
        <w:t>]</w:t>
      </w:r>
      <w:r w:rsidRPr="00392836">
        <w:rPr>
          <w:lang w:val="en-US"/>
        </w:rPr>
        <w:t xml:space="preserve"> </w:t>
      </w:r>
      <w:r w:rsidRPr="00392836">
        <w:rPr>
          <w:lang w:val="en-US"/>
        </w:rPr>
        <w:fldChar w:fldCharType="begin"/>
      </w:r>
      <w:r w:rsidRPr="00392836">
        <w:rPr>
          <w:lang w:val="en-US"/>
        </w:rPr>
        <w:instrText xml:space="preserve"> ADDIN EN.CITE &lt;EndNote&gt;&lt;Cite&gt;&lt;Author&gt;Atkinson&lt;/Author&gt;&lt;Year&gt;2013&lt;/Year&gt;&lt;IDText&gt;An inhibitor of thrombin activated fibrinolysis inhibitor (TAFI) can reduce extracellular matrix accumulation in an in vitro model of glucose induced ECM expansion&lt;/IDText&gt;&lt;DisplayText&gt;(Atkinson et al., 2013)&lt;/DisplayText&gt;&lt;record&gt;&lt;dates&gt;&lt;pub-dates&gt;&lt;date&gt;Jun 24&lt;/date&gt;&lt;/pub-dates&gt;&lt;year&gt;2013&lt;/year&gt;&lt;/dates&gt;&lt;urls&gt;&lt;related-urls&gt;&lt;url&gt;&amp;lt;Go to ISI&amp;gt;://WOS:000322298000009&lt;/url&gt;&lt;/related-urls&gt;&lt;/urls&gt;&lt;isbn&gt;0945-053X&lt;/isbn&gt;&lt;titles&gt;&lt;title&gt;An inhibitor of thrombin activated fibrinolysis inhibitor (TAFI) can reduce extracellular matrix accumulation in an in vitro model of glucose induced ECM expansion&lt;/title&gt;&lt;secondary-title&gt;Matrix Biology&lt;/secondary-title&gt;&lt;/titles&gt;&lt;pages&gt;277-287&lt;/pages&gt;&lt;number&gt;5&lt;/number&gt;&lt;contributors&gt;&lt;authors&gt;&lt;author&gt;Atkinson, J. M.&lt;/author&gt;&lt;author&gt;Pullen, N.&lt;/author&gt;&lt;author&gt;Johnson, T. S.&lt;/author&gt;&lt;/authors&gt;&lt;/contributors&gt;&lt;added-date format="utc"&gt;1430215997&lt;/added-date&gt;&lt;ref-type name="Journal Article"&gt;17&lt;/ref-type&gt;&lt;rec-number&gt;716&lt;/rec-number&gt;&lt;last-updated-date format="utc"&gt;1430215997&lt;/last-updated-date&gt;&lt;accession-num&gt;WOS:000322298000009&lt;/accession-num&gt;&lt;electronic-resource-num&gt;10.1016/j.matbio.2013.01.006&lt;/electronic-resource-num&gt;&lt;volume&gt;32&lt;/volume&gt;&lt;/record&gt;&lt;/Cite&gt;&lt;/EndNote&gt;</w:instrText>
      </w:r>
      <w:r w:rsidRPr="00392836">
        <w:rPr>
          <w:lang w:val="en-US"/>
        </w:rPr>
        <w:fldChar w:fldCharType="separate"/>
      </w:r>
      <w:r w:rsidRPr="00392836">
        <w:rPr>
          <w:noProof/>
          <w:lang w:val="en-US"/>
        </w:rPr>
        <w:t>(Atkinson et al., 2013)</w:t>
      </w:r>
      <w:r w:rsidRPr="00392836">
        <w:rPr>
          <w:lang w:val="en-US"/>
        </w:rPr>
        <w:fldChar w:fldCharType="end"/>
      </w:r>
      <w:r w:rsidRPr="00392836">
        <w:rPr>
          <w:lang w:val="en-US"/>
        </w:rPr>
        <w:t>.</w:t>
      </w:r>
    </w:p>
    <w:p w:rsidR="00430D62" w:rsidRPr="00392836" w:rsidRDefault="00430D62" w:rsidP="002A1222">
      <w:pPr>
        <w:ind w:left="720"/>
        <w:rPr>
          <w:lang w:val="en-US"/>
        </w:rPr>
      </w:pPr>
      <w:r w:rsidRPr="00392836">
        <w:rPr>
          <w:lang w:val="en-US"/>
        </w:rPr>
        <w:t>The buffer used consisted of 10 mM KH</w:t>
      </w:r>
      <w:r w:rsidRPr="00392836">
        <w:rPr>
          <w:vertAlign w:val="subscript"/>
          <w:lang w:val="en-US"/>
        </w:rPr>
        <w:t>2</w:t>
      </w:r>
      <w:r w:rsidRPr="00392836">
        <w:rPr>
          <w:lang w:val="en-US"/>
        </w:rPr>
        <w:t>PO</w:t>
      </w:r>
      <w:r w:rsidRPr="00392836">
        <w:rPr>
          <w:vertAlign w:val="subscript"/>
          <w:lang w:val="en-US"/>
        </w:rPr>
        <w:t>4</w:t>
      </w:r>
      <w:r w:rsidRPr="00392836">
        <w:rPr>
          <w:lang w:val="en-US"/>
        </w:rPr>
        <w:t>, 70 mM Na</w:t>
      </w:r>
      <w:r w:rsidRPr="00392836">
        <w:rPr>
          <w:vertAlign w:val="subscript"/>
          <w:lang w:val="en-US"/>
        </w:rPr>
        <w:t>2</w:t>
      </w:r>
      <w:r w:rsidRPr="00392836">
        <w:rPr>
          <w:lang w:val="en-US"/>
        </w:rPr>
        <w:t>HPO</w:t>
      </w:r>
      <w:r w:rsidRPr="00392836">
        <w:rPr>
          <w:vertAlign w:val="subscript"/>
          <w:lang w:val="en-US"/>
        </w:rPr>
        <w:t>4</w:t>
      </w:r>
      <w:r w:rsidRPr="00392836">
        <w:rPr>
          <w:lang w:val="en-US"/>
        </w:rPr>
        <w:t>, 100 mM lysine and the pH was adjusted to 7.5 at 37°C with 1 M NaOH.</w:t>
      </w:r>
    </w:p>
    <w:p w:rsidR="00430D62" w:rsidRPr="00392836" w:rsidRDefault="00430D62" w:rsidP="002A1222">
      <w:pPr>
        <w:ind w:left="720"/>
        <w:rPr>
          <w:lang w:val="en-US"/>
        </w:rPr>
      </w:pPr>
      <w:r w:rsidRPr="00392836">
        <w:rPr>
          <w:lang w:val="en-US"/>
        </w:rPr>
        <w:t>6.5 mM D-Val-Leu-Lys-</w:t>
      </w:r>
      <w:r w:rsidRPr="00392836">
        <w:rPr>
          <w:i/>
          <w:lang w:val="en-US"/>
        </w:rPr>
        <w:t>p</w:t>
      </w:r>
      <w:r w:rsidRPr="00392836">
        <w:rPr>
          <w:lang w:val="en-US"/>
        </w:rPr>
        <w:t>-nitroanilide dihydrochloride solution was prepared with the buffer at pH 7.5 and ambient temperature.</w:t>
      </w:r>
    </w:p>
    <w:p w:rsidR="00D42EAE" w:rsidRDefault="00430D62" w:rsidP="002A1222">
      <w:pPr>
        <w:ind w:left="720"/>
        <w:rPr>
          <w:lang w:val="en-US"/>
        </w:rPr>
      </w:pPr>
      <w:r w:rsidRPr="00392836">
        <w:rPr>
          <w:lang w:val="en-US"/>
        </w:rPr>
        <w:t>100 µl 6.5 mM D-Val-Leu-Lys-</w:t>
      </w:r>
      <w:r w:rsidRPr="00392836">
        <w:rPr>
          <w:i/>
          <w:lang w:val="en-US"/>
        </w:rPr>
        <w:t>p</w:t>
      </w:r>
      <w:r w:rsidRPr="00392836">
        <w:rPr>
          <w:lang w:val="en-US"/>
        </w:rPr>
        <w:t>-nitroanilide dihydrochloride solution was pipetted into wells of a 96-well plate and incubated at 37</w:t>
      </w:r>
      <w:r w:rsidRPr="00392836">
        <w:rPr>
          <w:vertAlign w:val="superscript"/>
          <w:lang w:val="en-US"/>
        </w:rPr>
        <w:t>°</w:t>
      </w:r>
      <w:r w:rsidRPr="00392836">
        <w:rPr>
          <w:lang w:val="en-US"/>
        </w:rPr>
        <w:t>C for 3-5 min after which 100 µl of 24 hour conditioned medium was added and the increase in A</w:t>
      </w:r>
      <w:r w:rsidRPr="00392836">
        <w:rPr>
          <w:vertAlign w:val="subscript"/>
          <w:lang w:val="en-US"/>
        </w:rPr>
        <w:t>405nm</w:t>
      </w:r>
      <w:r w:rsidRPr="00392836">
        <w:rPr>
          <w:lang w:val="en-US"/>
        </w:rPr>
        <w:t xml:space="preserve"> was read at regular intervals for 50 mins. The method was first validated using 0.10 Unit/ml of plas</w:t>
      </w:r>
      <w:r w:rsidR="005127D0">
        <w:rPr>
          <w:lang w:val="en-US"/>
        </w:rPr>
        <w:t>min and 6.5 mM D-Val-Leu-Lys-p-nitroanilide dihydrochloride s</w:t>
      </w:r>
      <w:r w:rsidRPr="00392836">
        <w:rPr>
          <w:lang w:val="en-US"/>
        </w:rPr>
        <w:t>olution, pH 7.5 at ambient temperature (</w:t>
      </w:r>
      <w:r w:rsidR="00D42EAE">
        <w:rPr>
          <w:lang w:val="en-US"/>
        </w:rPr>
        <w:t xml:space="preserve">Fig. </w:t>
      </w:r>
      <w:r w:rsidR="00A70F56">
        <w:rPr>
          <w:lang w:val="en-US"/>
        </w:rPr>
        <w:t>2.16</w:t>
      </w:r>
      <w:r w:rsidRPr="00392836">
        <w:rPr>
          <w:lang w:val="en-US"/>
        </w:rPr>
        <w:t>).</w:t>
      </w:r>
    </w:p>
    <w:p w:rsidR="00430D62" w:rsidRPr="004D0A1D" w:rsidRDefault="00430D62" w:rsidP="004D0A1D">
      <w:pPr>
        <w:pStyle w:val="LegText"/>
        <w:ind w:left="720"/>
        <w:rPr>
          <w:rFonts w:ascii="Calibri" w:hAnsi="Calibri"/>
          <w:lang w:val="en-US"/>
        </w:rPr>
      </w:pPr>
      <w:r w:rsidRPr="00392836">
        <w:rPr>
          <w:rFonts w:ascii="Calibri" w:hAnsi="Calibri"/>
          <w:lang w:val="en-US"/>
        </w:rPr>
        <w:object w:dxaOrig="7659" w:dyaOrig="5184">
          <v:shape id="_x0000_i1030" type="#_x0000_t75" style="width:381.75pt;height:259.5pt" o:ole="">
            <v:imagedata r:id="rId55" o:title=""/>
          </v:shape>
          <o:OLEObject Type="Embed" ProgID="Prism7.Document" ShapeID="_x0000_i1030" DrawAspect="Content" ObjectID="_1583750200" r:id="rId56"/>
        </w:object>
      </w:r>
      <w:r w:rsidR="00A70F56">
        <w:rPr>
          <w:rStyle w:val="SubtitleChar"/>
        </w:rPr>
        <w:t>Figure 2.16</w:t>
      </w:r>
      <w:r w:rsidRPr="004D0A1D">
        <w:rPr>
          <w:rStyle w:val="SubtitleChar"/>
        </w:rPr>
        <w:t>: Plasmin activity assay</w:t>
      </w:r>
      <w:r w:rsidRPr="00392836">
        <w:rPr>
          <w:rFonts w:ascii="Times New Roman" w:hAnsi="Times New Roman"/>
        </w:rPr>
        <w:t>.</w:t>
      </w:r>
      <w:r w:rsidR="00D42EAE">
        <w:rPr>
          <w:rFonts w:ascii="Times New Roman" w:hAnsi="Times New Roman"/>
        </w:rPr>
        <w:t xml:space="preserve"> </w:t>
      </w:r>
      <w:r w:rsidRPr="002A1222">
        <w:t>Plasmin activity against D-Val-leu-Lys-p-nitroanilide dihydrochloride was determined. 0.10 unit of plasmin was assayed over 50 min, at ambient temperature with the lysine buffer at pH 7.5. Each point is a mean of two readings.</w:t>
      </w:r>
    </w:p>
    <w:p w:rsidR="001869BA" w:rsidRDefault="001869BA" w:rsidP="002A1222">
      <w:pPr>
        <w:pStyle w:val="LegText"/>
        <w:ind w:left="720"/>
      </w:pPr>
    </w:p>
    <w:p w:rsidR="001869BA" w:rsidRPr="00507AE4" w:rsidRDefault="001869BA" w:rsidP="00507AE4">
      <w:pPr>
        <w:ind w:firstLine="720"/>
        <w:rPr>
          <w:b/>
        </w:rPr>
      </w:pPr>
      <w:r w:rsidRPr="00507AE4">
        <w:rPr>
          <w:b/>
        </w:rPr>
        <w:t>Urokinase type plasminogen activator</w:t>
      </w:r>
    </w:p>
    <w:p w:rsidR="00BB4C8A" w:rsidRDefault="001869BA" w:rsidP="001869BA">
      <w:pPr>
        <w:ind w:left="720"/>
      </w:pPr>
      <w:r>
        <w:t>The suitability and relevance of Pyro-Glu-Gly-Arg-</w:t>
      </w:r>
      <w:r>
        <w:rPr>
          <w:i/>
        </w:rPr>
        <w:t>p</w:t>
      </w:r>
      <w:r>
        <w:t xml:space="preserve">-nitroanilide as a standard uPA activity substrate </w:t>
      </w:r>
      <w:r w:rsidRPr="00622FB9">
        <w:t xml:space="preserve">was </w:t>
      </w:r>
      <w:r w:rsidR="004D0A1D">
        <w:t>investigated</w:t>
      </w:r>
      <w:r w:rsidRPr="00622FB9">
        <w:t xml:space="preserve">. </w:t>
      </w:r>
      <w:r w:rsidR="00BB4C8A">
        <w:t>A standard uPA activity curve was done with 16 ng of recombinant urokinase and 1.35 mM Pyro-Glu-Gly-Arg-</w:t>
      </w:r>
      <w:r w:rsidR="00BB4C8A">
        <w:rPr>
          <w:i/>
        </w:rPr>
        <w:t>p</w:t>
      </w:r>
      <w:r w:rsidR="00BB4C8A">
        <w:t xml:space="preserve">-nitroanilide </w:t>
      </w:r>
      <w:r w:rsidR="00BB4C8A">
        <w:rPr>
          <w:rFonts w:cs="Arial"/>
        </w:rPr>
        <w:t>(an expected u</w:t>
      </w:r>
      <w:r w:rsidR="00BB4C8A" w:rsidRPr="00F20438">
        <w:rPr>
          <w:rFonts w:cs="Arial"/>
        </w:rPr>
        <w:t>PA substrate)</w:t>
      </w:r>
      <w:r w:rsidR="00BB4C8A">
        <w:rPr>
          <w:rFonts w:cs="Arial"/>
        </w:rPr>
        <w:t>.</w:t>
      </w:r>
      <w:r w:rsidR="00BB4C8A" w:rsidRPr="00F20438">
        <w:rPr>
          <w:rFonts w:cs="Arial"/>
        </w:rPr>
        <w:t xml:space="preserve"> </w:t>
      </w:r>
      <w:r w:rsidRPr="00622FB9">
        <w:t xml:space="preserve">The curve </w:t>
      </w:r>
      <w:r>
        <w:t>obtained at A</w:t>
      </w:r>
      <w:r>
        <w:rPr>
          <w:vertAlign w:val="subscript"/>
        </w:rPr>
        <w:t>405</w:t>
      </w:r>
      <w:r>
        <w:t xml:space="preserve"> showed a linear trend u</w:t>
      </w:r>
      <w:r w:rsidR="00BB4C8A">
        <w:t>p to Abs 0.486</w:t>
      </w:r>
      <w:r w:rsidR="00A70F56">
        <w:t xml:space="preserve"> (Fig 2.17</w:t>
      </w:r>
      <w:r w:rsidR="003B20F4" w:rsidRPr="00622FB9">
        <w:t>)</w:t>
      </w:r>
      <w:r w:rsidR="00BB4C8A">
        <w:t xml:space="preserve">. </w:t>
      </w:r>
    </w:p>
    <w:p w:rsidR="001869BA" w:rsidRDefault="00BB4C8A" w:rsidP="001869BA">
      <w:pPr>
        <w:ind w:left="720"/>
      </w:pPr>
      <w:r>
        <w:t>Previous studies</w:t>
      </w:r>
      <w:r w:rsidR="001869BA">
        <w:t xml:space="preserve"> </w:t>
      </w:r>
      <w:r>
        <w:t>have reported</w:t>
      </w:r>
      <w:r w:rsidR="001869BA">
        <w:t xml:space="preserve"> Pyro-Glu-Gly-Arg-</w:t>
      </w:r>
      <w:r w:rsidR="001869BA">
        <w:rPr>
          <w:i/>
        </w:rPr>
        <w:t>p</w:t>
      </w:r>
      <w:r w:rsidR="001869BA">
        <w:t xml:space="preserve">-nitroanilide as a relevant and selective substrate for uPA (Claeson et al., 1978, Atkinson et al., </w:t>
      </w:r>
      <w:r w:rsidR="001869BA" w:rsidRPr="00945F1F">
        <w:t>2013)</w:t>
      </w:r>
      <w:r w:rsidR="00945F1F" w:rsidRPr="00945F1F">
        <w:t xml:space="preserve">, </w:t>
      </w:r>
      <w:r w:rsidR="00CD01D0">
        <w:t xml:space="preserve">but </w:t>
      </w:r>
      <w:r w:rsidR="00945F1F">
        <w:t>contrary to this</w:t>
      </w:r>
      <w:r w:rsidR="00945F1F" w:rsidRPr="00945F1F">
        <w:t>,</w:t>
      </w:r>
      <w:r w:rsidR="001869BA" w:rsidRPr="00945F1F">
        <w:t xml:space="preserve"> </w:t>
      </w:r>
      <w:r w:rsidR="00945F1F" w:rsidRPr="00945F1F">
        <w:t>w</w:t>
      </w:r>
      <w:r w:rsidR="001869BA" w:rsidRPr="00945F1F">
        <w:t xml:space="preserve">e discovered that uPA </w:t>
      </w:r>
      <w:r w:rsidR="00945F1F">
        <w:t xml:space="preserve">also </w:t>
      </w:r>
      <w:r w:rsidR="001869BA" w:rsidRPr="00945F1F">
        <w:t>cleaves H-D-Ile-Pro-Arg-</w:t>
      </w:r>
      <w:r w:rsidR="001869BA" w:rsidRPr="00945F1F">
        <w:rPr>
          <w:i/>
        </w:rPr>
        <w:t>p</w:t>
      </w:r>
      <w:r w:rsidR="001869BA" w:rsidRPr="00945F1F">
        <w:t>-nitroanilide (an expected tPA substrate)</w:t>
      </w:r>
      <w:r w:rsidR="003B20F4">
        <w:t>, but</w:t>
      </w:r>
      <w:r w:rsidR="00945F1F" w:rsidRPr="00945F1F">
        <w:t xml:space="preserve"> uPA cleaves Pyro-Glu-Gly-Arg-</w:t>
      </w:r>
      <w:r w:rsidR="00945F1F" w:rsidRPr="00945F1F">
        <w:rPr>
          <w:i/>
        </w:rPr>
        <w:t>p</w:t>
      </w:r>
      <w:r w:rsidR="00945F1F" w:rsidRPr="00945F1F">
        <w:t>-nitroanilide better than H-D-Ile-Pro-Arg-</w:t>
      </w:r>
      <w:r w:rsidR="00945F1F" w:rsidRPr="00945F1F">
        <w:rPr>
          <w:i/>
        </w:rPr>
        <w:t>p</w:t>
      </w:r>
      <w:r w:rsidR="00945F1F" w:rsidRPr="00945F1F">
        <w:t xml:space="preserve">-nitroanilide (expected tPA substrate). </w:t>
      </w:r>
      <w:r w:rsidR="001869BA" w:rsidRPr="00C93464">
        <w:t>(Section 2.7.6)</w:t>
      </w:r>
      <w:r w:rsidR="003B20F4">
        <w:t>.</w:t>
      </w:r>
      <w:r w:rsidR="001869BA" w:rsidRPr="00C93464">
        <w:t xml:space="preserve"> </w:t>
      </w:r>
    </w:p>
    <w:p w:rsidR="001869BA" w:rsidRPr="004D0A1D" w:rsidRDefault="001869BA" w:rsidP="004D0A1D">
      <w:pPr>
        <w:pStyle w:val="LegText"/>
        <w:ind w:left="720"/>
        <w:rPr>
          <w:vertAlign w:val="subscript"/>
        </w:rPr>
      </w:pPr>
      <w:r w:rsidRPr="00A93588">
        <w:rPr>
          <w:rFonts w:asciiTheme="minorHAnsi" w:hAnsiTheme="minorHAnsi" w:cstheme="minorBidi"/>
        </w:rPr>
        <w:object w:dxaOrig="8042" w:dyaOrig="5959">
          <v:shape id="_x0000_i1031" type="#_x0000_t75" style="width:403.5pt;height:252pt" o:ole="">
            <v:imagedata r:id="rId57" o:title="" croptop="8429f"/>
          </v:shape>
          <o:OLEObject Type="Embed" ProgID="Prism6.Document" ShapeID="_x0000_i1031" DrawAspect="Content" ObjectID="_1583750201" r:id="rId58"/>
        </w:object>
      </w:r>
      <w:r w:rsidRPr="001869BA">
        <w:rPr>
          <w:rStyle w:val="SubtitleChar"/>
        </w:rPr>
        <w:t xml:space="preserve"> </w:t>
      </w:r>
      <w:r w:rsidRPr="00692C08">
        <w:rPr>
          <w:rStyle w:val="SubtitleChar"/>
        </w:rPr>
        <w:t xml:space="preserve">Figure </w:t>
      </w:r>
      <w:r w:rsidR="00A70F56" w:rsidRPr="00692C08">
        <w:rPr>
          <w:rStyle w:val="SubtitleChar"/>
        </w:rPr>
        <w:t>2.17</w:t>
      </w:r>
      <w:r w:rsidRPr="00692C08">
        <w:rPr>
          <w:rStyle w:val="SubtitleChar"/>
        </w:rPr>
        <w:t xml:space="preserve"> uPA activity assay</w:t>
      </w:r>
      <w:r>
        <w:rPr>
          <w:rStyle w:val="SubtitleChar"/>
        </w:rPr>
        <w:t>.</w:t>
      </w:r>
      <w:r>
        <w:t xml:space="preserve"> uPA activity in pyro-Glu-Gly-Arg-p-nitroanilide was determined over 240 mins with 16ng of recombinant urokinase at ambient temperature and a pH 8.4. Individual points are mean of two readings at A</w:t>
      </w:r>
      <w:r>
        <w:rPr>
          <w:vertAlign w:val="subscript"/>
        </w:rPr>
        <w:t>405.</w:t>
      </w:r>
    </w:p>
    <w:p w:rsidR="00E16B26" w:rsidRDefault="00E16B26" w:rsidP="002A1222">
      <w:pPr>
        <w:pStyle w:val="LegText"/>
        <w:ind w:left="720"/>
      </w:pPr>
    </w:p>
    <w:p w:rsidR="00E16B26" w:rsidRPr="00507AE4" w:rsidRDefault="00E16B26" w:rsidP="00507AE4">
      <w:pPr>
        <w:ind w:firstLine="720"/>
        <w:rPr>
          <w:b/>
        </w:rPr>
      </w:pPr>
      <w:r w:rsidRPr="00507AE4">
        <w:rPr>
          <w:b/>
        </w:rPr>
        <w:t xml:space="preserve">Tissue type plasminogen activator  </w:t>
      </w:r>
    </w:p>
    <w:p w:rsidR="00E16B26" w:rsidRDefault="00E16B26" w:rsidP="00E16B26">
      <w:pPr>
        <w:ind w:left="720"/>
      </w:pPr>
      <w:r>
        <w:t>A standard tPA activity curve was done with 0.039 IU of tPA and 1 mM of H-D-Ile-Pro-Arg-</w:t>
      </w:r>
      <w:r>
        <w:rPr>
          <w:i/>
        </w:rPr>
        <w:t>p</w:t>
      </w:r>
      <w:r>
        <w:t>-</w:t>
      </w:r>
      <w:r w:rsidRPr="00F20438">
        <w:rPr>
          <w:rFonts w:cs="Arial"/>
        </w:rPr>
        <w:t>nitroanilide (an expected tPA substrate) (</w:t>
      </w:r>
      <w:r w:rsidRPr="00F20438">
        <w:rPr>
          <w:rFonts w:eastAsia="Times New Roman" w:cs="Arial"/>
          <w:noProof/>
        </w:rPr>
        <w:t>Sharma and Castellino, 1990</w:t>
      </w:r>
      <w:r w:rsidRPr="00F20438">
        <w:rPr>
          <w:rFonts w:cs="Arial"/>
        </w:rPr>
        <w:t xml:space="preserve">) </w:t>
      </w:r>
      <w:r>
        <w:rPr>
          <w:rFonts w:cs="Arial"/>
        </w:rPr>
        <w:t xml:space="preserve">for </w:t>
      </w:r>
      <w:r w:rsidRPr="00F20438">
        <w:rPr>
          <w:rFonts w:cs="Arial"/>
        </w:rPr>
        <w:t>over 3 hours</w:t>
      </w:r>
      <w:r>
        <w:rPr>
          <w:rFonts w:cs="Arial"/>
        </w:rPr>
        <w:t xml:space="preserve">, </w:t>
      </w:r>
      <w:r w:rsidRPr="00F20438">
        <w:rPr>
          <w:rFonts w:cs="Arial"/>
        </w:rPr>
        <w:t>to determine the activity of tPA and the relevance of using the H-D-Ile-Pro-Arg-</w:t>
      </w:r>
      <w:r w:rsidRPr="00F20438">
        <w:rPr>
          <w:rFonts w:cs="Arial"/>
          <w:i/>
        </w:rPr>
        <w:t>p</w:t>
      </w:r>
      <w:r w:rsidRPr="00F20438">
        <w:rPr>
          <w:rFonts w:cs="Arial"/>
        </w:rPr>
        <w:t>-nitroanilide as a tPA substrate (Nagaoka et</w:t>
      </w:r>
      <w:r w:rsidR="003B20F4">
        <w:t xml:space="preserve"> al., 2000).</w:t>
      </w:r>
      <w:r>
        <w:t xml:space="preserve"> The curve obtained at A</w:t>
      </w:r>
      <w:r>
        <w:rPr>
          <w:vertAlign w:val="subscript"/>
        </w:rPr>
        <w:t>405</w:t>
      </w:r>
      <w:r>
        <w:t xml:space="preserve"> shows a linear trend up to Abs 0.321</w:t>
      </w:r>
      <w:r w:rsidR="003B20F4">
        <w:t xml:space="preserve"> (Fig 2.18).</w:t>
      </w:r>
      <w:r>
        <w:t xml:space="preserve"> </w:t>
      </w:r>
    </w:p>
    <w:p w:rsidR="00E16B26" w:rsidRDefault="00E16B26" w:rsidP="00E16B26">
      <w:pPr>
        <w:ind w:left="720"/>
        <w:rPr>
          <w:rFonts w:asciiTheme="minorHAnsi" w:hAnsiTheme="minorHAnsi" w:cstheme="minorBidi"/>
        </w:rPr>
      </w:pPr>
      <w:r w:rsidRPr="00A93588">
        <w:rPr>
          <w:rFonts w:asciiTheme="minorHAnsi" w:hAnsiTheme="minorHAnsi" w:cstheme="minorBidi"/>
        </w:rPr>
        <w:object w:dxaOrig="8042" w:dyaOrig="5959">
          <v:shape id="_x0000_i1032" type="#_x0000_t75" style="width:352.5pt;height:230.25pt" o:ole="">
            <v:imagedata r:id="rId59" o:title="" croptop="8089f"/>
          </v:shape>
          <o:OLEObject Type="Embed" ProgID="Prism6.Document" ShapeID="_x0000_i1032" DrawAspect="Content" ObjectID="_1583750202" r:id="rId60"/>
        </w:object>
      </w:r>
    </w:p>
    <w:p w:rsidR="00E16B26" w:rsidRDefault="00A70F56" w:rsidP="00CF097F">
      <w:pPr>
        <w:pStyle w:val="LegText"/>
        <w:ind w:left="720"/>
      </w:pPr>
      <w:bookmarkStart w:id="265" w:name="_Toc504640586"/>
      <w:r>
        <w:rPr>
          <w:rStyle w:val="SubtitleChar"/>
        </w:rPr>
        <w:t>Figure 2.18</w:t>
      </w:r>
      <w:r w:rsidR="00E16B26" w:rsidRPr="00BE278D">
        <w:rPr>
          <w:rStyle w:val="SubtitleChar"/>
        </w:rPr>
        <w:t xml:space="preserve"> </w:t>
      </w:r>
      <w:r w:rsidR="00E16B26">
        <w:rPr>
          <w:rStyle w:val="SubtitleChar"/>
        </w:rPr>
        <w:t>Standard curve for tPA.</w:t>
      </w:r>
      <w:bookmarkEnd w:id="265"/>
      <w:r w:rsidR="00E16B26">
        <w:t xml:space="preserve"> tPA activity in H-D-Ile-Pro-Arg-</w:t>
      </w:r>
      <w:r w:rsidR="00E16B26">
        <w:rPr>
          <w:i/>
        </w:rPr>
        <w:t>p</w:t>
      </w:r>
      <w:r w:rsidR="00E16B26">
        <w:t>-nitroanilide was determined over 240 mins with 0.039 IU of tPA at ambient temperature, pH 8.4, individual points are average of two readings at A</w:t>
      </w:r>
      <w:r w:rsidR="00E16B26">
        <w:rPr>
          <w:vertAlign w:val="subscript"/>
        </w:rPr>
        <w:t>405</w:t>
      </w:r>
      <w:r w:rsidR="00E16B26">
        <w:t xml:space="preserve"> .</w:t>
      </w:r>
    </w:p>
    <w:p w:rsidR="00E16B26" w:rsidRPr="00B44DEC" w:rsidRDefault="00E16B26" w:rsidP="00E16B26">
      <w:pPr>
        <w:pStyle w:val="LegText"/>
        <w:ind w:left="720"/>
        <w:rPr>
          <w:sz w:val="24"/>
          <w:szCs w:val="24"/>
        </w:rPr>
      </w:pPr>
    </w:p>
    <w:p w:rsidR="003B20F4" w:rsidRDefault="00E16B26" w:rsidP="00CF097F">
      <w:pPr>
        <w:ind w:left="720"/>
      </w:pPr>
      <w:r>
        <w:t>However the specificity of H-D-Ile-Pro-Arg-</w:t>
      </w:r>
      <w:r>
        <w:rPr>
          <w:i/>
        </w:rPr>
        <w:t>p</w:t>
      </w:r>
      <w:r>
        <w:t>-nitroanilide as a tPA substrate was further investigated by incubating 1.35 mM pyro-Glu-Gly-Arg-</w:t>
      </w:r>
      <w:r>
        <w:rPr>
          <w:i/>
        </w:rPr>
        <w:t xml:space="preserve"> p</w:t>
      </w:r>
      <w:r>
        <w:t xml:space="preserve">-nitroanilide </w:t>
      </w:r>
      <w:r w:rsidRPr="00F13E9D">
        <w:rPr>
          <w:rFonts w:cs="Arial"/>
        </w:rPr>
        <w:t>(an expected uPA substrate) (</w:t>
      </w:r>
      <w:r w:rsidRPr="00F13E9D">
        <w:rPr>
          <w:rFonts w:eastAsia="Times New Roman" w:cs="Arial"/>
          <w:noProof/>
        </w:rPr>
        <w:t>Matsuo et al., 1983)</w:t>
      </w:r>
      <w:r w:rsidRPr="00F13E9D">
        <w:rPr>
          <w:rFonts w:cs="Arial"/>
        </w:rPr>
        <w:t xml:space="preserve"> with 2 µM tPA and 1</w:t>
      </w:r>
      <w:r w:rsidR="00BB4C8A">
        <w:rPr>
          <w:rFonts w:cs="Arial"/>
        </w:rPr>
        <w:t xml:space="preserve"> </w:t>
      </w:r>
      <w:r w:rsidRPr="00F13E9D">
        <w:rPr>
          <w:rFonts w:cs="Arial"/>
        </w:rPr>
        <w:t>mM H-D-Ile-Pro-Arg-</w:t>
      </w:r>
      <w:r w:rsidRPr="00F13E9D">
        <w:rPr>
          <w:rFonts w:cs="Arial"/>
          <w:i/>
        </w:rPr>
        <w:t>p</w:t>
      </w:r>
      <w:r>
        <w:t>-nitroanilide with 2 µM tPA at ambient tempera</w:t>
      </w:r>
      <w:r w:rsidR="003B20F4">
        <w:t>ture and pH 8.</w:t>
      </w:r>
      <w:r w:rsidR="00183126">
        <w:t>4 (Section 2.7.6</w:t>
      </w:r>
      <w:r>
        <w:t>). Our results showed that tPA cleaved pyro-Glu-Gly-Arg-</w:t>
      </w:r>
      <w:r>
        <w:rPr>
          <w:i/>
        </w:rPr>
        <w:t>p</w:t>
      </w:r>
      <w:r>
        <w:t>-nitroanilide more efficiently than it cleaved H-D-Ile-Pro-Arg-</w:t>
      </w:r>
      <w:r>
        <w:rPr>
          <w:i/>
        </w:rPr>
        <w:t>p</w:t>
      </w:r>
      <w:r>
        <w:t>-nitroanilide</w:t>
      </w:r>
      <w:r w:rsidR="00A70F56">
        <w:t xml:space="preserve"> (Fig 2.19</w:t>
      </w:r>
      <w:r w:rsidR="007A07EE" w:rsidRPr="00D57565">
        <w:t>)</w:t>
      </w:r>
      <w:r>
        <w:t xml:space="preserve">. These two substrates could therefore not be used to discriminate between the activities of tPA and uPA. </w:t>
      </w:r>
    </w:p>
    <w:p w:rsidR="007A07EE" w:rsidRPr="009C727A" w:rsidRDefault="007A07EE" w:rsidP="009C727A">
      <w:pPr>
        <w:pStyle w:val="Heading4"/>
        <w:ind w:firstLine="720"/>
      </w:pPr>
      <w:bookmarkStart w:id="266" w:name="_Toc484448859"/>
      <w:bookmarkStart w:id="267" w:name="_Toc506232366"/>
      <w:r w:rsidRPr="009C727A">
        <w:rPr>
          <w:rStyle w:val="Heading3Char1"/>
          <w:b/>
        </w:rPr>
        <w:t>2.7.6 Optimizing</w:t>
      </w:r>
      <w:r w:rsidRPr="009C727A">
        <w:t xml:space="preserve"> an assay to discriminate between uPA and tPA</w:t>
      </w:r>
      <w:bookmarkEnd w:id="266"/>
      <w:bookmarkEnd w:id="267"/>
    </w:p>
    <w:p w:rsidR="007A07EE" w:rsidRPr="00392836" w:rsidRDefault="007A07EE" w:rsidP="007A07EE">
      <w:pPr>
        <w:ind w:left="720"/>
        <w:rPr>
          <w:lang w:val="en-US"/>
        </w:rPr>
      </w:pPr>
      <w:r w:rsidRPr="00392836">
        <w:rPr>
          <w:lang w:val="en-US"/>
        </w:rPr>
        <w:t xml:space="preserve">The initial substrates used to assay tPA </w:t>
      </w:r>
      <w:r>
        <w:rPr>
          <w:lang w:val="en-US"/>
        </w:rPr>
        <w:t>(</w:t>
      </w:r>
      <w:r w:rsidRPr="00392836">
        <w:rPr>
          <w:lang w:val="en-US"/>
        </w:rPr>
        <w:t>S-2288</w:t>
      </w:r>
      <w:r>
        <w:rPr>
          <w:lang w:val="en-US"/>
        </w:rPr>
        <w:t>)</w:t>
      </w:r>
      <w:r w:rsidRPr="00392836">
        <w:rPr>
          <w:lang w:val="en-US"/>
        </w:rPr>
        <w:t xml:space="preserve"> </w:t>
      </w:r>
      <w:r>
        <w:rPr>
          <w:lang w:val="en-US"/>
        </w:rPr>
        <w:t>(</w:t>
      </w:r>
      <w:r w:rsidRPr="00392836">
        <w:rPr>
          <w:lang w:val="en-US"/>
        </w:rPr>
        <w:t>H-D-Isoleucyl-L-Pro-L-Arg-</w:t>
      </w:r>
      <w:r w:rsidRPr="00392836">
        <w:rPr>
          <w:i/>
          <w:lang w:val="en-US"/>
        </w:rPr>
        <w:t>p</w:t>
      </w:r>
      <w:r w:rsidRPr="00392836">
        <w:rPr>
          <w:lang w:val="en-US"/>
        </w:rPr>
        <w:t>-nitroanilide dihydrochloride</w:t>
      </w:r>
      <w:r>
        <w:rPr>
          <w:lang w:val="en-US"/>
        </w:rPr>
        <w:t>)</w:t>
      </w:r>
      <w:r w:rsidRPr="00392836">
        <w:rPr>
          <w:lang w:val="en-US"/>
        </w:rPr>
        <w:t xml:space="preserve"> and uPA </w:t>
      </w:r>
      <w:r>
        <w:rPr>
          <w:lang w:val="en-US"/>
        </w:rPr>
        <w:t>(</w:t>
      </w:r>
      <w:r w:rsidRPr="00392836">
        <w:rPr>
          <w:lang w:val="en-US"/>
        </w:rPr>
        <w:t>pyro-Glu-Gly-Arg-</w:t>
      </w:r>
      <w:r w:rsidRPr="00392836">
        <w:rPr>
          <w:i/>
          <w:lang w:val="en-US"/>
        </w:rPr>
        <w:t xml:space="preserve"> p</w:t>
      </w:r>
      <w:r w:rsidRPr="00392836">
        <w:rPr>
          <w:lang w:val="en-US"/>
        </w:rPr>
        <w:t>-nitroanilide</w:t>
      </w:r>
      <w:r>
        <w:rPr>
          <w:lang w:val="en-US"/>
        </w:rPr>
        <w:t>)</w:t>
      </w:r>
      <w:r w:rsidRPr="00392836">
        <w:rPr>
          <w:lang w:val="en-US"/>
        </w:rPr>
        <w:t xml:space="preserve"> </w:t>
      </w:r>
      <w:r w:rsidRPr="00392836">
        <w:rPr>
          <w:lang w:val="en-US"/>
        </w:rPr>
        <w:fldChar w:fldCharType="begin"/>
      </w:r>
      <w:r w:rsidRPr="00392836">
        <w:rPr>
          <w:lang w:val="en-US"/>
        </w:rPr>
        <w:instrText xml:space="preserve"> ADDIN EN.CITE &lt;EndNote&gt;&lt;Cite&gt;&lt;Author&gt;Atkinson&lt;/Author&gt;&lt;Year&gt;2013&lt;/Year&gt;&lt;IDText&gt;An inhibitor of thrombin activated fibrinolysis inhibitor (TAFI) can reduce extracellular matrix accumulation in an in vitro model of glucose induced ECM expansion&lt;/IDText&gt;&lt;DisplayText&gt;(Atkinson et al., 2013)&lt;/DisplayText&gt;&lt;record&gt;&lt;dates&gt;&lt;pub-dates&gt;&lt;date&gt;Jun 24&lt;/date&gt;&lt;/pub-dates&gt;&lt;year&gt;2013&lt;/year&gt;&lt;/dates&gt;&lt;urls&gt;&lt;related-urls&gt;&lt;url&gt;&amp;lt;Go to ISI&amp;gt;://WOS:000322298000009&lt;/url&gt;&lt;/related-urls&gt;&lt;/urls&gt;&lt;isbn&gt;0945-053X&lt;/isbn&gt;&lt;titles&gt;&lt;title&gt;An inhibitor of thrombin activated fibrinolysis inhibitor (TAFI) can reduce extracellular matrix accumulation in an in vitro model of glucose induced ECM expansion&lt;/title&gt;&lt;secondary-title&gt;Matrix Biology&lt;/secondary-title&gt;&lt;/titles&gt;&lt;pages&gt;277-287&lt;/pages&gt;&lt;number&gt;5&lt;/number&gt;&lt;contributors&gt;&lt;authors&gt;&lt;author&gt;Atkinson, J. M.&lt;/author&gt;&lt;author&gt;Pullen, N.&lt;/author&gt;&lt;author&gt;Johnson, T. S.&lt;/author&gt;&lt;/authors&gt;&lt;/contributors&gt;&lt;added-date format="utc"&gt;1430215997&lt;/added-date&gt;&lt;ref-type name="Journal Article"&gt;17&lt;/ref-type&gt;&lt;rec-number&gt;716&lt;/rec-number&gt;&lt;last-updated-date format="utc"&gt;1430215997&lt;/last-updated-date&gt;&lt;accession-num&gt;WOS:000322298000009&lt;/accession-num&gt;&lt;electronic-resource-num&gt;10.1016/j.matbio.2013.01.006&lt;/electronic-resource-num&gt;&lt;volume&gt;32&lt;/volume&gt;&lt;/record&gt;&lt;/Cite&gt;&lt;/EndNote&gt;</w:instrText>
      </w:r>
      <w:r w:rsidRPr="00392836">
        <w:rPr>
          <w:lang w:val="en-US"/>
        </w:rPr>
        <w:fldChar w:fldCharType="separate"/>
      </w:r>
      <w:r w:rsidRPr="00392836">
        <w:rPr>
          <w:noProof/>
          <w:lang w:val="en-US"/>
        </w:rPr>
        <w:t>(Atkinson et al., 2013)</w:t>
      </w:r>
      <w:r w:rsidRPr="00392836">
        <w:rPr>
          <w:lang w:val="en-US"/>
        </w:rPr>
        <w:fldChar w:fldCharType="end"/>
      </w:r>
      <w:r w:rsidRPr="00392836">
        <w:rPr>
          <w:lang w:val="en-US"/>
        </w:rPr>
        <w:t xml:space="preserve"> were found to be not exclusively selective for tPA and uPA respectively. </w:t>
      </w:r>
    </w:p>
    <w:p w:rsidR="007A07EE" w:rsidRPr="00392836" w:rsidRDefault="007A07EE" w:rsidP="007A07EE">
      <w:pPr>
        <w:ind w:left="720"/>
        <w:rPr>
          <w:lang w:val="en-US"/>
        </w:rPr>
      </w:pPr>
      <w:r w:rsidRPr="00392836">
        <w:rPr>
          <w:lang w:val="en-US"/>
        </w:rPr>
        <w:t>100 mM Tris, 106 mM NaCl buffer was prepared and the pH was adjusted to 8.4 using 1 M HCl at ambient temperature. 1.35</w:t>
      </w:r>
      <w:r w:rsidR="009D2515">
        <w:rPr>
          <w:lang w:val="en-US"/>
        </w:rPr>
        <w:t xml:space="preserve"> </w:t>
      </w:r>
      <w:r w:rsidRPr="00392836">
        <w:rPr>
          <w:lang w:val="en-US"/>
        </w:rPr>
        <w:t>mM uPA pyro-Glu-Gly-Arg-</w:t>
      </w:r>
      <w:r w:rsidRPr="00392836">
        <w:rPr>
          <w:i/>
          <w:lang w:val="en-US"/>
        </w:rPr>
        <w:t xml:space="preserve"> p</w:t>
      </w:r>
      <w:r w:rsidRPr="00392836">
        <w:rPr>
          <w:lang w:val="en-US"/>
        </w:rPr>
        <w:t>-nitroanilide solution was prepared with Tris buffer and 1 mM H-D-Isoleucyl-L-Pro-L-Arg-</w:t>
      </w:r>
      <w:r w:rsidRPr="00392836">
        <w:rPr>
          <w:i/>
          <w:lang w:val="en-US"/>
        </w:rPr>
        <w:t>p</w:t>
      </w:r>
      <w:r w:rsidRPr="00392836">
        <w:rPr>
          <w:lang w:val="en-US"/>
        </w:rPr>
        <w:t xml:space="preserve">-nitroanilide dihydrochloride was </w:t>
      </w:r>
      <w:r w:rsidRPr="00392836">
        <w:rPr>
          <w:lang w:val="en-US"/>
        </w:rPr>
        <w:lastRenderedPageBreak/>
        <w:t xml:space="preserve">also prepared with Tris buffer. 2 µM uPA and 2 µM tPA were also prepared. </w:t>
      </w:r>
    </w:p>
    <w:p w:rsidR="007A07EE" w:rsidRPr="00485D4F" w:rsidRDefault="007A07EE" w:rsidP="00485D4F">
      <w:pPr>
        <w:ind w:left="720"/>
        <w:rPr>
          <w:rFonts w:eastAsia="Calibri"/>
        </w:rPr>
      </w:pPr>
      <w:r w:rsidRPr="00392836">
        <w:rPr>
          <w:lang w:val="en-US"/>
        </w:rPr>
        <w:t xml:space="preserve">4 wells of a 96-well plate were labelled A-D. In well A, 10 µL 1.35mM </w:t>
      </w:r>
      <w:r w:rsidR="00183126" w:rsidRPr="00392836">
        <w:rPr>
          <w:lang w:val="en-US"/>
        </w:rPr>
        <w:t>pyro-Glu-Gly-Arg-</w:t>
      </w:r>
      <w:r w:rsidR="00183126" w:rsidRPr="00392836">
        <w:rPr>
          <w:i/>
          <w:lang w:val="en-US"/>
        </w:rPr>
        <w:t xml:space="preserve"> p</w:t>
      </w:r>
      <w:r w:rsidR="00183126" w:rsidRPr="00392836">
        <w:rPr>
          <w:lang w:val="en-US"/>
        </w:rPr>
        <w:t xml:space="preserve">-nitroanilide </w:t>
      </w:r>
      <w:r w:rsidRPr="00392836">
        <w:rPr>
          <w:lang w:val="en-US"/>
        </w:rPr>
        <w:t xml:space="preserve">was added to 40 µL 2 µM uPA and the volume made up to 200 µL with Tris buffer. In well B, 10 µL 1.35 mM </w:t>
      </w:r>
      <w:r w:rsidR="00183126" w:rsidRPr="00392836">
        <w:rPr>
          <w:lang w:val="en-US"/>
        </w:rPr>
        <w:t>pyro-Glu-Gly-Arg-</w:t>
      </w:r>
      <w:r w:rsidR="00183126" w:rsidRPr="00392836">
        <w:rPr>
          <w:i/>
          <w:lang w:val="en-US"/>
        </w:rPr>
        <w:t xml:space="preserve"> p</w:t>
      </w:r>
      <w:r w:rsidR="00183126" w:rsidRPr="00392836">
        <w:rPr>
          <w:lang w:val="en-US"/>
        </w:rPr>
        <w:t xml:space="preserve">-nitroanilide </w:t>
      </w:r>
      <w:r w:rsidR="00183126">
        <w:rPr>
          <w:lang w:val="en-US"/>
        </w:rPr>
        <w:t>was added to 20 µL 2 µM t</w:t>
      </w:r>
      <w:r w:rsidRPr="00392836">
        <w:rPr>
          <w:lang w:val="en-US"/>
        </w:rPr>
        <w:t>PA and the volume was made up to 200 µL. In well C 10 µL of</w:t>
      </w:r>
      <w:r w:rsidR="00183126" w:rsidRPr="00183126">
        <w:rPr>
          <w:lang w:val="en-US"/>
        </w:rPr>
        <w:t xml:space="preserve"> </w:t>
      </w:r>
      <w:r w:rsidR="00183126">
        <w:rPr>
          <w:lang w:val="en-US"/>
        </w:rPr>
        <w:t xml:space="preserve">1 mM </w:t>
      </w:r>
      <w:r w:rsidR="00183126" w:rsidRPr="00392836">
        <w:rPr>
          <w:lang w:val="en-US"/>
        </w:rPr>
        <w:t>H-D-Isoleucyl-L-Pro-L-Arg-</w:t>
      </w:r>
      <w:r w:rsidR="00183126" w:rsidRPr="00392836">
        <w:rPr>
          <w:i/>
          <w:lang w:val="en-US"/>
        </w:rPr>
        <w:t>p</w:t>
      </w:r>
      <w:r w:rsidR="00183126" w:rsidRPr="00392836">
        <w:rPr>
          <w:lang w:val="en-US"/>
        </w:rPr>
        <w:t>-nitroanilide dihydrochloride</w:t>
      </w:r>
      <w:r w:rsidRPr="00392836">
        <w:rPr>
          <w:lang w:val="en-US"/>
        </w:rPr>
        <w:t xml:space="preserve"> was added to 40 µL of uPA and the volume made up to 200 µL. In well D 10 µL of</w:t>
      </w:r>
      <w:r w:rsidR="00183126" w:rsidRPr="00183126">
        <w:rPr>
          <w:lang w:val="en-US"/>
        </w:rPr>
        <w:t xml:space="preserve"> </w:t>
      </w:r>
      <w:r w:rsidR="00183126">
        <w:rPr>
          <w:lang w:val="en-US"/>
        </w:rPr>
        <w:t xml:space="preserve">1 Mm </w:t>
      </w:r>
      <w:r w:rsidR="00183126" w:rsidRPr="00392836">
        <w:rPr>
          <w:lang w:val="en-US"/>
        </w:rPr>
        <w:t>H-D-Isoleucyl-L-Pro-L-Arg-</w:t>
      </w:r>
      <w:r w:rsidR="00183126" w:rsidRPr="00392836">
        <w:rPr>
          <w:i/>
          <w:lang w:val="en-US"/>
        </w:rPr>
        <w:t>p</w:t>
      </w:r>
      <w:r w:rsidR="00183126" w:rsidRPr="00392836">
        <w:rPr>
          <w:lang w:val="en-US"/>
        </w:rPr>
        <w:t>-nitroanilide dihydrochloride</w:t>
      </w:r>
      <w:r w:rsidRPr="00392836">
        <w:rPr>
          <w:lang w:val="en-US"/>
        </w:rPr>
        <w:t xml:space="preserve"> was added to 20 µL 2 µM tPA and the volume was made up to 200 µL. The increase in A</w:t>
      </w:r>
      <w:r w:rsidRPr="00392836">
        <w:rPr>
          <w:vertAlign w:val="subscript"/>
          <w:lang w:val="en-US"/>
        </w:rPr>
        <w:t>405nm</w:t>
      </w:r>
      <w:r w:rsidRPr="00392836">
        <w:rPr>
          <w:lang w:val="en-US"/>
        </w:rPr>
        <w:t xml:space="preserve"> was read over a 5 min interval for 30 mins. (Fig</w:t>
      </w:r>
      <w:r>
        <w:rPr>
          <w:lang w:val="en-US"/>
        </w:rPr>
        <w:t>. 2.</w:t>
      </w:r>
      <w:r w:rsidR="00A70F56">
        <w:rPr>
          <w:lang w:val="en-US"/>
        </w:rPr>
        <w:t>19</w:t>
      </w:r>
      <w:r w:rsidRPr="00392836">
        <w:rPr>
          <w:lang w:val="en-US"/>
        </w:rPr>
        <w:t>).</w:t>
      </w:r>
      <w:r w:rsidRPr="007F6D90">
        <w:rPr>
          <w:rFonts w:eastAsia="Calibri"/>
        </w:rPr>
        <w:t xml:space="preserve"> </w:t>
      </w:r>
      <w:r w:rsidRPr="00392836">
        <w:rPr>
          <w:rFonts w:eastAsia="Calibri"/>
        </w:rPr>
        <w:t xml:space="preserve">The result showed that the substrates were not 100% specific for </w:t>
      </w:r>
      <w:r w:rsidR="00485D4F">
        <w:rPr>
          <w:rFonts w:eastAsia="Calibri"/>
        </w:rPr>
        <w:t xml:space="preserve">their corresponding enzymes. </w:t>
      </w:r>
      <w:r w:rsidR="00485D4F" w:rsidRPr="00392836">
        <w:rPr>
          <w:lang w:val="en-US"/>
        </w:rPr>
        <w:t xml:space="preserve">Both uPA and tPA cleaved the serine protease substrates therefore either of the substrate can be used but from </w:t>
      </w:r>
      <w:r w:rsidR="00A70F56">
        <w:rPr>
          <w:lang w:val="en-US"/>
        </w:rPr>
        <w:t>Fig. 2.19</w:t>
      </w:r>
      <w:r w:rsidR="00485D4F" w:rsidRPr="00392836">
        <w:rPr>
          <w:lang w:val="en-US"/>
        </w:rPr>
        <w:t xml:space="preserve"> </w:t>
      </w:r>
      <w:r w:rsidR="00485D4F">
        <w:rPr>
          <w:lang w:val="en-US"/>
        </w:rPr>
        <w:t>w</w:t>
      </w:r>
      <w:r w:rsidR="00485D4F" w:rsidRPr="00392836">
        <w:rPr>
          <w:lang w:val="en-US"/>
        </w:rPr>
        <w:t>e chose to use pyro Glu-Gly-Arg-</w:t>
      </w:r>
      <w:r w:rsidR="00485D4F" w:rsidRPr="00392836">
        <w:rPr>
          <w:i/>
          <w:lang w:val="en-US"/>
        </w:rPr>
        <w:t>p</w:t>
      </w:r>
      <w:r w:rsidR="00485D4F">
        <w:rPr>
          <w:lang w:val="en-US"/>
        </w:rPr>
        <w:t xml:space="preserve">-NA, because both uPA and tPA cleaves </w:t>
      </w:r>
      <w:r w:rsidR="005E5125">
        <w:rPr>
          <w:lang w:val="en-US"/>
        </w:rPr>
        <w:t xml:space="preserve">pyro </w:t>
      </w:r>
      <w:r w:rsidR="00485D4F">
        <w:rPr>
          <w:lang w:val="en-US"/>
        </w:rPr>
        <w:t xml:space="preserve">Glu-Gly-Arg-p-NA satisfactorily. </w:t>
      </w:r>
    </w:p>
    <w:p w:rsidR="007A07EE" w:rsidRDefault="007A07EE" w:rsidP="00A56C99">
      <w:pPr>
        <w:pStyle w:val="LegText"/>
        <w:ind w:left="720"/>
      </w:pPr>
      <w:r w:rsidRPr="00392836">
        <w:rPr>
          <w:rFonts w:ascii="Calibri" w:eastAsia="Calibri" w:hAnsi="Calibri"/>
          <w:lang w:val="en-US"/>
        </w:rPr>
        <w:object w:dxaOrig="10056" w:dyaOrig="5141">
          <v:shape id="_x0000_i1033" type="#_x0000_t75" style="width:438pt;height:226.5pt" o:ole="">
            <v:imagedata r:id="rId61" o:title=""/>
          </v:shape>
          <o:OLEObject Type="Embed" ProgID="Prism7.Document" ShapeID="_x0000_i1033" DrawAspect="Content" ObjectID="_1583750203" r:id="rId62"/>
        </w:object>
      </w:r>
      <w:bookmarkStart w:id="268" w:name="OLE_LINK6"/>
      <w:r w:rsidRPr="007A07EE">
        <w:rPr>
          <w:rStyle w:val="SubtitleChar"/>
          <w:rFonts w:eastAsiaTheme="minorHAnsi"/>
        </w:rPr>
        <w:t xml:space="preserve"> </w:t>
      </w:r>
      <w:r w:rsidR="00A70F56">
        <w:rPr>
          <w:rStyle w:val="SubtitleChar"/>
        </w:rPr>
        <w:t>Figure 2.19</w:t>
      </w:r>
      <w:r w:rsidRPr="00D42EAE">
        <w:rPr>
          <w:rStyle w:val="SubtitleChar"/>
        </w:rPr>
        <w:t xml:space="preserve"> Substrate specificity test.</w:t>
      </w:r>
      <w:r>
        <w:t xml:space="preserve"> </w:t>
      </w:r>
      <w:bookmarkStart w:id="269" w:name="OLE_LINK3"/>
      <w:r>
        <w:t>Points are means of triplicate readings of a matrix reaction between substrates and enzymes to determine the specificity of the substrates</w:t>
      </w:r>
      <w:bookmarkEnd w:id="268"/>
      <w:bookmarkEnd w:id="269"/>
      <w:r w:rsidR="002F61FE">
        <w:t>.</w:t>
      </w:r>
    </w:p>
    <w:p w:rsidR="00A56C99" w:rsidRPr="00A56C99" w:rsidRDefault="00A56C99" w:rsidP="00A56C99">
      <w:pPr>
        <w:pStyle w:val="LegText"/>
        <w:ind w:left="720"/>
        <w:rPr>
          <w:lang w:val="en-US"/>
        </w:rPr>
      </w:pPr>
    </w:p>
    <w:p w:rsidR="00485D4F" w:rsidRDefault="00A36539" w:rsidP="00CF097F">
      <w:pPr>
        <w:ind w:left="720"/>
        <w:rPr>
          <w:lang w:val="en-US"/>
        </w:rPr>
      </w:pPr>
      <w:r>
        <w:t>The next step was to get an inhibitor that will inhibit either uPA or tPA. Therefore u</w:t>
      </w:r>
      <w:r w:rsidR="00E16B26">
        <w:t>sing pyro-Glu-Gly-Arg-</w:t>
      </w:r>
      <w:r w:rsidR="00E16B26">
        <w:rPr>
          <w:i/>
        </w:rPr>
        <w:t>p</w:t>
      </w:r>
      <w:r w:rsidR="00E16B26">
        <w:t xml:space="preserve">-nitroanilide we then investigated </w:t>
      </w:r>
      <w:r w:rsidR="00E16B26">
        <w:lastRenderedPageBreak/>
        <w:t xml:space="preserve">the discriminatory behaviour of the inhibitor amiloride against uPA and tPA </w:t>
      </w:r>
      <w:r w:rsidR="00E16B26" w:rsidRPr="00514E93">
        <w:rPr>
          <w:lang w:val="en-US"/>
        </w:rPr>
        <w:fldChar w:fldCharType="begin">
          <w:fldData xml:space="preserve">PEVuZE5vdGU+PENpdGU+PEF1dGhvcj5KYW5rdW48L0F1dGhvcj48WWVhcj4xOTk5PC9ZZWFyPjxJ
RFRleHQ+TW9sZWN1bGFyIGJhc2lzIG9mIHNwZWNpZmljIGluaGliaXRpb24gb2YgdXJva2luYXNl
IHBsYXNtaW5vZ2VuIGFjdGl2YXRvciBieSBhbWlsb3JpZGU8L0lEVGV4dD48RGlzcGxheVRleHQ+
KEphbmt1biBhbmQgU2tyenlwY3phay1KYW5rdW4sIDE5OTkpPC9EaXNwbGF5VGV4dD48cmVjb3Jk
PjxkYXRlcz48cHViLWRhdGVzPjxkYXRlPkp1bDwvZGF0ZT48L3B1Yi1kYXRlcz48eWVhcj4xOTk5
PC95ZWFyPjwvZGF0ZXM+PGtleXdvcmRzPjxrZXl3b3JkPkFtaWxvcmlkZS9jaGVtaXN0cnkvKnBo
YXJtYWNvbG9neTwva2V5d29yZD48a2V5d29yZD5BbWlubyBBY2lkIENobG9yb21ldGh5bCBLZXRv
bmVzL2NoZW1pc3RyeTwva2V5d29yZD48a2V5d29yZD5BbWlubyBBY2lkIFNlcXVlbmNlPC9rZXl3
b3JkPjxrZXl3b3JkPkFudGluZW9wbGFzdGljIEFnZW50cy9jaGVtaXN0cnkvKnBoYXJtYWNvbG9n
eTwva2V5d29yZD48a2V5d29yZD5CaW5kaW5nIFNpdGVzL2RydWcgZWZmZWN0czwva2V5d29yZD48
a2V5d29yZD5CaW5kaW5nLCBDb21wZXRpdGl2ZTwva2V5d29yZD48a2V5d29yZD5DYXRhbHlzaXMv
ZHJ1ZyBlZmZlY3RzPC9rZXl3b3JkPjxrZXl3b3JkPkNyeXN0YWxsb2dyYXBoeSwgWC1SYXk8L2tl
eXdvcmQ+PGtleXdvcmQ+RHJ1ZyBEZXNpZ248L2tleXdvcmQ+PGtleXdvcmQ+SHVtYW5zPC9rZXl3
b3JkPjxrZXl3b3JkPk1vZGVscywgTW9sZWN1bGFyPC9rZXl3b3JkPjxrZXl3b3JkPk1vbGVjdWxh
ciBDb25mb3JtYXRpb248L2tleXdvcmQ+PGtleXdvcmQ+TW9sZWN1bGFyIFNlcXVlbmNlIERhdGE8
L2tleXdvcmQ+PGtleXdvcmQ+TmVvcGxhc20gUHJvdGVpbnMvYW50YWdvbmlzdHMgJmFtcDsgaW5o
aWJpdG9ycy9jaGVtaXN0cnk8L2tleXdvcmQ+PGtleXdvcmQ+UHJvdGVpbiBCaW5kaW5nPC9rZXl3
b3JkPjxrZXl3b3JkPlByb3RlaW4gQ29uZm9ybWF0aW9uPC9rZXl3b3JkPjxrZXl3b3JkPlByb3Rl
aW4gU3RydWN0dXJlLCBUZXJ0aWFyeTwva2V5d29yZD48a2V5d29yZD5TZXF1ZW5jZSBBbGlnbm1l
bnQ8L2tleXdvcmQ+PGtleXdvcmQ+U2VxdWVuY2UgSG9tb2xvZ3ksIEFtaW5vIEFjaWQ8L2tleXdv
cmQ+PGtleXdvcmQ+U2VyaW5lIFByb3RlaW5hc2UgSW5oaWJpdG9ycy9jaGVtaXN0cnkvKnBoYXJt
YWNvbG9neTwva2V5d29yZD48a2V5d29yZD5TdWJzdHJhdGUgU3BlY2lmaWNpdHk8L2tleXdvcmQ+
PGtleXdvcmQ+VGlzc3VlIFBsYXNtaW5vZ2VuIEFjdGl2YXRvci9jaGVtaXN0cnkvZHJ1ZyBlZmZl
Y3RzPC9rZXl3b3JkPjxrZXl3b3JkPlVyb2tpbmFzZS1UeXBlIFBsYXNtaW5vZ2VuIEFjdGl2YXRv
ci8qYW50YWdvbmlzdHMgJmFtcDsgaW5oaWJpdG9ycy9jaGVtaXN0cnk8L2tleXdvcmQ+PGtleXdv
cmQ+V2F0ZXIvY2hlbWlzdHJ5PC9rZXl3b3JkPjwva2V5d29yZHM+PGlzYm4+MDMwNS03MjMyIChQ
cmludCkmI3hEOzAzMDUtNzIzMjwvaXNibj48dGl0bGVzPjx0aXRsZT5Nb2xlY3VsYXIgYmFzaXMg
b2Ygc3BlY2lmaWMgaW5oaWJpdGlvbiBvZiB1cm9raW5hc2UgcGxhc21pbm9nZW4gYWN0aXZhdG9y
IGJ5IGFtaWxvcmlkZTwvdGl0bGU+PHNlY29uZGFyeS10aXRsZT5DYW5jZXIgQmlvY2hlbSBCaW9w
aHlzPC9zZWNvbmRhcnktdGl0bGU+PGFsdC10aXRsZT5DYW5jZXIgYmlvY2hlbWlzdHJ5IGJpb3Bo
eXNpY3M8L2FsdC10aXRsZT48L3RpdGxlcz48cGFnZXM+MTA5LTIzPC9wYWdlcz48bnVtYmVyPjEt
MjwvbnVtYmVyPjxjb250cmlidXRvcnM+PGF1dGhvcnM+PGF1dGhvcj5KYW5rdW4sIEouPC9hdXRo
b3I+PGF1dGhvcj5Ta3J6eXBjemFrLUphbmt1biwgRS48L2F1dGhvcj48L2F1dGhvcnM+PC9jb250
cmlidXRvcnM+PGVkaXRpb24+MjAwMC8wMy8zMDwvZWRpdGlvbj48bGFuZ3VhZ2U+RW5nPC9sYW5n
dWFnZT48YWRkZWQtZGF0ZSBmb3JtYXQ9InV0YyI+MTQ3ODQ0NDM4NTwvYWRkZWQtZGF0ZT48cmVm
LXR5cGUgbmFtZT0iSm91cm5hbCBBcnRpY2xlIj4xNzwvcmVmLXR5cGU+PGF1dGgtYWRkcmVzcz5V
cm9sb2d5IFJlc2VhcmNoIENlbnRlciwgRGVwYXJ0bWVudCBvZiBVcm9sb2d5LCBNZWRpY2FsIENv
bGxlZ2Ugb2YgT2hpbywgVG9sZWRvLCBVU0EuIGplcnp5QGdvbGVteGl2LmRoLm1jby5lZHU8L2F1
dGgtYWRkcmVzcz48cmVtb3RlLWRhdGFiYXNlLXByb3ZpZGVyPk5MTTwvcmVtb3RlLWRhdGFiYXNl
LXByb3ZpZGVyPjxyZWMtbnVtYmVyPjE1Njk8L3JlYy1udW1iZXI+PGxhc3QtdXBkYXRlZC1kYXRl
IGZvcm1hdD0idXRjIj4xNDc4NDQ0Mzg1PC9sYXN0LXVwZGF0ZWQtZGF0ZT48YWNjZXNzaW9uLW51
bT4xMDczODkwNzwvYWNjZXNzaW9uLW51bT48dm9sdW1lPjE3PC92b2x1bWU+PC9yZWNvcmQ+PC9D
aXRlPjwvRW5kTm90ZT5=
</w:fldData>
        </w:fldChar>
      </w:r>
      <w:r w:rsidR="00E16B26" w:rsidRPr="00514E93">
        <w:rPr>
          <w:lang w:val="en-US"/>
        </w:rPr>
        <w:instrText xml:space="preserve"> ADDIN EN.CITE </w:instrText>
      </w:r>
      <w:r w:rsidR="00E16B26" w:rsidRPr="00514E93">
        <w:rPr>
          <w:lang w:val="en-US"/>
        </w:rPr>
        <w:fldChar w:fldCharType="begin">
          <w:fldData xml:space="preserve">PEVuZE5vdGU+PENpdGU+PEF1dGhvcj5KYW5rdW48L0F1dGhvcj48WWVhcj4xOTk5PC9ZZWFyPjxJ
RFRleHQ+TW9sZWN1bGFyIGJhc2lzIG9mIHNwZWNpZmljIGluaGliaXRpb24gb2YgdXJva2luYXNl
IHBsYXNtaW5vZ2VuIGFjdGl2YXRvciBieSBhbWlsb3JpZGU8L0lEVGV4dD48RGlzcGxheVRleHQ+
KEphbmt1biBhbmQgU2tyenlwY3phay1KYW5rdW4sIDE5OTkpPC9EaXNwbGF5VGV4dD48cmVjb3Jk
PjxkYXRlcz48cHViLWRhdGVzPjxkYXRlPkp1bDwvZGF0ZT48L3B1Yi1kYXRlcz48eWVhcj4xOTk5
PC95ZWFyPjwvZGF0ZXM+PGtleXdvcmRzPjxrZXl3b3JkPkFtaWxvcmlkZS9jaGVtaXN0cnkvKnBo
YXJtYWNvbG9neTwva2V5d29yZD48a2V5d29yZD5BbWlubyBBY2lkIENobG9yb21ldGh5bCBLZXRv
bmVzL2NoZW1pc3RyeTwva2V5d29yZD48a2V5d29yZD5BbWlubyBBY2lkIFNlcXVlbmNlPC9rZXl3
b3JkPjxrZXl3b3JkPkFudGluZW9wbGFzdGljIEFnZW50cy9jaGVtaXN0cnkvKnBoYXJtYWNvbG9n
eTwva2V5d29yZD48a2V5d29yZD5CaW5kaW5nIFNpdGVzL2RydWcgZWZmZWN0czwva2V5d29yZD48
a2V5d29yZD5CaW5kaW5nLCBDb21wZXRpdGl2ZTwva2V5d29yZD48a2V5d29yZD5DYXRhbHlzaXMv
ZHJ1ZyBlZmZlY3RzPC9rZXl3b3JkPjxrZXl3b3JkPkNyeXN0YWxsb2dyYXBoeSwgWC1SYXk8L2tl
eXdvcmQ+PGtleXdvcmQ+RHJ1ZyBEZXNpZ248L2tleXdvcmQ+PGtleXdvcmQ+SHVtYW5zPC9rZXl3
b3JkPjxrZXl3b3JkPk1vZGVscywgTW9sZWN1bGFyPC9rZXl3b3JkPjxrZXl3b3JkPk1vbGVjdWxh
ciBDb25mb3JtYXRpb248L2tleXdvcmQ+PGtleXdvcmQ+TW9sZWN1bGFyIFNlcXVlbmNlIERhdGE8
L2tleXdvcmQ+PGtleXdvcmQ+TmVvcGxhc20gUHJvdGVpbnMvYW50YWdvbmlzdHMgJmFtcDsgaW5o
aWJpdG9ycy9jaGVtaXN0cnk8L2tleXdvcmQ+PGtleXdvcmQ+UHJvdGVpbiBCaW5kaW5nPC9rZXl3
b3JkPjxrZXl3b3JkPlByb3RlaW4gQ29uZm9ybWF0aW9uPC9rZXl3b3JkPjxrZXl3b3JkPlByb3Rl
aW4gU3RydWN0dXJlLCBUZXJ0aWFyeTwva2V5d29yZD48a2V5d29yZD5TZXF1ZW5jZSBBbGlnbm1l
bnQ8L2tleXdvcmQ+PGtleXdvcmQ+U2VxdWVuY2UgSG9tb2xvZ3ksIEFtaW5vIEFjaWQ8L2tleXdv
cmQ+PGtleXdvcmQ+U2VyaW5lIFByb3RlaW5hc2UgSW5oaWJpdG9ycy9jaGVtaXN0cnkvKnBoYXJt
YWNvbG9neTwva2V5d29yZD48a2V5d29yZD5TdWJzdHJhdGUgU3BlY2lmaWNpdHk8L2tleXdvcmQ+
PGtleXdvcmQ+VGlzc3VlIFBsYXNtaW5vZ2VuIEFjdGl2YXRvci9jaGVtaXN0cnkvZHJ1ZyBlZmZl
Y3RzPC9rZXl3b3JkPjxrZXl3b3JkPlVyb2tpbmFzZS1UeXBlIFBsYXNtaW5vZ2VuIEFjdGl2YXRv
ci8qYW50YWdvbmlzdHMgJmFtcDsgaW5oaWJpdG9ycy9jaGVtaXN0cnk8L2tleXdvcmQ+PGtleXdv
cmQ+V2F0ZXIvY2hlbWlzdHJ5PC9rZXl3b3JkPjwva2V5d29yZHM+PGlzYm4+MDMwNS03MjMyIChQ
cmludCkmI3hEOzAzMDUtNzIzMjwvaXNibj48dGl0bGVzPjx0aXRsZT5Nb2xlY3VsYXIgYmFzaXMg
b2Ygc3BlY2lmaWMgaW5oaWJpdGlvbiBvZiB1cm9raW5hc2UgcGxhc21pbm9nZW4gYWN0aXZhdG9y
IGJ5IGFtaWxvcmlkZTwvdGl0bGU+PHNlY29uZGFyeS10aXRsZT5DYW5jZXIgQmlvY2hlbSBCaW9w
aHlzPC9zZWNvbmRhcnktdGl0bGU+PGFsdC10aXRsZT5DYW5jZXIgYmlvY2hlbWlzdHJ5IGJpb3Bo
eXNpY3M8L2FsdC10aXRsZT48L3RpdGxlcz48cGFnZXM+MTA5LTIzPC9wYWdlcz48bnVtYmVyPjEt
MjwvbnVtYmVyPjxjb250cmlidXRvcnM+PGF1dGhvcnM+PGF1dGhvcj5KYW5rdW4sIEouPC9hdXRo
b3I+PGF1dGhvcj5Ta3J6eXBjemFrLUphbmt1biwgRS48L2F1dGhvcj48L2F1dGhvcnM+PC9jb250
cmlidXRvcnM+PGVkaXRpb24+MjAwMC8wMy8zMDwvZWRpdGlvbj48bGFuZ3VhZ2U+RW5nPC9sYW5n
dWFnZT48YWRkZWQtZGF0ZSBmb3JtYXQ9InV0YyI+MTQ3ODQ0NDM4NTwvYWRkZWQtZGF0ZT48cmVm
LXR5cGUgbmFtZT0iSm91cm5hbCBBcnRpY2xlIj4xNzwvcmVmLXR5cGU+PGF1dGgtYWRkcmVzcz5V
cm9sb2d5IFJlc2VhcmNoIENlbnRlciwgRGVwYXJ0bWVudCBvZiBVcm9sb2d5LCBNZWRpY2FsIENv
bGxlZ2Ugb2YgT2hpbywgVG9sZWRvLCBVU0EuIGplcnp5QGdvbGVteGl2LmRoLm1jby5lZHU8L2F1
dGgtYWRkcmVzcz48cmVtb3RlLWRhdGFiYXNlLXByb3ZpZGVyPk5MTTwvcmVtb3RlLWRhdGFiYXNl
LXByb3ZpZGVyPjxyZWMtbnVtYmVyPjE1Njk8L3JlYy1udW1iZXI+PGxhc3QtdXBkYXRlZC1kYXRl
IGZvcm1hdD0idXRjIj4xNDc4NDQ0Mzg1PC9sYXN0LXVwZGF0ZWQtZGF0ZT48YWNjZXNzaW9uLW51
bT4xMDczODkwNzwvYWNjZXNzaW9uLW51bT48dm9sdW1lPjE3PC92b2x1bWU+PC9yZWNvcmQ+PC9D
aXRlPjwvRW5kTm90ZT5=
</w:fldData>
        </w:fldChar>
      </w:r>
      <w:r w:rsidR="00E16B26" w:rsidRPr="00514E93">
        <w:rPr>
          <w:lang w:val="en-US"/>
        </w:rPr>
        <w:instrText xml:space="preserve"> ADDIN EN.CITE.DATA </w:instrText>
      </w:r>
      <w:r w:rsidR="00E16B26" w:rsidRPr="00514E93">
        <w:rPr>
          <w:lang w:val="en-US"/>
        </w:rPr>
      </w:r>
      <w:r w:rsidR="00E16B26" w:rsidRPr="00514E93">
        <w:rPr>
          <w:lang w:val="en-US"/>
        </w:rPr>
        <w:fldChar w:fldCharType="end"/>
      </w:r>
      <w:r w:rsidR="00E16B26" w:rsidRPr="00514E93">
        <w:rPr>
          <w:lang w:val="en-US"/>
        </w:rPr>
      </w:r>
      <w:r w:rsidR="00E16B26" w:rsidRPr="00514E93">
        <w:rPr>
          <w:lang w:val="en-US"/>
        </w:rPr>
        <w:fldChar w:fldCharType="separate"/>
      </w:r>
      <w:r w:rsidR="00E16B26" w:rsidRPr="00514E93">
        <w:rPr>
          <w:noProof/>
          <w:lang w:val="en-US"/>
        </w:rPr>
        <w:t>(Jankun and Skrzypczak-Jankun, 1999 Ellis</w:t>
      </w:r>
      <w:r w:rsidR="00E16B26">
        <w:rPr>
          <w:noProof/>
          <w:lang w:val="en-US"/>
        </w:rPr>
        <w:t>, 2013</w:t>
      </w:r>
      <w:r w:rsidR="00E16B26" w:rsidRPr="00514E93">
        <w:rPr>
          <w:noProof/>
          <w:lang w:val="en-US"/>
        </w:rPr>
        <w:t>)</w:t>
      </w:r>
      <w:r w:rsidR="00E16B26" w:rsidRPr="00514E93">
        <w:rPr>
          <w:lang w:val="en-US"/>
        </w:rPr>
        <w:fldChar w:fldCharType="end"/>
      </w:r>
      <w:r w:rsidR="00E16B26" w:rsidRPr="00514E93">
        <w:rPr>
          <w:lang w:val="en-US"/>
        </w:rPr>
        <w:t>.</w:t>
      </w:r>
      <w:r w:rsidR="00E16B26" w:rsidRPr="00514E93">
        <w:t xml:space="preserve"> </w:t>
      </w:r>
      <w:r w:rsidR="00485D4F" w:rsidRPr="00392836">
        <w:rPr>
          <w:lang w:val="en-US"/>
        </w:rPr>
        <w:t xml:space="preserve">Amiloride competitively inhibits uPA activity but does not inhibit tPA activity </w:t>
      </w:r>
      <w:r w:rsidR="00485D4F" w:rsidRPr="00392836">
        <w:rPr>
          <w:lang w:val="en-US"/>
        </w:rPr>
        <w:fldChar w:fldCharType="begin">
          <w:fldData xml:space="preserve">PEVuZE5vdGU+PENpdGU+PEF1dGhvcj5KYW5rdW48L0F1dGhvcj48WWVhcj4xOTk5PC9ZZWFyPjxJ
RFRleHQ+TW9sZWN1bGFyIGJhc2lzIG9mIHNwZWNpZmljIGluaGliaXRpb24gb2YgdXJva2luYXNl
IHBsYXNtaW5vZ2VuIGFjdGl2YXRvciBieSBhbWlsb3JpZGU8L0lEVGV4dD48RGlzcGxheVRleHQ+
KEphbmt1biBhbmQgU2tyenlwY3phay1KYW5rdW4sIDE5OTkpPC9EaXNwbGF5VGV4dD48cmVjb3Jk
PjxkYXRlcz48cHViLWRhdGVzPjxkYXRlPkp1bDwvZGF0ZT48L3B1Yi1kYXRlcz48eWVhcj4xOTk5
PC95ZWFyPjwvZGF0ZXM+PGtleXdvcmRzPjxrZXl3b3JkPkFtaWxvcmlkZS9jaGVtaXN0cnkvKnBo
YXJtYWNvbG9neTwva2V5d29yZD48a2V5d29yZD5BbWlubyBBY2lkIENobG9yb21ldGh5bCBLZXRv
bmVzL2NoZW1pc3RyeTwva2V5d29yZD48a2V5d29yZD5BbWlubyBBY2lkIFNlcXVlbmNlPC9rZXl3
b3JkPjxrZXl3b3JkPkFudGluZW9wbGFzdGljIEFnZW50cy9jaGVtaXN0cnkvKnBoYXJtYWNvbG9n
eTwva2V5d29yZD48a2V5d29yZD5CaW5kaW5nIFNpdGVzL2RydWcgZWZmZWN0czwva2V5d29yZD48
a2V5d29yZD5CaW5kaW5nLCBDb21wZXRpdGl2ZTwva2V5d29yZD48a2V5d29yZD5DYXRhbHlzaXMv
ZHJ1ZyBlZmZlY3RzPC9rZXl3b3JkPjxrZXl3b3JkPkNyeXN0YWxsb2dyYXBoeSwgWC1SYXk8L2tl
eXdvcmQ+PGtleXdvcmQ+RHJ1ZyBEZXNpZ248L2tleXdvcmQ+PGtleXdvcmQ+SHVtYW5zPC9rZXl3
b3JkPjxrZXl3b3JkPk1vZGVscywgTW9sZWN1bGFyPC9rZXl3b3JkPjxrZXl3b3JkPk1vbGVjdWxh
ciBDb25mb3JtYXRpb248L2tleXdvcmQ+PGtleXdvcmQ+TW9sZWN1bGFyIFNlcXVlbmNlIERhdGE8
L2tleXdvcmQ+PGtleXdvcmQ+TmVvcGxhc20gUHJvdGVpbnMvYW50YWdvbmlzdHMgJmFtcDsgaW5o
aWJpdG9ycy9jaGVtaXN0cnk8L2tleXdvcmQ+PGtleXdvcmQ+UHJvdGVpbiBCaW5kaW5nPC9rZXl3
b3JkPjxrZXl3b3JkPlByb3RlaW4gQ29uZm9ybWF0aW9uPC9rZXl3b3JkPjxrZXl3b3JkPlByb3Rl
aW4gU3RydWN0dXJlLCBUZXJ0aWFyeTwva2V5d29yZD48a2V5d29yZD5TZXF1ZW5jZSBBbGlnbm1l
bnQ8L2tleXdvcmQ+PGtleXdvcmQ+U2VxdWVuY2UgSG9tb2xvZ3ksIEFtaW5vIEFjaWQ8L2tleXdv
cmQ+PGtleXdvcmQ+U2VyaW5lIFByb3RlaW5hc2UgSW5oaWJpdG9ycy9jaGVtaXN0cnkvKnBoYXJt
YWNvbG9neTwva2V5d29yZD48a2V5d29yZD5TdWJzdHJhdGUgU3BlY2lmaWNpdHk8L2tleXdvcmQ+
PGtleXdvcmQ+VGlzc3VlIFBsYXNtaW5vZ2VuIEFjdGl2YXRvci9jaGVtaXN0cnkvZHJ1ZyBlZmZl
Y3RzPC9rZXl3b3JkPjxrZXl3b3JkPlVyb2tpbmFzZS1UeXBlIFBsYXNtaW5vZ2VuIEFjdGl2YXRv
ci8qYW50YWdvbmlzdHMgJmFtcDsgaW5oaWJpdG9ycy9jaGVtaXN0cnk8L2tleXdvcmQ+PGtleXdv
cmQ+V2F0ZXIvY2hlbWlzdHJ5PC9rZXl3b3JkPjwva2V5d29yZHM+PGlzYm4+MDMwNS03MjMyIChQ
cmludCkmI3hEOzAzMDUtNzIzMjwvaXNibj48dGl0bGVzPjx0aXRsZT5Nb2xlY3VsYXIgYmFzaXMg
b2Ygc3BlY2lmaWMgaW5oaWJpdGlvbiBvZiB1cm9raW5hc2UgcGxhc21pbm9nZW4gYWN0aXZhdG9y
IGJ5IGFtaWxvcmlkZTwvdGl0bGU+PHNlY29uZGFyeS10aXRsZT5DYW5jZXIgQmlvY2hlbSBCaW9w
aHlzPC9zZWNvbmRhcnktdGl0bGU+PGFsdC10aXRsZT5DYW5jZXIgYmlvY2hlbWlzdHJ5IGJpb3Bo
eXNpY3M8L2FsdC10aXRsZT48L3RpdGxlcz48cGFnZXM+MTA5LTIzPC9wYWdlcz48bnVtYmVyPjEt
MjwvbnVtYmVyPjxjb250cmlidXRvcnM+PGF1dGhvcnM+PGF1dGhvcj5KYW5rdW4sIEouPC9hdXRo
b3I+PGF1dGhvcj5Ta3J6eXBjemFrLUphbmt1biwgRS48L2F1dGhvcj48L2F1dGhvcnM+PC9jb250
cmlidXRvcnM+PGVkaXRpb24+MjAwMC8wMy8zMDwvZWRpdGlvbj48bGFuZ3VhZ2U+RW5nPC9sYW5n
dWFnZT48YWRkZWQtZGF0ZSBmb3JtYXQ9InV0YyI+MTQ3ODQ0NDM4NTwvYWRkZWQtZGF0ZT48cmVm
LXR5cGUgbmFtZT0iSm91cm5hbCBBcnRpY2xlIj4xNzwvcmVmLXR5cGU+PGF1dGgtYWRkcmVzcz5V
cm9sb2d5IFJlc2VhcmNoIENlbnRlciwgRGVwYXJ0bWVudCBvZiBVcm9sb2d5LCBNZWRpY2FsIENv
bGxlZ2Ugb2YgT2hpbywgVG9sZWRvLCBVU0EuIGplcnp5QGdvbGVteGl2LmRoLm1jby5lZHU8L2F1
dGgtYWRkcmVzcz48cmVtb3RlLWRhdGFiYXNlLXByb3ZpZGVyPk5MTTwvcmVtb3RlLWRhdGFiYXNl
LXByb3ZpZGVyPjxyZWMtbnVtYmVyPjE1Njk8L3JlYy1udW1iZXI+PGxhc3QtdXBkYXRlZC1kYXRl
IGZvcm1hdD0idXRjIj4xNDc4NDQ0Mzg1PC9sYXN0LXVwZGF0ZWQtZGF0ZT48YWNjZXNzaW9uLW51
bT4xMDczODkwNzwvYWNjZXNzaW9uLW51bT48dm9sdW1lPjE3PC92b2x1bWU+PC9yZWNvcmQ+PC9D
aXRlPjwvRW5kTm90ZT5=
</w:fldData>
        </w:fldChar>
      </w:r>
      <w:r w:rsidR="00485D4F" w:rsidRPr="00392836">
        <w:rPr>
          <w:lang w:val="en-US"/>
        </w:rPr>
        <w:instrText xml:space="preserve"> ADDIN EN.CITE </w:instrText>
      </w:r>
      <w:r w:rsidR="00485D4F" w:rsidRPr="00392836">
        <w:rPr>
          <w:lang w:val="en-US"/>
        </w:rPr>
        <w:fldChar w:fldCharType="begin">
          <w:fldData xml:space="preserve">PEVuZE5vdGU+PENpdGU+PEF1dGhvcj5KYW5rdW48L0F1dGhvcj48WWVhcj4xOTk5PC9ZZWFyPjxJ
RFRleHQ+TW9sZWN1bGFyIGJhc2lzIG9mIHNwZWNpZmljIGluaGliaXRpb24gb2YgdXJva2luYXNl
IHBsYXNtaW5vZ2VuIGFjdGl2YXRvciBieSBhbWlsb3JpZGU8L0lEVGV4dD48RGlzcGxheVRleHQ+
KEphbmt1biBhbmQgU2tyenlwY3phay1KYW5rdW4sIDE5OTkpPC9EaXNwbGF5VGV4dD48cmVjb3Jk
PjxkYXRlcz48cHViLWRhdGVzPjxkYXRlPkp1bDwvZGF0ZT48L3B1Yi1kYXRlcz48eWVhcj4xOTk5
PC95ZWFyPjwvZGF0ZXM+PGtleXdvcmRzPjxrZXl3b3JkPkFtaWxvcmlkZS9jaGVtaXN0cnkvKnBo
YXJtYWNvbG9neTwva2V5d29yZD48a2V5d29yZD5BbWlubyBBY2lkIENobG9yb21ldGh5bCBLZXRv
bmVzL2NoZW1pc3RyeTwva2V5d29yZD48a2V5d29yZD5BbWlubyBBY2lkIFNlcXVlbmNlPC9rZXl3
b3JkPjxrZXl3b3JkPkFudGluZW9wbGFzdGljIEFnZW50cy9jaGVtaXN0cnkvKnBoYXJtYWNvbG9n
eTwva2V5d29yZD48a2V5d29yZD5CaW5kaW5nIFNpdGVzL2RydWcgZWZmZWN0czwva2V5d29yZD48
a2V5d29yZD5CaW5kaW5nLCBDb21wZXRpdGl2ZTwva2V5d29yZD48a2V5d29yZD5DYXRhbHlzaXMv
ZHJ1ZyBlZmZlY3RzPC9rZXl3b3JkPjxrZXl3b3JkPkNyeXN0YWxsb2dyYXBoeSwgWC1SYXk8L2tl
eXdvcmQ+PGtleXdvcmQ+RHJ1ZyBEZXNpZ248L2tleXdvcmQ+PGtleXdvcmQ+SHVtYW5zPC9rZXl3
b3JkPjxrZXl3b3JkPk1vZGVscywgTW9sZWN1bGFyPC9rZXl3b3JkPjxrZXl3b3JkPk1vbGVjdWxh
ciBDb25mb3JtYXRpb248L2tleXdvcmQ+PGtleXdvcmQ+TW9sZWN1bGFyIFNlcXVlbmNlIERhdGE8
L2tleXdvcmQ+PGtleXdvcmQ+TmVvcGxhc20gUHJvdGVpbnMvYW50YWdvbmlzdHMgJmFtcDsgaW5o
aWJpdG9ycy9jaGVtaXN0cnk8L2tleXdvcmQ+PGtleXdvcmQ+UHJvdGVpbiBCaW5kaW5nPC9rZXl3
b3JkPjxrZXl3b3JkPlByb3RlaW4gQ29uZm9ybWF0aW9uPC9rZXl3b3JkPjxrZXl3b3JkPlByb3Rl
aW4gU3RydWN0dXJlLCBUZXJ0aWFyeTwva2V5d29yZD48a2V5d29yZD5TZXF1ZW5jZSBBbGlnbm1l
bnQ8L2tleXdvcmQ+PGtleXdvcmQ+U2VxdWVuY2UgSG9tb2xvZ3ksIEFtaW5vIEFjaWQ8L2tleXdv
cmQ+PGtleXdvcmQ+U2VyaW5lIFByb3RlaW5hc2UgSW5oaWJpdG9ycy9jaGVtaXN0cnkvKnBoYXJt
YWNvbG9neTwva2V5d29yZD48a2V5d29yZD5TdWJzdHJhdGUgU3BlY2lmaWNpdHk8L2tleXdvcmQ+
PGtleXdvcmQ+VGlzc3VlIFBsYXNtaW5vZ2VuIEFjdGl2YXRvci9jaGVtaXN0cnkvZHJ1ZyBlZmZl
Y3RzPC9rZXl3b3JkPjxrZXl3b3JkPlVyb2tpbmFzZS1UeXBlIFBsYXNtaW5vZ2VuIEFjdGl2YXRv
ci8qYW50YWdvbmlzdHMgJmFtcDsgaW5oaWJpdG9ycy9jaGVtaXN0cnk8L2tleXdvcmQ+PGtleXdv
cmQ+V2F0ZXIvY2hlbWlzdHJ5PC9rZXl3b3JkPjwva2V5d29yZHM+PGlzYm4+MDMwNS03MjMyIChQ
cmludCkmI3hEOzAzMDUtNzIzMjwvaXNibj48dGl0bGVzPjx0aXRsZT5Nb2xlY3VsYXIgYmFzaXMg
b2Ygc3BlY2lmaWMgaW5oaWJpdGlvbiBvZiB1cm9raW5hc2UgcGxhc21pbm9nZW4gYWN0aXZhdG9y
IGJ5IGFtaWxvcmlkZTwvdGl0bGU+PHNlY29uZGFyeS10aXRsZT5DYW5jZXIgQmlvY2hlbSBCaW9w
aHlzPC9zZWNvbmRhcnktdGl0bGU+PGFsdC10aXRsZT5DYW5jZXIgYmlvY2hlbWlzdHJ5IGJpb3Bo
eXNpY3M8L2FsdC10aXRsZT48L3RpdGxlcz48cGFnZXM+MTA5LTIzPC9wYWdlcz48bnVtYmVyPjEt
MjwvbnVtYmVyPjxjb250cmlidXRvcnM+PGF1dGhvcnM+PGF1dGhvcj5KYW5rdW4sIEouPC9hdXRo
b3I+PGF1dGhvcj5Ta3J6eXBjemFrLUphbmt1biwgRS48L2F1dGhvcj48L2F1dGhvcnM+PC9jb250
cmlidXRvcnM+PGVkaXRpb24+MjAwMC8wMy8zMDwvZWRpdGlvbj48bGFuZ3VhZ2U+RW5nPC9sYW5n
dWFnZT48YWRkZWQtZGF0ZSBmb3JtYXQ9InV0YyI+MTQ3ODQ0NDM4NTwvYWRkZWQtZGF0ZT48cmVm
LXR5cGUgbmFtZT0iSm91cm5hbCBBcnRpY2xlIj4xNzwvcmVmLXR5cGU+PGF1dGgtYWRkcmVzcz5V
cm9sb2d5IFJlc2VhcmNoIENlbnRlciwgRGVwYXJ0bWVudCBvZiBVcm9sb2d5LCBNZWRpY2FsIENv
bGxlZ2Ugb2YgT2hpbywgVG9sZWRvLCBVU0EuIGplcnp5QGdvbGVteGl2LmRoLm1jby5lZHU8L2F1
dGgtYWRkcmVzcz48cmVtb3RlLWRhdGFiYXNlLXByb3ZpZGVyPk5MTTwvcmVtb3RlLWRhdGFiYXNl
LXByb3ZpZGVyPjxyZWMtbnVtYmVyPjE1Njk8L3JlYy1udW1iZXI+PGxhc3QtdXBkYXRlZC1kYXRl
IGZvcm1hdD0idXRjIj4xNDc4NDQ0Mzg1PC9sYXN0LXVwZGF0ZWQtZGF0ZT48YWNjZXNzaW9uLW51
bT4xMDczODkwNzwvYWNjZXNzaW9uLW51bT48dm9sdW1lPjE3PC92b2x1bWU+PC9yZWNvcmQ+PC9D
aXRlPjwvRW5kTm90ZT5=
</w:fldData>
        </w:fldChar>
      </w:r>
      <w:r w:rsidR="00485D4F" w:rsidRPr="00392836">
        <w:rPr>
          <w:lang w:val="en-US"/>
        </w:rPr>
        <w:instrText xml:space="preserve"> ADDIN EN.CITE.DATA </w:instrText>
      </w:r>
      <w:r w:rsidR="00485D4F" w:rsidRPr="00392836">
        <w:rPr>
          <w:lang w:val="en-US"/>
        </w:rPr>
      </w:r>
      <w:r w:rsidR="00485D4F" w:rsidRPr="00392836">
        <w:rPr>
          <w:lang w:val="en-US"/>
        </w:rPr>
        <w:fldChar w:fldCharType="end"/>
      </w:r>
      <w:r w:rsidR="00485D4F" w:rsidRPr="00392836">
        <w:rPr>
          <w:lang w:val="en-US"/>
        </w:rPr>
      </w:r>
      <w:r w:rsidR="00485D4F" w:rsidRPr="00392836">
        <w:rPr>
          <w:lang w:val="en-US"/>
        </w:rPr>
        <w:fldChar w:fldCharType="separate"/>
      </w:r>
      <w:r w:rsidR="00485D4F" w:rsidRPr="00392836">
        <w:rPr>
          <w:noProof/>
          <w:lang w:val="en-US"/>
        </w:rPr>
        <w:t>(Jankun and Skrzypczak-Jankun, 1999)</w:t>
      </w:r>
      <w:r w:rsidR="00485D4F" w:rsidRPr="00392836">
        <w:rPr>
          <w:lang w:val="en-US"/>
        </w:rPr>
        <w:fldChar w:fldCharType="end"/>
      </w:r>
      <w:r w:rsidR="00485D4F">
        <w:rPr>
          <w:lang w:val="en-US"/>
        </w:rPr>
        <w:t>.</w:t>
      </w:r>
    </w:p>
    <w:p w:rsidR="00E16B26" w:rsidRPr="00002DE5" w:rsidRDefault="00E16B26" w:rsidP="00CF097F">
      <w:pPr>
        <w:ind w:left="720"/>
        <w:rPr>
          <w:color w:val="FF0000"/>
          <w:lang w:val="en-US"/>
        </w:rPr>
      </w:pPr>
      <w:r w:rsidRPr="00392836">
        <w:rPr>
          <w:lang w:val="en-US"/>
        </w:rPr>
        <w:t>The optimal concentration of amiloride to be used was determined. 100</w:t>
      </w:r>
      <w:r w:rsidR="00C875EF">
        <w:rPr>
          <w:lang w:val="en-US"/>
        </w:rPr>
        <w:t xml:space="preserve"> </w:t>
      </w:r>
      <w:r w:rsidRPr="00392836">
        <w:rPr>
          <w:lang w:val="en-US"/>
        </w:rPr>
        <w:t xml:space="preserve">µM of </w:t>
      </w:r>
      <w:r>
        <w:rPr>
          <w:lang w:val="en-US"/>
        </w:rPr>
        <w:t>p-EGR-pNA</w:t>
      </w:r>
      <w:r w:rsidRPr="00392836">
        <w:rPr>
          <w:lang w:val="en-US"/>
        </w:rPr>
        <w:t xml:space="preserve"> and 1</w:t>
      </w:r>
      <w:r w:rsidR="00C875EF">
        <w:rPr>
          <w:lang w:val="en-US"/>
        </w:rPr>
        <w:t xml:space="preserve"> </w:t>
      </w:r>
      <w:r w:rsidRPr="00392836">
        <w:rPr>
          <w:lang w:val="en-US"/>
        </w:rPr>
        <w:t>µM of u</w:t>
      </w:r>
      <w:r>
        <w:rPr>
          <w:lang w:val="en-US"/>
        </w:rPr>
        <w:t>rokinase</w:t>
      </w:r>
      <w:r w:rsidRPr="00392836">
        <w:rPr>
          <w:lang w:val="en-US"/>
        </w:rPr>
        <w:t xml:space="preserve"> was added to different concentrations of amiloride, 10</w:t>
      </w:r>
      <w:r w:rsidR="00C875EF">
        <w:rPr>
          <w:lang w:val="en-US"/>
        </w:rPr>
        <w:t xml:space="preserve"> </w:t>
      </w:r>
      <w:r w:rsidRPr="00392836">
        <w:rPr>
          <w:lang w:val="en-US"/>
        </w:rPr>
        <w:t>µM, 100</w:t>
      </w:r>
      <w:r w:rsidR="00C875EF">
        <w:rPr>
          <w:lang w:val="en-US"/>
        </w:rPr>
        <w:t xml:space="preserve"> </w:t>
      </w:r>
      <w:r w:rsidRPr="00392836">
        <w:rPr>
          <w:lang w:val="en-US"/>
        </w:rPr>
        <w:t>µM, 500</w:t>
      </w:r>
      <w:r w:rsidR="00C875EF">
        <w:rPr>
          <w:lang w:val="en-US"/>
        </w:rPr>
        <w:t xml:space="preserve"> </w:t>
      </w:r>
      <w:r w:rsidRPr="00392836">
        <w:rPr>
          <w:lang w:val="en-US"/>
        </w:rPr>
        <w:t>µM and 1</w:t>
      </w:r>
      <w:r w:rsidR="00C875EF">
        <w:rPr>
          <w:lang w:val="en-US"/>
        </w:rPr>
        <w:t xml:space="preserve"> </w:t>
      </w:r>
      <w:r w:rsidRPr="00392836">
        <w:rPr>
          <w:lang w:val="en-US"/>
        </w:rPr>
        <w:t xml:space="preserve">mM, and an optimal concentration of 500 µM was obtained see </w:t>
      </w:r>
      <w:r w:rsidR="003E349F">
        <w:rPr>
          <w:lang w:val="en-US"/>
        </w:rPr>
        <w:t>Fig. 2.</w:t>
      </w:r>
      <w:r w:rsidR="00485D4F">
        <w:rPr>
          <w:lang w:val="en-US"/>
        </w:rPr>
        <w:t>2</w:t>
      </w:r>
      <w:r w:rsidR="00A70F56">
        <w:rPr>
          <w:lang w:val="en-US"/>
        </w:rPr>
        <w:t>0</w:t>
      </w:r>
      <w:r w:rsidRPr="00EF28A6">
        <w:rPr>
          <w:lang w:val="en-US"/>
        </w:rPr>
        <w:t>.</w:t>
      </w:r>
    </w:p>
    <w:p w:rsidR="003E349F" w:rsidRDefault="003E349F" w:rsidP="003E349F">
      <w:pPr>
        <w:pStyle w:val="LegText"/>
        <w:ind w:left="720"/>
      </w:pPr>
      <w:r>
        <w:object w:dxaOrig="11424" w:dyaOrig="4651">
          <v:shape id="_x0000_i1034" type="#_x0000_t75" style="width:439.5pt;height:181.5pt" o:ole="">
            <v:imagedata r:id="rId63" o:title=""/>
          </v:shape>
          <o:OLEObject Type="Embed" ProgID="Prism7.Document" ShapeID="_x0000_i1034" DrawAspect="Content" ObjectID="_1583750204" r:id="rId64"/>
        </w:object>
      </w:r>
      <w:bookmarkStart w:id="270" w:name="_Toc494733005"/>
      <w:r w:rsidRPr="003E349F">
        <w:rPr>
          <w:rStyle w:val="SubtitleChar"/>
        </w:rPr>
        <w:t xml:space="preserve"> </w:t>
      </w:r>
      <w:r w:rsidRPr="00D42EAE">
        <w:rPr>
          <w:rStyle w:val="SubtitleChar"/>
        </w:rPr>
        <w:t xml:space="preserve">Figure </w:t>
      </w:r>
      <w:r>
        <w:rPr>
          <w:rStyle w:val="SubtitleChar"/>
        </w:rPr>
        <w:t>2.</w:t>
      </w:r>
      <w:r w:rsidR="00A70F56">
        <w:rPr>
          <w:rStyle w:val="SubtitleChar"/>
        </w:rPr>
        <w:t>20</w:t>
      </w:r>
      <w:r w:rsidRPr="00D42EAE">
        <w:rPr>
          <w:rStyle w:val="SubtitleChar"/>
        </w:rPr>
        <w:t xml:space="preserve"> uPA activity with different concentrations of amiloride.</w:t>
      </w:r>
      <w:bookmarkEnd w:id="270"/>
      <w:r>
        <w:t xml:space="preserve"> </w:t>
      </w:r>
      <w:r w:rsidRPr="00C93464">
        <w:t>The graph shows inhibition of pyro-Glu-Gly-Arg- p-nitroanilide with different concentration of amiloride with 500 µM of amiloride giving 100% inhibition.</w:t>
      </w:r>
      <w:r>
        <w:t xml:space="preserve"> </w:t>
      </w:r>
      <w:r>
        <w:tab/>
      </w:r>
    </w:p>
    <w:p w:rsidR="005E5125" w:rsidRDefault="003E349F" w:rsidP="00485D4F">
      <w:pPr>
        <w:ind w:left="720"/>
      </w:pPr>
      <w:r>
        <w:t xml:space="preserve">As expected, amiloride </w:t>
      </w:r>
      <w:r w:rsidRPr="00392836">
        <w:t xml:space="preserve">500 µM </w:t>
      </w:r>
      <w:r>
        <w:t xml:space="preserve">selectively inhibited </w:t>
      </w:r>
      <w:r w:rsidRPr="00392836">
        <w:t>pyro-Glu-Gly-Arg-</w:t>
      </w:r>
      <w:r w:rsidRPr="00392836">
        <w:rPr>
          <w:i/>
        </w:rPr>
        <w:t xml:space="preserve"> p</w:t>
      </w:r>
      <w:r>
        <w:t xml:space="preserve">-nitroanilide. </w:t>
      </w:r>
      <w:r w:rsidR="005E5125">
        <w:t>We went further to determine the selectivity of amiloride for both uPA and tPA.</w:t>
      </w:r>
    </w:p>
    <w:p w:rsidR="005E5125" w:rsidRDefault="00A70F56" w:rsidP="005E5125">
      <w:pPr>
        <w:ind w:left="720"/>
        <w:rPr>
          <w:lang w:val="en-US"/>
        </w:rPr>
      </w:pPr>
      <w:r>
        <w:rPr>
          <w:lang w:val="en-US"/>
        </w:rPr>
        <w:t>Fig. 2.21</w:t>
      </w:r>
      <w:r w:rsidR="005E5125">
        <w:rPr>
          <w:lang w:val="en-US"/>
        </w:rPr>
        <w:t xml:space="preserve"> confirms the selective ability of amiloride to inhibit uPA activity while tPA activity was preserved. Therefore, we used this inhibitor to selectively discriminate between uPA and tPA activity.</w:t>
      </w:r>
      <w:r w:rsidR="005E5125" w:rsidRPr="00392836">
        <w:rPr>
          <w:lang w:val="en-US"/>
        </w:rPr>
        <w:t xml:space="preserve"> </w:t>
      </w:r>
    </w:p>
    <w:p w:rsidR="00430D62" w:rsidRPr="005E5125" w:rsidRDefault="005E5125" w:rsidP="002D1CF8">
      <w:pPr>
        <w:ind w:left="720"/>
      </w:pPr>
      <w:r w:rsidRPr="005E5125">
        <w:t xml:space="preserve">Based on these understanding and the inhibitory property of amiloride we therefore defined uPA activity in our study as the activity which was inhibited by 500 </w:t>
      </w:r>
      <w:r w:rsidRPr="005E5125">
        <w:rPr>
          <w:rFonts w:cs="Arial"/>
        </w:rPr>
        <w:t>µ</w:t>
      </w:r>
      <w:r w:rsidRPr="005E5125">
        <w:t xml:space="preserve">M </w:t>
      </w:r>
      <w:r>
        <w:t>amiloride using the substrate Pyro-Glu-Gly-Arg-</w:t>
      </w:r>
      <w:r>
        <w:rPr>
          <w:i/>
        </w:rPr>
        <w:t>p</w:t>
      </w:r>
      <w:r>
        <w:t>-nitroanilide.</w:t>
      </w:r>
      <w:bookmarkStart w:id="271" w:name="_Toc419657266"/>
      <w:bookmarkStart w:id="272" w:name="_Toc419657338"/>
      <w:bookmarkStart w:id="273" w:name="_Toc419659343"/>
      <w:bookmarkStart w:id="274" w:name="_Toc419852038"/>
      <w:r w:rsidR="00430D62" w:rsidRPr="00D42EAE">
        <w:rPr>
          <w:rStyle w:val="SubtitleChar"/>
          <w:rFonts w:eastAsiaTheme="minorHAnsi"/>
          <w:noProof/>
          <w:lang w:val="en-GB"/>
        </w:rPr>
        <mc:AlternateContent>
          <mc:Choice Requires="wps">
            <w:drawing>
              <wp:anchor distT="0" distB="0" distL="114300" distR="114300" simplePos="0" relativeHeight="251672576" behindDoc="0" locked="0" layoutInCell="1" allowOverlap="1" wp14:anchorId="42C7EE31" wp14:editId="0B099DAE">
                <wp:simplePos x="0" y="0"/>
                <wp:positionH relativeFrom="margin">
                  <wp:posOffset>8203222</wp:posOffset>
                </wp:positionH>
                <wp:positionV relativeFrom="paragraph">
                  <wp:posOffset>565834</wp:posOffset>
                </wp:positionV>
                <wp:extent cx="1283677" cy="356088"/>
                <wp:effectExtent l="0" t="0" r="12065" b="2540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3677" cy="356088"/>
                        </a:xfrm>
                        <a:prstGeom prst="rect">
                          <a:avLst/>
                        </a:prstGeom>
                        <a:solidFill>
                          <a:srgbClr val="FFFFFF"/>
                        </a:solidFill>
                        <a:ln w="9525">
                          <a:solidFill>
                            <a:srgbClr val="000000"/>
                          </a:solidFill>
                          <a:miter lim="800000"/>
                          <a:headEnd/>
                          <a:tailEnd/>
                        </a:ln>
                      </wps:spPr>
                      <wps:txbx>
                        <w:txbxContent>
                          <w:p w:rsidR="00AD6A02" w:rsidRPr="00795EBC" w:rsidRDefault="00AD6A02" w:rsidP="00430D62">
                            <w:pPr>
                              <w:rPr>
                                <w:rFonts w:ascii="Times New Roman" w:hAnsi="Times New Roman"/>
                              </w:rPr>
                            </w:pPr>
                            <w:r w:rsidRPr="00795EBC">
                              <w:rPr>
                                <w:rFonts w:ascii="Times New Roman" w:hAnsi="Times New Roman"/>
                              </w:rPr>
                              <w:t xml:space="preserve">corresponding enzymes. The uPA substrate was well cleaved by actilyse and urokinase. Based on the above findings the uPA substrate was selected. </w:t>
                            </w:r>
                          </w:p>
                          <w:p w:rsidR="00AD6A02" w:rsidRDefault="00AD6A02" w:rsidP="00430D62">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7EE31" id="Rectangle 33" o:spid="_x0000_s1026" style="position:absolute;left:0;text-align:left;margin-left:645.9pt;margin-top:44.55pt;width:101.1pt;height:28.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AJKAIAAEkEAAAOAAAAZHJzL2Uyb0RvYy54bWysVNuO0zAQfUfiHyy/06T3btR0tepShLTA&#10;ioUPcBwnsXBsM3ablK9n7GRLF3hC5MHyeMbHZ87MZHvbt4qcBDhpdE6nk5QSobkppa5z+vXL4c2G&#10;EueZLpkyWuT0LBy93b1+te1sJmamMaoUQBBEu6yzOW28t1mSON6IlrmJsUKjszLQMo8m1EkJrEP0&#10;ViWzNF0lnYHSguHCOTy9H5x0F/GrSnD/qaqc8ETlFLn5uEJci7Amuy3LamC2kXykwf6BRcukxkcv&#10;UPfMM3IE+QdUKzkYZyo/4aZNTFVJLmIOmM00/S2bp4ZZEXNBcZy9yOT+Hyz/eHoEIsuczueUaNZi&#10;jT6jakzXShA8Q4E66zKMe7KPEFJ09sHwb45os28wTNwBmK4RrERa0xCfvLgQDIdXSdF9MCXCs6M3&#10;Uau+gjYAogqkjyU5X0oiek84Hk5nm/lqvaaEo2++XKWbTXyCZc+3LTj/TpiWhE1OAclHdHZ6cD6w&#10;YdlzSGRvlCwPUqloQF3sFZATw/Y4xG9Ed9dhSpMupzfL2TIiv/C5a4g0fn+DaKXHPleyzenmEsSy&#10;INtbXcYu9EyqYY+UlR51DNINJfB90Y/VKEx5RkXBDP2M84ebxsAPSjrs5Zy670cGghL1XmNVbqaL&#10;RWj+aCyW6xkacO0prj1Mc4TKqadk2O79MDBHC7Ju8KVplEGbO6xkJaPIocoDq5E39mvUfpytMBDX&#10;doz69QfY/QQAAP//AwBQSwMEFAAGAAgAAAAhAB+s5x3fAAAADAEAAA8AAABkcnMvZG93bnJldi54&#10;bWxMj0FPg0AQhe8m/ofNmHizC1hNQZbGaGrisaUXbwM7AsrOEnZp0V/vcqq3eZmX976Xb2fTixON&#10;rrOsIF5FIIhrqztuFBzL3d0GhPPIGnvLpOCHHGyL66scM23PvKfTwTcihLDLUEHr/ZBJ6eqWDLqV&#10;HYjD79OOBn2QYyP1iOcQbnqZRNGjNNhxaGhxoJeW6u/DZBRUXXLE3335Fpl0d+/f5/Jr+nhV6vZm&#10;fn4C4Wn2FzMs+AEdisBU2Ym1E33QSRoHdq9gk8YgFsc6XYd51XI9JCCLXP4fUfwBAAD//wMAUEsB&#10;Ai0AFAAGAAgAAAAhALaDOJL+AAAA4QEAABMAAAAAAAAAAAAAAAAAAAAAAFtDb250ZW50X1R5cGVz&#10;XS54bWxQSwECLQAUAAYACAAAACEAOP0h/9YAAACUAQAACwAAAAAAAAAAAAAAAAAvAQAAX3JlbHMv&#10;LnJlbHNQSwECLQAUAAYACAAAACEAW1IwCSgCAABJBAAADgAAAAAAAAAAAAAAAAAuAgAAZHJzL2Uy&#10;b0RvYy54bWxQSwECLQAUAAYACAAAACEAH6znHd8AAAAMAQAADwAAAAAAAAAAAAAAAACCBAAAZHJz&#10;L2Rvd25yZXYueG1sUEsFBgAAAAAEAAQA8wAAAI4FAAAAAA==&#10;">
                <v:textbox>
                  <w:txbxContent>
                    <w:p w:rsidR="00AD6A02" w:rsidRPr="00795EBC" w:rsidRDefault="00AD6A02" w:rsidP="00430D62">
                      <w:pPr>
                        <w:rPr>
                          <w:rFonts w:ascii="Times New Roman" w:hAnsi="Times New Roman"/>
                        </w:rPr>
                      </w:pPr>
                      <w:r w:rsidRPr="00795EBC">
                        <w:rPr>
                          <w:rFonts w:ascii="Times New Roman" w:hAnsi="Times New Roman"/>
                        </w:rPr>
                        <w:t xml:space="preserve">corresponding enzymes. The uPA substrate was well cleaved by actilyse and urokinase. Based on the above findings the uPA substrate was selected. </w:t>
                      </w:r>
                    </w:p>
                    <w:p w:rsidR="00AD6A02" w:rsidRDefault="00AD6A02" w:rsidP="00430D62">
                      <w:r>
                        <w:t xml:space="preserve">   </w:t>
                      </w:r>
                    </w:p>
                  </w:txbxContent>
                </v:textbox>
                <w10:wrap anchorx="margin"/>
              </v:rect>
            </w:pict>
          </mc:Fallback>
        </mc:AlternateContent>
      </w:r>
      <w:r w:rsidR="00430D62" w:rsidRPr="00392836">
        <w:rPr>
          <w:rFonts w:ascii="Calibri" w:eastAsia="Calibri" w:hAnsi="Calibri"/>
          <w:noProof/>
          <w:lang w:eastAsia="en-GB"/>
        </w:rPr>
        <mc:AlternateContent>
          <mc:Choice Requires="wps">
            <w:drawing>
              <wp:anchor distT="0" distB="0" distL="114300" distR="114300" simplePos="0" relativeHeight="251673600" behindDoc="0" locked="0" layoutInCell="1" allowOverlap="1" wp14:anchorId="0AF2C174" wp14:editId="1DF43D2F">
                <wp:simplePos x="0" y="0"/>
                <wp:positionH relativeFrom="column">
                  <wp:posOffset>7517423</wp:posOffset>
                </wp:positionH>
                <wp:positionV relativeFrom="paragraph">
                  <wp:posOffset>2813539</wp:posOffset>
                </wp:positionV>
                <wp:extent cx="1395779" cy="782516"/>
                <wp:effectExtent l="0" t="0" r="13970" b="1778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395779" cy="782516"/>
                        </a:xfrm>
                        <a:prstGeom prst="rect">
                          <a:avLst/>
                        </a:prstGeom>
                        <a:solidFill>
                          <a:srgbClr val="FFFFFF"/>
                        </a:solidFill>
                        <a:ln w="9525">
                          <a:solidFill>
                            <a:srgbClr val="000000"/>
                          </a:solidFill>
                          <a:miter lim="800000"/>
                          <a:headEnd/>
                          <a:tailEnd/>
                        </a:ln>
                      </wps:spPr>
                      <wps:txbx>
                        <w:txbxContent>
                          <w:p w:rsidR="00AD6A02" w:rsidRDefault="00AD6A02" w:rsidP="00430D62">
                            <w:r>
                              <w:t xml:space="preserve"> </w:t>
                            </w:r>
                          </w:p>
                          <w:p w:rsidR="00AD6A02" w:rsidRDefault="00AD6A02" w:rsidP="00430D62">
                            <w:r>
                              <w:t>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2C174" id="Rectangle 32" o:spid="_x0000_s1027" style="position:absolute;left:0;text-align:left;margin-left:591.9pt;margin-top:221.55pt;width:109.9pt;height:61.6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IuMAIAAFoEAAAOAAAAZHJzL2Uyb0RvYy54bWysVMGO0zAQvSPxD5bvNE223bZR09WqSxHS&#10;AisWuDuOk1g4thm7TcrXM3aqtgucEDlYHs/4eea9mazvhk6RgwAnjS5oOplSIjQ3ldRNQb9+2b1Z&#10;UuI80xVTRouCHoWjd5vXr9a9zUVmWqMqAQRBtMt7W9DWe5snieOt6JibGCs0OmsDHfNoQpNUwHpE&#10;71SSTae3SW+gsmC4cA5PH0Yn3UT8uhbcf6prJzxRBcXcfFwhrmVYk82a5Q0w20p+SoP9QxYdkxof&#10;PUM9MM/IHuQfUJ3kYJyp/YSbLjF1LbmINWA16fS3ap5bZkWsBclx9kyT+3+w/OPhCYisCnqTUaJZ&#10;hxp9RtaYbpQgeIYE9dblGPdsnyCU6Oyj4d8d0WbbYpi4BzB9K1iFaaUhPnlxIRgOr5Ky/2AqhGd7&#10;byJXQw0dqZW038LFAI18kCGKczyLIwZPOB6mN6v5YrGihKNvsczm6W18jOUBJ9y24Pw7YToSNgUF&#10;LCOissOj8yGvS0iswyhZ7aRS0YCm3CogB4aNsovfCd1dhylN+oKu5tk8Ir/wuWuIafz+BtFJjx2v&#10;ZFfQ5TmI5YHAt7qK/eiZVOMeU1b6xGggcRTDD+UQNYt0B4JLUx2RYjBjg+NA4qY18JOSHpu7oO7H&#10;noGgRL3XKNMqnc3CNERjNl9kaMC1p7z2MM0RqqCeknG79eME7S3IpsWXRvW0uUdpaxm5vmR1Sh8b&#10;OEpwGrYwIdd2jLr8Eja/AAAA//8DAFBLAwQUAAYACAAAACEAZ/sCFOAAAAANAQAADwAAAGRycy9k&#10;b3ducmV2LnhtbEyPQUvEMBSE74L/ITzBm5t2E8tSmy4iCHpZcBX2mjbPtti8lCTbbf+92ZMehxlm&#10;vqn2ix3ZjD4MjhTkmwwYUuvMQJ2Cr8/Xhx2wEDUZPTpCBSsG2Ne3N5UujbvQB87H2LFUQqHUCvoY&#10;p5Lz0PZoddi4CSl5385bHZP0HTdeX1K5Hfk2ywpu9UBpodcTvvTY/hzPVsHbdGje/dauB9lIvi6t&#10;CPPppNT93fL8BCziEv/CcMVP6FAnpsadyQQ2Jp3vRGKPCqQUObBrRGaiANYoeCwKAbyu+P8X9S8A&#10;AAD//wMAUEsBAi0AFAAGAAgAAAAhALaDOJL+AAAA4QEAABMAAAAAAAAAAAAAAAAAAAAAAFtDb250&#10;ZW50X1R5cGVzXS54bWxQSwECLQAUAAYACAAAACEAOP0h/9YAAACUAQAACwAAAAAAAAAAAAAAAAAv&#10;AQAAX3JlbHMvLnJlbHNQSwECLQAUAAYACAAAACEAAI7SLjACAABaBAAADgAAAAAAAAAAAAAAAAAu&#10;AgAAZHJzL2Uyb0RvYy54bWxQSwECLQAUAAYACAAAACEAZ/sCFOAAAAANAQAADwAAAAAAAAAAAAAA&#10;AACKBAAAZHJzL2Rvd25yZXYueG1sUEsFBgAAAAAEAAQA8wAAAJcFAAAAAA==&#10;">
                <v:textbox>
                  <w:txbxContent>
                    <w:p w:rsidR="00AD6A02" w:rsidRDefault="00AD6A02" w:rsidP="00430D62">
                      <w:r>
                        <w:t xml:space="preserve"> </w:t>
                      </w:r>
                    </w:p>
                    <w:p w:rsidR="00AD6A02" w:rsidRDefault="00AD6A02" w:rsidP="00430D62">
                      <w:r>
                        <w:t>55</w:t>
                      </w:r>
                    </w:p>
                  </w:txbxContent>
                </v:textbox>
              </v:rect>
            </w:pict>
          </mc:Fallback>
        </mc:AlternateContent>
      </w:r>
    </w:p>
    <w:bookmarkEnd w:id="271"/>
    <w:bookmarkEnd w:id="272"/>
    <w:bookmarkEnd w:id="273"/>
    <w:bookmarkEnd w:id="274"/>
    <w:p w:rsidR="00961B44" w:rsidRDefault="00D85FA6" w:rsidP="002C65DD">
      <w:pPr>
        <w:pStyle w:val="LegText"/>
        <w:ind w:left="720"/>
      </w:pPr>
      <w:r>
        <w:object w:dxaOrig="9111" w:dyaOrig="4802">
          <v:shape id="_x0000_i1035" type="#_x0000_t75" style="width:409.5pt;height:3in" o:ole="">
            <v:imagedata r:id="rId65" o:title=""/>
          </v:shape>
          <o:OLEObject Type="Embed" ProgID="Prism7.Document" ShapeID="_x0000_i1035" DrawAspect="Content" ObjectID="_1583750205" r:id="rId66"/>
        </w:object>
      </w:r>
    </w:p>
    <w:p w:rsidR="002C65DD" w:rsidRDefault="00A70F56" w:rsidP="002C65DD">
      <w:pPr>
        <w:pStyle w:val="LegText"/>
        <w:ind w:left="720"/>
      </w:pPr>
      <w:bookmarkStart w:id="275" w:name="_Toc504640587"/>
      <w:r>
        <w:rPr>
          <w:rStyle w:val="SubtitleChar"/>
          <w:rFonts w:eastAsiaTheme="minorHAnsi"/>
        </w:rPr>
        <w:t>Figure 2.21</w:t>
      </w:r>
      <w:r w:rsidR="002C65DD" w:rsidRPr="002C65DD">
        <w:rPr>
          <w:rStyle w:val="SubtitleChar"/>
        </w:rPr>
        <w:t xml:space="preserve"> </w:t>
      </w:r>
      <w:r w:rsidR="00BC3556">
        <w:rPr>
          <w:rStyle w:val="SubtitleChar"/>
          <w:rFonts w:eastAsiaTheme="minorHAnsi"/>
        </w:rPr>
        <w:t>Glu-Gly-Arg</w:t>
      </w:r>
      <w:r w:rsidR="00E04C3D">
        <w:rPr>
          <w:rStyle w:val="SubtitleChar"/>
          <w:rFonts w:eastAsiaTheme="minorHAnsi"/>
        </w:rPr>
        <w:t>-</w:t>
      </w:r>
      <w:r w:rsidR="00E04C3D" w:rsidRPr="00E04C3D">
        <w:rPr>
          <w:rStyle w:val="SubtitleChar"/>
          <w:rFonts w:eastAsiaTheme="minorHAnsi"/>
          <w:i/>
        </w:rPr>
        <w:t>p</w:t>
      </w:r>
      <w:r w:rsidR="00E04C3D">
        <w:rPr>
          <w:rStyle w:val="SubtitleChar"/>
          <w:rFonts w:eastAsiaTheme="minorHAnsi"/>
        </w:rPr>
        <w:t>NA</w:t>
      </w:r>
      <w:r w:rsidR="002C65DD" w:rsidRPr="002C65DD">
        <w:rPr>
          <w:rStyle w:val="SubtitleChar"/>
          <w:rFonts w:eastAsiaTheme="minorHAnsi"/>
        </w:rPr>
        <w:t xml:space="preserve"> with </w:t>
      </w:r>
      <w:r w:rsidR="00E04C3D">
        <w:rPr>
          <w:rStyle w:val="SubtitleChar"/>
          <w:rFonts w:eastAsiaTheme="minorHAnsi"/>
        </w:rPr>
        <w:t>tPA and uPA</w:t>
      </w:r>
      <w:r w:rsidR="002C65DD" w:rsidRPr="002C65DD">
        <w:rPr>
          <w:rStyle w:val="SubtitleChar"/>
          <w:rFonts w:eastAsiaTheme="minorHAnsi"/>
        </w:rPr>
        <w:t xml:space="preserve"> in the presence and absence of amiloride</w:t>
      </w:r>
      <w:r w:rsidR="002C65DD" w:rsidRPr="002C65DD">
        <w:rPr>
          <w:rStyle w:val="SubtitleChar"/>
        </w:rPr>
        <w:t>.</w:t>
      </w:r>
      <w:bookmarkEnd w:id="275"/>
      <w:r w:rsidR="002C65DD" w:rsidRPr="002C65DD">
        <w:t xml:space="preserve"> Points are means of triplicate readings of </w:t>
      </w:r>
      <w:r w:rsidR="00E04C3D">
        <w:t>the</w:t>
      </w:r>
      <w:r w:rsidR="002C65DD" w:rsidRPr="002C65DD">
        <w:t xml:space="preserve"> reaction</w:t>
      </w:r>
      <w:r w:rsidR="00E04C3D">
        <w:t>s</w:t>
      </w:r>
      <w:r w:rsidR="002C65DD" w:rsidRPr="002C65DD">
        <w:t xml:space="preserve"> between </w:t>
      </w:r>
      <w:r w:rsidR="00E04C3D">
        <w:t>Glu</w:t>
      </w:r>
      <w:r w:rsidR="002C65DD">
        <w:t>-</w:t>
      </w:r>
      <w:r w:rsidR="00E04C3D">
        <w:t>Gly</w:t>
      </w:r>
      <w:r w:rsidR="002C65DD">
        <w:t>-Arg-</w:t>
      </w:r>
      <w:r w:rsidR="002C65DD" w:rsidRPr="002C65DD">
        <w:rPr>
          <w:i/>
        </w:rPr>
        <w:t>p</w:t>
      </w:r>
      <w:r w:rsidR="00E04C3D">
        <w:t>NA with</w:t>
      </w:r>
      <w:r w:rsidR="002C65DD">
        <w:t xml:space="preserve"> tPA </w:t>
      </w:r>
      <w:r w:rsidR="00E04C3D">
        <w:t>and uPA in the presence and absence of amiloride</w:t>
      </w:r>
      <w:r w:rsidR="002D1CF8">
        <w:t>.</w:t>
      </w:r>
      <w:r w:rsidR="00E04C3D">
        <w:t xml:space="preserve"> </w:t>
      </w:r>
    </w:p>
    <w:p w:rsidR="002C65DD" w:rsidRDefault="002C65DD" w:rsidP="002F61FE">
      <w:pPr>
        <w:pStyle w:val="LegText"/>
      </w:pPr>
    </w:p>
    <w:p w:rsidR="00430D62" w:rsidRPr="00392836" w:rsidRDefault="002D1CF8" w:rsidP="002A1222">
      <w:pPr>
        <w:ind w:left="720"/>
        <w:rPr>
          <w:lang w:val="en-US"/>
        </w:rPr>
      </w:pPr>
      <w:r>
        <w:t xml:space="preserve">We therefore regularly assayed culture medium with pyro-Glu-Gly-Arg-pNA with and without amiloride, and assumed that the difference between the two activities was due to uPA activity. </w:t>
      </w:r>
      <w:r w:rsidR="0045694B">
        <w:rPr>
          <w:lang w:val="en-US"/>
        </w:rPr>
        <w:t>The assay wa</w:t>
      </w:r>
      <w:r w:rsidR="00430D62" w:rsidRPr="00392836">
        <w:rPr>
          <w:lang w:val="en-US"/>
        </w:rPr>
        <w:t>s based on the continuous spectrophotometric rate determination at 405 nm with the substrate pyro-Glu-Gly-Arg-</w:t>
      </w:r>
      <w:r w:rsidR="00430D62" w:rsidRPr="00392836">
        <w:rPr>
          <w:i/>
          <w:lang w:val="en-US"/>
        </w:rPr>
        <w:t>p</w:t>
      </w:r>
      <w:r w:rsidR="00430D62" w:rsidRPr="00392836">
        <w:rPr>
          <w:lang w:val="en-US"/>
        </w:rPr>
        <w:t xml:space="preserve">NA. </w:t>
      </w:r>
    </w:p>
    <w:p w:rsidR="00430D62" w:rsidRPr="00392836" w:rsidRDefault="00430D62" w:rsidP="002A1222">
      <w:pPr>
        <w:ind w:left="720"/>
        <w:rPr>
          <w:lang w:val="en-US"/>
        </w:rPr>
      </w:pPr>
      <w:r w:rsidRPr="00392836">
        <w:rPr>
          <w:lang w:val="en-US"/>
        </w:rPr>
        <w:t>50 mM Tris, 38 mM NaCl buffer was prepared and the pH was adjusted to 8.4 using 1 mM HCl at ambient temperature. 1.35 mM Pyro-Glu-Gly-Arg-</w:t>
      </w:r>
      <w:r w:rsidRPr="00392836">
        <w:rPr>
          <w:i/>
          <w:lang w:val="en-US"/>
        </w:rPr>
        <w:t>p</w:t>
      </w:r>
      <w:r w:rsidRPr="00392836">
        <w:rPr>
          <w:lang w:val="en-US"/>
        </w:rPr>
        <w:t>NA solution was prepared with the buffer pH 8.4 at ambient temperature.</w:t>
      </w:r>
    </w:p>
    <w:p w:rsidR="00430D62" w:rsidRPr="00392836" w:rsidRDefault="00430D62" w:rsidP="002A1222">
      <w:pPr>
        <w:ind w:left="720"/>
        <w:rPr>
          <w:lang w:val="en-US"/>
        </w:rPr>
      </w:pPr>
      <w:r w:rsidRPr="00392836">
        <w:rPr>
          <w:lang w:val="en-US"/>
        </w:rPr>
        <w:t>The total serine protease activity was determined with 100 µl of 24-hour conditioned medium pipetted into wells of 96-well plate, incubated for</w:t>
      </w:r>
      <w:r w:rsidR="00C875EF">
        <w:rPr>
          <w:lang w:val="en-US"/>
        </w:rPr>
        <w:t xml:space="preserve"> 1-2 min</w:t>
      </w:r>
      <w:r>
        <w:rPr>
          <w:lang w:val="en-US"/>
        </w:rPr>
        <w:t xml:space="preserve"> after which 10 µl of </w:t>
      </w:r>
      <w:r w:rsidRPr="00392836">
        <w:rPr>
          <w:lang w:val="en-US"/>
        </w:rPr>
        <w:t>pyro-Glu-Gly-Arg-</w:t>
      </w:r>
      <w:r w:rsidRPr="00392836">
        <w:rPr>
          <w:i/>
          <w:lang w:val="en-US"/>
        </w:rPr>
        <w:t>p</w:t>
      </w:r>
      <w:r w:rsidRPr="00392836">
        <w:rPr>
          <w:lang w:val="en-US"/>
        </w:rPr>
        <w:t>NA was added and the volume made up to 200 µl with buffer and the increase in A</w:t>
      </w:r>
      <w:r w:rsidRPr="00392836">
        <w:rPr>
          <w:vertAlign w:val="subscript"/>
          <w:lang w:val="en-US"/>
        </w:rPr>
        <w:t>405nm</w:t>
      </w:r>
      <w:r w:rsidRPr="00392836">
        <w:rPr>
          <w:lang w:val="en-US"/>
        </w:rPr>
        <w:t xml:space="preserve"> was read</w:t>
      </w:r>
      <w:r w:rsidR="00C875EF">
        <w:rPr>
          <w:lang w:val="en-US"/>
        </w:rPr>
        <w:t xml:space="preserve"> at 30 min intervals for 90 min</w:t>
      </w:r>
      <w:r w:rsidRPr="00392836">
        <w:rPr>
          <w:lang w:val="en-US"/>
        </w:rPr>
        <w:t xml:space="preserve">. The total serine protease activity was determined using the slope of the graph i.e. the change in absorbance produced by </w:t>
      </w:r>
      <w:r w:rsidRPr="00392836">
        <w:rPr>
          <w:i/>
          <w:lang w:val="en-US"/>
        </w:rPr>
        <w:t>p</w:t>
      </w:r>
      <w:r w:rsidRPr="00392836">
        <w:rPr>
          <w:lang w:val="en-US"/>
        </w:rPr>
        <w:t>-nitroaniline against time.  The tPA activity was determined by pipetting 100 µl of 24 hour conditioned medium into a 96-well plat</w:t>
      </w:r>
      <w:r>
        <w:rPr>
          <w:lang w:val="en-US"/>
        </w:rPr>
        <w:t>e, incubated for 1-2 min</w:t>
      </w:r>
      <w:r w:rsidRPr="00392836">
        <w:rPr>
          <w:lang w:val="en-US"/>
        </w:rPr>
        <w:t xml:space="preserve"> after which 10 µl of pyro-Glu-Gly-</w:t>
      </w:r>
      <w:r w:rsidRPr="00392836">
        <w:rPr>
          <w:lang w:val="en-US"/>
        </w:rPr>
        <w:lastRenderedPageBreak/>
        <w:t>Arg-</w:t>
      </w:r>
      <w:r w:rsidRPr="00392836">
        <w:rPr>
          <w:i/>
          <w:lang w:val="en-US"/>
        </w:rPr>
        <w:t>p</w:t>
      </w:r>
      <w:r w:rsidRPr="00392836">
        <w:rPr>
          <w:lang w:val="en-US"/>
        </w:rPr>
        <w:t>NA was added, with 5µl of amiloride stock was added to get a final concentration of 500 µM and the volume made up to 200 µl with buffer and the increase in A</w:t>
      </w:r>
      <w:r w:rsidRPr="00392836">
        <w:rPr>
          <w:vertAlign w:val="subscript"/>
          <w:lang w:val="en-US"/>
        </w:rPr>
        <w:t>405nm</w:t>
      </w:r>
      <w:r w:rsidRPr="00392836">
        <w:rPr>
          <w:lang w:val="en-US"/>
        </w:rPr>
        <w:t xml:space="preserve"> was read</w:t>
      </w:r>
      <w:r w:rsidR="00C875EF">
        <w:rPr>
          <w:lang w:val="en-US"/>
        </w:rPr>
        <w:t xml:space="preserve"> at 30 min intervals for 90 min</w:t>
      </w:r>
      <w:r w:rsidRPr="00392836">
        <w:rPr>
          <w:lang w:val="en-US"/>
        </w:rPr>
        <w:t xml:space="preserve">. uPA activity was calculated by subtracting the tPA activity from the total serine protease activity. </w:t>
      </w:r>
    </w:p>
    <w:p w:rsidR="00430D62" w:rsidRPr="00392836" w:rsidRDefault="00C93464" w:rsidP="002A1222">
      <w:pPr>
        <w:pStyle w:val="Heading4"/>
        <w:ind w:firstLine="720"/>
        <w:rPr>
          <w:rFonts w:eastAsia="Times New Roman"/>
          <w:lang w:val="en-US"/>
        </w:rPr>
      </w:pPr>
      <w:bookmarkStart w:id="276" w:name="_Toc419657268"/>
      <w:bookmarkStart w:id="277" w:name="_Toc419657340"/>
      <w:bookmarkStart w:id="278" w:name="_Toc419659345"/>
      <w:bookmarkStart w:id="279" w:name="_Toc419852040"/>
      <w:bookmarkStart w:id="280" w:name="_Toc484448862"/>
      <w:bookmarkStart w:id="281" w:name="_Toc506232367"/>
      <w:r>
        <w:rPr>
          <w:rFonts w:eastAsia="Times New Roman"/>
          <w:lang w:val="en-US"/>
        </w:rPr>
        <w:t xml:space="preserve">2.7.7 </w:t>
      </w:r>
      <w:r w:rsidR="00430D62" w:rsidRPr="00392836">
        <w:rPr>
          <w:rFonts w:eastAsia="Times New Roman"/>
          <w:lang w:val="en-US"/>
        </w:rPr>
        <w:t>Carboxypeptidase B2 assay.</w:t>
      </w:r>
      <w:bookmarkEnd w:id="276"/>
      <w:bookmarkEnd w:id="277"/>
      <w:bookmarkEnd w:id="278"/>
      <w:bookmarkEnd w:id="279"/>
      <w:bookmarkEnd w:id="280"/>
      <w:bookmarkEnd w:id="281"/>
      <w:r w:rsidR="00430D62" w:rsidRPr="00392836">
        <w:rPr>
          <w:rFonts w:eastAsia="Times New Roman"/>
          <w:lang w:val="en-US"/>
        </w:rPr>
        <w:tab/>
      </w:r>
    </w:p>
    <w:p w:rsidR="00430D62" w:rsidRPr="00392836" w:rsidRDefault="00430D62" w:rsidP="002A1222">
      <w:pPr>
        <w:ind w:left="720"/>
        <w:rPr>
          <w:lang w:val="en-US"/>
        </w:rPr>
      </w:pPr>
      <w:r w:rsidRPr="00392836">
        <w:rPr>
          <w:lang w:val="en-US"/>
        </w:rPr>
        <w:t xml:space="preserve">The principle of the carboxypeptidase B2 assay is based on degradation of a synthetic peptide which has an amino protected L-lysine joined with L-arginine </w:t>
      </w:r>
      <w:r w:rsidR="00415B33">
        <w:rPr>
          <w:lang w:val="en-US"/>
        </w:rPr>
        <w:t xml:space="preserve">which has a sulphur atom at the </w:t>
      </w:r>
      <w:r w:rsidRPr="00392836">
        <w:rPr>
          <w:lang w:val="en-US"/>
        </w:rPr>
        <w:t xml:space="preserve">α position of the side-chain. The synthetic substrate is cleaved by activated carboxypeptidase B2 to produce a thiol derivative. The thiol derivative reacts with the colourless Ellman’s reagent 5,5’-dithio-bis-(2-nitrobenzoic acid) (DTNB) to produce the compound 5-mercapto-2-nitro-benzoic acid. The spectrophotometric method was used to measure the change in absorbance at 405nm. </w:t>
      </w:r>
      <w:r w:rsidRPr="00392836">
        <w:rPr>
          <w:lang w:val="en-US"/>
        </w:rPr>
        <w:fldChar w:fldCharType="begin"/>
      </w:r>
      <w:r w:rsidRPr="00392836">
        <w:rPr>
          <w:lang w:val="en-US"/>
        </w:rPr>
        <w:instrText xml:space="preserve"> ADDIN EN.CITE &lt;EndNote&gt;&lt;Cite&gt;&lt;Author&gt;Schroeder&lt;/Author&gt;&lt;Year&gt;2006&lt;/Year&gt;&lt;IDText&gt;TAFI activity in coronary artery disease: a contribution to the current discussion on TAFI assays&lt;/IDText&gt;&lt;DisplayText&gt;(Schroeder et al., 2006)&lt;/DisplayText&gt;&lt;record&gt;&lt;dates&gt;&lt;pub-dates&gt;&lt;date&gt;Aug&lt;/date&gt;&lt;/pub-dates&gt;&lt;year&gt;2006&lt;/year&gt;&lt;/dates&gt;&lt;keywords&gt;&lt;keyword&gt;Biological Assay&lt;/keyword&gt;&lt;keyword&gt;Blood Platelets/metabolism&lt;/keyword&gt;&lt;keyword&gt;Carboxypeptidase B2/chemistry/*genetics/*physiology&lt;/keyword&gt;&lt;keyword&gt;Case-Control Studies&lt;/keyword&gt;&lt;keyword&gt;Coronary Artery Disease/*genetics/*metabolism/pathology&lt;/keyword&gt;&lt;keyword&gt;Enzyme-Linked Immunosorbent Assay&lt;/keyword&gt;&lt;keyword&gt;Humans&lt;/keyword&gt;&lt;keyword&gt;Models, Statistical&lt;/keyword&gt;&lt;keyword&gt;Myocardial Infarction&lt;/keyword&gt;&lt;keyword&gt;Polymorphism, Genetic&lt;/keyword&gt;&lt;keyword&gt;Risk Factors&lt;/keyword&gt;&lt;/keywords&gt;&lt;isbn&gt;0340-6245 (Print)&amp;#xD;0340-6245&lt;/isbn&gt;&lt;titles&gt;&lt;title&gt;TAFI activity in coronary artery disease: a contribution to the current discussion on TAFI assays&lt;/title&gt;&lt;secondary-title&gt;Thromb Haemost&lt;/secondary-title&gt;&lt;alt-title&gt;Thrombosis and haemostasis&lt;/alt-title&gt;&lt;/titles&gt;&lt;pages&gt;236-7&lt;/pages&gt;&lt;number&gt;2&lt;/number&gt;&lt;contributors&gt;&lt;authors&gt;&lt;author&gt;Schroeder, V.&lt;/author&gt;&lt;author&gt;Wilmer, M.&lt;/author&gt;&lt;author&gt;Buehler, B.&lt;/author&gt;&lt;author&gt;Kohler, H. P.&lt;/author&gt;&lt;/authors&gt;&lt;/contributors&gt;&lt;edition&gt;2006/08/09&lt;/edition&gt;&lt;language&gt;Eng&lt;/language&gt;&lt;added-date format="utc"&gt;1478457315&lt;/added-date&gt;&lt;ref-type name="Journal Article"&gt;17&lt;/ref-type&gt;&lt;remote-database-provider&gt;NLM&lt;/remote-database-provider&gt;&lt;rec-number&gt;1570&lt;/rec-number&gt;&lt;last-updated-date format="utc"&gt;1478457315&lt;/last-updated-date&gt;&lt;accession-num&gt;16894472&lt;/accession-num&gt;&lt;volume&gt;96&lt;/volume&gt;&lt;/record&gt;&lt;/Cite&gt;&lt;/EndNote&gt;</w:instrText>
      </w:r>
      <w:r w:rsidRPr="00392836">
        <w:rPr>
          <w:lang w:val="en-US"/>
        </w:rPr>
        <w:fldChar w:fldCharType="separate"/>
      </w:r>
      <w:r w:rsidRPr="00392836">
        <w:rPr>
          <w:noProof/>
          <w:lang w:val="en-US"/>
        </w:rPr>
        <w:t>(Schroeder et al., 2006)</w:t>
      </w:r>
      <w:r w:rsidRPr="00392836">
        <w:rPr>
          <w:lang w:val="en-US"/>
        </w:rPr>
        <w:fldChar w:fldCharType="end"/>
      </w:r>
      <w:r w:rsidRPr="00392836">
        <w:rPr>
          <w:lang w:val="en-US"/>
        </w:rPr>
        <w:t xml:space="preserve">.   </w:t>
      </w:r>
    </w:p>
    <w:p w:rsidR="00430D62" w:rsidRDefault="00430D62" w:rsidP="002A1222">
      <w:pPr>
        <w:ind w:left="720"/>
        <w:rPr>
          <w:lang w:val="en-US"/>
        </w:rPr>
      </w:pPr>
      <w:r w:rsidRPr="00392836">
        <w:rPr>
          <w:lang w:val="en-US"/>
        </w:rPr>
        <w:t>The carboxypeptidase B2 kit consisted of R1 (activator) and R2 (start reagent). R1 was reconstituted with 4.0 ml of deionized water while R2 was reconstituted with 4.0 ml of R3 (10% ethanol, water). After reconstitution R1 and R2 were swirled gently and incubated at ambient temperature for 10 min before use.</w:t>
      </w:r>
    </w:p>
    <w:p w:rsidR="008705F4" w:rsidRDefault="008705F4" w:rsidP="008705F4">
      <w:pPr>
        <w:ind w:left="720"/>
      </w:pPr>
      <w:r>
        <w:t xml:space="preserve">A standard CPB2 curve was done to determine the activity of the standard CPB2 and the relevance of using the CPB2 substrate (Pefakit), (Meltzer et al., 2009). Different CPB2 concentrations were used </w:t>
      </w:r>
      <w:r w:rsidR="00E8700C">
        <w:t>to assay CPB2 activity (Fig 2.22</w:t>
      </w:r>
      <w:r>
        <w:t xml:space="preserve">). The graph shows an increase in Abs with concurrent percentage increase in CPB2 activity. </w:t>
      </w:r>
    </w:p>
    <w:p w:rsidR="008705F4" w:rsidRDefault="00C875EF" w:rsidP="008705F4">
      <w:pPr>
        <w:ind w:left="720"/>
        <w:rPr>
          <w:rFonts w:eastAsia="Times New Roman"/>
          <w:b/>
          <w:bCs/>
          <w:sz w:val="28"/>
          <w:szCs w:val="28"/>
        </w:rPr>
      </w:pPr>
      <w:r w:rsidRPr="00A93588">
        <w:rPr>
          <w:rFonts w:eastAsia="Times New Roman"/>
          <w:b/>
          <w:bCs/>
          <w:sz w:val="28"/>
          <w:szCs w:val="28"/>
        </w:rPr>
        <w:object w:dxaOrig="7908" w:dyaOrig="5426">
          <v:shape id="_x0000_i1036" type="#_x0000_t75" style="width:352.5pt;height:221.25pt" o:ole="">
            <v:imagedata r:id="rId67" o:title="" cropbottom="6232f"/>
          </v:shape>
          <o:OLEObject Type="Embed" ProgID="Prism6.Document" ShapeID="_x0000_i1036" DrawAspect="Content" ObjectID="_1583750206" r:id="rId68"/>
        </w:object>
      </w:r>
    </w:p>
    <w:p w:rsidR="00C875EF" w:rsidRPr="00C875EF" w:rsidRDefault="00C875EF" w:rsidP="008705F4">
      <w:pPr>
        <w:ind w:left="720"/>
        <w:rPr>
          <w:rFonts w:eastAsia="Times New Roman"/>
          <w:bCs/>
        </w:rPr>
      </w:pPr>
      <w:r>
        <w:rPr>
          <w:rFonts w:eastAsia="Times New Roman"/>
          <w:bCs/>
          <w:sz w:val="20"/>
          <w:szCs w:val="20"/>
        </w:rPr>
        <w:t xml:space="preserve">                               </w:t>
      </w:r>
      <w:r w:rsidRPr="00C875EF">
        <w:rPr>
          <w:rFonts w:eastAsia="Times New Roman"/>
          <w:bCs/>
        </w:rPr>
        <w:t>Carboxypeptidase B2 activity (%)</w:t>
      </w:r>
    </w:p>
    <w:p w:rsidR="008705F4" w:rsidRDefault="00C8270A" w:rsidP="00D20DB1">
      <w:pPr>
        <w:pStyle w:val="LegText"/>
        <w:ind w:left="720"/>
      </w:pPr>
      <w:bookmarkStart w:id="282" w:name="_Toc494733009"/>
      <w:bookmarkStart w:id="283" w:name="_Toc504640588"/>
      <w:r w:rsidRPr="00622FB9">
        <w:rPr>
          <w:rStyle w:val="SubtitleChar"/>
        </w:rPr>
        <w:t xml:space="preserve">Figure </w:t>
      </w:r>
      <w:r w:rsidR="00E8700C">
        <w:rPr>
          <w:rStyle w:val="SubtitleChar"/>
        </w:rPr>
        <w:t>2.22</w:t>
      </w:r>
      <w:r w:rsidRPr="00622FB9">
        <w:rPr>
          <w:rStyle w:val="SubtitleChar"/>
        </w:rPr>
        <w:t xml:space="preserve"> Standard calibration graph of carboxypeptidase B2</w:t>
      </w:r>
      <w:r>
        <w:rPr>
          <w:rStyle w:val="SubtitleChar"/>
        </w:rPr>
        <w:t>.</w:t>
      </w:r>
      <w:bookmarkEnd w:id="282"/>
      <w:bookmarkEnd w:id="283"/>
      <w:r>
        <w:t xml:space="preserve"> CBP2 activity was determined with the CPB2 assay kit. Each individual plot is a mean of triplicates n=3.This graph shows that with increase in CPB2 activity there is a corresponding increase in absorbance approximating a straight line.</w:t>
      </w:r>
    </w:p>
    <w:p w:rsidR="00D20DB1" w:rsidRPr="00D20DB1" w:rsidRDefault="00D20DB1" w:rsidP="00D20DB1">
      <w:pPr>
        <w:pStyle w:val="LegText"/>
        <w:ind w:left="720"/>
      </w:pPr>
    </w:p>
    <w:p w:rsidR="00430D62" w:rsidRPr="00392836" w:rsidRDefault="00430D62" w:rsidP="002A1222">
      <w:pPr>
        <w:ind w:left="720"/>
        <w:rPr>
          <w:lang w:val="en-US"/>
        </w:rPr>
      </w:pPr>
      <w:r w:rsidRPr="00392836">
        <w:rPr>
          <w:lang w:val="en-US"/>
        </w:rPr>
        <w:t>100 µl of 24-hour conditioned medium was pipetted into individual wells of a 96-well plate with 50 µl of R1 (activator) and incubated for 3 min at 37</w:t>
      </w:r>
      <w:r w:rsidRPr="00392836">
        <w:rPr>
          <w:vertAlign w:val="superscript"/>
          <w:lang w:val="en-US"/>
        </w:rPr>
        <w:t>°</w:t>
      </w:r>
      <w:r w:rsidRPr="00392836">
        <w:rPr>
          <w:lang w:val="en-US"/>
        </w:rPr>
        <w:t>C after which 50 µl of start reagent was added. The increase in absorbance was read at 1 min intervals for 10 min at 405 nm. The enzyme activity was determined from the slope of the graph i.e. the change in absorbance produced by 5-mercapto-2-nitro-benzoic acid agai</w:t>
      </w:r>
      <w:bookmarkStart w:id="284" w:name="_Toc419657269"/>
      <w:bookmarkStart w:id="285" w:name="_Toc419657341"/>
      <w:bookmarkStart w:id="286" w:name="_Toc419659346"/>
      <w:bookmarkStart w:id="287" w:name="_Toc419852041"/>
      <w:r w:rsidRPr="00392836">
        <w:rPr>
          <w:lang w:val="en-US"/>
        </w:rPr>
        <w:t>nst time.</w:t>
      </w:r>
    </w:p>
    <w:p w:rsidR="00430D62" w:rsidRPr="00392836" w:rsidRDefault="00430D62" w:rsidP="002A1222">
      <w:pPr>
        <w:pStyle w:val="Heading3"/>
        <w:ind w:firstLine="720"/>
        <w:rPr>
          <w:lang w:val="en-US"/>
        </w:rPr>
      </w:pPr>
      <w:bookmarkStart w:id="288" w:name="_Toc484448863"/>
      <w:bookmarkStart w:id="289" w:name="_Toc506232368"/>
      <w:r w:rsidRPr="00392836">
        <w:rPr>
          <w:lang w:val="en-US"/>
        </w:rPr>
        <w:t>2.</w:t>
      </w:r>
      <w:r>
        <w:rPr>
          <w:lang w:val="en-US"/>
        </w:rPr>
        <w:t>8</w:t>
      </w:r>
      <w:r w:rsidRPr="00392836">
        <w:rPr>
          <w:lang w:val="en-US"/>
        </w:rPr>
        <w:t xml:space="preserve"> Carboxypeptidase B2 inhibitor UK</w:t>
      </w:r>
      <w:r w:rsidR="00836963">
        <w:rPr>
          <w:lang w:val="en-US"/>
        </w:rPr>
        <w:t>-</w:t>
      </w:r>
      <w:r w:rsidRPr="00392836">
        <w:rPr>
          <w:lang w:val="en-US"/>
        </w:rPr>
        <w:t>396082</w:t>
      </w:r>
      <w:bookmarkEnd w:id="284"/>
      <w:bookmarkEnd w:id="285"/>
      <w:bookmarkEnd w:id="286"/>
      <w:bookmarkEnd w:id="287"/>
      <w:bookmarkEnd w:id="288"/>
      <w:bookmarkEnd w:id="289"/>
    </w:p>
    <w:p w:rsidR="008C1AC4" w:rsidRDefault="009A027C" w:rsidP="002A1222">
      <w:pPr>
        <w:ind w:left="720"/>
        <w:rPr>
          <w:lang w:val="en-US"/>
        </w:rPr>
      </w:pPr>
      <w:r>
        <w:rPr>
          <w:lang w:val="en-US"/>
        </w:rPr>
        <w:t>UK-396082 was inherited from previous researcher in our laborat</w:t>
      </w:r>
      <w:r w:rsidR="008C1AC4">
        <w:rPr>
          <w:lang w:val="en-US"/>
        </w:rPr>
        <w:t>ory</w:t>
      </w:r>
      <w:r w:rsidR="00961B44">
        <w:rPr>
          <w:lang w:val="en-US"/>
        </w:rPr>
        <w:t>. The inhibitor</w:t>
      </w:r>
      <w:r w:rsidR="008C1AC4">
        <w:rPr>
          <w:lang w:val="en-US"/>
        </w:rPr>
        <w:t xml:space="preserve"> is a hygroscopic salt with </w:t>
      </w:r>
      <w:r w:rsidR="008C1AC4" w:rsidRPr="00392836">
        <w:rPr>
          <w:lang w:val="en-US"/>
        </w:rPr>
        <w:t xml:space="preserve">MW 293.4 </w:t>
      </w:r>
      <w:r w:rsidR="008C1AC4" w:rsidRPr="00392836">
        <w:rPr>
          <w:lang w:val="en-US"/>
        </w:rPr>
        <w:fldChar w:fldCharType="begin">
          <w:fldData xml:space="preserve">PEVuZE5vdGU+PENpdGU+PEF1dGhvcj5CdW5uYWdlPC9BdXRob3I+PFllYXI+MjAwNzwvWWVhcj48
SURUZXh0PkRpc2NvdmVyeSBvZiBwb3RlbnQgJmFtcDsgc2VsZWN0aXZlIGluaGliaXRvcnMgb2Yg
YWN0aXZhdGVkIHRocm9tYmluLWFjdGl2YXRhYmxlIGZpYnJpbm9seXNpcyBpbmhpYml0b3IgZm9y
IHRoZSB0cmVhdG1lbnQgb2YgdGhyb21ib3NpczwvSURUZXh0PjxEaXNwbGF5VGV4dD4oQnVubmFn
ZSBldCBhbC4sIDIwMDcpPC9EaXNwbGF5VGV4dD48cmVjb3JkPjxkYXRlcz48cHViLWRhdGVzPjxk
YXRlPk5vdiAyOTwvZGF0ZT48L3B1Yi1kYXRlcz48eWVhcj4yMDA3PC95ZWFyPjwvZGF0ZXM+PHVy
bHM+PHJlbGF0ZWQtdXJscz48dXJsPiZsdDtHbyB0byBJU0kmZ3Q7Oi8vV09TOjAwMDI1MTE4MTkw
MDAyNjwvdXJsPjwvcmVsYXRlZC11cmxzPjwvdXJscz48aXNibj4wMDIyLTI2MjM8L2lzYm4+PHRp
dGxlcz48dGl0bGU+RGlzY292ZXJ5IG9mIHBvdGVudCAmYW1wOyBzZWxlY3RpdmUgaW5oaWJpdG9y
cyBvZiBhY3RpdmF0ZWQgdGhyb21iaW4tYWN0aXZhdGFibGUgZmlicmlub2x5c2lzIGluaGliaXRv
ciBmb3IgdGhlIHRyZWF0bWVudCBvZiB0aHJvbWJvc2lzPC90aXRsZT48c2Vjb25kYXJ5LXRpdGxl
PkpvdXJuYWwgb2YgTWVkaWNpbmFsIENoZW1pc3RyeTwvc2Vjb25kYXJ5LXRpdGxlPjwvdGl0bGVz
PjxwYWdlcz42MDk1LTYxMDM8L3BhZ2VzPjxudW1iZXI+MjQ8L251bWJlcj48Y29udHJpYnV0b3Jz
PjxhdXRob3JzPjxhdXRob3I+QnVubmFnZSwgTWFyayBFLjwvYXV0aG9yPjxhdXRob3I+QmxhZ2cs
IEp1bGlhbjwvYXV0aG9yPjxhdXRob3I+U3RlZWxlLCBKb2huPC9hdXRob3I+PGF1dGhvcj5Pd2Vu
LCBEYWZ5ZGQgUi48L2F1dGhvcj48YXV0aG9yPkFsbGVydG9uLCBDaGFybG90dGU8L2F1dGhvcj48
YXV0aG9yPk1lRWxyb3ksIEFuZHJldyBCLjwvYXV0aG9yPjxhdXRob3I+TWlsbGVyLCBEdW5jYW48
L2F1dGhvcj48YXV0aG9yPlJpbmdlciwgVHJhY3k8L2F1dGhvcj48YXV0aG9yPkJ1dGNoZXIsIEtl
bjwvYXV0aG9yPjxhdXRob3I+QmVhdW1vbnQsIEtldmluPC9hdXRob3I+PGF1dGhvcj5FdmFucywg
S2FyZW48L2F1dGhvcj48YXV0aG9yPkdyYXksIEFuZHJldyBKLjwvYXV0aG9yPjxhdXRob3I+SG9s
bGFuZCwgU3RlcGhlbiBKLjwvYXV0aG9yPjxhdXRob3I+RmVlZGVyLCBOZWlsPC9hdXRob3I+PGF1
dGhvcj5Nb29yZSwgUm9iZXJ0IFMuPC9hdXRob3I+PGF1dGhvcj5Ccm93biwgRGF2aWQgRy48L2F1
dGhvcj48L2F1dGhvcnM+PC9jb250cmlidXRvcnM+PGFkZGVkLWRhdGUgZm9ybWF0PSJ1dGMiPjE0
MDY2NDIwNjQ8L2FkZGVkLWRhdGU+PHJlZi10eXBlIG5hbWU9IkpvdXJuYWwgQXJ0aWNsZSI+MTc8
L3JlZi10eXBlPjxyZWMtbnVtYmVyPjE1NjwvcmVjLW51bWJlcj48bGFzdC11cGRhdGVkLWRhdGUg
Zm9ybWF0PSJ1dGMiPjE0MDY2NDIwNjQ8L2xhc3QtdXBkYXRlZC1kYXRlPjxhY2Nlc3Npb24tbnVt
PldPUzowMDAyNTExODE5MDAwMjY8L2FjY2Vzc2lvbi1udW0+PGVsZWN0cm9uaWMtcmVzb3VyY2Ut
bnVtPjEwLjEwMjEvam0wNzAyNDMzPC9lbGVjdHJvbmljLXJlc291cmNlLW51bT48dm9sdW1lPjUw
PC92b2x1bWU+PC9yZWNvcmQ+PC9DaXRlPjxDaXRlPjxBdXRob3I+QnVubmFnZTwvQXV0aG9yPjxZ
ZWFyPjIwMDc8L1llYXI+PElEVGV4dD5EaXNjb3Zlcnkgb2YgcG90ZW50ICZhbXA7IHNlbGVjdGl2
ZSBpbmhpYml0b3JzIG9mIGFjdGl2YXRlZCB0aHJvbWJpbi1hY3RpdmF0YWJsZSBmaWJyaW5vbHlz
aXMgaW5oaWJpdG9yIGZvciB0aGUgdHJlYXRtZW50IG9mIHRocm9tYm9zaXM8L0lEVGV4dD48cmVj
b3JkPjxkYXRlcz48cHViLWRhdGVzPjxkYXRlPk5vdiAyOTwvZGF0ZT48L3B1Yi1kYXRlcz48eWVh
cj4yMDA3PC95ZWFyPjwvZGF0ZXM+PHVybHM+PHJlbGF0ZWQtdXJscz48dXJsPiZsdDtHbyB0byBJ
U0kmZ3Q7Oi8vV09TOjAwMDI1MTE4MTkwMDAyNjwvdXJsPjwvcmVsYXRlZC11cmxzPjwvdXJscz48
aXNibj4wMDIyLTI2MjM8L2lzYm4+PHRpdGxlcz48dGl0bGU+RGlzY292ZXJ5IG9mIHBvdGVudCAm
YW1wOyBzZWxlY3RpdmUgaW5oaWJpdG9ycyBvZiBhY3RpdmF0ZWQgdGhyb21iaW4tYWN0aXZhdGFi
bGUgZmlicmlub2x5c2lzIGluaGliaXRvciBmb3IgdGhlIHRyZWF0bWVudCBvZiB0aHJvbWJvc2lz
PC90aXRsZT48c2Vjb25kYXJ5LXRpdGxlPkpvdXJuYWwgb2YgTWVkaWNpbmFsIENoZW1pc3RyeTwv
c2Vjb25kYXJ5LXRpdGxlPjwvdGl0bGVzPjxwYWdlcz42MDk1LTYxMDM8L3BhZ2VzPjxudW1iZXI+
MjQ8L251bWJlcj48Y29udHJpYnV0b3JzPjxhdXRob3JzPjxhdXRob3I+QnVubmFnZSwgTWFyayBF
LjwvYXV0aG9yPjxhdXRob3I+QmxhZ2csIEp1bGlhbjwvYXV0aG9yPjxhdXRob3I+U3RlZWxlLCBK
b2huPC9hdXRob3I+PGF1dGhvcj5Pd2VuLCBEYWZ5ZGQgUi48L2F1dGhvcj48YXV0aG9yPkFsbGVy
dG9uLCBDaGFybG90dGU8L2F1dGhvcj48YXV0aG9yPk1lRWxyb3ksIEFuZHJldyBCLjwvYXV0aG9y
PjxhdXRob3I+TWlsbGVyLCBEdW5jYW48L2F1dGhvcj48YXV0aG9yPlJpbmdlciwgVHJhY3k8L2F1
dGhvcj48YXV0aG9yPkJ1dGNoZXIsIEtlbjwvYXV0aG9yPjxhdXRob3I+QmVhdW1vbnQsIEtldmlu
PC9hdXRob3I+PGF1dGhvcj5FdmFucywgS2FyZW48L2F1dGhvcj48YXV0aG9yPkdyYXksIEFuZHJl
dyBKLjwvYXV0aG9yPjxhdXRob3I+SG9sbGFuZCwgU3RlcGhlbiBKLjwvYXV0aG9yPjxhdXRob3I+
RmVlZGVyLCBOZWlsPC9hdXRob3I+PGF1dGhvcj5Nb29yZSwgUm9iZXJ0IFMuPC9hdXRob3I+PGF1
dGhvcj5Ccm93biwgRGF2aWQgRy48L2F1dGhvcj48L2F1dGhvcnM+PC9jb250cmlidXRvcnM+PGFk
ZGVkLWRhdGUgZm9ybWF0PSJ1dGMiPjE0MDY2NDIwNjQ8L2FkZGVkLWRhdGU+PHJlZi10eXBlIG5h
bWU9IkpvdXJuYWwgQXJ0aWNsZSI+MTc8L3JlZi10eXBlPjxyZWMtbnVtYmVyPjE1NjwvcmVjLW51
bWJlcj48bGFzdC11cGRhdGVkLWRhdGUgZm9ybWF0PSJ1dGMiPjE0MDY2NDIwNjQ8L2xhc3QtdXBk
YXRlZC1kYXRlPjxhY2Nlc3Npb24tbnVtPldPUzowMDAyNTExODE5MDAwMjY8L2FjY2Vzc2lvbi1u
dW0+PGVsZWN0cm9uaWMtcmVzb3VyY2UtbnVtPjEwLjEwMjEvam0wNzAyNDMzPC9lbGVjdHJvbmlj
LXJlc291cmNlLW51bT48dm9sdW1lPjUwPC92b2x1bWU+PC9yZWNvcmQ+PC9DaXRlPjwvRW5kTm90
ZT5=
</w:fldData>
        </w:fldChar>
      </w:r>
      <w:r w:rsidR="008C1AC4" w:rsidRPr="00392836">
        <w:rPr>
          <w:lang w:val="en-US"/>
        </w:rPr>
        <w:instrText xml:space="preserve"> ADDIN EN.CITE </w:instrText>
      </w:r>
      <w:r w:rsidR="008C1AC4" w:rsidRPr="00392836">
        <w:rPr>
          <w:lang w:val="en-US"/>
        </w:rPr>
        <w:fldChar w:fldCharType="begin">
          <w:fldData xml:space="preserve">PEVuZE5vdGU+PENpdGU+PEF1dGhvcj5CdW5uYWdlPC9BdXRob3I+PFllYXI+MjAwNzwvWWVhcj48
SURUZXh0PkRpc2NvdmVyeSBvZiBwb3RlbnQgJmFtcDsgc2VsZWN0aXZlIGluaGliaXRvcnMgb2Yg
YWN0aXZhdGVkIHRocm9tYmluLWFjdGl2YXRhYmxlIGZpYnJpbm9seXNpcyBpbmhpYml0b3IgZm9y
IHRoZSB0cmVhdG1lbnQgb2YgdGhyb21ib3NpczwvSURUZXh0PjxEaXNwbGF5VGV4dD4oQnVubmFn
ZSBldCBhbC4sIDIwMDcpPC9EaXNwbGF5VGV4dD48cmVjb3JkPjxkYXRlcz48cHViLWRhdGVzPjxk
YXRlPk5vdiAyOTwvZGF0ZT48L3B1Yi1kYXRlcz48eWVhcj4yMDA3PC95ZWFyPjwvZGF0ZXM+PHVy
bHM+PHJlbGF0ZWQtdXJscz48dXJsPiZsdDtHbyB0byBJU0kmZ3Q7Oi8vV09TOjAwMDI1MTE4MTkw
MDAyNjwvdXJsPjwvcmVsYXRlZC11cmxzPjwvdXJscz48aXNibj4wMDIyLTI2MjM8L2lzYm4+PHRp
dGxlcz48dGl0bGU+RGlzY292ZXJ5IG9mIHBvdGVudCAmYW1wOyBzZWxlY3RpdmUgaW5oaWJpdG9y
cyBvZiBhY3RpdmF0ZWQgdGhyb21iaW4tYWN0aXZhdGFibGUgZmlicmlub2x5c2lzIGluaGliaXRv
ciBmb3IgdGhlIHRyZWF0bWVudCBvZiB0aHJvbWJvc2lzPC90aXRsZT48c2Vjb25kYXJ5LXRpdGxl
PkpvdXJuYWwgb2YgTWVkaWNpbmFsIENoZW1pc3RyeTwvc2Vjb25kYXJ5LXRpdGxlPjwvdGl0bGVz
PjxwYWdlcz42MDk1LTYxMDM8L3BhZ2VzPjxudW1iZXI+MjQ8L251bWJlcj48Y29udHJpYnV0b3Jz
PjxhdXRob3JzPjxhdXRob3I+QnVubmFnZSwgTWFyayBFLjwvYXV0aG9yPjxhdXRob3I+QmxhZ2cs
IEp1bGlhbjwvYXV0aG9yPjxhdXRob3I+U3RlZWxlLCBKb2huPC9hdXRob3I+PGF1dGhvcj5Pd2Vu
LCBEYWZ5ZGQgUi48L2F1dGhvcj48YXV0aG9yPkFsbGVydG9uLCBDaGFybG90dGU8L2F1dGhvcj48
YXV0aG9yPk1lRWxyb3ksIEFuZHJldyBCLjwvYXV0aG9yPjxhdXRob3I+TWlsbGVyLCBEdW5jYW48
L2F1dGhvcj48YXV0aG9yPlJpbmdlciwgVHJhY3k8L2F1dGhvcj48YXV0aG9yPkJ1dGNoZXIsIEtl
bjwvYXV0aG9yPjxhdXRob3I+QmVhdW1vbnQsIEtldmluPC9hdXRob3I+PGF1dGhvcj5FdmFucywg
S2FyZW48L2F1dGhvcj48YXV0aG9yPkdyYXksIEFuZHJldyBKLjwvYXV0aG9yPjxhdXRob3I+SG9s
bGFuZCwgU3RlcGhlbiBKLjwvYXV0aG9yPjxhdXRob3I+RmVlZGVyLCBOZWlsPC9hdXRob3I+PGF1
dGhvcj5Nb29yZSwgUm9iZXJ0IFMuPC9hdXRob3I+PGF1dGhvcj5Ccm93biwgRGF2aWQgRy48L2F1
dGhvcj48L2F1dGhvcnM+PC9jb250cmlidXRvcnM+PGFkZGVkLWRhdGUgZm9ybWF0PSJ1dGMiPjE0
MDY2NDIwNjQ8L2FkZGVkLWRhdGU+PHJlZi10eXBlIG5hbWU9IkpvdXJuYWwgQXJ0aWNsZSI+MTc8
L3JlZi10eXBlPjxyZWMtbnVtYmVyPjE1NjwvcmVjLW51bWJlcj48bGFzdC11cGRhdGVkLWRhdGUg
Zm9ybWF0PSJ1dGMiPjE0MDY2NDIwNjQ8L2xhc3QtdXBkYXRlZC1kYXRlPjxhY2Nlc3Npb24tbnVt
PldPUzowMDAyNTExODE5MDAwMjY8L2FjY2Vzc2lvbi1udW0+PGVsZWN0cm9uaWMtcmVzb3VyY2Ut
bnVtPjEwLjEwMjEvam0wNzAyNDMzPC9lbGVjdHJvbmljLXJlc291cmNlLW51bT48dm9sdW1lPjUw
PC92b2x1bWU+PC9yZWNvcmQ+PC9DaXRlPjxDaXRlPjxBdXRob3I+QnVubmFnZTwvQXV0aG9yPjxZ
ZWFyPjIwMDc8L1llYXI+PElEVGV4dD5EaXNjb3Zlcnkgb2YgcG90ZW50ICZhbXA7IHNlbGVjdGl2
ZSBpbmhpYml0b3JzIG9mIGFjdGl2YXRlZCB0aHJvbWJpbi1hY3RpdmF0YWJsZSBmaWJyaW5vbHlz
aXMgaW5oaWJpdG9yIGZvciB0aGUgdHJlYXRtZW50IG9mIHRocm9tYm9zaXM8L0lEVGV4dD48cmVj
b3JkPjxkYXRlcz48cHViLWRhdGVzPjxkYXRlPk5vdiAyOTwvZGF0ZT48L3B1Yi1kYXRlcz48eWVh
cj4yMDA3PC95ZWFyPjwvZGF0ZXM+PHVybHM+PHJlbGF0ZWQtdXJscz48dXJsPiZsdDtHbyB0byBJ
U0kmZ3Q7Oi8vV09TOjAwMDI1MTE4MTkwMDAyNjwvdXJsPjwvcmVsYXRlZC11cmxzPjwvdXJscz48
aXNibj4wMDIyLTI2MjM8L2lzYm4+PHRpdGxlcz48dGl0bGU+RGlzY292ZXJ5IG9mIHBvdGVudCAm
YW1wOyBzZWxlY3RpdmUgaW5oaWJpdG9ycyBvZiBhY3RpdmF0ZWQgdGhyb21iaW4tYWN0aXZhdGFi
bGUgZmlicmlub2x5c2lzIGluaGliaXRvciBmb3IgdGhlIHRyZWF0bWVudCBvZiB0aHJvbWJvc2lz
PC90aXRsZT48c2Vjb25kYXJ5LXRpdGxlPkpvdXJuYWwgb2YgTWVkaWNpbmFsIENoZW1pc3RyeTwv
c2Vjb25kYXJ5LXRpdGxlPjwvdGl0bGVzPjxwYWdlcz42MDk1LTYxMDM8L3BhZ2VzPjxudW1iZXI+
MjQ8L251bWJlcj48Y29udHJpYnV0b3JzPjxhdXRob3JzPjxhdXRob3I+QnVubmFnZSwgTWFyayBF
LjwvYXV0aG9yPjxhdXRob3I+QmxhZ2csIEp1bGlhbjwvYXV0aG9yPjxhdXRob3I+U3RlZWxlLCBK
b2huPC9hdXRob3I+PGF1dGhvcj5Pd2VuLCBEYWZ5ZGQgUi48L2F1dGhvcj48YXV0aG9yPkFsbGVy
dG9uLCBDaGFybG90dGU8L2F1dGhvcj48YXV0aG9yPk1lRWxyb3ksIEFuZHJldyBCLjwvYXV0aG9y
PjxhdXRob3I+TWlsbGVyLCBEdW5jYW48L2F1dGhvcj48YXV0aG9yPlJpbmdlciwgVHJhY3k8L2F1
dGhvcj48YXV0aG9yPkJ1dGNoZXIsIEtlbjwvYXV0aG9yPjxhdXRob3I+QmVhdW1vbnQsIEtldmlu
PC9hdXRob3I+PGF1dGhvcj5FdmFucywgS2FyZW48L2F1dGhvcj48YXV0aG9yPkdyYXksIEFuZHJl
dyBKLjwvYXV0aG9yPjxhdXRob3I+SG9sbGFuZCwgU3RlcGhlbiBKLjwvYXV0aG9yPjxhdXRob3I+
RmVlZGVyLCBOZWlsPC9hdXRob3I+PGF1dGhvcj5Nb29yZSwgUm9iZXJ0IFMuPC9hdXRob3I+PGF1
dGhvcj5Ccm93biwgRGF2aWQgRy48L2F1dGhvcj48L2F1dGhvcnM+PC9jb250cmlidXRvcnM+PGFk
ZGVkLWRhdGUgZm9ybWF0PSJ1dGMiPjE0MDY2NDIwNjQ8L2FkZGVkLWRhdGU+PHJlZi10eXBlIG5h
bWU9IkpvdXJuYWwgQXJ0aWNsZSI+MTc8L3JlZi10eXBlPjxyZWMtbnVtYmVyPjE1NjwvcmVjLW51
bWJlcj48bGFzdC11cGRhdGVkLWRhdGUgZm9ybWF0PSJ1dGMiPjE0MDY2NDIwNjQ8L2xhc3QtdXBk
YXRlZC1kYXRlPjxhY2Nlc3Npb24tbnVtPldPUzowMDAyNTExODE5MDAwMjY8L2FjY2Vzc2lvbi1u
dW0+PGVsZWN0cm9uaWMtcmVzb3VyY2UtbnVtPjEwLjEwMjEvam0wNzAyNDMzPC9lbGVjdHJvbmlj
LXJlc291cmNlLW51bT48dm9sdW1lPjUwPC92b2x1bWU+PC9yZWNvcmQ+PC9DaXRlPjwvRW5kTm90
ZT5=
</w:fldData>
        </w:fldChar>
      </w:r>
      <w:r w:rsidR="008C1AC4" w:rsidRPr="00392836">
        <w:rPr>
          <w:lang w:val="en-US"/>
        </w:rPr>
        <w:instrText xml:space="preserve"> ADDIN EN.CITE.DATA </w:instrText>
      </w:r>
      <w:r w:rsidR="008C1AC4" w:rsidRPr="00392836">
        <w:rPr>
          <w:lang w:val="en-US"/>
        </w:rPr>
      </w:r>
      <w:r w:rsidR="008C1AC4" w:rsidRPr="00392836">
        <w:rPr>
          <w:lang w:val="en-US"/>
        </w:rPr>
        <w:fldChar w:fldCharType="end"/>
      </w:r>
      <w:r w:rsidR="008C1AC4" w:rsidRPr="00392836">
        <w:rPr>
          <w:lang w:val="en-US"/>
        </w:rPr>
      </w:r>
      <w:r w:rsidR="008C1AC4" w:rsidRPr="00392836">
        <w:rPr>
          <w:lang w:val="en-US"/>
        </w:rPr>
        <w:fldChar w:fldCharType="separate"/>
      </w:r>
      <w:r w:rsidR="008C1AC4" w:rsidRPr="00392836">
        <w:rPr>
          <w:noProof/>
          <w:lang w:val="en-US"/>
        </w:rPr>
        <w:t>(Bunnage et al., 2007)</w:t>
      </w:r>
      <w:r w:rsidR="008C1AC4" w:rsidRPr="00392836">
        <w:rPr>
          <w:lang w:val="en-US"/>
        </w:rPr>
        <w:fldChar w:fldCharType="end"/>
      </w:r>
      <w:r w:rsidR="008C1AC4">
        <w:rPr>
          <w:lang w:val="en-US"/>
        </w:rPr>
        <w:t xml:space="preserve">. Therefore, there </w:t>
      </w:r>
      <w:r>
        <w:rPr>
          <w:lang w:val="en-US"/>
        </w:rPr>
        <w:t xml:space="preserve">was a need to </w:t>
      </w:r>
      <w:r w:rsidR="008C1AC4">
        <w:rPr>
          <w:lang w:val="en-US"/>
        </w:rPr>
        <w:t xml:space="preserve">optimize and arrive at the best concentration that will inhibit CBP2. </w:t>
      </w:r>
      <w:r w:rsidR="00961B44">
        <w:rPr>
          <w:lang w:val="en-US"/>
        </w:rPr>
        <w:t>92</w:t>
      </w:r>
      <w:r w:rsidR="00DD1023">
        <w:rPr>
          <w:lang w:val="en-US"/>
        </w:rPr>
        <w:t xml:space="preserve"> </w:t>
      </w:r>
      <w:r w:rsidR="00937E0C">
        <w:rPr>
          <w:lang w:val="en-US"/>
        </w:rPr>
        <w:t>% pure CPB2 was prepared according to manufacturer’s instruction (</w:t>
      </w:r>
      <w:r w:rsidR="003D2CAF">
        <w:rPr>
          <w:lang w:val="en-US"/>
        </w:rPr>
        <w:t xml:space="preserve">Pentapharm). </w:t>
      </w:r>
      <w:r w:rsidR="003D2CAF">
        <w:t xml:space="preserve">1 </w:t>
      </w:r>
      <w:r w:rsidR="003D2CAF">
        <w:rPr>
          <w:rFonts w:cs="Arial"/>
        </w:rPr>
        <w:t>µ</w:t>
      </w:r>
      <w:r w:rsidR="003D2CAF">
        <w:t>M gave 100% inhibit</w:t>
      </w:r>
      <w:r w:rsidR="00961B44">
        <w:t>ion of 92</w:t>
      </w:r>
      <w:r w:rsidR="00DD1023">
        <w:t xml:space="preserve"> </w:t>
      </w:r>
      <w:r w:rsidR="003D2CAF">
        <w:t>%</w:t>
      </w:r>
      <w:r w:rsidR="00E8700C">
        <w:t xml:space="preserve"> pure recombinant CPB2 (Fig 2.23</w:t>
      </w:r>
      <w:r w:rsidR="003D2CAF">
        <w:t>).</w:t>
      </w:r>
    </w:p>
    <w:p w:rsidR="008C1AC4" w:rsidRDefault="008C1AC4" w:rsidP="003D2CAF">
      <w:pPr>
        <w:pStyle w:val="LegText"/>
        <w:ind w:left="720"/>
      </w:pPr>
      <w:r>
        <w:object w:dxaOrig="9154" w:dyaOrig="5191">
          <v:shape id="_x0000_i1037" type="#_x0000_t75" style="width:409.5pt;height:232.5pt" o:ole="">
            <v:imagedata r:id="rId69" o:title=""/>
          </v:shape>
          <o:OLEObject Type="Embed" ProgID="Prism7.Document" ShapeID="_x0000_i1037" DrawAspect="Content" ObjectID="_1583750207" r:id="rId70"/>
        </w:object>
      </w:r>
      <w:r w:rsidRPr="008C1AC4">
        <w:rPr>
          <w:rStyle w:val="SubtitleChar"/>
          <w:rFonts w:eastAsiaTheme="minorHAnsi"/>
        </w:rPr>
        <w:t xml:space="preserve"> </w:t>
      </w:r>
      <w:r w:rsidR="00E8700C">
        <w:rPr>
          <w:rStyle w:val="SubtitleChar"/>
          <w:rFonts w:eastAsiaTheme="minorHAnsi"/>
        </w:rPr>
        <w:t>Figure 2.23</w:t>
      </w:r>
      <w:r>
        <w:rPr>
          <w:rStyle w:val="SubtitleChar"/>
          <w:rFonts w:eastAsiaTheme="minorHAnsi"/>
        </w:rPr>
        <w:t xml:space="preserve"> Recombinant CPB2 with different concentration </w:t>
      </w:r>
      <w:r w:rsidR="00937E0C">
        <w:rPr>
          <w:rStyle w:val="SubtitleChar"/>
          <w:rFonts w:eastAsiaTheme="minorHAnsi"/>
        </w:rPr>
        <w:t>of UK-3960882</w:t>
      </w:r>
      <w:r w:rsidR="003D2CAF">
        <w:rPr>
          <w:rStyle w:val="SubtitleChar"/>
          <w:rFonts w:eastAsiaTheme="minorHAnsi"/>
        </w:rPr>
        <w:t xml:space="preserve">. </w:t>
      </w:r>
      <w:r w:rsidR="003D2CAF" w:rsidRPr="002C65DD">
        <w:t xml:space="preserve">Points are means of triplicate readings of </w:t>
      </w:r>
      <w:r w:rsidR="003D2CAF">
        <w:t>the</w:t>
      </w:r>
      <w:r w:rsidR="003D2CAF" w:rsidRPr="002C65DD">
        <w:t xml:space="preserve"> reaction</w:t>
      </w:r>
      <w:r w:rsidR="003D2CAF">
        <w:t>s</w:t>
      </w:r>
      <w:r w:rsidR="003D2CAF" w:rsidRPr="002C65DD">
        <w:t xml:space="preserve"> between</w:t>
      </w:r>
      <w:r w:rsidR="003D2CAF">
        <w:t xml:space="preserve"> pure recombinant CPB2 and o, 250 nM 500 nM and 1 </w:t>
      </w:r>
      <w:r w:rsidR="003D2CAF">
        <w:rPr>
          <w:rFonts w:cs="Arial"/>
        </w:rPr>
        <w:t>µ</w:t>
      </w:r>
      <w:r w:rsidR="003D2CAF">
        <w:t>M.</w:t>
      </w:r>
    </w:p>
    <w:p w:rsidR="003D2CAF" w:rsidRDefault="003D2CAF" w:rsidP="003D2CAF">
      <w:pPr>
        <w:pStyle w:val="LegText"/>
        <w:ind w:left="720"/>
        <w:rPr>
          <w:lang w:val="en-US"/>
        </w:rPr>
      </w:pPr>
    </w:p>
    <w:p w:rsidR="00430D62" w:rsidRDefault="002E2A88" w:rsidP="002A1222">
      <w:pPr>
        <w:ind w:left="720"/>
        <w:rPr>
          <w:lang w:val="en-US"/>
        </w:rPr>
      </w:pPr>
      <w:r w:rsidRPr="00392836">
        <w:rPr>
          <w:lang w:val="en-US"/>
        </w:rPr>
        <w:t>1 µM</w:t>
      </w:r>
      <w:r w:rsidR="00430D62" w:rsidRPr="00392836">
        <w:rPr>
          <w:lang w:val="en-US"/>
        </w:rPr>
        <w:t xml:space="preserve"> of UK</w:t>
      </w:r>
      <w:r w:rsidR="0070001D">
        <w:rPr>
          <w:lang w:val="en-US"/>
        </w:rPr>
        <w:t>-</w:t>
      </w:r>
      <w:r w:rsidR="00430D62" w:rsidRPr="00392836">
        <w:rPr>
          <w:lang w:val="en-US"/>
        </w:rPr>
        <w:t xml:space="preserve">396082 was arrived at as the optimal dose for </w:t>
      </w:r>
      <w:r w:rsidR="00430D62" w:rsidRPr="00392836">
        <w:rPr>
          <w:i/>
          <w:lang w:val="en-US"/>
        </w:rPr>
        <w:t>in vitro</w:t>
      </w:r>
      <w:r w:rsidR="00430D62" w:rsidRPr="00392836">
        <w:rPr>
          <w:lang w:val="en-US"/>
        </w:rPr>
        <w:t xml:space="preserve"> study following optimization. A stock solution of 50</w:t>
      </w:r>
      <w:r w:rsidR="00490D82">
        <w:rPr>
          <w:lang w:val="en-US"/>
        </w:rPr>
        <w:t xml:space="preserve">0 µM was made by dissolving </w:t>
      </w:r>
      <w:r w:rsidR="00430D62" w:rsidRPr="00392836">
        <w:rPr>
          <w:lang w:val="en-US"/>
        </w:rPr>
        <w:t>2</w:t>
      </w:r>
      <w:r w:rsidR="00490D82">
        <w:rPr>
          <w:lang w:val="en-US"/>
        </w:rPr>
        <w:t>.</w:t>
      </w:r>
      <w:r w:rsidR="00430D62" w:rsidRPr="00392836">
        <w:rPr>
          <w:lang w:val="en-US"/>
        </w:rPr>
        <w:t>9</w:t>
      </w:r>
      <w:r w:rsidR="00490D82">
        <w:rPr>
          <w:lang w:val="en-US"/>
        </w:rPr>
        <w:t>3 m</w:t>
      </w:r>
      <w:r w:rsidR="008C1AC4">
        <w:rPr>
          <w:lang w:val="en-US"/>
        </w:rPr>
        <w:t>g of UK-</w:t>
      </w:r>
      <w:r w:rsidR="0063782A">
        <w:rPr>
          <w:lang w:val="en-US"/>
        </w:rPr>
        <w:t>396082 in 20 ml</w:t>
      </w:r>
      <w:r w:rsidR="00430D62" w:rsidRPr="00392836">
        <w:rPr>
          <w:lang w:val="en-US"/>
        </w:rPr>
        <w:t xml:space="preserve"> of phenol-red free/serum-free med</w:t>
      </w:r>
      <w:r>
        <w:rPr>
          <w:lang w:val="en-US"/>
        </w:rPr>
        <w:t>ia and diluted to 1 µM</w:t>
      </w:r>
      <w:r w:rsidR="00430D62" w:rsidRPr="00392836">
        <w:rPr>
          <w:lang w:val="en-US"/>
        </w:rPr>
        <w:t xml:space="preserve"> when needed.</w:t>
      </w:r>
      <w:bookmarkStart w:id="290" w:name="_Toc419657278"/>
      <w:bookmarkStart w:id="291" w:name="_Toc419657350"/>
      <w:bookmarkStart w:id="292" w:name="_Toc419659355"/>
      <w:bookmarkStart w:id="293" w:name="_Toc419852050"/>
    </w:p>
    <w:p w:rsidR="00430D62" w:rsidRPr="00392836" w:rsidRDefault="00430D62" w:rsidP="002A1222">
      <w:pPr>
        <w:pStyle w:val="Heading3"/>
        <w:ind w:firstLine="720"/>
        <w:rPr>
          <w:lang w:val="en-US"/>
        </w:rPr>
      </w:pPr>
      <w:bookmarkStart w:id="294" w:name="_Toc419657276"/>
      <w:bookmarkStart w:id="295" w:name="_Toc419657348"/>
      <w:bookmarkStart w:id="296" w:name="_Toc419659353"/>
      <w:bookmarkStart w:id="297" w:name="_Toc419852048"/>
      <w:bookmarkStart w:id="298" w:name="_Toc484448864"/>
      <w:bookmarkStart w:id="299" w:name="_Toc506232369"/>
      <w:bookmarkEnd w:id="290"/>
      <w:bookmarkEnd w:id="291"/>
      <w:bookmarkEnd w:id="292"/>
      <w:bookmarkEnd w:id="293"/>
      <w:r w:rsidRPr="00392836">
        <w:rPr>
          <w:lang w:val="en-US"/>
        </w:rPr>
        <w:t>2.</w:t>
      </w:r>
      <w:r>
        <w:rPr>
          <w:lang w:val="en-US"/>
        </w:rPr>
        <w:t>9</w:t>
      </w:r>
      <w:r w:rsidRPr="00392836">
        <w:rPr>
          <w:lang w:val="en-US"/>
        </w:rPr>
        <w:t xml:space="preserve"> Home office certification</w:t>
      </w:r>
      <w:bookmarkEnd w:id="294"/>
      <w:bookmarkEnd w:id="295"/>
      <w:bookmarkEnd w:id="296"/>
      <w:bookmarkEnd w:id="297"/>
      <w:bookmarkEnd w:id="298"/>
      <w:bookmarkEnd w:id="299"/>
    </w:p>
    <w:p w:rsidR="00430D62" w:rsidRDefault="00430D62" w:rsidP="002A1222">
      <w:pPr>
        <w:ind w:left="720"/>
        <w:rPr>
          <w:lang w:val="en-US"/>
        </w:rPr>
      </w:pPr>
      <w:r w:rsidRPr="00392836">
        <w:rPr>
          <w:lang w:val="en-US"/>
        </w:rPr>
        <w:t>Home office courses 1-4 on animal experiments had been att</w:t>
      </w:r>
      <w:r w:rsidR="001A1106">
        <w:rPr>
          <w:lang w:val="en-US"/>
        </w:rPr>
        <w:t>ended and passed</w:t>
      </w:r>
      <w:r w:rsidRPr="00392836">
        <w:rPr>
          <w:lang w:val="en-US"/>
        </w:rPr>
        <w:t xml:space="preserve">. An intensive course of four modules was undertaken at the biological services of both University of Sheffield and University of Cambridge in order to obtain the personal license. Topics covered were, Ethics and </w:t>
      </w:r>
      <w:r w:rsidR="00490D82">
        <w:rPr>
          <w:lang w:val="en-US"/>
        </w:rPr>
        <w:t>public perceptions, Health and s</w:t>
      </w:r>
      <w:r w:rsidRPr="00392836">
        <w:rPr>
          <w:lang w:val="en-US"/>
        </w:rPr>
        <w:t>afety in the animal unit, Health status and</w:t>
      </w:r>
      <w:r w:rsidR="00490D82">
        <w:rPr>
          <w:lang w:val="en-US"/>
        </w:rPr>
        <w:t xml:space="preserve"> its impact on studies, Humane k</w:t>
      </w:r>
      <w:r w:rsidRPr="00392836">
        <w:rPr>
          <w:lang w:val="en-US"/>
        </w:rPr>
        <w:t xml:space="preserve">illing, Correct handling - practical session, Assessment of pain, suffering and distress, Introduction to anesthesia (practical session), Common technical procedures and </w:t>
      </w:r>
      <w:r>
        <w:rPr>
          <w:lang w:val="en-US"/>
        </w:rPr>
        <w:t>animal h</w:t>
      </w:r>
      <w:r w:rsidR="00DA3299">
        <w:rPr>
          <w:lang w:val="en-US"/>
        </w:rPr>
        <w:t xml:space="preserve">usbandry. </w:t>
      </w:r>
      <w:r w:rsidRPr="00392836">
        <w:rPr>
          <w:lang w:val="en-US"/>
        </w:rPr>
        <w:t>Personal project license (IS1D9633B) was obtained</w:t>
      </w:r>
      <w:r w:rsidR="001A1106">
        <w:rPr>
          <w:lang w:val="en-US"/>
        </w:rPr>
        <w:t xml:space="preserve"> (Appendix 1)</w:t>
      </w:r>
      <w:r w:rsidRPr="00392836">
        <w:rPr>
          <w:lang w:val="en-US"/>
        </w:rPr>
        <w:t xml:space="preserve"> and individual study plan (ISP) designed.</w:t>
      </w:r>
    </w:p>
    <w:p w:rsidR="004A3652" w:rsidRPr="00F12B48" w:rsidRDefault="004A3652" w:rsidP="004A3652">
      <w:pPr>
        <w:pStyle w:val="Heading3"/>
        <w:ind w:firstLine="720"/>
        <w:rPr>
          <w:lang w:val="en-US"/>
        </w:rPr>
      </w:pPr>
      <w:bookmarkStart w:id="300" w:name="_Toc506232370"/>
      <w:r w:rsidRPr="00F12B48">
        <w:rPr>
          <w:lang w:val="en-US"/>
        </w:rPr>
        <w:lastRenderedPageBreak/>
        <w:t>2.10 Statistics</w:t>
      </w:r>
      <w:bookmarkEnd w:id="300"/>
      <w:r w:rsidRPr="00F12B48">
        <w:rPr>
          <w:lang w:val="en-US"/>
        </w:rPr>
        <w:t xml:space="preserve"> </w:t>
      </w:r>
      <w:bookmarkStart w:id="301" w:name="_GoBack"/>
      <w:bookmarkEnd w:id="301"/>
    </w:p>
    <w:p w:rsidR="009A7933" w:rsidRDefault="004A3652" w:rsidP="004A3652">
      <w:pPr>
        <w:ind w:left="720"/>
      </w:pPr>
      <w:r w:rsidRPr="00F12B48">
        <w:t xml:space="preserve">The </w:t>
      </w:r>
      <w:r w:rsidRPr="00F12B48">
        <w:rPr>
          <w:bCs/>
        </w:rPr>
        <w:t>two</w:t>
      </w:r>
      <w:r w:rsidRPr="00F12B48">
        <w:t>-</w:t>
      </w:r>
      <w:r w:rsidRPr="00F12B48">
        <w:rPr>
          <w:bCs/>
        </w:rPr>
        <w:t>way ANOVA</w:t>
      </w:r>
      <w:r w:rsidRPr="00F12B48">
        <w:t xml:space="preserve"> with Tukey's multiple comparisons test was used for the analysis. The two-way ANOVA has the advantage of comparing the mean differences between the three groups with our</w:t>
      </w:r>
      <w:r w:rsidR="00EF0316" w:rsidRPr="00F12B48">
        <w:t xml:space="preserve"> independent variables. This enabled us to investigate </w:t>
      </w:r>
      <w:r w:rsidRPr="00F12B48">
        <w:t>if ther</w:t>
      </w:r>
      <w:r w:rsidR="00EF0316" w:rsidRPr="00F12B48">
        <w:t>e was any interaction between the</w:t>
      </w:r>
      <w:r w:rsidRPr="00F12B48">
        <w:t xml:space="preserve"> independent variables on the dependent variable.</w:t>
      </w:r>
      <w:r w:rsidR="009A7933">
        <w:br w:type="page"/>
      </w:r>
    </w:p>
    <w:p w:rsidR="009A7933" w:rsidRPr="00DD6972" w:rsidRDefault="009A7933" w:rsidP="009A7933">
      <w:pPr>
        <w:pStyle w:val="Title1"/>
        <w:jc w:val="left"/>
        <w:rPr>
          <w:rFonts w:ascii="Arial" w:eastAsia="Calibri" w:hAnsi="Arial" w:cs="Arial"/>
          <w:lang w:val="en-US"/>
        </w:rPr>
      </w:pPr>
      <w:r w:rsidRPr="00DD6972">
        <w:rPr>
          <w:rFonts w:ascii="Arial" w:eastAsia="Calibri" w:hAnsi="Arial" w:cs="Arial"/>
          <w:b/>
          <w:lang w:val="en-US"/>
        </w:rPr>
        <w:lastRenderedPageBreak/>
        <w:t>Chapter Three</w:t>
      </w:r>
      <w:r w:rsidRPr="00DD6972">
        <w:rPr>
          <w:rFonts w:ascii="Arial" w:eastAsia="Calibri" w:hAnsi="Arial" w:cs="Arial"/>
          <w:lang w:val="en-US"/>
        </w:rPr>
        <w:br/>
        <w:t>Results</w:t>
      </w:r>
      <w:r w:rsidR="00440791" w:rsidRPr="00DD6972">
        <w:rPr>
          <w:rFonts w:ascii="Arial" w:eastAsia="Calibri" w:hAnsi="Arial" w:cs="Arial"/>
          <w:lang w:val="en-US"/>
        </w:rPr>
        <w:t xml:space="preserve">: The role of UK-396082 in an </w:t>
      </w:r>
      <w:r w:rsidR="00440791" w:rsidRPr="00DD6972">
        <w:rPr>
          <w:rFonts w:ascii="Arial" w:eastAsia="Calibri" w:hAnsi="Arial" w:cs="Arial"/>
          <w:i/>
          <w:lang w:val="en-US"/>
        </w:rPr>
        <w:t xml:space="preserve">in vivo </w:t>
      </w:r>
      <w:r w:rsidR="00440791" w:rsidRPr="00DD6972">
        <w:rPr>
          <w:rFonts w:ascii="Arial" w:eastAsia="Calibri" w:hAnsi="Arial" w:cs="Arial"/>
          <w:lang w:val="en-US"/>
        </w:rPr>
        <w:t>model of diabetic nephropathy</w:t>
      </w:r>
    </w:p>
    <w:p w:rsidR="007D2C24" w:rsidRDefault="007D2C24" w:rsidP="00430D62">
      <w:pPr>
        <w:pStyle w:val="Heading1"/>
        <w:jc w:val="left"/>
        <w:rPr>
          <w:rFonts w:cs="Arial"/>
        </w:rPr>
      </w:pPr>
    </w:p>
    <w:p w:rsidR="009A7933" w:rsidRDefault="009A7933" w:rsidP="009A7933"/>
    <w:p w:rsidR="009A7933" w:rsidRDefault="009A7933" w:rsidP="009A7933">
      <w:r>
        <w:br w:type="page"/>
      </w:r>
    </w:p>
    <w:p w:rsidR="009A7933" w:rsidRPr="00226FA5" w:rsidRDefault="009A7933" w:rsidP="00BF6D15">
      <w:pPr>
        <w:pStyle w:val="Heading3"/>
        <w:ind w:firstLine="720"/>
      </w:pPr>
      <w:bookmarkStart w:id="302" w:name="_Toc506232371"/>
      <w:r w:rsidRPr="00226FA5">
        <w:lastRenderedPageBreak/>
        <w:t>3.0 I</w:t>
      </w:r>
      <w:r w:rsidR="00B97787">
        <w:t>ntroduction</w:t>
      </w:r>
      <w:bookmarkEnd w:id="302"/>
    </w:p>
    <w:p w:rsidR="009A7933" w:rsidRDefault="009A7933" w:rsidP="00BF6D15">
      <w:pPr>
        <w:ind w:left="720"/>
      </w:pPr>
      <w:r>
        <w:t xml:space="preserve">Diabetic nephropathy </w:t>
      </w:r>
      <w:r w:rsidR="0063782A">
        <w:t xml:space="preserve">(DN) </w:t>
      </w:r>
      <w:r>
        <w:t>is one of the complications of diabetes and diabetes has been estimated to affect over 250 million people worldwide with the figure still on the increase (Shaw et al., 2010). It is a progressive kidney disease with loss of renal function due to capillary and basement membrane changes within the glomeruli. However renal tubules have also been implicated in the path</w:t>
      </w:r>
      <w:r w:rsidR="007E5063">
        <w:t>ogenesis of DN</w:t>
      </w:r>
      <w:r>
        <w:t xml:space="preserve"> (Magri and F</w:t>
      </w:r>
      <w:r w:rsidR="007E5063">
        <w:t>ava, 2009). DN</w:t>
      </w:r>
      <w:r>
        <w:t xml:space="preserve"> remains a leading cause of mortality and morbidity among diabetic patients (Gonzalez-Carrillo et al., 1982) and the single most common cause of end-stage renal disease (Schlatzer et al., 2009). As a chronic illness, it is silent for a long time before a clinical diagnosis is made. The long chronicity results in build-up of many complications. However, early diagnosis and treatment could significantly delay the establishment of complications. Unlike diabetes screening the diagnosis and development of early markers of</w:t>
      </w:r>
      <w:r w:rsidR="007E5063">
        <w:t xml:space="preserve"> DN</w:t>
      </w:r>
      <w:r>
        <w:t xml:space="preserve"> remains inadequate. Towards developing highly specific and sensitive early</w:t>
      </w:r>
      <w:r w:rsidR="007E5063">
        <w:t xml:space="preserve"> markers of DN</w:t>
      </w:r>
      <w:r>
        <w:t xml:space="preserve"> and new therapeutic interventions a reproducible animal model is a necessity.</w:t>
      </w:r>
    </w:p>
    <w:p w:rsidR="009A7933" w:rsidRDefault="009A7933" w:rsidP="00BF6D15">
      <w:pPr>
        <w:ind w:left="720"/>
      </w:pPr>
      <w:r>
        <w:t>Various animal models have been developed to study diabetic nephropathy, but the shortfall has always been the inability of these models to mimic the classical disease trend in humans with eventual development of end-stage renal disease. Widely recognised models of CKD have been developed in rats to study renal diseases. Example</w:t>
      </w:r>
      <w:r w:rsidR="00440791">
        <w:t>s</w:t>
      </w:r>
      <w:r>
        <w:t xml:space="preserve"> include the nephrotoxic nephritis model, aristocholic acid model, streptozotocin model, unilateral ureteric model, 5/6</w:t>
      </w:r>
      <w:r>
        <w:rPr>
          <w:vertAlign w:val="superscript"/>
        </w:rPr>
        <w:t>th</w:t>
      </w:r>
      <w:r>
        <w:t xml:space="preserve"> subtotal nephrectomy and unilateral nephrectomy in diabetic rats (Lim et al., 2014, Yang et al., 2010).</w:t>
      </w:r>
    </w:p>
    <w:p w:rsidR="009A7933" w:rsidRDefault="009A7933" w:rsidP="00BF6D15">
      <w:pPr>
        <w:ind w:left="720"/>
      </w:pPr>
      <w:r>
        <w:t>Most rodent models will develop albuminuria but fail to progress to end-stage renal disease. However genetic advancement has introduced newer models that replicate human pathogenesis more closely</w:t>
      </w:r>
      <w:r w:rsidR="00EC53F9">
        <w:t xml:space="preserve"> </w:t>
      </w:r>
      <w:r w:rsidR="00EC53F9" w:rsidRPr="008970FB">
        <w:rPr>
          <w:rFonts w:cs="Arial"/>
        </w:rPr>
        <w:fldChar w:fldCharType="begin"/>
      </w:r>
      <w:r w:rsidR="00EC53F9" w:rsidRPr="008970FB">
        <w:rPr>
          <w:rFonts w:cs="Arial"/>
        </w:rPr>
        <w:instrText xml:space="preserve"> ADDIN EN.CITE &lt;EndNote&gt;&lt;Cite&gt;&lt;Author&gt;Spradling&lt;/Author&gt;&lt;Year&gt;2006&lt;/Year&gt;&lt;IDText&gt;New roles for model genetic organisms in understanding and treating human disease: report from the 2006 Genetics Society of America meeting&lt;/IDText&gt;&lt;DisplayText&gt;(Spradling et al., 2006)&lt;/DisplayText&gt;&lt;record&gt;&lt;isbn&gt;0016-6731&lt;/isbn&gt;&lt;titles&gt;&lt;title&gt;New roles for model genetic organisms in understanding and treating human disease: report from the 2006 Genetics Society of America meeting&lt;/title&gt;&lt;secondary-title&gt;Genetics&lt;/secondary-title&gt;&lt;/titles&gt;&lt;pages&gt;2025-2032&lt;/pages&gt;&lt;number&gt;4&lt;/number&gt;&lt;contributors&gt;&lt;authors&gt;&lt;author&gt;Spradling, Allan&lt;/author&gt;&lt;author&gt;Ganetsky, Barry&lt;/author&gt;&lt;author&gt;Hieter, Phil&lt;/author&gt;&lt;author&gt;Johnston, Mark&lt;/author&gt;&lt;author&gt;Olson, Maynard&lt;/author&gt;&lt;author&gt;Orr-Weaver, Terry&lt;/author&gt;&lt;author&gt;Rossant, Janet&lt;/author&gt;&lt;author&gt;Sanchez, Alejandro&lt;/author&gt;&lt;author&gt;Waterston, Robert&lt;/author&gt;&lt;/authors&gt;&lt;/contributors&gt;&lt;added-date format="utc"&gt;1504269041&lt;/added-date&gt;&lt;ref-type name="Journal Article"&gt;17&lt;/ref-type&gt;&lt;dates&gt;&lt;year&gt;2006&lt;/year&gt;&lt;/dates&gt;&lt;rec-number&gt;1963&lt;/rec-number&gt;&lt;last-updated-date format="utc"&gt;1504269041&lt;/last-updated-date&gt;&lt;volume&gt;172&lt;/volume&gt;&lt;/record&gt;&lt;/Cite&gt;&lt;/EndNote&gt;</w:instrText>
      </w:r>
      <w:r w:rsidR="00EC53F9" w:rsidRPr="008970FB">
        <w:rPr>
          <w:rFonts w:cs="Arial"/>
        </w:rPr>
        <w:fldChar w:fldCharType="separate"/>
      </w:r>
      <w:r w:rsidR="00EC53F9" w:rsidRPr="008970FB">
        <w:rPr>
          <w:rFonts w:cs="Arial"/>
          <w:noProof/>
        </w:rPr>
        <w:t>(Spradling et al., 2006)</w:t>
      </w:r>
      <w:r w:rsidR="00EC53F9" w:rsidRPr="008970FB">
        <w:rPr>
          <w:rFonts w:cs="Arial"/>
        </w:rPr>
        <w:fldChar w:fldCharType="end"/>
      </w:r>
      <w:r>
        <w:t>.</w:t>
      </w:r>
    </w:p>
    <w:p w:rsidR="009A7933" w:rsidRPr="00EA14FC" w:rsidRDefault="009A7933" w:rsidP="00EA14FC">
      <w:pPr>
        <w:ind w:left="720"/>
        <w:rPr>
          <w:rFonts w:cs="Arial"/>
        </w:rPr>
      </w:pPr>
      <w:r>
        <w:lastRenderedPageBreak/>
        <w:t xml:space="preserve">The mouse model of diabetic nephropathy is widely used, however is has its disadvantages such as renal injury being dependent on mouse strain, strains may also be prone to the adverse effects of streptozotocin </w:t>
      </w:r>
      <w:r w:rsidRPr="00EA14FC">
        <w:rPr>
          <w:rFonts w:cs="Arial"/>
        </w:rPr>
        <w:t>and the streptozotocin protocol may affect the histological findings</w:t>
      </w:r>
      <w:r w:rsidR="00EA14FC" w:rsidRPr="00EA14FC">
        <w:rPr>
          <w:rFonts w:cs="Arial"/>
        </w:rPr>
        <w:t xml:space="preserve"> </w:t>
      </w:r>
      <w:r w:rsidR="00EA14FC" w:rsidRPr="00EA14FC">
        <w:rPr>
          <w:rFonts w:cs="Arial"/>
        </w:rPr>
        <w:fldChar w:fldCharType="begin"/>
      </w:r>
      <w:r w:rsidR="00EA14FC" w:rsidRPr="00EA14FC">
        <w:rPr>
          <w:rFonts w:cs="Arial"/>
        </w:rPr>
        <w:instrText xml:space="preserve"> ADDIN EN.CITE &lt;EndNote&gt;&lt;Cite&gt;&lt;Author&gt;Tesch&lt;/Author&gt;&lt;Year&gt;2007&lt;/Year&gt;&lt;IDText&gt;Rodent models of streptozotocin</w:instrText>
      </w:r>
      <w:r w:rsidR="00EA14FC" w:rsidRPr="00EA14FC">
        <w:rPr>
          <w:rFonts w:ascii="Cambria Math" w:hAnsi="Cambria Math" w:cs="Cambria Math"/>
        </w:rPr>
        <w:instrText>‐</w:instrText>
      </w:r>
      <w:r w:rsidR="00EA14FC" w:rsidRPr="00EA14FC">
        <w:rPr>
          <w:rFonts w:cs="Arial"/>
        </w:rPr>
        <w:instrText>induced diabetic nephropathy (Methods in Renal Research)&lt;/IDText&gt;&lt;DisplayText&gt;(Tesch and Allen, 2007)&lt;/DisplayText&gt;&lt;record&gt;&lt;isbn&gt;1440-1797&lt;/isbn&gt;&lt;titles&gt;&lt;title&gt;Rodent models of streptozotocin</w:instrText>
      </w:r>
      <w:r w:rsidR="00EA14FC" w:rsidRPr="00EA14FC">
        <w:rPr>
          <w:rFonts w:ascii="Cambria Math" w:hAnsi="Cambria Math" w:cs="Cambria Math"/>
        </w:rPr>
        <w:instrText>‐</w:instrText>
      </w:r>
      <w:r w:rsidR="00EA14FC" w:rsidRPr="00EA14FC">
        <w:rPr>
          <w:rFonts w:cs="Arial"/>
        </w:rPr>
        <w:instrText>induced diabetic nephropathy (Methods in Renal Research)&lt;/title&gt;&lt;secondary-title&gt;Nephrology&lt;/secondary-title&gt;&lt;/titles&gt;&lt;pages&gt;261-266&lt;/pages&gt;&lt;number&gt;3&lt;/number&gt;&lt;contributors&gt;&lt;authors&gt;&lt;author&gt;Tesch, Greg H&lt;/author&gt;&lt;author&gt;Allen, Terri J&lt;/author&gt;&lt;/authors&gt;&lt;/contributors&gt;&lt;added-date format="utc"&gt;1496671017&lt;/added-date&gt;&lt;ref-type name="Journal Article"&gt;17&lt;/ref-type&gt;&lt;dates&gt;&lt;year&gt;2007&lt;/year&gt;&lt;/dates&gt;&lt;rec-number&gt;1881&lt;/rec-number&gt;&lt;last-updated-date format="utc"&gt;1496671017&lt;/last-updated-date&gt;&lt;volume&gt;12&lt;/volume&gt;&lt;/record&gt;&lt;/Cite&gt;&lt;/EndNote&gt;</w:instrText>
      </w:r>
      <w:r w:rsidR="00EA14FC" w:rsidRPr="00EA14FC">
        <w:rPr>
          <w:rFonts w:cs="Arial"/>
        </w:rPr>
        <w:fldChar w:fldCharType="separate"/>
      </w:r>
      <w:r w:rsidR="00EA14FC" w:rsidRPr="00EA14FC">
        <w:rPr>
          <w:rFonts w:cs="Arial"/>
        </w:rPr>
        <w:t>(Tesch and Allen, 2007)</w:t>
      </w:r>
      <w:r w:rsidR="00EA14FC" w:rsidRPr="00EA14FC">
        <w:rPr>
          <w:rFonts w:cs="Arial"/>
        </w:rPr>
        <w:fldChar w:fldCharType="end"/>
      </w:r>
      <w:r w:rsidR="00EA14FC" w:rsidRPr="00EA14FC">
        <w:rPr>
          <w:rFonts w:cs="Arial"/>
        </w:rPr>
        <w:t>.</w:t>
      </w:r>
    </w:p>
    <w:p w:rsidR="009A7933" w:rsidRDefault="009A7933" w:rsidP="00BF6D15">
      <w:pPr>
        <w:ind w:left="720"/>
      </w:pPr>
      <w:r>
        <w:t>The rat models of diabetic nephropathy are in the forefront because rats are more responsive to streptozotocin induced diabetes, with the male of some strains demonstrating good hyperglycaemic state. These models are reproducible renal injury models (Deeds et al., 2011).</w:t>
      </w:r>
    </w:p>
    <w:p w:rsidR="009A7933" w:rsidRDefault="009A7933" w:rsidP="00BF6D15">
      <w:pPr>
        <w:ind w:left="720"/>
      </w:pPr>
      <w:r>
        <w:t>Unilateral nephrectomy was first used as a surgical intervention in the management of illness. It was used in 1937 by Butler to treat hypertension by the remov</w:t>
      </w:r>
      <w:r w:rsidR="00212EED">
        <w:t>al of one diseased kidney (</w:t>
      </w:r>
      <w:r>
        <w:t>Sensenbach, 1944),</w:t>
      </w:r>
      <w:r w:rsidR="00B33D5D">
        <w:t xml:space="preserve"> and</w:t>
      </w:r>
      <w:r>
        <w:t xml:space="preserve"> its use for the treatment of hypertension continued. However, over time as many more studies revealed incidences where nephrectomy did not treat hypertension, its use began to decline. In ano</w:t>
      </w:r>
      <w:r w:rsidR="00226FA5">
        <w:t>ther study Provoost and Brenner</w:t>
      </w:r>
      <w:r>
        <w:t xml:space="preserve"> (1993) reported that living with a single kidney was compatible with good health for decades with only a few individuals developing hypertension, proteinuria and chronic renal failu</w:t>
      </w:r>
      <w:r w:rsidR="00226FA5">
        <w:t>re (Provoost and Brenner, 1993)</w:t>
      </w:r>
      <w:r>
        <w:t>. By 1969 unilateral nephrectomy</w:t>
      </w:r>
      <w:r w:rsidR="00226FA5">
        <w:t xml:space="preserve"> was used for the treatment of </w:t>
      </w:r>
      <w:r>
        <w:t>renal cell carcinoma (Robson et al., 2002), when it was thought to be the gold standard for the treatment of renal cell carcinoma. However with more studies it became evident that partial nephrectomy was renoprotective compared to total nephrectomy which caused chronic renal disease (Klarenbach et al., 2011). In another study with polycystic kidney disease early manifestation of renal death was seen in nephrectomised rat cohorts compared to non-nephrectomised animals (Gretz, 1994). Conclusively, unilateral nephrectomy was a good model to study renal function in rats (Zwemer, 1999).  Nephrectomised individuals are prone to mild hypertension, mild to moderate proteinuria which eventually leads to chronic renal failure (Drukker, 2001).</w:t>
      </w:r>
    </w:p>
    <w:p w:rsidR="009A7933" w:rsidRDefault="009A7933" w:rsidP="00BF6D15">
      <w:pPr>
        <w:ind w:left="720"/>
      </w:pPr>
      <w:r>
        <w:lastRenderedPageBreak/>
        <w:t>Putting all together with the aim of achieving c</w:t>
      </w:r>
      <w:r w:rsidR="00D83ACF">
        <w:t>hronic renal failure over 8 months</w:t>
      </w:r>
      <w:r>
        <w:t xml:space="preserve"> period of study which will closely mimic the pathogenesis of chronic renal failure in humans, the rat nephrectomised diabetic model best suits our study. This will allow development of chronic renal failure with little or no risk of developing hypertension or other systemic or cardiovascular complications. In this chapter I will describe the biophysical parameters of our rats such as water and food consumption, urine output, weight gain, and renal hypertrophy. These measurements will help confirm the diabetic characteristics in our rats.     </w:t>
      </w:r>
    </w:p>
    <w:p w:rsidR="009A7933" w:rsidRPr="00BF6D15" w:rsidRDefault="009A7933" w:rsidP="00BF6D15">
      <w:pPr>
        <w:pStyle w:val="Heading3"/>
        <w:ind w:firstLine="720"/>
      </w:pPr>
      <w:bookmarkStart w:id="303" w:name="_Toc506232372"/>
      <w:r w:rsidRPr="00BF6D15">
        <w:t>3.1 Biophysical parameters</w:t>
      </w:r>
      <w:bookmarkEnd w:id="303"/>
    </w:p>
    <w:p w:rsidR="009A7933" w:rsidRDefault="005244F4" w:rsidP="00BF6D15">
      <w:pPr>
        <w:ind w:left="720"/>
      </w:pPr>
      <w:r>
        <w:t>The r</w:t>
      </w:r>
      <w:r w:rsidR="009A7933">
        <w:t>ats (250-300 g) were allowed to acclimatize for a week after arriving</w:t>
      </w:r>
      <w:r w:rsidR="00B33D5D">
        <w:t xml:space="preserve"> at</w:t>
      </w:r>
      <w:r w:rsidR="009A7933">
        <w:t xml:space="preserve"> the animal facility, and were subsequently put into metabolic</w:t>
      </w:r>
      <w:r>
        <w:t xml:space="preserve"> cages for 24 hours (Section 2.3</w:t>
      </w:r>
      <w:r w:rsidR="009A7933">
        <w:t>.7) to obtain 24-hour urine samples. Blood samples were also collected for vital statistics a</w:t>
      </w:r>
      <w:r>
        <w:t>nd baseline results (Section 2.3</w:t>
      </w:r>
      <w:r w:rsidR="009A7933">
        <w:t xml:space="preserve">.8). Baseline results showed that daily food consumption was within the normal range of 15-30g per day </w:t>
      </w:r>
      <w:r w:rsidR="009A7933">
        <w:rPr>
          <w:u w:val="single"/>
        </w:rPr>
        <w:t>http://www.researchdiets.com/resource-center-page/typical-food-intake</w:t>
      </w:r>
      <w:r w:rsidR="009A7933">
        <w:t xml:space="preserve"> (Fig 3.1). The diseased group was fed on normal chow throughout the study, prophylaxis group was fed on chow </w:t>
      </w:r>
      <w:r w:rsidR="009A7933" w:rsidRPr="00B33D5D">
        <w:rPr>
          <w:rFonts w:cs="Arial"/>
        </w:rPr>
        <w:t xml:space="preserve">with </w:t>
      </w:r>
      <w:bookmarkStart w:id="304" w:name="OLE_LINK4"/>
      <w:r w:rsidR="00B33D5D" w:rsidRPr="00B33D5D">
        <w:rPr>
          <w:rFonts w:cs="Arial"/>
        </w:rPr>
        <w:t xml:space="preserve">0.3g UK-396082 /Kg </w:t>
      </w:r>
      <w:bookmarkEnd w:id="304"/>
      <w:r w:rsidR="009A7933" w:rsidRPr="00B33D5D">
        <w:rPr>
          <w:rFonts w:cs="Arial"/>
        </w:rPr>
        <w:t>throughout</w:t>
      </w:r>
      <w:r w:rsidR="009A7933">
        <w:t xml:space="preserve"> the study while the treatment group was fed on normal chow for the first 4 months and then fed on chow with </w:t>
      </w:r>
      <w:r w:rsidR="00B33D5D" w:rsidRPr="00B33D5D">
        <w:rPr>
          <w:rFonts w:cs="Arial"/>
        </w:rPr>
        <w:t xml:space="preserve">0.3g UK-396082 /Kg </w:t>
      </w:r>
      <w:r w:rsidR="009A7933">
        <w:t>for the last 4 months</w:t>
      </w:r>
      <w:bookmarkStart w:id="305" w:name="nmf14n" w:colFirst="0" w:colLast="0"/>
      <w:bookmarkEnd w:id="305"/>
      <w:r w:rsidR="009A7933">
        <w:t xml:space="preserve">. There was no significant </w:t>
      </w:r>
      <w:bookmarkStart w:id="306" w:name="37m2jsg" w:colFirst="0" w:colLast="0"/>
      <w:bookmarkEnd w:id="306"/>
      <w:r w:rsidR="009A7933">
        <w:t>difference in food consumed between the groups</w:t>
      </w:r>
      <w:r w:rsidR="00B33D5D">
        <w:t>.</w:t>
      </w:r>
      <w:r w:rsidR="009A7933">
        <w:t xml:space="preserve"> </w:t>
      </w:r>
      <w:r w:rsidR="00B33D5D">
        <w:t>H</w:t>
      </w:r>
      <w:r w:rsidR="009A7933">
        <w:t>owever, there was a significant difference of P &lt; 0.0001 between amounts of chow consumed between baseline and at 8 months of the study across all the groups.</w:t>
      </w:r>
      <w:r w:rsidR="00FF3D17">
        <w:t xml:space="preserve"> (Fig 3.1).</w:t>
      </w:r>
      <w:r w:rsidR="009A7933">
        <w:t xml:space="preserve"> </w:t>
      </w:r>
    </w:p>
    <w:p w:rsidR="00FF3D17" w:rsidRDefault="001A1106" w:rsidP="00BF6D15">
      <w:pPr>
        <w:ind w:left="720"/>
      </w:pPr>
      <w:r w:rsidRPr="00D63A19">
        <w:rPr>
          <w:rFonts w:asciiTheme="minorHAnsi" w:hAnsiTheme="minorHAnsi" w:cstheme="minorBidi"/>
          <w:noProof/>
          <w:sz w:val="22"/>
          <w:szCs w:val="22"/>
          <w:lang w:eastAsia="en-GB"/>
        </w:rPr>
        <w:lastRenderedPageBreak/>
        <mc:AlternateContent>
          <mc:Choice Requires="wps">
            <w:drawing>
              <wp:anchor distT="0" distB="0" distL="114300" distR="114300" simplePos="0" relativeHeight="251954176" behindDoc="0" locked="0" layoutInCell="1" allowOverlap="1" wp14:anchorId="623695D0" wp14:editId="631E4592">
                <wp:simplePos x="0" y="0"/>
                <wp:positionH relativeFrom="column">
                  <wp:posOffset>3529648</wp:posOffset>
                </wp:positionH>
                <wp:positionV relativeFrom="paragraph">
                  <wp:posOffset>1178243</wp:posOffset>
                </wp:positionV>
                <wp:extent cx="704850" cy="276225"/>
                <wp:effectExtent l="0" t="0" r="0" b="0"/>
                <wp:wrapNone/>
                <wp:docPr id="315" name="Rectangle 7"/>
                <wp:cNvGraphicFramePr/>
                <a:graphic xmlns:a="http://schemas.openxmlformats.org/drawingml/2006/main">
                  <a:graphicData uri="http://schemas.microsoft.com/office/word/2010/wordprocessingShape">
                    <wps:wsp>
                      <wps:cNvSpPr/>
                      <wps:spPr>
                        <a:xfrm rot="5400000">
                          <a:off x="0" y="0"/>
                          <a:ext cx="704850" cy="276225"/>
                        </a:xfrm>
                        <a:prstGeom prst="rect">
                          <a:avLst/>
                        </a:prstGeom>
                      </wps:spPr>
                      <wps:txbx>
                        <w:txbxContent>
                          <w:p w:rsidR="00AD6A02" w:rsidRPr="00D63A19" w:rsidRDefault="00AD6A02" w:rsidP="00D63A19">
                            <w:pPr>
                              <w:pStyle w:val="NormalWeb"/>
                              <w:rPr>
                                <w:szCs w:val="24"/>
                              </w:rPr>
                            </w:pPr>
                            <w:r w:rsidRPr="00D63A19">
                              <w:rPr>
                                <w:rFonts w:asciiTheme="minorHAnsi" w:hAnsi="Calibri" w:cstheme="minorBidi"/>
                                <w:color w:val="000000" w:themeColor="text1"/>
                                <w:kern w:val="24"/>
                                <w:szCs w:val="24"/>
                              </w:rPr>
                              <w:t>****</w:t>
                            </w:r>
                          </w:p>
                          <w:p w:rsidR="00AD6A02" w:rsidRDefault="00AD6A02" w:rsidP="00D63A19">
                            <w:pPr>
                              <w:pStyle w:val="NormalWeb"/>
                            </w:pPr>
                          </w:p>
                          <w:p w:rsidR="00AD6A02" w:rsidRDefault="00AD6A02" w:rsidP="00D63A19">
                            <w:pPr>
                              <w:pStyle w:val="NormalWeb"/>
                            </w:pPr>
                          </w:p>
                          <w:p w:rsidR="00AD6A02" w:rsidRDefault="00AD6A02" w:rsidP="00D63A19">
                            <w:pPr>
                              <w:pStyle w:val="NormalWeb"/>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23695D0" id="Rectangle 7" o:spid="_x0000_s1028" style="position:absolute;left:0;text-align:left;margin-left:277.95pt;margin-top:92.8pt;width:55.5pt;height:21.75pt;rotation:9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0dWkQEAAAUDAAAOAAAAZHJzL2Uyb0RvYy54bWysUsFO4zAQva/EP1i+06SBUhQ1RUho97Ja&#10;0AIf4Dp2Yyn2mLHbpH/P2CkFwQ3hw8jjGT+/98arm9H2bK8wGHANn89KzpST0Bq3bfjz0+/za85C&#10;FK4VPTjV8IMK/GZ99ms1+FpV0EHfKmQE4kI9+IZ3Mfq6KILslBVhBl45KmpAKyKluC1aFAOh276o&#10;yvKqGABbjyBVCHR6NxX5OuNrrWS81zqoyPqGE7eYI+a4SbFYr0S9ReE7I480xDdYWGEcPXqCuhNR&#10;sB2aL1DWSIQAOs4k2AK0NlJlDaRmXn5S89gJr7IWMif4k03h52Dlv/0DMtM2/GK+4MwJS0P6T7YJ&#10;t+0VWyaDBh9q6nv0D3jMAm2T2lGjZQjk6uKyTCt7QKrYmC0+nCxWY2SSDpfl5fWCBiGpVC2vqmqR&#10;XigmqATpMcQ/CixLm4YjUcmgYv83xKn1rYXuJWoTmbSL42bMWqo32htoD6RvoAE3PLzsBCY/Re3g&#10;dhdBm4yYrk6NR0TyOnM6/os0zI957nr/vetXAAAA//8DAFBLAwQUAAYACAAAACEAm+w7HOAAAAAL&#10;AQAADwAAAGRycy9kb3ducmV2LnhtbEyPy2rDMBBF94X+g5hCNyWRH0TYruWQBkrIsknpWrYmthtr&#10;ZCwlcf++6qpZDvdw75lyPZuBXXFyvSUJ8TIChtRY3VMr4fP4vsiAOa9Iq8ESSvhBB+vq8aFUhbY3&#10;+sDrwbcslJArlITO+7Hg3DUdGuWWdkQK2clORvlwTi3Xk7qFcjPwJIoEN6qnsNCpEbcdNufDxUjY&#10;ihrf9ke933y1aXQW37tsetlJ+fw0b16BeZz9Pwx/+kEdquBU2wtpxwYJqywXAQ3BKs6BBUKkaQys&#10;lpCIJAdelfz+h+oXAAD//wMAUEsBAi0AFAAGAAgAAAAhALaDOJL+AAAA4QEAABMAAAAAAAAAAAAA&#10;AAAAAAAAAFtDb250ZW50X1R5cGVzXS54bWxQSwECLQAUAAYACAAAACEAOP0h/9YAAACUAQAACwAA&#10;AAAAAAAAAAAAAAAvAQAAX3JlbHMvLnJlbHNQSwECLQAUAAYACAAAACEA16tHVpEBAAAFAwAADgAA&#10;AAAAAAAAAAAAAAAuAgAAZHJzL2Uyb0RvYy54bWxQSwECLQAUAAYACAAAACEAm+w7HOAAAAALAQAA&#10;DwAAAAAAAAAAAAAAAADrAwAAZHJzL2Rvd25yZXYueG1sUEsFBgAAAAAEAAQA8wAAAPgEAAAAAA==&#10;" filled="f" stroked="f">
                <v:textbox>
                  <w:txbxContent>
                    <w:p w:rsidR="00AD6A02" w:rsidRPr="00D63A19" w:rsidRDefault="00AD6A02" w:rsidP="00D63A19">
                      <w:pPr>
                        <w:pStyle w:val="NormalWeb"/>
                        <w:rPr>
                          <w:szCs w:val="24"/>
                        </w:rPr>
                      </w:pPr>
                      <w:r w:rsidRPr="00D63A19">
                        <w:rPr>
                          <w:rFonts w:asciiTheme="minorHAnsi" w:hAnsi="Calibri" w:cstheme="minorBidi"/>
                          <w:color w:val="000000" w:themeColor="text1"/>
                          <w:kern w:val="24"/>
                          <w:szCs w:val="24"/>
                        </w:rPr>
                        <w:t>****</w:t>
                      </w:r>
                    </w:p>
                    <w:p w:rsidR="00AD6A02" w:rsidRDefault="00AD6A02" w:rsidP="00D63A19">
                      <w:pPr>
                        <w:pStyle w:val="NormalWeb"/>
                      </w:pPr>
                    </w:p>
                    <w:p w:rsidR="00AD6A02" w:rsidRDefault="00AD6A02" w:rsidP="00D63A19">
                      <w:pPr>
                        <w:pStyle w:val="NormalWeb"/>
                      </w:pPr>
                    </w:p>
                    <w:p w:rsidR="00AD6A02" w:rsidRDefault="00AD6A02" w:rsidP="00D63A19">
                      <w:pPr>
                        <w:pStyle w:val="NormalWeb"/>
                      </w:pPr>
                    </w:p>
                  </w:txbxContent>
                </v:textbox>
              </v:rect>
            </w:pict>
          </mc:Fallback>
        </mc:AlternateContent>
      </w:r>
      <w:r>
        <w:rPr>
          <w:noProof/>
          <w:lang w:eastAsia="en-GB"/>
        </w:rPr>
        <mc:AlternateContent>
          <mc:Choice Requires="wps">
            <w:drawing>
              <wp:anchor distT="0" distB="0" distL="114300" distR="114300" simplePos="0" relativeHeight="251952128" behindDoc="0" locked="0" layoutInCell="1" allowOverlap="1" wp14:anchorId="5D6AD3FF" wp14:editId="6653C32A">
                <wp:simplePos x="0" y="0"/>
                <wp:positionH relativeFrom="column">
                  <wp:posOffset>3665220</wp:posOffset>
                </wp:positionH>
                <wp:positionV relativeFrom="paragraph">
                  <wp:posOffset>714375</wp:posOffset>
                </wp:positionV>
                <wp:extent cx="123825" cy="1009650"/>
                <wp:effectExtent l="0" t="0" r="47625" b="19050"/>
                <wp:wrapNone/>
                <wp:docPr id="314" name="Right Brace 2"/>
                <wp:cNvGraphicFramePr/>
                <a:graphic xmlns:a="http://schemas.openxmlformats.org/drawingml/2006/main">
                  <a:graphicData uri="http://schemas.microsoft.com/office/word/2010/wordprocessingShape">
                    <wps:wsp>
                      <wps:cNvSpPr/>
                      <wps:spPr>
                        <a:xfrm flipV="1">
                          <a:off x="0" y="0"/>
                          <a:ext cx="123825" cy="1009650"/>
                        </a:xfrm>
                        <a:prstGeom prst="rightBrace">
                          <a:avLst/>
                        </a:prstGeom>
                        <a:noFill/>
                        <a:ln w="6350" cap="flat" cmpd="sng" algn="ctr">
                          <a:solidFill>
                            <a:srgbClr val="5B9BD5"/>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C62C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288.6pt;margin-top:56.25pt;width:9.75pt;height:79.5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6wMaAIAAKsEAAAOAAAAZHJzL2Uyb0RvYy54bWysVE1v2zAMvQ/YfxB0X+2kSdcGdYq0QYcB&#10;RVes3XpmZNkWoK9RSpzu15eSnbbrbsNyEESTeuQjH3N+sTea7SQG5WzFJ0clZ9IKVyvbVvzHw/Wn&#10;U85CBFuDdlZW/EkGfrH8+OG89ws5dZ3TtURGIDYsel/xLka/KIogOmkgHDkvLTkbhwYimdgWNUJP&#10;6EYX07I8KXqHtUcnZAj0dT04+TLjN40U8VvTBBmZrjjVFvOJ+dyks1iew6JF8J0SYxnwD1UYUJaS&#10;vkCtIQLbovoLyiiBLrgmHglnCtc0SsjMgdhMynds7jvwMnOh5gT/0qbw/2DF7e4OmaorfjyZcWbB&#10;0JC+q7aL7BJBSDZNLep9WFDkvb/D0Qp0TXz3DRrWaOV/0vRzB4gT2+cGP700WO4jE/RxMj0+nc45&#10;E+SalOXZyTxPoBhwEp7HEL9IZ1i6VBxTJbmQjA27mxCpAnpwCEyPrLtWWudRasv6ip8cEzATQIJq&#10;NES6Gk8Ug205A92SUkXEjBicVnV6nXACtpsrjWwHpJb55dnlep7YU7Y/wlLqNYRuiMuuQUdGRRKz&#10;Vqbip2X6ja+1Tegyy3EkkDo69DDdNq5+ojGgG/QZvLhWlOQGQrwDJEESG1oy8nYOf3PWk2CJzq8t&#10;oORMf7WkiLPJbJYUno3Z/POUDHzr2bz12K25csRyQuvpRb6m+KgP1wadeaTdWqWs5AIrKPfQuNG4&#10;isMi0XYKuVrlMFK1h3hj7704CCK162H/COjHoUaSw607iBsW76Y6xA5zXW2ja1Qe+WufaCLJoI3I&#10;sxm3N63cWztHvf7HLJ8BAAD//wMAUEsDBBQABgAIAAAAIQANdSik4QAAAAsBAAAPAAAAZHJzL2Rv&#10;d25yZXYueG1sTI9BT4QwEIXvJv6HZky8uQWyXVikbHY3WU8aFU28FjoCkbaEdhf8944nPU7el/e+&#10;KXaLGdgFJ987KyFeRcDQNk73tpXw/na6y4D5oKxWg7Mo4Rs97Mrrq0Ll2s32FS9VaBmVWJ8rCV0I&#10;Y865bzo0yq/ciJayTzcZFeicWq4nNVO5GXgSRRtuVG9poVMjHjtsvqqzkbDeiv2cPT9UL3X4WJ+e&#10;Do/1OGVS3t4s+3tgAZfwB8OvPqlDSU61O1vt2SBBpGlCKAVxIoARIbabFFgtIUljAbws+P8fyh8A&#10;AAD//wMAUEsBAi0AFAAGAAgAAAAhALaDOJL+AAAA4QEAABMAAAAAAAAAAAAAAAAAAAAAAFtDb250&#10;ZW50X1R5cGVzXS54bWxQSwECLQAUAAYACAAAACEAOP0h/9YAAACUAQAACwAAAAAAAAAAAAAAAAAv&#10;AQAAX3JlbHMvLnJlbHNQSwECLQAUAAYACAAAACEAHvOsDGgCAACrBAAADgAAAAAAAAAAAAAAAAAu&#10;AgAAZHJzL2Uyb0RvYy54bWxQSwECLQAUAAYACAAAACEADXUopOEAAAALAQAADwAAAAAAAAAAAAAA&#10;AADCBAAAZHJzL2Rvd25yZXYueG1sUEsFBgAAAAAEAAQA8wAAANAFAAAAAA==&#10;" adj="221" strokecolor="#5b9bd5" strokeweight=".5pt">
                <v:stroke joinstyle="miter"/>
              </v:shape>
            </w:pict>
          </mc:Fallback>
        </mc:AlternateContent>
      </w:r>
      <w:r w:rsidR="00FF3D17">
        <w:rPr>
          <w:noProof/>
          <w:lang w:eastAsia="en-GB"/>
        </w:rPr>
        <w:drawing>
          <wp:inline distT="0" distB="0" distL="114300" distR="114300" wp14:anchorId="3FFB052A" wp14:editId="1C01F952">
            <wp:extent cx="5378382" cy="2867025"/>
            <wp:effectExtent l="0" t="0" r="0" b="0"/>
            <wp:docPr id="2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1"/>
                    <a:srcRect/>
                    <a:stretch>
                      <a:fillRect/>
                    </a:stretch>
                  </pic:blipFill>
                  <pic:spPr>
                    <a:xfrm>
                      <a:off x="0" y="0"/>
                      <a:ext cx="5400540" cy="2878837"/>
                    </a:xfrm>
                    <a:prstGeom prst="rect">
                      <a:avLst/>
                    </a:prstGeom>
                    <a:ln/>
                  </pic:spPr>
                </pic:pic>
              </a:graphicData>
            </a:graphic>
          </wp:inline>
        </w:drawing>
      </w:r>
    </w:p>
    <w:p w:rsidR="00FF3D17" w:rsidRPr="00226FA5" w:rsidRDefault="00FF3D17" w:rsidP="00FF3D17">
      <w:pPr>
        <w:pStyle w:val="LegText"/>
        <w:ind w:left="720"/>
        <w:rPr>
          <w:rFonts w:eastAsiaTheme="minorHAnsi"/>
        </w:rPr>
      </w:pPr>
      <w:bookmarkStart w:id="307" w:name="_Toc504640589"/>
      <w:r w:rsidRPr="00226FA5">
        <w:rPr>
          <w:rStyle w:val="SubtitleChar"/>
        </w:rPr>
        <w:t>Figure 3.1 24-hour food consumption.</w:t>
      </w:r>
      <w:bookmarkEnd w:id="307"/>
      <w:r>
        <w:t xml:space="preserve"> 24-hour food consumption was measured every month. Each rat was placed in a metabolic cage for 24 hours. The plot is the x̅ ± SEM of 5 rats for prophylaxis group and 10 rats collectively for the diseased and treatment groups for the first four months and 5 rats per diseased and treatment group thereafter. Statistical significance was done with a two-way </w:t>
      </w:r>
      <w:r w:rsidRPr="00226FA5">
        <w:t>ANONA followed by Tukey's multiple comparisons test.</w:t>
      </w:r>
    </w:p>
    <w:p w:rsidR="00D83ACF" w:rsidRDefault="00D83ACF" w:rsidP="00BF6D15">
      <w:pPr>
        <w:ind w:left="720"/>
      </w:pPr>
    </w:p>
    <w:p w:rsidR="00DA2E51" w:rsidRDefault="009A7933" w:rsidP="00BF6D15">
      <w:pPr>
        <w:ind w:left="720"/>
      </w:pPr>
      <w:r>
        <w:t xml:space="preserve">Fluid intake was initially within the normal range of 10-12 mls per 100g per day </w:t>
      </w:r>
      <w:r w:rsidR="009F022D">
        <w:t>(</w:t>
      </w:r>
      <w:r w:rsidR="00FF3D17" w:rsidRPr="00FF3D17">
        <w:t>http://www.rmca.org/Rescue/ratmedhelp.pdf</w:t>
      </w:r>
      <w:r w:rsidR="009F022D">
        <w:t>)</w:t>
      </w:r>
      <w:r w:rsidR="00FF3D17">
        <w:t xml:space="preserve">. </w:t>
      </w:r>
      <w:r>
        <w:t>There was no significant difference in water consumption difference between the groups</w:t>
      </w:r>
      <w:r w:rsidR="00FF3D17">
        <w:t>.</w:t>
      </w:r>
      <w:r>
        <w:t xml:space="preserve"> </w:t>
      </w:r>
      <w:r w:rsidR="00FF3D17">
        <w:t>H</w:t>
      </w:r>
      <w:r>
        <w:t xml:space="preserve">owever, there was a significant difference of P &lt; 0.0001 between water consumed at baseline and at 8 months across all the groups. (Fig 3.2). </w:t>
      </w:r>
    </w:p>
    <w:p w:rsidR="009A7933" w:rsidRDefault="001A1106" w:rsidP="00BF6D15">
      <w:pPr>
        <w:ind w:left="720"/>
      </w:pPr>
      <w:r w:rsidRPr="00D63A19">
        <w:rPr>
          <w:rFonts w:asciiTheme="minorHAnsi" w:hAnsiTheme="minorHAnsi" w:cstheme="minorBidi"/>
          <w:noProof/>
          <w:sz w:val="22"/>
          <w:szCs w:val="22"/>
          <w:lang w:eastAsia="en-GB"/>
        </w:rPr>
        <w:lastRenderedPageBreak/>
        <mc:AlternateContent>
          <mc:Choice Requires="wps">
            <w:drawing>
              <wp:anchor distT="0" distB="0" distL="114300" distR="114300" simplePos="0" relativeHeight="251958272" behindDoc="0" locked="0" layoutInCell="1" allowOverlap="1" wp14:anchorId="51609350" wp14:editId="0100506A">
                <wp:simplePos x="0" y="0"/>
                <wp:positionH relativeFrom="column">
                  <wp:posOffset>3638233</wp:posOffset>
                </wp:positionH>
                <wp:positionV relativeFrom="paragraph">
                  <wp:posOffset>1314133</wp:posOffset>
                </wp:positionV>
                <wp:extent cx="704850" cy="276225"/>
                <wp:effectExtent l="0" t="0" r="0" b="0"/>
                <wp:wrapNone/>
                <wp:docPr id="317" name="Rectangle 7"/>
                <wp:cNvGraphicFramePr/>
                <a:graphic xmlns:a="http://schemas.openxmlformats.org/drawingml/2006/main">
                  <a:graphicData uri="http://schemas.microsoft.com/office/word/2010/wordprocessingShape">
                    <wps:wsp>
                      <wps:cNvSpPr/>
                      <wps:spPr>
                        <a:xfrm rot="5400000">
                          <a:off x="0" y="0"/>
                          <a:ext cx="704850" cy="276225"/>
                        </a:xfrm>
                        <a:prstGeom prst="rect">
                          <a:avLst/>
                        </a:prstGeom>
                      </wps:spPr>
                      <wps:txbx>
                        <w:txbxContent>
                          <w:p w:rsidR="00AD6A02" w:rsidRPr="00D63A19" w:rsidRDefault="00AD6A02" w:rsidP="001C00DD">
                            <w:pPr>
                              <w:pStyle w:val="NormalWeb"/>
                              <w:rPr>
                                <w:szCs w:val="24"/>
                              </w:rPr>
                            </w:pPr>
                            <w:r w:rsidRPr="00D63A19">
                              <w:rPr>
                                <w:rFonts w:asciiTheme="minorHAnsi" w:hAnsi="Calibri" w:cstheme="minorBidi"/>
                                <w:color w:val="000000" w:themeColor="text1"/>
                                <w:kern w:val="24"/>
                                <w:szCs w:val="24"/>
                              </w:rPr>
                              <w:t>****</w:t>
                            </w:r>
                          </w:p>
                          <w:p w:rsidR="00AD6A02" w:rsidRDefault="00AD6A02" w:rsidP="001C00DD">
                            <w:pPr>
                              <w:pStyle w:val="NormalWeb"/>
                            </w:pPr>
                          </w:p>
                          <w:p w:rsidR="00AD6A02" w:rsidRDefault="00AD6A02" w:rsidP="001C00DD">
                            <w:pPr>
                              <w:pStyle w:val="NormalWeb"/>
                            </w:pPr>
                          </w:p>
                          <w:p w:rsidR="00AD6A02" w:rsidRDefault="00AD6A02" w:rsidP="001C00DD">
                            <w:pPr>
                              <w:pStyle w:val="NormalWeb"/>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1609350" id="_x0000_s1029" style="position:absolute;left:0;text-align:left;margin-left:286.5pt;margin-top:103.5pt;width:55.5pt;height:21.75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dynkQEAAAUDAAAOAAAAZHJzL2Uyb0RvYy54bWysUk1v4yAQvVfa/4C4b+x4m6ay4kSVqvZS&#10;dat+/ACCIUYyDB1I7Pz7HXCarbq3VTmMGGZ4vPeG1Wa0PTsoDAZcw+ezkjPlJLTG7Rr+9nr385qz&#10;EIVrRQ9ONfyoAt+sf1ysBl+rCjroW4WMQFyoB9/wLkZfF0WQnbIizMArR0UNaEWkFHdFi2IgdNsX&#10;VVleFQNg6xGkCoFOb6ciX2d8rZWMv7UOKrK+4cQt5og5blMs1itR71D4zsgTDfEfLKwwjh49Q92K&#10;KNgezT9Q1kiEADrOJNgCtDZSZQ2kZl5+UfPSCa+yFjIn+LNN4ftg5ePhCZlpG/5rvuTMCUtDeibb&#10;hNv1ii2TQYMPNfW9+Cc8ZYG2Se2o0TIEcnVxWaaVPSBVbMwWH88WqzEySYfL8vJ6QYOQVKqWV1W1&#10;SC8UE1SC9BjivQLL0qbhSFQyqDg8hDi1frTQvURtIpN2cdyOk5YP2ltoj6RvoAE3PLzvBSY/Re3g&#10;Zh9Bm4yYrk6NJ0TyOnM6/Ys0zM957vr7e9d/AAAA//8DAFBLAwQUAAYACAAAACEAscKJeN8AAAAL&#10;AQAADwAAAGRycy9kb3ducmV2LnhtbEyPwU7DMBBE70j8g7VIXBC1ScCNQpyqVEJVj7SIsxMvSWi8&#10;jmy3DX+POcFxNU8zb6vVbEd2Rh8GRwoeFgIYUuvMQJ2C98PrfQEsRE1Gj45QwTcGWNXXV5UujbvQ&#10;G573sWOphEKpFfQxTiXnoe3R6rBwE1LKPp23OqbTd9x4fUnlduSZEJJbPVBa6PWEmx7b4/5kFWxk&#10;gy+7g9mtP7pcHOXXtvB3W6Vub+b1M7CIc/yD4Vc/qUOdnBp3IhPYqEAKuUxoCpZ5DiwR8klkwBoF&#10;WfGYA68r/v+H+gcAAP//AwBQSwECLQAUAAYACAAAACEAtoM4kv4AAADhAQAAEwAAAAAAAAAAAAAA&#10;AAAAAAAAW0NvbnRlbnRfVHlwZXNdLnhtbFBLAQItABQABgAIAAAAIQA4/SH/1gAAAJQBAAALAAAA&#10;AAAAAAAAAAAAAC8BAABfcmVscy8ucmVsc1BLAQItABQABgAIAAAAIQDyZdynkQEAAAUDAAAOAAAA&#10;AAAAAAAAAAAAAC4CAABkcnMvZTJvRG9jLnhtbFBLAQItABQABgAIAAAAIQCxwol43wAAAAsBAAAP&#10;AAAAAAAAAAAAAAAAAOsDAABkcnMvZG93bnJldi54bWxQSwUGAAAAAAQABADzAAAA9wQAAAAA&#10;" filled="f" stroked="f">
                <v:textbox>
                  <w:txbxContent>
                    <w:p w:rsidR="00AD6A02" w:rsidRPr="00D63A19" w:rsidRDefault="00AD6A02" w:rsidP="001C00DD">
                      <w:pPr>
                        <w:pStyle w:val="NormalWeb"/>
                        <w:rPr>
                          <w:szCs w:val="24"/>
                        </w:rPr>
                      </w:pPr>
                      <w:r w:rsidRPr="00D63A19">
                        <w:rPr>
                          <w:rFonts w:asciiTheme="minorHAnsi" w:hAnsi="Calibri" w:cstheme="minorBidi"/>
                          <w:color w:val="000000" w:themeColor="text1"/>
                          <w:kern w:val="24"/>
                          <w:szCs w:val="24"/>
                        </w:rPr>
                        <w:t>****</w:t>
                      </w:r>
                    </w:p>
                    <w:p w:rsidR="00AD6A02" w:rsidRDefault="00AD6A02" w:rsidP="001C00DD">
                      <w:pPr>
                        <w:pStyle w:val="NormalWeb"/>
                      </w:pPr>
                    </w:p>
                    <w:p w:rsidR="00AD6A02" w:rsidRDefault="00AD6A02" w:rsidP="001C00DD">
                      <w:pPr>
                        <w:pStyle w:val="NormalWeb"/>
                      </w:pPr>
                    </w:p>
                    <w:p w:rsidR="00AD6A02" w:rsidRDefault="00AD6A02" w:rsidP="001C00DD">
                      <w:pPr>
                        <w:pStyle w:val="NormalWeb"/>
                      </w:pPr>
                    </w:p>
                  </w:txbxContent>
                </v:textbox>
              </v:rect>
            </w:pict>
          </mc:Fallback>
        </mc:AlternateContent>
      </w:r>
      <w:r w:rsidR="001C00DD">
        <w:rPr>
          <w:noProof/>
          <w:lang w:eastAsia="en-GB"/>
        </w:rPr>
        <mc:AlternateContent>
          <mc:Choice Requires="wps">
            <w:drawing>
              <wp:anchor distT="0" distB="0" distL="114300" distR="114300" simplePos="0" relativeHeight="251956224" behindDoc="0" locked="0" layoutInCell="1" allowOverlap="1" wp14:anchorId="498C8E30" wp14:editId="3037A001">
                <wp:simplePos x="0" y="0"/>
                <wp:positionH relativeFrom="column">
                  <wp:posOffset>3798570</wp:posOffset>
                </wp:positionH>
                <wp:positionV relativeFrom="paragraph">
                  <wp:posOffset>685799</wp:posOffset>
                </wp:positionV>
                <wp:extent cx="104775" cy="1285875"/>
                <wp:effectExtent l="0" t="0" r="47625" b="28575"/>
                <wp:wrapNone/>
                <wp:docPr id="316" name="Right Brace 2"/>
                <wp:cNvGraphicFramePr/>
                <a:graphic xmlns:a="http://schemas.openxmlformats.org/drawingml/2006/main">
                  <a:graphicData uri="http://schemas.microsoft.com/office/word/2010/wordprocessingShape">
                    <wps:wsp>
                      <wps:cNvSpPr/>
                      <wps:spPr>
                        <a:xfrm flipV="1">
                          <a:off x="0" y="0"/>
                          <a:ext cx="104775" cy="1285875"/>
                        </a:xfrm>
                        <a:prstGeom prst="rightBrace">
                          <a:avLst/>
                        </a:prstGeom>
                        <a:noFill/>
                        <a:ln w="6350" cap="flat" cmpd="sng" algn="ctr">
                          <a:solidFill>
                            <a:srgbClr val="5B9BD5"/>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8FE8B" id="Right Brace 2" o:spid="_x0000_s1026" type="#_x0000_t88" style="position:absolute;margin-left:299.1pt;margin-top:54pt;width:8.25pt;height:101.25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5POZgIAAKsEAAAOAAAAZHJzL2Uyb0RvYy54bWysVE1v2zAMvQ/YfxB0Xx2nSZsadYq0QYcB&#10;RVes3XpmZMkWoK9JSpzu14+SnTbrbsNyEEiTeuIjH3N5tdeK7LgP0pqalicTSrhhtpGmren3p9tP&#10;C0pCBNOAsobX9IUHerX8+OGydxWf2s6qhnuCICZUvatpF6OriiKwjmsIJ9Zxg0FhvYaIrm+LxkOP&#10;6FoV08nkrOitb5y3jIeAX9dDkC4zvhCcxa9CBB6JqinWFvPp87lJZ7G8hKr14DrJxjLgH6rQIA0+&#10;+gq1hghk6+VfUFoyb4MV8YRZXVghJOOZA7IpJ+/YPHbgeOaCzQnutU3h/8Gy+92DJ7Kp6Wl5RokB&#10;jUP6JtsukmsPjJNpalHvQoWZj+7Bj15AM/HdC6+JUNL9wOnnDiAnss8NfnltMN9HwvBjOZmdn88p&#10;YRgqp4v5Ah0ELAachOd8iJ+51SQZNfWpklxIxobdXYjDhUNiumTsrVQKv0OlDOlrenY6x2EzQEEJ&#10;BRFN7ZBiMC0loFpUKos+IwarZJNup8vBt5sb5ckOUC3z64vr9aG8P9LS02sI3ZCXQ4OOtIwoZiV1&#10;TReT9BvJKZPQeZbjSCB1dOhhsja2ecExeDvoMzh2K/GROwjxATwKEtngkmG0s/4XJT0KFun83ILn&#10;lKgvBhVxUc5mSeHZmc3Pp+j448jmOGK2+sYiyxLX07FspvyoDqbwVj/jbq3SqxgCw/DtoXGjcxOH&#10;RcLtZHy1ymmoagfxzjw6dhBEatfT/hm8G4caUQ739iBuqN5Ndcgd5rraRitkHvlbn1AwycGNyNIZ&#10;tzet3LGfs97+Y5a/AQAA//8DAFBLAwQUAAYACAAAACEAkzGR2uAAAAALAQAADwAAAGRycy9kb3du&#10;cmV2LnhtbEyPy07DMBBF90j8gzVI7Kid0kca4lQVEmxQF7R8gBtPk6h+RLHTGL6eYUWXo3t059xy&#10;m6xhVxxC552EbCaAoau97lwj4ev49pQDC1E5rYx3KOEbA2yr+7tSFdpP7hOvh9gwKnGhUBLaGPuC&#10;81C3aFWY+R4dZWc/WBXpHBquBzVRuTV8LsSKW9U5+tCqHl9brC+H0Ur4GcV+V1/Mcb0x037Rnt9T&#10;+rBSPj6k3QuwiCn+w/CnT+pQkdPJj04HZiQsN/mcUApETqOIWGWLNbCThOdMLIFXJb/dUP0CAAD/&#10;/wMAUEsBAi0AFAAGAAgAAAAhALaDOJL+AAAA4QEAABMAAAAAAAAAAAAAAAAAAAAAAFtDb250ZW50&#10;X1R5cGVzXS54bWxQSwECLQAUAAYACAAAACEAOP0h/9YAAACUAQAACwAAAAAAAAAAAAAAAAAvAQAA&#10;X3JlbHMvLnJlbHNQSwECLQAUAAYACAAAACEAZOOTzmYCAACrBAAADgAAAAAAAAAAAAAAAAAuAgAA&#10;ZHJzL2Uyb0RvYy54bWxQSwECLQAUAAYACAAAACEAkzGR2uAAAAALAQAADwAAAAAAAAAAAAAAAADA&#10;BAAAZHJzL2Rvd25yZXYueG1sUEsFBgAAAAAEAAQA8wAAAM0FAAAAAA==&#10;" adj="147" strokecolor="#5b9bd5" strokeweight=".5pt">
                <v:stroke joinstyle="miter"/>
              </v:shape>
            </w:pict>
          </mc:Fallback>
        </mc:AlternateContent>
      </w:r>
      <w:r>
        <w:object w:dxaOrig="11218" w:dyaOrig="5871">
          <v:shape id="_x0000_i1038" type="#_x0000_t75" style="width:437.25pt;height:228.75pt" o:ole="">
            <v:imagedata r:id="rId72" o:title=""/>
          </v:shape>
          <o:OLEObject Type="Embed" ProgID="Prism7.Document" ShapeID="_x0000_i1038" DrawAspect="Content" ObjectID="_1583750208" r:id="rId73"/>
        </w:object>
      </w:r>
      <w:r w:rsidR="009A7933">
        <w:t xml:space="preserve"> </w:t>
      </w:r>
    </w:p>
    <w:p w:rsidR="00DA2E51" w:rsidRPr="00226FA5" w:rsidRDefault="00DA2E51" w:rsidP="00DA2E51">
      <w:pPr>
        <w:pStyle w:val="LegText"/>
        <w:ind w:left="720"/>
        <w:rPr>
          <w:rFonts w:eastAsia="Calibri"/>
        </w:rPr>
      </w:pPr>
      <w:bookmarkStart w:id="308" w:name="_Toc504640590"/>
      <w:r w:rsidRPr="00226FA5">
        <w:rPr>
          <w:rStyle w:val="SubtitleChar"/>
        </w:rPr>
        <w:t>Figure 3.2 24-hour water consumption</w:t>
      </w:r>
      <w:bookmarkEnd w:id="308"/>
      <w:r>
        <w:t xml:space="preserve">. </w:t>
      </w:r>
      <w:r w:rsidRPr="00226FA5">
        <w:t>Water consumption was measured every month. Each rat was placed in a metabolic cage for 24 hours. The plot is the x̅ ± SEM of 5 rats for prophylaxis group and 10 rats collectively for the diseased and treatment groups for the first four months and 5 rats per diseased and treatment group thereafter. Statistical significance was done with a two-way ANOVA followed by Tukey's multiple comparisons test.</w:t>
      </w:r>
    </w:p>
    <w:p w:rsidR="00DA2E51" w:rsidRDefault="00DA2E51" w:rsidP="00BF6D15">
      <w:pPr>
        <w:ind w:left="720"/>
      </w:pPr>
    </w:p>
    <w:p w:rsidR="00E340B4" w:rsidRDefault="009A7933" w:rsidP="00BF6D15">
      <w:pPr>
        <w:ind w:left="720"/>
      </w:pPr>
      <w:r>
        <w:t>Urine output was also within normal range at the start of the study. (http://web.jhu.edu/animalcare/procedures/rat.html)</w:t>
      </w:r>
      <w:bookmarkStart w:id="309" w:name="1mrcu09" w:colFirst="0" w:colLast="0"/>
      <w:bookmarkEnd w:id="309"/>
      <w:r>
        <w:t>.</w:t>
      </w:r>
      <w:bookmarkStart w:id="310" w:name="46r0co2" w:colFirst="0" w:colLast="0"/>
      <w:bookmarkEnd w:id="310"/>
      <w:r>
        <w:t xml:space="preserve"> There was no significant difference in urine output between the groups</w:t>
      </w:r>
      <w:r w:rsidR="00FF3D17">
        <w:t>.</w:t>
      </w:r>
      <w:r>
        <w:t xml:space="preserve"> </w:t>
      </w:r>
      <w:r w:rsidR="00FF3D17">
        <w:t>H</w:t>
      </w:r>
      <w:r>
        <w:t xml:space="preserve">owever, there was a significant difference of P &lt; 0.0001 between the baseline and the 8 months urine output across all the groups. (Fig 3.3).  </w:t>
      </w:r>
    </w:p>
    <w:p w:rsidR="00E340B4" w:rsidRDefault="00E340B4">
      <w:pPr>
        <w:spacing w:after="160" w:line="259" w:lineRule="auto"/>
        <w:jc w:val="left"/>
      </w:pPr>
      <w:r>
        <w:br w:type="page"/>
      </w:r>
    </w:p>
    <w:p w:rsidR="009A7933" w:rsidRDefault="001A1106" w:rsidP="00BF6D15">
      <w:pPr>
        <w:ind w:left="720"/>
      </w:pPr>
      <w:r w:rsidRPr="00D63A19">
        <w:rPr>
          <w:rFonts w:asciiTheme="minorHAnsi" w:hAnsiTheme="minorHAnsi" w:cstheme="minorBidi"/>
          <w:noProof/>
          <w:sz w:val="22"/>
          <w:szCs w:val="22"/>
          <w:lang w:eastAsia="en-GB"/>
        </w:rPr>
        <w:lastRenderedPageBreak/>
        <mc:AlternateContent>
          <mc:Choice Requires="wps">
            <w:drawing>
              <wp:anchor distT="0" distB="0" distL="114300" distR="114300" simplePos="0" relativeHeight="251960320" behindDoc="0" locked="0" layoutInCell="1" allowOverlap="1" wp14:anchorId="51609350" wp14:editId="0100506A">
                <wp:simplePos x="0" y="0"/>
                <wp:positionH relativeFrom="column">
                  <wp:posOffset>4266248</wp:posOffset>
                </wp:positionH>
                <wp:positionV relativeFrom="paragraph">
                  <wp:posOffset>1628458</wp:posOffset>
                </wp:positionV>
                <wp:extent cx="704850" cy="276225"/>
                <wp:effectExtent l="0" t="0" r="0" b="0"/>
                <wp:wrapNone/>
                <wp:docPr id="318" name="Rectangle 7"/>
                <wp:cNvGraphicFramePr/>
                <a:graphic xmlns:a="http://schemas.openxmlformats.org/drawingml/2006/main">
                  <a:graphicData uri="http://schemas.microsoft.com/office/word/2010/wordprocessingShape">
                    <wps:wsp>
                      <wps:cNvSpPr/>
                      <wps:spPr>
                        <a:xfrm rot="5400000">
                          <a:off x="0" y="0"/>
                          <a:ext cx="704850" cy="276225"/>
                        </a:xfrm>
                        <a:prstGeom prst="rect">
                          <a:avLst/>
                        </a:prstGeom>
                      </wps:spPr>
                      <wps:txbx>
                        <w:txbxContent>
                          <w:p w:rsidR="00AD6A02" w:rsidRPr="00D63A19" w:rsidRDefault="00AD6A02" w:rsidP="001C00DD">
                            <w:pPr>
                              <w:pStyle w:val="NormalWeb"/>
                              <w:rPr>
                                <w:szCs w:val="24"/>
                              </w:rPr>
                            </w:pPr>
                            <w:r w:rsidRPr="00D63A19">
                              <w:rPr>
                                <w:rFonts w:asciiTheme="minorHAnsi" w:hAnsi="Calibri" w:cstheme="minorBidi"/>
                                <w:color w:val="000000" w:themeColor="text1"/>
                                <w:kern w:val="24"/>
                                <w:szCs w:val="24"/>
                              </w:rPr>
                              <w:t>****</w:t>
                            </w:r>
                          </w:p>
                          <w:p w:rsidR="00AD6A02" w:rsidRDefault="00AD6A02" w:rsidP="001C00DD">
                            <w:pPr>
                              <w:pStyle w:val="NormalWeb"/>
                            </w:pPr>
                          </w:p>
                          <w:p w:rsidR="00AD6A02" w:rsidRDefault="00AD6A02" w:rsidP="001C00DD">
                            <w:pPr>
                              <w:pStyle w:val="NormalWeb"/>
                            </w:pPr>
                          </w:p>
                          <w:p w:rsidR="00AD6A02" w:rsidRDefault="00AD6A02" w:rsidP="001C00DD">
                            <w:pPr>
                              <w:pStyle w:val="NormalWeb"/>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1609350" id="_x0000_s1030" style="position:absolute;left:0;text-align:left;margin-left:335.95pt;margin-top:128.25pt;width:55.5pt;height:21.75pt;rotation:90;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XQkQEAAAUDAAAOAAAAZHJzL2Uyb0RvYy54bWysUk1v4yAQvVfqf0DcN3a8SVNZcaqVqvay&#10;2q368QMIhhjJMHQgsfPvd8BpWrW3ajmMGGZ4vPeG9c1oe3ZQGAy4hs9nJWfKSWiN2zX85fnuxzVn&#10;IQrXih6cavhRBX6zubxYD75WFXTQtwoZgbhQD77hXYy+LoogO2VFmIFXjooa0IpIKe6KFsVA6LYv&#10;qrK8KgbA1iNIFQKd3k5Fvsn4WisZ/2odVGR9w4lbzBFz3KZYbNai3qHwnZEnGuIbLKwwjh49Q92K&#10;KNgezRcoayRCAB1nEmwBWhupsgZSMy8/qXnqhFdZC5kT/Nmm8P9g5Z/DAzLTNvznnEblhKUhPZJt&#10;wu16xVbJoMGHmvqe/AOeskDbpHbUaBkCubpclGllD0gVG7PFx7PFaoxM0uGqXFwvaRCSStXqqqqW&#10;6YVigkqQHkO8V2BZ2jQciUoGFYffIU6tby10L1GbyKRdHLdj1rJ4o72F9kj6Bhpww8PrXmDyU9QO&#10;fu0jaJMR09Wp8YRIXmdOp3+Rhvkxz13vv3fzDwAA//8DAFBLAwQUAAYACAAAACEANFVJQuEAAAAL&#10;AQAADwAAAGRycy9kb3ducmV2LnhtbEyPwU7DMBBE70j8g7VIXBC1m0AaQpyqVEJVj7RVz068JKGx&#10;HdluG/6e5QTH1T7NvCmXkxnYBX3onZUwnwlgaBune9tKOOzfH3NgISqr1eAsSvjGAMvq9qZUhXZX&#10;+4GXXWwZhdhQKAldjGPBeWg6NCrM3IiWfp/OGxXp9C3XXl0p3Aw8ESLjRvWWGjo14rrD5rQ7Gwnr&#10;rMa37V5vV8c2Fafsa5P7h42U93fT6hVYxCn+wfCrT+pQkVPtzlYHNkhYiOeMUAlJktAGIhZPL3Ng&#10;tYQ0TXPgVcn/b6h+AAAA//8DAFBLAQItABQABgAIAAAAIQC2gziS/gAAAOEBAAATAAAAAAAAAAAA&#10;AAAAAAAAAABbQ29udGVudF9UeXBlc10ueG1sUEsBAi0AFAAGAAgAAAAhADj9If/WAAAAlAEAAAsA&#10;AAAAAAAAAAAAAAAALwEAAF9yZWxzLy5yZWxzUEsBAi0AFAAGAAgAAAAhAN1xRdCRAQAABQMAAA4A&#10;AAAAAAAAAAAAAAAALgIAAGRycy9lMm9Eb2MueG1sUEsBAi0AFAAGAAgAAAAhADRVSULhAAAACwEA&#10;AA8AAAAAAAAAAAAAAAAA6wMAAGRycy9kb3ducmV2LnhtbFBLBQYAAAAABAAEAPMAAAD5BAAAAAA=&#10;" filled="f" stroked="f">
                <v:textbox>
                  <w:txbxContent>
                    <w:p w:rsidR="00AD6A02" w:rsidRPr="00D63A19" w:rsidRDefault="00AD6A02" w:rsidP="001C00DD">
                      <w:pPr>
                        <w:pStyle w:val="NormalWeb"/>
                        <w:rPr>
                          <w:szCs w:val="24"/>
                        </w:rPr>
                      </w:pPr>
                      <w:r w:rsidRPr="00D63A19">
                        <w:rPr>
                          <w:rFonts w:asciiTheme="minorHAnsi" w:hAnsi="Calibri" w:cstheme="minorBidi"/>
                          <w:color w:val="000000" w:themeColor="text1"/>
                          <w:kern w:val="24"/>
                          <w:szCs w:val="24"/>
                        </w:rPr>
                        <w:t>****</w:t>
                      </w:r>
                    </w:p>
                    <w:p w:rsidR="00AD6A02" w:rsidRDefault="00AD6A02" w:rsidP="001C00DD">
                      <w:pPr>
                        <w:pStyle w:val="NormalWeb"/>
                      </w:pPr>
                    </w:p>
                    <w:p w:rsidR="00AD6A02" w:rsidRDefault="00AD6A02" w:rsidP="001C00DD">
                      <w:pPr>
                        <w:pStyle w:val="NormalWeb"/>
                      </w:pPr>
                    </w:p>
                    <w:p w:rsidR="00AD6A02" w:rsidRDefault="00AD6A02" w:rsidP="001C00DD">
                      <w:pPr>
                        <w:pStyle w:val="NormalWeb"/>
                      </w:pPr>
                    </w:p>
                  </w:txbxContent>
                </v:textbox>
              </v:rect>
            </w:pict>
          </mc:Fallback>
        </mc:AlternateContent>
      </w:r>
      <w:r>
        <w:rPr>
          <w:noProof/>
          <w:lang w:eastAsia="en-GB"/>
        </w:rPr>
        <mc:AlternateContent>
          <mc:Choice Requires="wps">
            <w:drawing>
              <wp:anchor distT="0" distB="0" distL="114300" distR="114300" simplePos="0" relativeHeight="251962368" behindDoc="0" locked="0" layoutInCell="1" allowOverlap="1" wp14:anchorId="13E3EE30" wp14:editId="2A3575AA">
                <wp:simplePos x="0" y="0"/>
                <wp:positionH relativeFrom="column">
                  <wp:posOffset>4436746</wp:posOffset>
                </wp:positionH>
                <wp:positionV relativeFrom="paragraph">
                  <wp:posOffset>990599</wp:posOffset>
                </wp:positionV>
                <wp:extent cx="95250" cy="1304925"/>
                <wp:effectExtent l="0" t="0" r="38100" b="28575"/>
                <wp:wrapNone/>
                <wp:docPr id="319" name="Right Brace 2"/>
                <wp:cNvGraphicFramePr/>
                <a:graphic xmlns:a="http://schemas.openxmlformats.org/drawingml/2006/main">
                  <a:graphicData uri="http://schemas.microsoft.com/office/word/2010/wordprocessingShape">
                    <wps:wsp>
                      <wps:cNvSpPr/>
                      <wps:spPr>
                        <a:xfrm flipV="1">
                          <a:off x="0" y="0"/>
                          <a:ext cx="95250" cy="1304925"/>
                        </a:xfrm>
                        <a:prstGeom prst="rightBrace">
                          <a:avLst/>
                        </a:prstGeom>
                        <a:noFill/>
                        <a:ln w="6350" cap="flat" cmpd="sng" algn="ctr">
                          <a:solidFill>
                            <a:srgbClr val="5B9BD5"/>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B23E4" id="Right Brace 2" o:spid="_x0000_s1026" type="#_x0000_t88" style="position:absolute;margin-left:349.35pt;margin-top:78pt;width:7.5pt;height:102.75pt;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jZAIAAKoEAAAOAAAAZHJzL2Uyb0RvYy54bWysVE1v2zAMvQ/YfxB0X52kSdcYdYq0QYcB&#10;xVas3XpmZNkWoK9RSpzu14+SnbbrbsNyEESTeiQfH3NxeTCa7SUG5WzFpycTzqQVrla2rfj3h5sP&#10;55yFCLYG7ays+JMM/HL1/t1F70s5c53TtURGIDaUva94F6MviyKIThoIJ85LS87GoYFIJrZFjdAT&#10;utHFbDI5K3qHtUcnZAj0dTM4+SrjN40U8WvTBBmZrjjVFvOJ+dyms1hdQNki+E6JsQz4hyoMKEtJ&#10;n6E2EIHtUP0FZZRAF1wTT4QzhWsaJWTugbqZTt50c9+Bl7kXIif4Z5rC/4MVX/Z3yFRd8dPpkjML&#10;hob0TbVdZFcIQrJZoqj3oaTIe3+HoxXomvo9NGhYo5X/QdPPDFBP7JAJfnomWB4iE/RxuZgtaAqC&#10;PNPTyXw5WyT0YoBJcB5D/CSdYelScUyF5DoyNOxvQxweHAPTI+tulNb0HUptWV/xs9OcBUhPjYZI&#10;CY2nDoNtOQPdklBFxIwYnFZ1ep0eB2y31xrZHkgsi6vl1eZY3h9hKfUGQjfEZdcgI6MiaVkrU/Hz&#10;SfqNzWmb0GVW49hAInSgMN22rn6iKaAb5Bm8uFGU5BZCvAMkPRJntGPk7Rz+4qwnvVI7P3eAkjP9&#10;2ZIgltP5PAk8G/PFxxkZ+Nqzfe2xO3PtqMspbacX+Zrioz5eG3TmkVZrnbKSC6yg3ANxo3Edhz2i&#10;5RRyvc5hJGoP8dbee3HUQ6Lr4fAI6MehRlLDF3fUNpRvpjrEDnNd76JrVB75C08kmGTQQmTpjMub&#10;Nu61naNe/mJWvwEAAP//AwBQSwMEFAAGAAgAAAAhAODpsMvfAAAACwEAAA8AAABkcnMvZG93bnJl&#10;di54bWxMj0FPg0AQhe8m/ofNmHizC2IpIEtjSHr00NbE65adAik7i+y24L93POlx3vvy5r1yu9hB&#10;3HDyvSMF8SoCgdQ401Or4OO4e8pA+KDJ6MERKvhGD9vq/q7UhXEz7fF2CK3gEPKFVtCFMBZS+qZD&#10;q/3KjUjsnd1kdeBzaqWZ9MzhdpDPUZRKq3viD50ese6wuRyuVsH8fnw526/k0mT74XNX57XPba/U&#10;48Py9goi4BL+YPitz9Wh4k4ndyXjxaAgzbMNo2ysUx7FxCZOWDkpSNJ4DbIq5f8N1Q8AAAD//wMA&#10;UEsBAi0AFAAGAAgAAAAhALaDOJL+AAAA4QEAABMAAAAAAAAAAAAAAAAAAAAAAFtDb250ZW50X1R5&#10;cGVzXS54bWxQSwECLQAUAAYACAAAACEAOP0h/9YAAACUAQAACwAAAAAAAAAAAAAAAAAvAQAAX3Jl&#10;bHMvLnJlbHNQSwECLQAUAAYACAAAACEAm4vqo2QCAACqBAAADgAAAAAAAAAAAAAAAAAuAgAAZHJz&#10;L2Uyb0RvYy54bWxQSwECLQAUAAYACAAAACEA4Omwy98AAAALAQAADwAAAAAAAAAAAAAAAAC+BAAA&#10;ZHJzL2Rvd25yZXYueG1sUEsFBgAAAAAEAAQA8wAAAMoFAAAAAA==&#10;" adj="131" strokecolor="#5b9bd5" strokeweight=".5pt">
                <v:stroke joinstyle="miter"/>
              </v:shape>
            </w:pict>
          </mc:Fallback>
        </mc:AlternateContent>
      </w:r>
      <w:r w:rsidR="009A7933">
        <w:t xml:space="preserve"> </w:t>
      </w:r>
      <w:r w:rsidR="00E340B4">
        <w:rPr>
          <w:noProof/>
          <w:lang w:eastAsia="en-GB"/>
        </w:rPr>
        <w:drawing>
          <wp:inline distT="0" distB="0" distL="114300" distR="114300" wp14:anchorId="60FFB0D3" wp14:editId="4C2F81F7">
            <wp:extent cx="5387907" cy="2771775"/>
            <wp:effectExtent l="0" t="0" r="0" b="0"/>
            <wp:docPr id="2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4"/>
                    <a:srcRect/>
                    <a:stretch>
                      <a:fillRect/>
                    </a:stretch>
                  </pic:blipFill>
                  <pic:spPr>
                    <a:xfrm>
                      <a:off x="0" y="0"/>
                      <a:ext cx="5408412" cy="2782324"/>
                    </a:xfrm>
                    <a:prstGeom prst="rect">
                      <a:avLst/>
                    </a:prstGeom>
                    <a:ln/>
                  </pic:spPr>
                </pic:pic>
              </a:graphicData>
            </a:graphic>
          </wp:inline>
        </w:drawing>
      </w:r>
      <w:r w:rsidR="009A7933">
        <w:t xml:space="preserve">   </w:t>
      </w:r>
    </w:p>
    <w:p w:rsidR="00E340B4" w:rsidRDefault="00E340B4" w:rsidP="00E340B4">
      <w:pPr>
        <w:pStyle w:val="LegText"/>
        <w:ind w:left="720"/>
      </w:pPr>
      <w:bookmarkStart w:id="311" w:name="_Toc504640591"/>
      <w:r w:rsidRPr="00226FA5">
        <w:rPr>
          <w:rStyle w:val="SubtitleChar"/>
        </w:rPr>
        <w:t xml:space="preserve">Figure 3.3 </w:t>
      </w:r>
      <w:r w:rsidR="000A531E">
        <w:rPr>
          <w:rStyle w:val="SubtitleChar"/>
        </w:rPr>
        <w:t xml:space="preserve">Monthly </w:t>
      </w:r>
      <w:r w:rsidRPr="00226FA5">
        <w:rPr>
          <w:rStyle w:val="SubtitleChar"/>
        </w:rPr>
        <w:t>24-hour urine production</w:t>
      </w:r>
      <w:bookmarkEnd w:id="311"/>
      <w:r>
        <w:t xml:space="preserve">. Each rat was placed in a metabolic cage for 24 hours. The plot is the x̅ ± SEM of 5 rats for prophylaxis group and 10 rats collectively for the diseased and treatment groups for the first four months and 5 rats per diseased and treatment group thereafter. Statistical significance was done with a two-way ANOVA </w:t>
      </w:r>
      <w:r w:rsidRPr="00226FA5">
        <w:t>followed by Tukey's multiple comparisons test.</w:t>
      </w:r>
    </w:p>
    <w:p w:rsidR="001C00DD" w:rsidRDefault="001C00DD" w:rsidP="00E340B4">
      <w:pPr>
        <w:pStyle w:val="LegText"/>
        <w:ind w:left="720"/>
      </w:pPr>
    </w:p>
    <w:p w:rsidR="00D26D0F" w:rsidRDefault="001C00DD" w:rsidP="001C00DD">
      <w:pPr>
        <w:ind w:left="720"/>
      </w:pPr>
      <w:r>
        <w:t xml:space="preserve">There was a gradual increase in weight gain in all the three groups. However, there was no significant difference in weight gain between the three groups but there was a significant difference of P &lt; 0.0001 between baseline and 8 months across all the groups. (Fig 3.4). </w:t>
      </w:r>
    </w:p>
    <w:p w:rsidR="00D26D0F" w:rsidRDefault="00D26D0F" w:rsidP="00D26D0F">
      <w:r>
        <w:br w:type="page"/>
      </w:r>
    </w:p>
    <w:p w:rsidR="001C00DD" w:rsidRDefault="001C00DD" w:rsidP="001C00DD">
      <w:pPr>
        <w:ind w:left="720"/>
      </w:pPr>
    </w:p>
    <w:p w:rsidR="001C00DD" w:rsidRDefault="001A1106" w:rsidP="00E340B4">
      <w:pPr>
        <w:pStyle w:val="LegText"/>
        <w:ind w:left="720"/>
      </w:pPr>
      <w:r w:rsidRPr="00D63A19">
        <w:rPr>
          <w:rFonts w:asciiTheme="minorHAnsi" w:eastAsiaTheme="minorHAnsi" w:hAnsiTheme="minorHAnsi" w:cstheme="minorBidi"/>
          <w:noProof/>
        </w:rPr>
        <mc:AlternateContent>
          <mc:Choice Requires="wps">
            <w:drawing>
              <wp:anchor distT="0" distB="0" distL="114300" distR="114300" simplePos="0" relativeHeight="251966464" behindDoc="0" locked="0" layoutInCell="1" allowOverlap="1" wp14:anchorId="7263F90D" wp14:editId="00564CCE">
                <wp:simplePos x="0" y="0"/>
                <wp:positionH relativeFrom="column">
                  <wp:posOffset>3571558</wp:posOffset>
                </wp:positionH>
                <wp:positionV relativeFrom="paragraph">
                  <wp:posOffset>800418</wp:posOffset>
                </wp:positionV>
                <wp:extent cx="704850" cy="276225"/>
                <wp:effectExtent l="0" t="0" r="0" b="0"/>
                <wp:wrapNone/>
                <wp:docPr id="105" name="Rectangle 7"/>
                <wp:cNvGraphicFramePr/>
                <a:graphic xmlns:a="http://schemas.openxmlformats.org/drawingml/2006/main">
                  <a:graphicData uri="http://schemas.microsoft.com/office/word/2010/wordprocessingShape">
                    <wps:wsp>
                      <wps:cNvSpPr/>
                      <wps:spPr>
                        <a:xfrm rot="5400000">
                          <a:off x="0" y="0"/>
                          <a:ext cx="704850" cy="276225"/>
                        </a:xfrm>
                        <a:prstGeom prst="rect">
                          <a:avLst/>
                        </a:prstGeom>
                      </wps:spPr>
                      <wps:txbx>
                        <w:txbxContent>
                          <w:p w:rsidR="00AD6A02" w:rsidRPr="00D63A19" w:rsidRDefault="00AD6A02" w:rsidP="00EF6CF5">
                            <w:pPr>
                              <w:pStyle w:val="NormalWeb"/>
                              <w:rPr>
                                <w:szCs w:val="24"/>
                              </w:rPr>
                            </w:pPr>
                            <w:r w:rsidRPr="00D63A19">
                              <w:rPr>
                                <w:rFonts w:asciiTheme="minorHAnsi" w:hAnsi="Calibri" w:cstheme="minorBidi"/>
                                <w:color w:val="000000" w:themeColor="text1"/>
                                <w:kern w:val="24"/>
                                <w:szCs w:val="24"/>
                              </w:rPr>
                              <w:t>****</w:t>
                            </w:r>
                          </w:p>
                          <w:p w:rsidR="00AD6A02" w:rsidRDefault="00AD6A02" w:rsidP="00EF6CF5">
                            <w:pPr>
                              <w:pStyle w:val="NormalWeb"/>
                            </w:pPr>
                          </w:p>
                          <w:p w:rsidR="00AD6A02" w:rsidRDefault="00AD6A02" w:rsidP="00EF6CF5">
                            <w:pPr>
                              <w:pStyle w:val="NormalWeb"/>
                            </w:pPr>
                          </w:p>
                          <w:p w:rsidR="00AD6A02" w:rsidRDefault="00AD6A02" w:rsidP="00EF6CF5">
                            <w:pPr>
                              <w:pStyle w:val="NormalWeb"/>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263F90D" id="_x0000_s1031" style="position:absolute;left:0;text-align:left;margin-left:281.25pt;margin-top:63.05pt;width:55.5pt;height:21.75pt;rotation:90;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AfCkAEAAAUDAAAOAAAAZHJzL2Uyb0RvYy54bWysUstu2zAQvAfoPxC811KEOA4Ey0GBIL0U&#10;bdAkH0BTpEVA5DK7tCX/fZe06xTpragOC+5Dw5lZru9nP4qDQXIQOnm9qKUwQUPvwq6Try+Pn++k&#10;oKRCr0YIppNHQ/J+8+lqPcXWNDDA2BsUDBKonWInh5RiW1WkB+MVLSCawE0L6FXiFHdVj2pidD9W&#10;TV3fVhNgHxG0IeLqw6kpNwXfWqPTD2vJJDF2krmlErHEbY7VZq3aHao4OH2mof6BhVcu8KUXqAeV&#10;lNij+wvKO41AYNNCg6/AWqdN0cBqrusPap4HFU3RwuZQvNhE/w9Wfz88oXA9765eShGU5yX9ZNtU&#10;2I1GrLJBU6SW557jE54z4mNWO1v0AoFdXd7U+SsesCoxF4uPF4vNnITm4qq+uVvyIjS3mtVt0yzz&#10;DdUJKkNGpPTVgBf50ElkKgVUHb5ROo3+HuH/MrUTmXxK83YuWgpormyhP7K+iRfcSXrbK8x+qjbA&#10;l30C6wri++AZkb0unM7vIi/zz7xMvb/ezS8AAAD//wMAUEsDBBQABgAIAAAAIQAu31Bj4AAAAAoB&#10;AAAPAAAAZHJzL2Rvd25yZXYueG1sTI/BTsMwEETvSPyDtUhcELVJimlCNlWphKoeaauenXhJQmM7&#10;it02/D3mBMfVPM28LZaT6dmFRt85i/A0E8DI1k53tkE47N8fF8B8UFar3llC+CYPy/L2plC5dlf7&#10;QZddaFgssT5XCG0IQ865r1syys/cQDZmn240KsRzbLge1TWWm54nQkhuVGfjQqsGWrdUn3Zng7CW&#10;Fb1t93q7OjapOMmvzWJ82CDe302rV2CBpvAHw69+VIcyOlXubLVnPcJzJpOIImTJHFgEZJq9AKsQ&#10;EpHOgZcF//9C+QMAAP//AwBQSwECLQAUAAYACAAAACEAtoM4kv4AAADhAQAAEwAAAAAAAAAAAAAA&#10;AAAAAAAAW0NvbnRlbnRfVHlwZXNdLnhtbFBLAQItABQABgAIAAAAIQA4/SH/1gAAAJQBAAALAAAA&#10;AAAAAAAAAAAAAC8BAABfcmVscy8ucmVsc1BLAQItABQABgAIAAAAIQDk9AfCkAEAAAUDAAAOAAAA&#10;AAAAAAAAAAAAAC4CAABkcnMvZTJvRG9jLnhtbFBLAQItABQABgAIAAAAIQAu31Bj4AAAAAoBAAAP&#10;AAAAAAAAAAAAAAAAAOoDAABkcnMvZG93bnJldi54bWxQSwUGAAAAAAQABADzAAAA9wQAAAAA&#10;" filled="f" stroked="f">
                <v:textbox>
                  <w:txbxContent>
                    <w:p w:rsidR="00AD6A02" w:rsidRPr="00D63A19" w:rsidRDefault="00AD6A02" w:rsidP="00EF6CF5">
                      <w:pPr>
                        <w:pStyle w:val="NormalWeb"/>
                        <w:rPr>
                          <w:szCs w:val="24"/>
                        </w:rPr>
                      </w:pPr>
                      <w:r w:rsidRPr="00D63A19">
                        <w:rPr>
                          <w:rFonts w:asciiTheme="minorHAnsi" w:hAnsi="Calibri" w:cstheme="minorBidi"/>
                          <w:color w:val="000000" w:themeColor="text1"/>
                          <w:kern w:val="24"/>
                          <w:szCs w:val="24"/>
                        </w:rPr>
                        <w:t>****</w:t>
                      </w:r>
                    </w:p>
                    <w:p w:rsidR="00AD6A02" w:rsidRDefault="00AD6A02" w:rsidP="00EF6CF5">
                      <w:pPr>
                        <w:pStyle w:val="NormalWeb"/>
                      </w:pPr>
                    </w:p>
                    <w:p w:rsidR="00AD6A02" w:rsidRDefault="00AD6A02" w:rsidP="00EF6CF5">
                      <w:pPr>
                        <w:pStyle w:val="NormalWeb"/>
                      </w:pPr>
                    </w:p>
                    <w:p w:rsidR="00AD6A02" w:rsidRDefault="00AD6A02" w:rsidP="00EF6CF5">
                      <w:pPr>
                        <w:pStyle w:val="NormalWeb"/>
                      </w:pPr>
                    </w:p>
                  </w:txbxContent>
                </v:textbox>
              </v:rect>
            </w:pict>
          </mc:Fallback>
        </mc:AlternateContent>
      </w:r>
      <w:r>
        <w:rPr>
          <w:noProof/>
        </w:rPr>
        <mc:AlternateContent>
          <mc:Choice Requires="wps">
            <w:drawing>
              <wp:anchor distT="0" distB="0" distL="114300" distR="114300" simplePos="0" relativeHeight="251964416" behindDoc="0" locked="0" layoutInCell="1" allowOverlap="1" wp14:anchorId="6D1C3AAC" wp14:editId="6F03D9A8">
                <wp:simplePos x="0" y="0"/>
                <wp:positionH relativeFrom="column">
                  <wp:posOffset>3760470</wp:posOffset>
                </wp:positionH>
                <wp:positionV relativeFrom="paragraph">
                  <wp:posOffset>476885</wp:posOffset>
                </wp:positionV>
                <wp:extent cx="66675" cy="666750"/>
                <wp:effectExtent l="0" t="0" r="47625" b="19050"/>
                <wp:wrapNone/>
                <wp:docPr id="103" name="Right Brace 2"/>
                <wp:cNvGraphicFramePr/>
                <a:graphic xmlns:a="http://schemas.openxmlformats.org/drawingml/2006/main">
                  <a:graphicData uri="http://schemas.microsoft.com/office/word/2010/wordprocessingShape">
                    <wps:wsp>
                      <wps:cNvSpPr/>
                      <wps:spPr>
                        <a:xfrm flipV="1">
                          <a:off x="0" y="0"/>
                          <a:ext cx="66675" cy="666750"/>
                        </a:xfrm>
                        <a:prstGeom prst="rightBrace">
                          <a:avLst/>
                        </a:prstGeom>
                        <a:noFill/>
                        <a:ln w="6350" cap="flat" cmpd="sng" algn="ctr">
                          <a:solidFill>
                            <a:srgbClr val="5B9BD5"/>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7BBCC" id="Right Brace 2" o:spid="_x0000_s1026" type="#_x0000_t88" style="position:absolute;margin-left:296.1pt;margin-top:37.55pt;width:5.25pt;height:52.5pt;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aTsYgIAAKkEAAAOAAAAZHJzL2Uyb0RvYy54bWysVE1v2zAMvQ/YfxB0X52kTdoGdYp8oMOA&#10;oivWbj0zsmwL0NcoJU7360fJTtt1t2E5CKRJPeqRj7m6PhjN9hKDcrbk45MRZ9IKVynblPz7482n&#10;C85CBFuBdlaW/FkGfr34+OGq83M5ca3TlURGIDbMO1/yNkY/L4ogWmkgnDgvLQVrhwYiudgUFUJH&#10;6EYXk9FoVnQOK49OyBDo66YP8kXGr2sp4te6DjIyXXJ6W8wn5nObzmJxBfMGwbdKDM+Af3iFAWWp&#10;6AvUBiKwHaq/oIwS6IKr44lwpnB1rYTMHIjNePSOzUMLXmYu1JzgX9oU/h+suNvfI1MVzW50ypkF&#10;Q0P6ppo2shWCkGySWtT5MKfMB3+PgxfITHwPNRpWa+V/EELuAHFih9zg55cGy0Nkgj7OZrPzKWeC&#10;ItnM/S96lITmMcTP0hmWjJJjekd+RkaG/W2IVJ8uHBPTJetulNZ5kNqyjqBPpzRqASSnWkMk03gi&#10;GGzDGeiGdCoiZsTgtKrS7YQTsNmuNbI9kFamq8vVZpq4U7U/0lLpDYS2z8uhXkVGRZKyVqbkF6P0&#10;G25rm9BlFuNAIPWz72Cytq56piGg69UZvLhRVOQWQrwHJDkSG1oxirYOf3HWkVyJzs8doORMf7Gk&#10;h8vx2VnSd3bOpucTcvBtZPs2Yndm7YjlmJbTi2ym/KiPZo3OPNFmLVNVCoEVVLtv3OCsY79GtJtC&#10;Lpc5jTTtId7aBy+Ockjtejw8AfphqJHEcOeO0ob5u6n2uf1cl7voapVH/tonmkhyaB/ybIbdTQv3&#10;1s9Zr/8wi98AAAD//wMAUEsDBBQABgAIAAAAIQBtNCHv3wAAAAoBAAAPAAAAZHJzL2Rvd25yZXYu&#10;eG1sTI+xTsMwEEB3JP7BOiQ2asdSmxDiVAjUSh0YCF3YnNgkKfE5it00/D3HRMfTPb17V2wXN7DZ&#10;TqH3qCBZCWAWG296bBUcP3YPGbAQNRo9eLQKfmyAbXl7U+jc+Au+27mKLSMJhlwr6GIcc85D01mn&#10;w8qPFmn35SenI41Ty82kLyR3A5dCbLjTPdKFTo/2pbPNd3V2CtLD7vMta3m9P6X76nDUr3MiT0rd&#10;3y3PT8CiXeI/DH/5lA4lNdX+jCawQcH6UUpCSbZOgBGwETIFVhOZiQR4WfDrF8pfAAAA//8DAFBL&#10;AQItABQABgAIAAAAIQC2gziS/gAAAOEBAAATAAAAAAAAAAAAAAAAAAAAAABbQ29udGVudF9UeXBl&#10;c10ueG1sUEsBAi0AFAAGAAgAAAAhADj9If/WAAAAlAEAAAsAAAAAAAAAAAAAAAAALwEAAF9yZWxz&#10;Ly5yZWxzUEsBAi0AFAAGAAgAAAAhAAgJpOxiAgAAqQQAAA4AAAAAAAAAAAAAAAAALgIAAGRycy9l&#10;Mm9Eb2MueG1sUEsBAi0AFAAGAAgAAAAhAG00Ie/fAAAACgEAAA8AAAAAAAAAAAAAAAAAvAQAAGRy&#10;cy9kb3ducmV2LnhtbFBLBQYAAAAABAAEAPMAAADIBQAAAAA=&#10;" adj="180" strokecolor="#5b9bd5" strokeweight=".5pt">
                <v:stroke joinstyle="miter"/>
              </v:shape>
            </w:pict>
          </mc:Fallback>
        </mc:AlternateContent>
      </w:r>
      <w:r w:rsidR="001C00DD">
        <w:rPr>
          <w:noProof/>
        </w:rPr>
        <w:drawing>
          <wp:inline distT="0" distB="0" distL="114300" distR="114300" wp14:anchorId="7F859975" wp14:editId="435D1D68">
            <wp:extent cx="5378019" cy="2752725"/>
            <wp:effectExtent l="0" t="0" r="0" b="0"/>
            <wp:docPr id="2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5"/>
                    <a:srcRect/>
                    <a:stretch>
                      <a:fillRect/>
                    </a:stretch>
                  </pic:blipFill>
                  <pic:spPr>
                    <a:xfrm>
                      <a:off x="0" y="0"/>
                      <a:ext cx="5384741" cy="2756166"/>
                    </a:xfrm>
                    <a:prstGeom prst="rect">
                      <a:avLst/>
                    </a:prstGeom>
                    <a:ln/>
                  </pic:spPr>
                </pic:pic>
              </a:graphicData>
            </a:graphic>
          </wp:inline>
        </w:drawing>
      </w:r>
    </w:p>
    <w:p w:rsidR="00E340B4" w:rsidRPr="00226FA5" w:rsidRDefault="00E340B4" w:rsidP="00E340B4">
      <w:pPr>
        <w:pStyle w:val="LegText"/>
        <w:ind w:left="720"/>
      </w:pPr>
    </w:p>
    <w:p w:rsidR="00EF6CF5" w:rsidRDefault="00EF6CF5" w:rsidP="00EF6CF5">
      <w:pPr>
        <w:pStyle w:val="LegText"/>
        <w:ind w:left="720"/>
      </w:pPr>
      <w:bookmarkStart w:id="312" w:name="_Toc504640592"/>
      <w:r w:rsidRPr="00226FA5">
        <w:rPr>
          <w:rStyle w:val="SubtitleChar"/>
        </w:rPr>
        <w:t>Figure 3.4 Monthly weight measurement.</w:t>
      </w:r>
      <w:bookmarkEnd w:id="312"/>
      <w:r>
        <w:t xml:space="preserve"> Each rat was placed on a measuring scale. The plot is the x̅ ± SEM of 5 rats for prophylaxis group and 10 rats collectively for the diseased and treatment groups for the first four months and 5 rats per diseased and treatment group thereafter. Statistical significance was done with a two-way ANOVA </w:t>
      </w:r>
      <w:r w:rsidRPr="00226FA5">
        <w:t>followed by Tukey's multiple comparisons test.</w:t>
      </w:r>
    </w:p>
    <w:p w:rsidR="00EF6CF5" w:rsidRPr="00226FA5" w:rsidRDefault="00EF6CF5" w:rsidP="00EF6CF5">
      <w:pPr>
        <w:pStyle w:val="LegText"/>
        <w:ind w:left="720"/>
      </w:pPr>
    </w:p>
    <w:p w:rsidR="00EF6CF5" w:rsidRDefault="009A7933" w:rsidP="00BF6D15">
      <w:pPr>
        <w:ind w:left="720"/>
      </w:pPr>
      <w:r>
        <w:t xml:space="preserve">All results were essentially within the normal range indicating that rats were in a good state of health prior to the beginning of the procedures. Over the period of the study the rats demonstrated threefold increase in amount of food consumed (polyphagia) (Fig 3.1), fivefold increase in water consumed (polydipsia) (Fig 3.2) and about sevenfold increase in urine output (Fig 3.3). These are all characteristics of diabetes. </w:t>
      </w:r>
    </w:p>
    <w:p w:rsidR="009A7933" w:rsidRDefault="009A7933" w:rsidP="00BF6D15">
      <w:pPr>
        <w:ind w:left="720"/>
      </w:pPr>
      <w:r>
        <w:t>Fig 3.5 s</w:t>
      </w:r>
      <w:r w:rsidR="00EF6CF5">
        <w:t>howed the blood glucose through</w:t>
      </w:r>
      <w:r>
        <w:t xml:space="preserve">out the study with a sharp increase after the injection of streptozotocin. There was no significant difference in blood glucose between the groups however, </w:t>
      </w:r>
      <w:bookmarkStart w:id="313" w:name="2lwamvv" w:colFirst="0" w:colLast="0"/>
      <w:bookmarkEnd w:id="313"/>
      <w:r>
        <w:t xml:space="preserve">there was a significant difference of P &lt; 0.0001 between baseline and 8 months across all the groups. </w:t>
      </w:r>
    </w:p>
    <w:p w:rsidR="00EF6CF5" w:rsidRDefault="00EF6CF5">
      <w:pPr>
        <w:spacing w:after="160" w:line="259" w:lineRule="auto"/>
        <w:jc w:val="left"/>
      </w:pPr>
      <w:r>
        <w:br w:type="page"/>
      </w:r>
    </w:p>
    <w:p w:rsidR="00EF6CF5" w:rsidRDefault="00B148CB" w:rsidP="00BF6D15">
      <w:pPr>
        <w:ind w:left="720"/>
      </w:pPr>
      <w:r w:rsidRPr="00EF6CF5">
        <w:rPr>
          <w:rFonts w:asciiTheme="minorHAnsi" w:hAnsiTheme="minorHAnsi" w:cstheme="minorBidi"/>
          <w:noProof/>
          <w:sz w:val="22"/>
          <w:szCs w:val="22"/>
          <w:lang w:eastAsia="en-GB"/>
        </w:rPr>
        <w:lastRenderedPageBreak/>
        <mc:AlternateContent>
          <mc:Choice Requires="wps">
            <w:drawing>
              <wp:anchor distT="0" distB="0" distL="114300" distR="114300" simplePos="0" relativeHeight="251970560" behindDoc="0" locked="0" layoutInCell="1" allowOverlap="1" wp14:anchorId="3321C893" wp14:editId="32188665">
                <wp:simplePos x="0" y="0"/>
                <wp:positionH relativeFrom="column">
                  <wp:posOffset>3866832</wp:posOffset>
                </wp:positionH>
                <wp:positionV relativeFrom="paragraph">
                  <wp:posOffset>1343343</wp:posOffset>
                </wp:positionV>
                <wp:extent cx="704850" cy="276225"/>
                <wp:effectExtent l="0" t="0" r="0" b="0"/>
                <wp:wrapNone/>
                <wp:docPr id="119" name="Rectangle 7"/>
                <wp:cNvGraphicFramePr/>
                <a:graphic xmlns:a="http://schemas.openxmlformats.org/drawingml/2006/main">
                  <a:graphicData uri="http://schemas.microsoft.com/office/word/2010/wordprocessingShape">
                    <wps:wsp>
                      <wps:cNvSpPr/>
                      <wps:spPr>
                        <a:xfrm rot="5400000">
                          <a:off x="0" y="0"/>
                          <a:ext cx="704850" cy="276225"/>
                        </a:xfrm>
                        <a:prstGeom prst="rect">
                          <a:avLst/>
                        </a:prstGeom>
                      </wps:spPr>
                      <wps:txbx>
                        <w:txbxContent>
                          <w:p w:rsidR="00AD6A02" w:rsidRPr="00D63A19" w:rsidRDefault="00AD6A02" w:rsidP="00EF6CF5">
                            <w:pPr>
                              <w:pStyle w:val="NormalWeb"/>
                              <w:rPr>
                                <w:szCs w:val="24"/>
                              </w:rPr>
                            </w:pPr>
                            <w:r w:rsidRPr="00D63A19">
                              <w:rPr>
                                <w:rFonts w:asciiTheme="minorHAnsi" w:hAnsi="Calibri" w:cstheme="minorBidi"/>
                                <w:color w:val="000000" w:themeColor="text1"/>
                                <w:kern w:val="24"/>
                                <w:szCs w:val="24"/>
                              </w:rPr>
                              <w:t>****</w:t>
                            </w:r>
                          </w:p>
                          <w:p w:rsidR="00AD6A02" w:rsidRDefault="00AD6A02" w:rsidP="00EF6CF5">
                            <w:pPr>
                              <w:pStyle w:val="NormalWeb"/>
                            </w:pPr>
                          </w:p>
                          <w:p w:rsidR="00AD6A02" w:rsidRDefault="00AD6A02" w:rsidP="00EF6CF5">
                            <w:pPr>
                              <w:pStyle w:val="NormalWeb"/>
                            </w:pPr>
                          </w:p>
                          <w:p w:rsidR="00AD6A02" w:rsidRDefault="00AD6A02" w:rsidP="00EF6CF5">
                            <w:pPr>
                              <w:pStyle w:val="NormalWeb"/>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321C893" id="_x0000_s1032" style="position:absolute;left:0;text-align:left;margin-left:304.45pt;margin-top:105.8pt;width:55.5pt;height:21.75pt;rotation:9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oOkQEAAAUDAAAOAAAAZHJzL2Uyb0RvYy54bWysUk1v4yAQvVfa/4C4b+xYTdJacaqVqu5l&#10;ta368QMIhhjJMHQgsfPvO+A0rba3ajmMGGZ4vPeG9c1oe3ZQGAy4hs9nJWfKSWiN2zX85fnu5xVn&#10;IQrXih6cavhRBX6z+XGxHnytKuigbxUyAnGhHnzDuxh9XRRBdsqKMAOvHBU1oBWRUtwVLYqB0G1f&#10;VGW5LAbA1iNIFQKd3k5Fvsn4WisZ77UOKrK+4cQt5og5blMsNmtR71D4zsgTDfENFlYYR4+eoW5F&#10;FGyP5guUNRIhgI4zCbYArY1UWQOpmZf/qHnqhFdZC5kT/Nmm8P9g5d/DAzLT0uzm15w5YWlIj2Sb&#10;cLtesVUyaPChpr4n/4CnLNA2qR01WoZAri4uy7SyB6SKjdni49liNUYm6XBVXl4taBCSStVqWVWL&#10;9EIxQSVIjyH+VmBZ2jQciUoGFYc/IU6t7y10L1GbyKRdHLdj1rJ8p72F9kj6Bhpww8PrXmDyU9QO&#10;fu0jaJMR09Wp8YRIXmdOp3+Rhvk5z10fv3fzBgAA//8DAFBLAwQUAAYACAAAACEAxTmcGuAAAAAL&#10;AQAADwAAAGRycy9kb3ducmV2LnhtbEyPwU7DMBBE70j8g7VIXBB1GpDrhjhVqYSqHmkRZydektDY&#10;jmy3DX/PcqLH1TzNvC1Xkx3YGUPsvVMwn2XA0DXe9K5V8HF4e5TAYtLO6ME7VPCDEVbV7U2pC+Mv&#10;7h3P+9QyKnGx0Aq6lMaC89h0aHWc+REdZV8+WJ3oDC03QV+o3A48zzLBre4dLXR6xE2HzXF/sgo2&#10;osbX3cHs1p/tU3YU31sZHrZK3d9N6xdgCaf0D8OfPqlDRU61PzkT2aBAPOeCUAoWiyUwIoQUc2C1&#10;glzKJfCq5Nc/VL8AAAD//wMAUEsBAi0AFAAGAAgAAAAhALaDOJL+AAAA4QEAABMAAAAAAAAAAAAA&#10;AAAAAAAAAFtDb250ZW50X1R5cGVzXS54bWxQSwECLQAUAAYACAAAACEAOP0h/9YAAACUAQAACwAA&#10;AAAAAAAAAAAAAAAvAQAAX3JlbHMvLnJlbHNQSwECLQAUAAYACAAAACEA673aDpEBAAAFAwAADgAA&#10;AAAAAAAAAAAAAAAuAgAAZHJzL2Uyb0RvYy54bWxQSwECLQAUAAYACAAAACEAxTmcGuAAAAALAQAA&#10;DwAAAAAAAAAAAAAAAADrAwAAZHJzL2Rvd25yZXYueG1sUEsFBgAAAAAEAAQA8wAAAPgEAAAAAA==&#10;" filled="f" stroked="f">
                <v:textbox>
                  <w:txbxContent>
                    <w:p w:rsidR="00AD6A02" w:rsidRPr="00D63A19" w:rsidRDefault="00AD6A02" w:rsidP="00EF6CF5">
                      <w:pPr>
                        <w:pStyle w:val="NormalWeb"/>
                        <w:rPr>
                          <w:szCs w:val="24"/>
                        </w:rPr>
                      </w:pPr>
                      <w:r w:rsidRPr="00D63A19">
                        <w:rPr>
                          <w:rFonts w:asciiTheme="minorHAnsi" w:hAnsi="Calibri" w:cstheme="minorBidi"/>
                          <w:color w:val="000000" w:themeColor="text1"/>
                          <w:kern w:val="24"/>
                          <w:szCs w:val="24"/>
                        </w:rPr>
                        <w:t>****</w:t>
                      </w:r>
                    </w:p>
                    <w:p w:rsidR="00AD6A02" w:rsidRDefault="00AD6A02" w:rsidP="00EF6CF5">
                      <w:pPr>
                        <w:pStyle w:val="NormalWeb"/>
                      </w:pPr>
                    </w:p>
                    <w:p w:rsidR="00AD6A02" w:rsidRDefault="00AD6A02" w:rsidP="00EF6CF5">
                      <w:pPr>
                        <w:pStyle w:val="NormalWeb"/>
                      </w:pPr>
                    </w:p>
                    <w:p w:rsidR="00AD6A02" w:rsidRDefault="00AD6A02" w:rsidP="00EF6CF5">
                      <w:pPr>
                        <w:pStyle w:val="NormalWeb"/>
                      </w:pPr>
                    </w:p>
                  </w:txbxContent>
                </v:textbox>
              </v:rect>
            </w:pict>
          </mc:Fallback>
        </mc:AlternateContent>
      </w:r>
      <w:r>
        <w:rPr>
          <w:noProof/>
          <w:lang w:eastAsia="en-GB"/>
        </w:rPr>
        <mc:AlternateContent>
          <mc:Choice Requires="wps">
            <w:drawing>
              <wp:anchor distT="0" distB="0" distL="114300" distR="114300" simplePos="0" relativeHeight="251968512" behindDoc="0" locked="0" layoutInCell="1" allowOverlap="1" wp14:anchorId="2FA5D947" wp14:editId="088D4141">
                <wp:simplePos x="0" y="0"/>
                <wp:positionH relativeFrom="column">
                  <wp:posOffset>4017645</wp:posOffset>
                </wp:positionH>
                <wp:positionV relativeFrom="paragraph">
                  <wp:posOffset>1019174</wp:posOffset>
                </wp:positionV>
                <wp:extent cx="66675" cy="733425"/>
                <wp:effectExtent l="0" t="0" r="47625" b="28575"/>
                <wp:wrapNone/>
                <wp:docPr id="113" name="Right Brace 2"/>
                <wp:cNvGraphicFramePr/>
                <a:graphic xmlns:a="http://schemas.openxmlformats.org/drawingml/2006/main">
                  <a:graphicData uri="http://schemas.microsoft.com/office/word/2010/wordprocessingShape">
                    <wps:wsp>
                      <wps:cNvSpPr/>
                      <wps:spPr>
                        <a:xfrm flipV="1">
                          <a:off x="0" y="0"/>
                          <a:ext cx="66675" cy="733425"/>
                        </a:xfrm>
                        <a:prstGeom prst="rightBrace">
                          <a:avLst/>
                        </a:prstGeom>
                        <a:noFill/>
                        <a:ln w="6350" cap="flat" cmpd="sng" algn="ctr">
                          <a:solidFill>
                            <a:srgbClr val="5B9BD5"/>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27E99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316.35pt;margin-top:80.25pt;width:5.25pt;height:57.75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43iYgIAAKkEAAAOAAAAZHJzL2Uyb0RvYy54bWysVNtOHDEMfa/Uf4jyXmbvwIhZtLCiqoQo&#10;KrQ8ezOZmUi51cle6NfXycwCpW9V9yGKx86xj328F5cHo9lOYlDOVnx8MuJMWuFqZduKf3+8+XTG&#10;WYhga9DOyoo/y8Avlx8/XOx9KSeuc7qWyAjEhnLvK97F6MuiCKKTBsKJ89KSs3FoIJKJbVEj7And&#10;6GIyGi2KvcPaoxMyBPq67p18mfGbRor4tWmCjExXnGqL+cR8btJZLC+gbBF8p8RQBvxDFQaUpaQv&#10;UGuIwLao/oIySqALroknwpnCNY0SMnMgNuPROzYPHXiZuVBzgn9pU/h/sOJud49M1TS78ZQzC4aG&#10;9E21XWRXCEKySWrR3oeSIh/8PQ5WoGvie2jQsEYr/4MQcgeIEzvkBj+/NFgeIhP0cbFYnM45E+Q5&#10;nU5nk3kCL3qUhOYxxM/SGZYuFcdURy4jI8PuNsT+wTEwPbLuRmlN36HUlu0py3ROoxZAcmo0RLoa&#10;TwSDbTkD3ZJORcSMGJxWdXqdHgdsN9ca2Q5IK/Or86v1sbw/wlLqNYSuj8uuXkVGRZKyVqbiZ6P0&#10;G8hpm9BlFuNAIPWz72C6bVz9TENA16szeHGjKMkthHgPSHIkNrRi5O0c/uJsT3IlOj+3gJIz/cWS&#10;Hs7Hs1nSdzZm89MJGfjWs3nrsVtz7YjlmJbTi3xN8VEfrw0680SbtUpZyQVWUO6+cYNxHfs1ot0U&#10;crXKYaRpD/HWPnhxlENq1+PhCdAPQ40khjt3lDaU76bax/ZzXW2ja1Qe+WufSDDJoH3I0hl2Ny3c&#10;WztHvf7DLH8DAAD//wMAUEsDBBQABgAIAAAAIQDyG9eS4QAAAAsBAAAPAAAAZHJzL2Rvd25yZXYu&#10;eG1sTI/BTsMwEETvSPyDtUjcqE1aHBTiVAipQlxAFARXN9kmofE6it024eu7PcFxNU8zb/Pl6Dpx&#10;wCG0ngzczhQIpNJXLdUGPj9WN/cgQrRU2c4TGpgwwLK4vMhtVvkjveNhHWvBJRQya6CJsc+kDGWD&#10;zoaZ75E42/rB2cjnUMtqsEcud51MlNLS2ZZ4obE9PjVY7tZ7Z6B9XYTnt1RPL6tJ//jvcvu7+5LG&#10;XF+Njw8gIo7xD4azPqtDwU4bv6cqiM6AnicpoxxodQeCCb2YJyA2BpJUK5BFLv//UJwAAAD//wMA&#10;UEsBAi0AFAAGAAgAAAAhALaDOJL+AAAA4QEAABMAAAAAAAAAAAAAAAAAAAAAAFtDb250ZW50X1R5&#10;cGVzXS54bWxQSwECLQAUAAYACAAAACEAOP0h/9YAAACUAQAACwAAAAAAAAAAAAAAAAAvAQAAX3Jl&#10;bHMvLnJlbHNQSwECLQAUAAYACAAAACEAQE+N4mICAACpBAAADgAAAAAAAAAAAAAAAAAuAgAAZHJz&#10;L2Uyb0RvYy54bWxQSwECLQAUAAYACAAAACEA8hvXkuEAAAALAQAADwAAAAAAAAAAAAAAAAC8BAAA&#10;ZHJzL2Rvd25yZXYueG1sUEsFBgAAAAAEAAQA8wAAAMoFAAAAAA==&#10;" adj="164" strokecolor="#5b9bd5" strokeweight=".5pt">
                <v:stroke joinstyle="miter"/>
              </v:shape>
            </w:pict>
          </mc:Fallback>
        </mc:AlternateContent>
      </w:r>
      <w:r w:rsidR="00EF6CF5">
        <w:rPr>
          <w:noProof/>
          <w:lang w:eastAsia="en-GB"/>
        </w:rPr>
        <w:drawing>
          <wp:inline distT="0" distB="0" distL="114300" distR="114300" wp14:anchorId="5765BB9F" wp14:editId="74DBB04E">
            <wp:extent cx="5343525" cy="2809875"/>
            <wp:effectExtent l="0" t="0" r="0" b="0"/>
            <wp:docPr id="2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6"/>
                    <a:srcRect/>
                    <a:stretch>
                      <a:fillRect/>
                    </a:stretch>
                  </pic:blipFill>
                  <pic:spPr>
                    <a:xfrm>
                      <a:off x="0" y="0"/>
                      <a:ext cx="5343525" cy="2809875"/>
                    </a:xfrm>
                    <a:prstGeom prst="rect">
                      <a:avLst/>
                    </a:prstGeom>
                    <a:ln/>
                  </pic:spPr>
                </pic:pic>
              </a:graphicData>
            </a:graphic>
          </wp:inline>
        </w:drawing>
      </w:r>
    </w:p>
    <w:p w:rsidR="00EF6CF5" w:rsidRDefault="00EF6CF5" w:rsidP="00EF6CF5">
      <w:pPr>
        <w:pStyle w:val="LegText"/>
        <w:ind w:left="720"/>
      </w:pPr>
      <w:bookmarkStart w:id="314" w:name="_Toc504640593"/>
      <w:r w:rsidRPr="00226FA5">
        <w:rPr>
          <w:rStyle w:val="SubtitleChar"/>
        </w:rPr>
        <w:t>Figure 3.5 Blood glucose</w:t>
      </w:r>
      <w:bookmarkEnd w:id="314"/>
      <w:r w:rsidRPr="00226FA5">
        <w:t>. During the course of the study with diabetes established after administration of 80 mg/kg streptozotocin and maintained thereafter within 20-25 mmol/L with subcutaneous insulin implant. The plot is the x̅ ± SEM of 5 rats for prophylaxis group and 10 rats collectively for the diseased and treatment groups for the first four months and 5 rats per diseased a</w:t>
      </w:r>
      <w:r w:rsidR="000A531E">
        <w:t>nd treatment group thereafter.</w:t>
      </w:r>
      <w:r w:rsidRPr="00226FA5">
        <w:t xml:space="preserve"> Statistical significance was done with a two-way ANOVA followed by Tukey's multiple comparisons test.</w:t>
      </w:r>
    </w:p>
    <w:p w:rsidR="00EF6CF5" w:rsidRPr="00226FA5" w:rsidRDefault="00EF6CF5" w:rsidP="00EF6CF5">
      <w:pPr>
        <w:pStyle w:val="LegText"/>
        <w:ind w:left="720"/>
        <w:rPr>
          <w:rFonts w:eastAsiaTheme="minorHAnsi"/>
        </w:rPr>
      </w:pPr>
    </w:p>
    <w:p w:rsidR="009A7933" w:rsidRPr="00AF3AA5" w:rsidRDefault="009A7933" w:rsidP="00AF3AA5">
      <w:pPr>
        <w:ind w:left="720"/>
      </w:pPr>
      <w:r>
        <w:t>The right kidney was excised before the experiment started and the kidneys weighed. The left kidneys were removed at the end of the study and all kidneys showed over 200% compensatory hypertrophy (Table 3</w:t>
      </w:r>
      <w:r w:rsidRPr="000A531E">
        <w:t>.1).</w:t>
      </w:r>
      <w:r w:rsidR="00353F19" w:rsidRPr="000A531E">
        <w:t xml:space="preserve"> </w:t>
      </w:r>
    </w:p>
    <w:p w:rsidR="009A7933" w:rsidRPr="00226FA5" w:rsidRDefault="009A7933" w:rsidP="00BF6D15">
      <w:pPr>
        <w:pStyle w:val="Heading3"/>
        <w:ind w:firstLine="720"/>
      </w:pPr>
      <w:bookmarkStart w:id="315" w:name="_Toc506232373"/>
      <w:r w:rsidRPr="00226FA5">
        <w:t>3.2 Kidney weight</w:t>
      </w:r>
      <w:bookmarkEnd w:id="315"/>
    </w:p>
    <w:p w:rsidR="009A7933" w:rsidRDefault="00353F19" w:rsidP="00BF6D15">
      <w:pPr>
        <w:ind w:left="720"/>
      </w:pPr>
      <w:r>
        <w:t xml:space="preserve">All mammals </w:t>
      </w:r>
      <w:r w:rsidR="00BE1AAB">
        <w:t xml:space="preserve">have </w:t>
      </w:r>
      <w:r w:rsidR="009A7933">
        <w:t>two kidneys which perform the function of</w:t>
      </w:r>
      <w:r w:rsidR="009A7933">
        <w:rPr>
          <w:color w:val="2E75B5"/>
        </w:rPr>
        <w:t xml:space="preserve"> </w:t>
      </w:r>
      <w:r w:rsidR="009A7933">
        <w:t xml:space="preserve">extracting waste from the blood, formation of urine, </w:t>
      </w:r>
      <w:r>
        <w:t>maintenance of</w:t>
      </w:r>
      <w:r w:rsidR="009A7933">
        <w:t xml:space="preserve"> body fluid balance and secretion of substances. Many pathological renal models have adopted the concept of reduction in renal mass to mimic renal pathologies. The reduction of renal mass by 50% has been considered dangerous (Rugiu et al., 1986). However further studies have shown that after post unilateral nephrectomy, the renal functions are stable but subjects are prone to glomerulopathy (Novick et al., 1991), the explanation for the stability was that a compensatory hypertrophy occurs from gradual enlargement of the glomeruli and the tubules of the residual kidney (Fajers, 1957)</w:t>
      </w:r>
      <w:r w:rsidR="00226FA5">
        <w:t>.</w:t>
      </w:r>
      <w:r w:rsidR="009A7933">
        <w:t xml:space="preserve"> </w:t>
      </w:r>
    </w:p>
    <w:tbl>
      <w:tblPr>
        <w:tblpPr w:leftFromText="180" w:rightFromText="180" w:vertAnchor="text" w:horzAnchor="page" w:tblpX="2941" w:tblpY="241"/>
        <w:tblW w:w="7640" w:type="dxa"/>
        <w:tblLayout w:type="fixed"/>
        <w:tblLook w:val="0400" w:firstRow="0" w:lastRow="0" w:firstColumn="0" w:lastColumn="0" w:noHBand="0" w:noVBand="1"/>
      </w:tblPr>
      <w:tblGrid>
        <w:gridCol w:w="1686"/>
        <w:gridCol w:w="3119"/>
        <w:gridCol w:w="2835"/>
      </w:tblGrid>
      <w:tr w:rsidR="00353F19" w:rsidTr="0084683B">
        <w:trPr>
          <w:trHeight w:val="620"/>
        </w:trPr>
        <w:tc>
          <w:tcPr>
            <w:tcW w:w="1686"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lastRenderedPageBreak/>
              <w:t>GROUPS</w:t>
            </w:r>
          </w:p>
        </w:tc>
        <w:tc>
          <w:tcPr>
            <w:tcW w:w="3119"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t>WEIGHT OF RIGHT KIDNEY AT THE START OF STUDY (gm)</w:t>
            </w:r>
          </w:p>
        </w:tc>
        <w:tc>
          <w:tcPr>
            <w:tcW w:w="2835"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t>WEIGHT OF LEFT KIDNEY AT THE END OF STUDY (gm)</w:t>
            </w:r>
          </w:p>
        </w:tc>
      </w:tr>
      <w:tr w:rsidR="00353F19" w:rsidTr="0084683B">
        <w:trPr>
          <w:trHeight w:val="320"/>
        </w:trPr>
        <w:tc>
          <w:tcPr>
            <w:tcW w:w="1686"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t>CONTROL</w:t>
            </w:r>
          </w:p>
        </w:tc>
        <w:tc>
          <w:tcPr>
            <w:tcW w:w="3119"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1.7 ± 0.07</w:t>
            </w:r>
          </w:p>
          <w:p w:rsidR="00353F19" w:rsidRPr="0084683B" w:rsidRDefault="00353F19" w:rsidP="0084683B">
            <w:pPr>
              <w:spacing w:after="0" w:line="240" w:lineRule="auto"/>
              <w:rPr>
                <w:rFonts w:cs="Arial"/>
                <w:sz w:val="20"/>
                <w:szCs w:val="20"/>
              </w:rPr>
            </w:pPr>
          </w:p>
        </w:tc>
        <w:tc>
          <w:tcPr>
            <w:tcW w:w="2835"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 xml:space="preserve">5.3 ± </w:t>
            </w:r>
            <w:r w:rsidRPr="0084683B">
              <w:rPr>
                <w:rFonts w:eastAsia="Arial" w:cs="Arial"/>
                <w:sz w:val="20"/>
                <w:szCs w:val="20"/>
              </w:rPr>
              <w:t>0.22</w:t>
            </w:r>
          </w:p>
        </w:tc>
      </w:tr>
      <w:tr w:rsidR="00353F19" w:rsidTr="0084683B">
        <w:trPr>
          <w:trHeight w:val="320"/>
        </w:trPr>
        <w:tc>
          <w:tcPr>
            <w:tcW w:w="1686"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t>PROPHYLAXIS</w:t>
            </w:r>
          </w:p>
        </w:tc>
        <w:tc>
          <w:tcPr>
            <w:tcW w:w="3119"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1.6 ± 0.02</w:t>
            </w:r>
          </w:p>
          <w:p w:rsidR="00353F19" w:rsidRPr="0084683B" w:rsidRDefault="00353F19" w:rsidP="0084683B">
            <w:pPr>
              <w:spacing w:after="0" w:line="240" w:lineRule="auto"/>
              <w:rPr>
                <w:rFonts w:cs="Arial"/>
                <w:sz w:val="20"/>
                <w:szCs w:val="20"/>
              </w:rPr>
            </w:pPr>
          </w:p>
        </w:tc>
        <w:tc>
          <w:tcPr>
            <w:tcW w:w="2835" w:type="dxa"/>
            <w:tcBorders>
              <w:top w:val="single" w:sz="12" w:space="0" w:color="auto"/>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5.1 ± 0.33</w:t>
            </w:r>
          </w:p>
        </w:tc>
      </w:tr>
      <w:tr w:rsidR="00353F19" w:rsidTr="0084683B">
        <w:trPr>
          <w:trHeight w:val="320"/>
        </w:trPr>
        <w:tc>
          <w:tcPr>
            <w:tcW w:w="1686" w:type="dxa"/>
            <w:tcBorders>
              <w:left w:val="single" w:sz="12" w:space="0" w:color="auto"/>
              <w:bottom w:val="single" w:sz="12" w:space="0" w:color="auto"/>
              <w:right w:val="single" w:sz="12" w:space="0" w:color="auto"/>
            </w:tcBorders>
          </w:tcPr>
          <w:p w:rsidR="00353F19" w:rsidRPr="0084683B" w:rsidRDefault="00353F19" w:rsidP="0084683B">
            <w:pPr>
              <w:keepNext/>
              <w:keepLines/>
              <w:spacing w:before="40" w:after="0" w:line="240" w:lineRule="auto"/>
              <w:rPr>
                <w:rFonts w:cs="Arial"/>
                <w:sz w:val="20"/>
                <w:szCs w:val="20"/>
              </w:rPr>
            </w:pPr>
            <w:r w:rsidRPr="0084683B">
              <w:rPr>
                <w:rFonts w:eastAsia="Calibri" w:cs="Arial"/>
                <w:sz w:val="20"/>
                <w:szCs w:val="20"/>
              </w:rPr>
              <w:t>TREATMENT</w:t>
            </w:r>
          </w:p>
        </w:tc>
        <w:tc>
          <w:tcPr>
            <w:tcW w:w="3119" w:type="dxa"/>
            <w:tcBorders>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1.6 ± 0.05</w:t>
            </w:r>
          </w:p>
          <w:p w:rsidR="00353F19" w:rsidRPr="0084683B" w:rsidRDefault="00353F19" w:rsidP="0084683B">
            <w:pPr>
              <w:spacing w:after="0" w:line="240" w:lineRule="auto"/>
              <w:rPr>
                <w:rFonts w:cs="Arial"/>
                <w:sz w:val="20"/>
                <w:szCs w:val="20"/>
              </w:rPr>
            </w:pPr>
          </w:p>
        </w:tc>
        <w:tc>
          <w:tcPr>
            <w:tcW w:w="2835" w:type="dxa"/>
            <w:tcBorders>
              <w:left w:val="single" w:sz="12" w:space="0" w:color="auto"/>
              <w:bottom w:val="single" w:sz="12" w:space="0" w:color="auto"/>
              <w:right w:val="single" w:sz="12" w:space="0" w:color="auto"/>
            </w:tcBorders>
          </w:tcPr>
          <w:p w:rsidR="00353F19" w:rsidRPr="0084683B" w:rsidRDefault="00353F19" w:rsidP="0084683B">
            <w:pPr>
              <w:spacing w:after="0" w:line="240" w:lineRule="auto"/>
              <w:rPr>
                <w:rFonts w:cs="Arial"/>
                <w:sz w:val="20"/>
                <w:szCs w:val="20"/>
              </w:rPr>
            </w:pPr>
            <w:r w:rsidRPr="0084683B">
              <w:rPr>
                <w:rFonts w:cs="Arial"/>
                <w:color w:val="000000"/>
                <w:sz w:val="20"/>
                <w:szCs w:val="20"/>
              </w:rPr>
              <w:t>5.9 ± 0.51</w:t>
            </w:r>
          </w:p>
        </w:tc>
      </w:tr>
    </w:tbl>
    <w:p w:rsidR="00047853" w:rsidRPr="00BE1AAB" w:rsidRDefault="00353F19" w:rsidP="00BE1AAB">
      <w:pPr>
        <w:spacing w:after="160" w:line="259" w:lineRule="auto"/>
      </w:pPr>
      <w:r>
        <w:tab/>
      </w:r>
    </w:p>
    <w:p w:rsidR="00C82DDB" w:rsidRPr="00D83BF6" w:rsidRDefault="00D83BF6" w:rsidP="00D83BF6">
      <w:pPr>
        <w:pStyle w:val="Table"/>
        <w:ind w:left="720"/>
        <w:rPr>
          <w:b w:val="0"/>
          <w:i w:val="0"/>
        </w:rPr>
      </w:pPr>
      <w:r>
        <w:t xml:space="preserve"> </w:t>
      </w:r>
      <w:r w:rsidR="009A7933" w:rsidRPr="002A373B">
        <w:t xml:space="preserve">Table 3.1 </w:t>
      </w:r>
      <w:r w:rsidR="002A373B" w:rsidRPr="002A373B">
        <w:t>Kidney weight</w:t>
      </w:r>
      <w:r w:rsidR="002A373B">
        <w:t xml:space="preserve">. </w:t>
      </w:r>
      <w:r w:rsidR="009A7933" w:rsidRPr="00D83BF6">
        <w:rPr>
          <w:b w:val="0"/>
          <w:i w:val="0"/>
        </w:rPr>
        <w:t xml:space="preserve">Mean kidney weight ± SEM at the beginning (right kidneys) and at the end of the experiment (left kidneys) where n=18. </w:t>
      </w:r>
      <w:bookmarkStart w:id="316" w:name="111kx3o" w:colFirst="0" w:colLast="0"/>
      <w:bookmarkEnd w:id="316"/>
      <w:r w:rsidR="009A7933" w:rsidRPr="00D83BF6">
        <w:rPr>
          <w:b w:val="0"/>
          <w:i w:val="0"/>
        </w:rPr>
        <w:t xml:space="preserve">The values are the x̅ </w:t>
      </w:r>
      <w:r w:rsidR="00C82DDB" w:rsidRPr="00D83BF6">
        <w:rPr>
          <w:b w:val="0"/>
          <w:i w:val="0"/>
        </w:rPr>
        <w:t xml:space="preserve">± SEM of 6 rats for each group. A student t-test between the right and the left kidneys showed a P&lt;0.0001 in all the three groups. </w:t>
      </w:r>
    </w:p>
    <w:p w:rsidR="009A7933" w:rsidRPr="000A531E" w:rsidRDefault="009A7933" w:rsidP="00E155EB">
      <w:pPr>
        <w:spacing w:after="160" w:line="259" w:lineRule="auto"/>
        <w:ind w:left="720"/>
        <w:rPr>
          <w:rFonts w:eastAsia="Times New Roman" w:cs="Arial"/>
          <w:color w:val="FF0000"/>
          <w:sz w:val="22"/>
          <w:szCs w:val="22"/>
        </w:rPr>
      </w:pPr>
    </w:p>
    <w:p w:rsidR="00226FA5" w:rsidRDefault="00226FA5" w:rsidP="009A7933">
      <w:pPr>
        <w:spacing w:after="160" w:line="259" w:lineRule="auto"/>
        <w:rPr>
          <w:rFonts w:ascii="Times New Roman" w:eastAsia="Times New Roman" w:hAnsi="Times New Roman"/>
          <w:sz w:val="20"/>
          <w:szCs w:val="20"/>
        </w:rPr>
      </w:pPr>
    </w:p>
    <w:p w:rsidR="009A7933" w:rsidRPr="00226FA5" w:rsidRDefault="009A7933" w:rsidP="00E155EB">
      <w:pPr>
        <w:pStyle w:val="Heading3"/>
        <w:ind w:firstLine="720"/>
      </w:pPr>
      <w:bookmarkStart w:id="317" w:name="_Toc506232374"/>
      <w:r w:rsidRPr="00226FA5">
        <w:t>3.3 Blood pressure</w:t>
      </w:r>
      <w:bookmarkEnd w:id="317"/>
      <w:r w:rsidRPr="00226FA5">
        <w:t xml:space="preserve"> </w:t>
      </w:r>
    </w:p>
    <w:tbl>
      <w:tblPr>
        <w:tblW w:w="7740" w:type="dxa"/>
        <w:tblInd w:w="555" w:type="dxa"/>
        <w:tblLayout w:type="fixed"/>
        <w:tblLook w:val="0400" w:firstRow="0" w:lastRow="0" w:firstColumn="0" w:lastColumn="0" w:noHBand="0" w:noVBand="1"/>
      </w:tblPr>
      <w:tblGrid>
        <w:gridCol w:w="1935"/>
        <w:gridCol w:w="1935"/>
        <w:gridCol w:w="1935"/>
        <w:gridCol w:w="1935"/>
      </w:tblGrid>
      <w:tr w:rsidR="009A7933" w:rsidTr="00167CBF">
        <w:trPr>
          <w:trHeight w:val="507"/>
        </w:trPr>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eastAsia="Times New Roman" w:cs="Arial"/>
                <w:sz w:val="20"/>
                <w:szCs w:val="20"/>
              </w:rPr>
            </w:pPr>
            <w:r w:rsidRPr="00167CBF">
              <w:rPr>
                <w:rFonts w:eastAsia="Times New Roman" w:cs="Arial"/>
                <w:sz w:val="20"/>
                <w:szCs w:val="20"/>
              </w:rPr>
              <w:t>PARAMETER</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eastAsia="Times New Roman" w:cs="Arial"/>
                <w:sz w:val="20"/>
                <w:szCs w:val="20"/>
              </w:rPr>
            </w:pPr>
            <w:r w:rsidRPr="00167CBF">
              <w:rPr>
                <w:rFonts w:eastAsia="Times New Roman" w:cs="Arial"/>
                <w:sz w:val="20"/>
                <w:szCs w:val="20"/>
              </w:rPr>
              <w:t>DISEASED GROUP</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eastAsia="Times New Roman" w:cs="Arial"/>
                <w:sz w:val="20"/>
                <w:szCs w:val="20"/>
              </w:rPr>
            </w:pPr>
            <w:r w:rsidRPr="00167CBF">
              <w:rPr>
                <w:rFonts w:eastAsia="Times New Roman" w:cs="Arial"/>
                <w:sz w:val="20"/>
                <w:szCs w:val="20"/>
              </w:rPr>
              <w:t>PROPHYLACTIC GROUP</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eastAsia="Times New Roman" w:cs="Arial"/>
                <w:sz w:val="20"/>
                <w:szCs w:val="20"/>
              </w:rPr>
            </w:pPr>
            <w:r w:rsidRPr="00167CBF">
              <w:rPr>
                <w:rFonts w:eastAsia="Times New Roman" w:cs="Arial"/>
                <w:sz w:val="20"/>
                <w:szCs w:val="20"/>
              </w:rPr>
              <w:t>TREATMENT GROUP</w:t>
            </w:r>
          </w:p>
        </w:tc>
      </w:tr>
      <w:tr w:rsidR="009A7933" w:rsidTr="00167CBF">
        <w:trPr>
          <w:trHeight w:val="490"/>
        </w:trPr>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eastAsia="Times New Roman" w:cs="Arial"/>
                <w:sz w:val="20"/>
                <w:szCs w:val="20"/>
              </w:rPr>
            </w:pPr>
            <w:r w:rsidRPr="00167CBF">
              <w:rPr>
                <w:rFonts w:eastAsia="Times New Roman" w:cs="Arial"/>
                <w:sz w:val="20"/>
                <w:szCs w:val="20"/>
              </w:rPr>
              <w:t>SYSTOLIC BLOOD PRESSURE (mmHg)</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cs="Arial"/>
                <w:sz w:val="20"/>
                <w:szCs w:val="20"/>
              </w:rPr>
            </w:pPr>
            <w:r w:rsidRPr="00167CBF">
              <w:rPr>
                <w:rFonts w:eastAsia="Calibri" w:cs="Arial"/>
                <w:sz w:val="20"/>
                <w:szCs w:val="20"/>
              </w:rPr>
              <w:t>128</w:t>
            </w:r>
            <w:r w:rsidR="00047853" w:rsidRPr="00167CBF">
              <w:rPr>
                <w:rFonts w:cs="Arial"/>
                <w:color w:val="000000"/>
                <w:sz w:val="20"/>
                <w:szCs w:val="20"/>
              </w:rPr>
              <w:t>± 0.03</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cs="Arial"/>
                <w:sz w:val="20"/>
                <w:szCs w:val="20"/>
              </w:rPr>
            </w:pPr>
            <w:r w:rsidRPr="00167CBF">
              <w:rPr>
                <w:rFonts w:eastAsia="Calibri" w:cs="Arial"/>
                <w:sz w:val="20"/>
                <w:szCs w:val="20"/>
              </w:rPr>
              <w:t>130</w:t>
            </w:r>
            <w:r w:rsidR="00047853" w:rsidRPr="00167CBF">
              <w:rPr>
                <w:rFonts w:cs="Arial"/>
                <w:color w:val="000000"/>
                <w:sz w:val="20"/>
                <w:szCs w:val="20"/>
              </w:rPr>
              <w:t>± 0.05</w:t>
            </w:r>
          </w:p>
        </w:tc>
        <w:tc>
          <w:tcPr>
            <w:tcW w:w="1935" w:type="dxa"/>
            <w:tcBorders>
              <w:top w:val="single" w:sz="12" w:space="0" w:color="auto"/>
              <w:left w:val="single" w:sz="12" w:space="0" w:color="auto"/>
              <w:bottom w:val="single" w:sz="12" w:space="0" w:color="auto"/>
              <w:right w:val="single" w:sz="12" w:space="0" w:color="auto"/>
            </w:tcBorders>
          </w:tcPr>
          <w:p w:rsidR="009A7933" w:rsidRPr="00167CBF" w:rsidRDefault="009A7933" w:rsidP="009A7933">
            <w:pPr>
              <w:spacing w:after="0" w:line="240" w:lineRule="auto"/>
              <w:rPr>
                <w:rFonts w:cs="Arial"/>
                <w:sz w:val="20"/>
                <w:szCs w:val="20"/>
              </w:rPr>
            </w:pPr>
            <w:r w:rsidRPr="00167CBF">
              <w:rPr>
                <w:rFonts w:eastAsia="Calibri" w:cs="Arial"/>
                <w:sz w:val="20"/>
                <w:szCs w:val="20"/>
              </w:rPr>
              <w:t>131</w:t>
            </w:r>
            <w:r w:rsidR="00047853" w:rsidRPr="00167CBF">
              <w:rPr>
                <w:rFonts w:cs="Arial"/>
                <w:color w:val="000000"/>
                <w:sz w:val="20"/>
                <w:szCs w:val="20"/>
              </w:rPr>
              <w:t>± 0.08</w:t>
            </w:r>
          </w:p>
        </w:tc>
      </w:tr>
    </w:tbl>
    <w:p w:rsidR="009A7933" w:rsidRDefault="009A7933" w:rsidP="009A7933">
      <w:pPr>
        <w:spacing w:after="160" w:line="259" w:lineRule="auto"/>
      </w:pPr>
    </w:p>
    <w:p w:rsidR="009A7933" w:rsidRPr="00D83BF6" w:rsidRDefault="00D83BF6" w:rsidP="00D83BF6">
      <w:pPr>
        <w:pStyle w:val="Table"/>
        <w:ind w:left="720"/>
        <w:rPr>
          <w:b w:val="0"/>
          <w:i w:val="0"/>
        </w:rPr>
      </w:pPr>
      <w:r>
        <w:t xml:space="preserve"> </w:t>
      </w:r>
      <w:r w:rsidR="009A7933" w:rsidRPr="00D26D0F">
        <w:t>Table 3.2 Systolic blood pressure measurement</w:t>
      </w:r>
      <w:r w:rsidR="009A7933" w:rsidRPr="00D26D0F">
        <w:rPr>
          <w:rFonts w:eastAsia="Calibri"/>
        </w:rPr>
        <w:t>.</w:t>
      </w:r>
      <w:r w:rsidR="009A7933" w:rsidRPr="00047853">
        <w:rPr>
          <w:rFonts w:eastAsia="Calibri"/>
        </w:rPr>
        <w:t xml:space="preserve"> </w:t>
      </w:r>
      <w:r w:rsidR="009A7933" w:rsidRPr="00D83BF6">
        <w:rPr>
          <w:b w:val="0"/>
          <w:i w:val="0"/>
        </w:rPr>
        <w:t>The values are the x̅</w:t>
      </w:r>
      <w:r w:rsidRPr="00D83BF6">
        <w:rPr>
          <w:b w:val="0"/>
          <w:i w:val="0"/>
        </w:rPr>
        <w:tab/>
      </w:r>
      <w:r w:rsidR="009A7933" w:rsidRPr="00D83BF6">
        <w:rPr>
          <w:b w:val="0"/>
          <w:i w:val="0"/>
        </w:rPr>
        <w:t xml:space="preserve"> ± SEM of 5 rats per group, with no significant difference between the three groups.</w:t>
      </w:r>
      <w:r w:rsidR="00C82DDB" w:rsidRPr="00D83BF6">
        <w:rPr>
          <w:b w:val="0"/>
          <w:i w:val="0"/>
        </w:rPr>
        <w:t xml:space="preserve"> There was no significant difference in the systolic blood pressure among the three groups.</w:t>
      </w:r>
    </w:p>
    <w:p w:rsidR="003F3AB6" w:rsidRDefault="003F3AB6" w:rsidP="00E155EB">
      <w:pPr>
        <w:spacing w:after="160" w:line="259" w:lineRule="auto"/>
        <w:ind w:left="720"/>
        <w:rPr>
          <w:rFonts w:eastAsia="Times New Roman" w:cs="Arial"/>
          <w:sz w:val="22"/>
          <w:szCs w:val="22"/>
        </w:rPr>
      </w:pPr>
    </w:p>
    <w:p w:rsidR="003F3AB6" w:rsidRDefault="003F3AB6" w:rsidP="003F3AB6">
      <w:pPr>
        <w:ind w:left="720"/>
      </w:pPr>
      <w:r>
        <w:t>Blood pressure measurement confirmed our study was not a hypertensive model as the rats remained normotensive throughout the study (Table 3.2). This finding was vital as our model was a diabetic nephropathy model and not hypertensive model therefore subsequent findings can be attributed to diabetes and not hypertension. Study of living kidney donors showed there was no change in the blood pressure post kidney donation (Moody et al., 2016).</w:t>
      </w:r>
    </w:p>
    <w:p w:rsidR="00AF3AA5" w:rsidRPr="00047853" w:rsidRDefault="00AF3AA5" w:rsidP="00E155EB">
      <w:pPr>
        <w:spacing w:after="160" w:line="259" w:lineRule="auto"/>
        <w:ind w:left="720"/>
        <w:rPr>
          <w:rFonts w:eastAsia="Times New Roman" w:cs="Arial"/>
          <w:sz w:val="22"/>
          <w:szCs w:val="22"/>
        </w:rPr>
      </w:pPr>
    </w:p>
    <w:p w:rsidR="00950B95" w:rsidRDefault="00950B95" w:rsidP="009A7933">
      <w:pPr>
        <w:spacing w:after="160" w:line="259" w:lineRule="auto"/>
        <w:rPr>
          <w:rFonts w:ascii="Times New Roman" w:eastAsia="Times New Roman" w:hAnsi="Times New Roman"/>
          <w:sz w:val="20"/>
          <w:szCs w:val="20"/>
        </w:rPr>
      </w:pPr>
    </w:p>
    <w:p w:rsidR="009A7933" w:rsidRPr="00226FA5" w:rsidRDefault="009A7933" w:rsidP="00950B95">
      <w:pPr>
        <w:pStyle w:val="Heading3"/>
        <w:ind w:firstLine="720"/>
      </w:pPr>
      <w:bookmarkStart w:id="318" w:name="_Toc506232375"/>
      <w:r w:rsidRPr="00226FA5">
        <w:t>3.4 Discussion</w:t>
      </w:r>
      <w:bookmarkEnd w:id="318"/>
      <w:r w:rsidRPr="00226FA5">
        <w:t xml:space="preserve"> </w:t>
      </w:r>
    </w:p>
    <w:p w:rsidR="009A7933" w:rsidRDefault="009A7933" w:rsidP="00950B95">
      <w:pPr>
        <w:ind w:left="720"/>
      </w:pPr>
      <w:r>
        <w:t>UK-396082 has good oral bioavailability in the rat (Bunnage et al., 2007). This property has made it possible to mix chow with UK-396082 and administer it orally (Atkinson et al., 2014). UK-396082 was therefore mixed with Harlan chow at 0.3mg/kg by Research Diets Inc New Brunswick</w:t>
      </w:r>
      <w:r w:rsidR="00167CBF">
        <w:t>,</w:t>
      </w:r>
      <w:r>
        <w:t xml:space="preserve"> USA. The presence of UK-396082 in the diet did not have any effect on food consumption, water intake, urine output or weight gain among the groups (Fig 3.4). Injection of streptozotocin in rats can cause cardiovascular and renal pathological symptoms similar to those seen in humans with poorly managed insulin dependent diabetes (King, 2012). The spontaneously hypertensive rat (SHR) will develop hypertension with the administration of streptozotocin and this has been used as a hypertensive model (Hulthén et al., 1</w:t>
      </w:r>
      <w:r w:rsidR="003F3AB6">
        <w:t>996). This information guided</w:t>
      </w:r>
      <w:r w:rsidR="008E3242">
        <w:t xml:space="preserve"> the choice of </w:t>
      </w:r>
      <w:r>
        <w:t>Wistar rats for the study as they were expected to remain normotensive and therefore only terminal blood pressure was measured during the study</w:t>
      </w:r>
      <w:r w:rsidR="00FA581E">
        <w:t>.</w:t>
      </w:r>
    </w:p>
    <w:p w:rsidR="009A7933" w:rsidRDefault="009A7933" w:rsidP="00950B95">
      <w:pPr>
        <w:ind w:left="720"/>
      </w:pPr>
      <w:r>
        <w:t>Our observations showed that all the rats in the 3 groups developed type 1 diabetes and linplants were needed to maintain blood glucose between 20-25 mM. Blood glucose results also confirmed sustained hyperglycaemia over 20</w:t>
      </w:r>
      <w:r w:rsidR="00D27214">
        <w:t xml:space="preserve"> </w:t>
      </w:r>
      <w:r>
        <w:t xml:space="preserve">mM in all 3 groups (Fig 3.5). Biophysical </w:t>
      </w:r>
      <w:r w:rsidR="00FA581E">
        <w:t xml:space="preserve">and biochemical </w:t>
      </w:r>
      <w:r>
        <w:t xml:space="preserve">characteristics were similar in all the 3 groups without any significant difference in food and water consumption, likewise urine output and body weight measurements. We can conclude that the effect of unilateral nephrectomy and streptozotocin injection was similar in all the groups and the response of the rats to these assaults were identical with the 3 groups demonstrating over 200% renal hypertrophy, polyphagia and polydipsia and with no significant differences within these parameters. Normotensive end point systolic blood pressure makes our model an exclusive diabetic model.  </w:t>
      </w:r>
    </w:p>
    <w:p w:rsidR="009A7933" w:rsidRPr="00950B95" w:rsidRDefault="009A7933" w:rsidP="00950B95">
      <w:pPr>
        <w:pStyle w:val="Heading3"/>
        <w:ind w:firstLine="720"/>
      </w:pPr>
      <w:bookmarkStart w:id="319" w:name="_Toc506232376"/>
      <w:r w:rsidRPr="00950B95">
        <w:lastRenderedPageBreak/>
        <w:t>3.5 Urinalysis</w:t>
      </w:r>
      <w:bookmarkEnd w:id="319"/>
      <w:r w:rsidRPr="00950B95">
        <w:t xml:space="preserve"> </w:t>
      </w:r>
    </w:p>
    <w:p w:rsidR="009A7933" w:rsidRDefault="009A7933" w:rsidP="00950B95">
      <w:pPr>
        <w:pStyle w:val="Heading4"/>
        <w:ind w:firstLine="720"/>
      </w:pPr>
      <w:bookmarkStart w:id="320" w:name="_Toc506232377"/>
      <w:r>
        <w:t>3.5.1 Introduction</w:t>
      </w:r>
      <w:bookmarkEnd w:id="320"/>
    </w:p>
    <w:p w:rsidR="009A7933" w:rsidRDefault="009A7933" w:rsidP="00950B95">
      <w:pPr>
        <w:ind w:left="720"/>
        <w:rPr>
          <w:color w:val="FF0000"/>
        </w:rPr>
      </w:pPr>
      <w:r>
        <w:t xml:space="preserve">Examples of urine investigations are urinalysis, urine microscopy, culture and sensitivity. Other examples are urine cytology, urine tumour antigens and hormonal assays, urine toxicology, urine quantitative measurement and urine acid fast bacilli. These investigations are highly informative in terms of assessing physiology and morbidity of urinary organs. They are diagnostic and helpful in the monitoring and prognosis prediction. </w:t>
      </w:r>
    </w:p>
    <w:p w:rsidR="009A7933" w:rsidRDefault="009A7933" w:rsidP="00950B95">
      <w:pPr>
        <w:ind w:left="720"/>
      </w:pPr>
      <w:r>
        <w:t>Diabetic nephropathy is a common cause of end stage renal disease associated with increased morbidity and mortality (Moloney et al., 1983, Gonzale</w:t>
      </w:r>
      <w:r w:rsidR="006A4094">
        <w:t>z-Carrillo et al., 1982). Our</w:t>
      </w:r>
      <w:r>
        <w:t xml:space="preserve"> diabetic nephropathy </w:t>
      </w:r>
      <w:r w:rsidR="006A4094">
        <w:t xml:space="preserve">rat </w:t>
      </w:r>
      <w:r>
        <w:t xml:space="preserve">model was for eight months, therefore we had to continuously monitor the morbidity and disease progression in our rats. </w:t>
      </w:r>
      <w:r w:rsidR="008E3242">
        <w:t xml:space="preserve">      </w:t>
      </w:r>
      <w:r w:rsidR="008E3242">
        <w:tab/>
      </w:r>
      <w:r w:rsidR="008E3242">
        <w:tab/>
      </w:r>
      <w:r w:rsidR="008E3242">
        <w:tab/>
      </w:r>
      <w:r w:rsidR="008E3242">
        <w:tab/>
        <w:t xml:space="preserve">        </w:t>
      </w:r>
      <w:r>
        <w:t xml:space="preserve">Urine examination is a complimentary aspect of physical examination and provides a lot of information about the pathological state of individuals as well as a prognostic index (Musa, 2015).  Urinalysis is an accepted clinical method to diagnose, investigate and monitor disease progression. In our rat diabetic nephropathy model, we used urinalysis to achieve the above goals. Urinalysis is a simple and common clinical test that has been of much value in the diagnosis and management of many diseases. It is useful in the diagnosis of diseases that may not have manifested with clinically evident signs and symptoms. The tests include checking the appearance, smell, and content of the urine. It may be an early pointer before patients are aware of their illnesses. However a normal urinalysis does not mean the absence of a disease. Previous studies have used reagent strips for urinalysis in diabetic rats (Hernández-Fonseca et al., 2009, Soni et al., 2001). The dipstick is a frequently used method for conducting urinalysis. </w:t>
      </w:r>
    </w:p>
    <w:p w:rsidR="009A7933" w:rsidRDefault="009A7933" w:rsidP="00950B95">
      <w:pPr>
        <w:ind w:left="720"/>
      </w:pPr>
      <w:r>
        <w:t xml:space="preserve">Urinalysis was </w:t>
      </w:r>
      <w:r w:rsidR="00D27214">
        <w:t>done as described in Section 2.4</w:t>
      </w:r>
      <w:r>
        <w:t xml:space="preserve">.1. We used the Urispec Plus Vet 10 plus which analyses 10 parameters: pH, glucose, ketone, protein, density, bilirubin, urobilinogen, nitrate, blood and leucocytes. </w:t>
      </w:r>
      <w:r>
        <w:lastRenderedPageBreak/>
        <w:t xml:space="preserve">However, the first step was to collect 24-hour urine samples and assess the urine volume, colour, transparency and smell. </w:t>
      </w:r>
    </w:p>
    <w:p w:rsidR="009A7933" w:rsidRDefault="009A7933" w:rsidP="00950B95">
      <w:pPr>
        <w:ind w:left="720"/>
      </w:pPr>
      <w:r>
        <w:t>The colour of the 24 hour urine samples was light yellow and transparent, this however became lighter yellow as the study progressed due to polyuria. 24 hour excreted urine volume was between 7-11 mls for baseline samples followed by a sharp increase after the induction of diabetes to over seven fol</w:t>
      </w:r>
      <w:r w:rsidR="00950B95">
        <w:t>d by the end of the study (Fig</w:t>
      </w:r>
      <w:r w:rsidR="0099108B">
        <w:t xml:space="preserve"> 3.3).</w:t>
      </w:r>
    </w:p>
    <w:p w:rsidR="009A7933" w:rsidRDefault="009A7933" w:rsidP="00950B95">
      <w:pPr>
        <w:pStyle w:val="Heading4"/>
        <w:ind w:firstLine="720"/>
        <w:rPr>
          <w:rFonts w:eastAsia="Times New Roman"/>
        </w:rPr>
      </w:pPr>
      <w:bookmarkStart w:id="321" w:name="_Toc506232378"/>
      <w:r>
        <w:rPr>
          <w:rFonts w:eastAsia="Times New Roman"/>
        </w:rPr>
        <w:t>3.5.2 Urine density</w:t>
      </w:r>
      <w:bookmarkEnd w:id="321"/>
      <w:r>
        <w:rPr>
          <w:rFonts w:eastAsia="Times New Roman"/>
        </w:rPr>
        <w:t xml:space="preserve"> </w:t>
      </w:r>
    </w:p>
    <w:p w:rsidR="009A7933" w:rsidRPr="002E42BF" w:rsidRDefault="009A7933" w:rsidP="00950B95">
      <w:pPr>
        <w:ind w:left="720"/>
      </w:pPr>
      <w:r>
        <w:t>Urinary density is a measure of osmolality and it assesses hydration. It is the measurement of the ratio of urine density against water density. It also provides information on the kidney's ability in concentrating urine</w:t>
      </w:r>
      <w:r>
        <w:rPr>
          <w:b/>
        </w:rPr>
        <w:t xml:space="preserve">. </w:t>
      </w:r>
      <w:r>
        <w:t>The strip measures between 1.000 to 1.030. A result below 1.010 suggest</w:t>
      </w:r>
      <w:r w:rsidR="00FA581E">
        <w:t>s</w:t>
      </w:r>
      <w:r>
        <w:t xml:space="preserve"> relative hydration while a result above 1.020 is suggestive of relative dehydration (Kavouras, 2002).  The rationale for the investigation of specific gravity was to ensure the rats did not get dehydrated from diabetes (Kershaw et al., 2005) because hyperglycaemia and dehydration could be a fatal metabolic decompensation (Kitabchi et al., 2009</w:t>
      </w:r>
      <w:r w:rsidRPr="002E42BF">
        <w:t xml:space="preserve">). Monthly urine samples collected from </w:t>
      </w:r>
      <w:r w:rsidR="00FA581E" w:rsidRPr="002E42BF">
        <w:t xml:space="preserve">a </w:t>
      </w:r>
      <w:r w:rsidRPr="002E42BF">
        <w:t>metabolic cage were tested for urine density</w:t>
      </w:r>
      <w:r w:rsidRPr="002E42BF">
        <w:rPr>
          <w:rFonts w:ascii="Calibri" w:eastAsia="Calibri" w:hAnsi="Calibri" w:cs="Calibri"/>
        </w:rPr>
        <w:t xml:space="preserve"> </w:t>
      </w:r>
      <w:r w:rsidRPr="002E42BF">
        <w:t xml:space="preserve">using the Urispec Plus Vet 10 plus dipstick strip. During the course of the study </w:t>
      </w:r>
      <w:r w:rsidR="00767D80" w:rsidRPr="002E42BF">
        <w:t xml:space="preserve">the results did not show dehydration. This does not necessarily confirm that the rats were not dehydrated but it probably explains the increase in </w:t>
      </w:r>
      <w:r w:rsidR="004C2D09" w:rsidRPr="002E42BF">
        <w:t>water consumption by the rats</w:t>
      </w:r>
      <w:r w:rsidR="00767D80" w:rsidRPr="002E42BF">
        <w:t xml:space="preserve"> </w:t>
      </w:r>
      <w:r w:rsidR="004C2D09" w:rsidRPr="002E42BF">
        <w:t xml:space="preserve">in respond to dehydration. This dehydration may also be responsible for the </w:t>
      </w:r>
      <w:r w:rsidR="00767D80" w:rsidRPr="002E42BF">
        <w:t xml:space="preserve">polydipsia seen in diabetes </w:t>
      </w:r>
      <w:r w:rsidRPr="002E42BF">
        <w:t xml:space="preserve">(results not shown). </w:t>
      </w:r>
    </w:p>
    <w:p w:rsidR="009A7933" w:rsidRDefault="009A7933" w:rsidP="00950B95">
      <w:pPr>
        <w:pStyle w:val="Heading4"/>
        <w:ind w:firstLine="720"/>
        <w:rPr>
          <w:rFonts w:eastAsia="Times New Roman"/>
        </w:rPr>
      </w:pPr>
      <w:bookmarkStart w:id="322" w:name="_Toc506232379"/>
      <w:r>
        <w:rPr>
          <w:rFonts w:eastAsia="Times New Roman"/>
        </w:rPr>
        <w:t>3.5.3 Ketones</w:t>
      </w:r>
      <w:bookmarkEnd w:id="322"/>
      <w:r>
        <w:rPr>
          <w:rFonts w:eastAsia="Times New Roman"/>
        </w:rPr>
        <w:t xml:space="preserve"> </w:t>
      </w:r>
    </w:p>
    <w:p w:rsidR="003F7785" w:rsidRDefault="009A7933" w:rsidP="00950B95">
      <w:pPr>
        <w:ind w:left="720"/>
      </w:pPr>
      <w:r>
        <w:t>Ketones are not found in the urine of healthy subjects</w:t>
      </w:r>
      <w:r w:rsidR="00FA581E">
        <w:t>,</w:t>
      </w:r>
      <w:r>
        <w:t xml:space="preserve"> however during starvation or prolonged fasting, fat becomes the source of fuel which is metabolised by the liver to generate energy and this leads to the production of acetone and related products in the blood of which the excess filters into the urine to produce ketonuria. </w:t>
      </w:r>
    </w:p>
    <w:p w:rsidR="009A7933" w:rsidRDefault="009A7933" w:rsidP="00950B95">
      <w:pPr>
        <w:ind w:left="720"/>
      </w:pPr>
      <w:r>
        <w:lastRenderedPageBreak/>
        <w:t>Ketonuria is a sign seen in poorly controlled diabetes (Morris et al., 1997) and some other conditions such as starvation and fasting (Owen et al., 1983).</w:t>
      </w:r>
    </w:p>
    <w:p w:rsidR="009A7933" w:rsidRDefault="009A7933" w:rsidP="00950B95">
      <w:pPr>
        <w:ind w:left="720"/>
      </w:pPr>
      <w:r>
        <w:t>In diabetic ketosis acidosis (DKA) there is a high uptake of ketones which accounts for 45% of oxidative metabolism in the brain (Ruderman et al., 1974). Ketone metabolism produces oxygen radicals and lipid peroxidation which is responsible for vascular disease (Laffel, 1999). The Urispec Plus Vet 10 plus dipstick can be used to detect ketonuria by the recognition of acetic acid in the rat urine in a reaction of sodium nitroprusside and glycine impregnated on the ketone area zone on the strip. Our rationale for this was to lo</w:t>
      </w:r>
      <w:r w:rsidR="000F432F">
        <w:t>ok out for DKA</w:t>
      </w:r>
      <w:r>
        <w:t xml:space="preserve"> during the study and avoid mortality from DKA. One of the complications of DKA is cerebral oedema which can be fatal (Yuen et al., 2008). During the study none of the rats in the prophylaxis group developed ketosis while two rats developed ketosis in the diseased group at months four and five. One rat in the treatment group developed ketosis in the seventh month (results not shown).</w:t>
      </w:r>
    </w:p>
    <w:p w:rsidR="009A7933" w:rsidRDefault="00BE5CBB" w:rsidP="005061D5">
      <w:pPr>
        <w:pStyle w:val="Heading4"/>
        <w:ind w:firstLine="720"/>
        <w:rPr>
          <w:rFonts w:eastAsia="Times New Roman"/>
        </w:rPr>
      </w:pPr>
      <w:bookmarkStart w:id="323" w:name="_Toc506232380"/>
      <w:r>
        <w:rPr>
          <w:rFonts w:eastAsia="Times New Roman"/>
        </w:rPr>
        <w:t>3.5.4 Urinary g</w:t>
      </w:r>
      <w:r w:rsidR="009A7933">
        <w:rPr>
          <w:rFonts w:eastAsia="Times New Roman"/>
        </w:rPr>
        <w:t>lucose</w:t>
      </w:r>
      <w:bookmarkEnd w:id="323"/>
      <w:r w:rsidR="009A7933">
        <w:rPr>
          <w:rFonts w:eastAsia="Times New Roman"/>
        </w:rPr>
        <w:t xml:space="preserve"> </w:t>
      </w:r>
    </w:p>
    <w:p w:rsidR="00BE5CBB" w:rsidRDefault="009A7933" w:rsidP="005061D5">
      <w:pPr>
        <w:ind w:left="720"/>
      </w:pPr>
      <w:r>
        <w:t xml:space="preserve">Filtration of glucose occurs in the glomerulus and reabsorption occurs in the tubules. However in a disease state such as diabetes the filtered glucose may be more than the amount that can be reabsorbed leading to glucose in the urine. The renal glucose threshold in type 1 diabetes is 10.7 mM (Menzel et al., 1998). Following the induction of diabetes with streptozotocin all samples were consistently well above the renal threshold for type 1 diabetes (Table 3.3). </w:t>
      </w:r>
    </w:p>
    <w:p w:rsidR="00BE5CBB" w:rsidRDefault="00BE5CBB">
      <w:pPr>
        <w:spacing w:after="160" w:line="259" w:lineRule="auto"/>
        <w:jc w:val="left"/>
      </w:pPr>
      <w:r>
        <w:br w:type="page"/>
      </w:r>
    </w:p>
    <w:tbl>
      <w:tblPr>
        <w:tblpPr w:leftFromText="180" w:rightFromText="180" w:vertAnchor="text" w:horzAnchor="margin" w:tblpX="-157" w:tblpY="346"/>
        <w:tblW w:w="9105" w:type="dxa"/>
        <w:tblLayout w:type="fixed"/>
        <w:tblLook w:val="0400" w:firstRow="0" w:lastRow="0" w:firstColumn="0" w:lastColumn="0" w:noHBand="0" w:noVBand="1"/>
      </w:tblPr>
      <w:tblGrid>
        <w:gridCol w:w="1403"/>
        <w:gridCol w:w="1010"/>
        <w:gridCol w:w="772"/>
        <w:gridCol w:w="846"/>
        <w:gridCol w:w="845"/>
        <w:gridCol w:w="846"/>
        <w:gridCol w:w="846"/>
        <w:gridCol w:w="846"/>
        <w:gridCol w:w="845"/>
        <w:gridCol w:w="846"/>
      </w:tblGrid>
      <w:tr w:rsidR="00DF6DC0" w:rsidRPr="00FA581E" w:rsidTr="009A1686">
        <w:trPr>
          <w:trHeight w:val="608"/>
        </w:trPr>
        <w:tc>
          <w:tcPr>
            <w:tcW w:w="1403"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lastRenderedPageBreak/>
              <w:t>GROUP</w:t>
            </w:r>
          </w:p>
        </w:tc>
        <w:tc>
          <w:tcPr>
            <w:tcW w:w="1010"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 xml:space="preserve">BASELINE (mM) </w:t>
            </w:r>
          </w:p>
        </w:tc>
        <w:tc>
          <w:tcPr>
            <w:tcW w:w="772"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MTH 1 (mM)</w:t>
            </w:r>
          </w:p>
        </w:tc>
        <w:tc>
          <w:tcPr>
            <w:tcW w:w="846"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MTH 2 (mM)</w:t>
            </w:r>
          </w:p>
        </w:tc>
        <w:tc>
          <w:tcPr>
            <w:tcW w:w="845"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MTH 3 (mM)</w:t>
            </w:r>
          </w:p>
        </w:tc>
        <w:tc>
          <w:tcPr>
            <w:tcW w:w="846"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 xml:space="preserve">MTH 4 (mM) </w:t>
            </w:r>
          </w:p>
        </w:tc>
        <w:tc>
          <w:tcPr>
            <w:tcW w:w="846"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 xml:space="preserve">MTH 5 (mM) </w:t>
            </w:r>
          </w:p>
        </w:tc>
        <w:tc>
          <w:tcPr>
            <w:tcW w:w="846"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MTH 6 (mM)</w:t>
            </w:r>
          </w:p>
        </w:tc>
        <w:tc>
          <w:tcPr>
            <w:tcW w:w="845"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 xml:space="preserve">MTH 7 (mM) </w:t>
            </w:r>
          </w:p>
        </w:tc>
        <w:tc>
          <w:tcPr>
            <w:tcW w:w="846" w:type="dxa"/>
            <w:tcBorders>
              <w:top w:val="single" w:sz="12" w:space="0" w:color="auto"/>
              <w:left w:val="single" w:sz="12" w:space="0" w:color="auto"/>
              <w:bottom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MTH 8 (mM)</w:t>
            </w:r>
          </w:p>
        </w:tc>
      </w:tr>
      <w:tr w:rsidR="00DF6DC0" w:rsidRPr="00FA581E" w:rsidTr="009A1686">
        <w:trPr>
          <w:trHeight w:val="44"/>
        </w:trPr>
        <w:tc>
          <w:tcPr>
            <w:tcW w:w="1403" w:type="dxa"/>
            <w:vMerge w:val="restart"/>
            <w:tcBorders>
              <w:top w:val="single" w:sz="12" w:space="0" w:color="auto"/>
              <w:left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DISEASED</w:t>
            </w:r>
          </w:p>
        </w:tc>
        <w:tc>
          <w:tcPr>
            <w:tcW w:w="1010"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772"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846"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top w:val="single" w:sz="12" w:space="0" w:color="auto"/>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r>
      <w:tr w:rsidR="00DF6DC0" w:rsidRPr="00FA581E" w:rsidTr="009A1686">
        <w:trPr>
          <w:trHeight w:val="44"/>
        </w:trPr>
        <w:tc>
          <w:tcPr>
            <w:tcW w:w="1403" w:type="dxa"/>
            <w:vMerge/>
            <w:tcBorders>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27.8</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r>
      <w:tr w:rsidR="00DF6DC0" w:rsidRPr="00FA581E" w:rsidTr="009A1686">
        <w:trPr>
          <w:trHeight w:val="44"/>
        </w:trPr>
        <w:tc>
          <w:tcPr>
            <w:tcW w:w="1403" w:type="dxa"/>
            <w:vMerge/>
            <w:tcBorders>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r>
      <w:tr w:rsidR="00DF6DC0" w:rsidRPr="00FA581E" w:rsidTr="009A1686">
        <w:trPr>
          <w:trHeight w:val="44"/>
        </w:trPr>
        <w:tc>
          <w:tcPr>
            <w:tcW w:w="1403" w:type="dxa"/>
            <w:vMerge/>
            <w:tcBorders>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r>
      <w:tr w:rsidR="00DF6DC0" w:rsidRPr="00FA581E" w:rsidTr="009A1686">
        <w:trPr>
          <w:trHeight w:val="44"/>
        </w:trPr>
        <w:tc>
          <w:tcPr>
            <w:tcW w:w="1403" w:type="dxa"/>
            <w:vMerge/>
            <w:tcBorders>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772"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NEG</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5"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sz w:val="20"/>
                <w:szCs w:val="20"/>
              </w:rPr>
            </w:pPr>
            <w:r w:rsidRPr="00DF6DC0">
              <w:rPr>
                <w:rFonts w:eastAsia="Calibri" w:cs="Arial"/>
                <w:sz w:val="20"/>
                <w:szCs w:val="20"/>
              </w:rPr>
              <w:t>55.5</w:t>
            </w:r>
          </w:p>
        </w:tc>
      </w:tr>
      <w:tr w:rsidR="00DF6DC0" w:rsidRPr="00FA581E" w:rsidTr="009A1686">
        <w:trPr>
          <w:trHeight w:val="44"/>
        </w:trPr>
        <w:tc>
          <w:tcPr>
            <w:tcW w:w="1403" w:type="dxa"/>
            <w:vMerge w:val="restart"/>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PROPHYLAXIS</w:t>
            </w:r>
          </w:p>
        </w:tc>
        <w:tc>
          <w:tcPr>
            <w:tcW w:w="1010"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772"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p>
        </w:tc>
        <w:tc>
          <w:tcPr>
            <w:tcW w:w="1010"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772"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NEG</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5"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c>
          <w:tcPr>
            <w:tcW w:w="846" w:type="dxa"/>
            <w:tcBorders>
              <w:left w:val="single" w:sz="12" w:space="0" w:color="auto"/>
              <w:bottom w:val="single" w:sz="12" w:space="0" w:color="000000"/>
              <w:right w:val="single" w:sz="12" w:space="0" w:color="auto"/>
            </w:tcBorders>
          </w:tcPr>
          <w:p w:rsidR="00DF6DC0" w:rsidRPr="00DF6DC0" w:rsidRDefault="00DF6DC0" w:rsidP="009A1686">
            <w:pPr>
              <w:spacing w:after="0" w:line="240" w:lineRule="auto"/>
              <w:rPr>
                <w:rFonts w:cs="Arial"/>
                <w:color w:val="5B9BD5"/>
                <w:sz w:val="20"/>
                <w:szCs w:val="20"/>
              </w:rPr>
            </w:pPr>
            <w:r w:rsidRPr="00DF6DC0">
              <w:rPr>
                <w:rFonts w:eastAsia="Calibri" w:cs="Arial"/>
                <w:color w:val="5B9BD5"/>
                <w:sz w:val="20"/>
                <w:szCs w:val="20"/>
              </w:rPr>
              <w:t>55.5</w:t>
            </w:r>
          </w:p>
        </w:tc>
      </w:tr>
      <w:tr w:rsidR="00DF6DC0" w:rsidRPr="00FA581E" w:rsidTr="009A1686">
        <w:trPr>
          <w:trHeight w:val="44"/>
        </w:trPr>
        <w:tc>
          <w:tcPr>
            <w:tcW w:w="1403" w:type="dxa"/>
            <w:vMerge w:val="restart"/>
            <w:tcBorders>
              <w:top w:val="single" w:sz="12" w:space="0" w:color="000000"/>
              <w:left w:val="single" w:sz="12" w:space="0" w:color="auto"/>
              <w:right w:val="single" w:sz="12" w:space="0" w:color="auto"/>
            </w:tcBorders>
          </w:tcPr>
          <w:p w:rsidR="00DF6DC0" w:rsidRPr="009A1686" w:rsidRDefault="00DF6DC0" w:rsidP="009A1686">
            <w:pPr>
              <w:spacing w:after="0" w:line="240" w:lineRule="auto"/>
              <w:rPr>
                <w:rFonts w:cs="Arial"/>
                <w:sz w:val="16"/>
                <w:szCs w:val="16"/>
              </w:rPr>
            </w:pPr>
            <w:r w:rsidRPr="009A1686">
              <w:rPr>
                <w:rFonts w:eastAsia="Calibri" w:cs="Arial"/>
                <w:sz w:val="16"/>
                <w:szCs w:val="16"/>
              </w:rPr>
              <w:t>TREATMENT</w:t>
            </w:r>
          </w:p>
        </w:tc>
        <w:tc>
          <w:tcPr>
            <w:tcW w:w="1010"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772"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sz w:val="20"/>
                <w:szCs w:val="20"/>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r>
      <w:tr w:rsidR="00DF6DC0" w:rsidRPr="00FA581E" w:rsidTr="009A1686">
        <w:trPr>
          <w:trHeight w:val="44"/>
        </w:trPr>
        <w:tc>
          <w:tcPr>
            <w:tcW w:w="1403" w:type="dxa"/>
            <w:vMerge/>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sz w:val="20"/>
                <w:szCs w:val="20"/>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27.8</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r>
      <w:tr w:rsidR="00DF6DC0" w:rsidRPr="00FA581E" w:rsidTr="009A1686">
        <w:trPr>
          <w:trHeight w:val="89"/>
        </w:trPr>
        <w:tc>
          <w:tcPr>
            <w:tcW w:w="1403" w:type="dxa"/>
            <w:vMerge/>
            <w:tcBorders>
              <w:top w:val="single" w:sz="12" w:space="0" w:color="000000"/>
              <w:left w:val="single" w:sz="12" w:space="0" w:color="auto"/>
              <w:right w:val="single" w:sz="12" w:space="0" w:color="auto"/>
            </w:tcBorders>
          </w:tcPr>
          <w:p w:rsidR="00DF6DC0" w:rsidRPr="00DF6DC0" w:rsidRDefault="00DF6DC0" w:rsidP="009A1686">
            <w:pPr>
              <w:spacing w:after="0" w:line="240" w:lineRule="auto"/>
              <w:rPr>
                <w:rFonts w:cs="Arial"/>
                <w:sz w:val="20"/>
                <w:szCs w:val="20"/>
              </w:rPr>
            </w:pPr>
          </w:p>
        </w:tc>
        <w:tc>
          <w:tcPr>
            <w:tcW w:w="1010"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772"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r>
      <w:tr w:rsidR="00DF6DC0" w:rsidRPr="00FA581E" w:rsidTr="009A1686">
        <w:trPr>
          <w:trHeight w:val="44"/>
        </w:trPr>
        <w:tc>
          <w:tcPr>
            <w:tcW w:w="1403" w:type="dxa"/>
            <w:vMerge/>
            <w:tcBorders>
              <w:top w:val="single" w:sz="12" w:space="0" w:color="000000"/>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sz w:val="20"/>
                <w:szCs w:val="20"/>
              </w:rPr>
            </w:pPr>
          </w:p>
        </w:tc>
        <w:tc>
          <w:tcPr>
            <w:tcW w:w="1010"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NEG</w:t>
            </w:r>
          </w:p>
        </w:tc>
        <w:tc>
          <w:tcPr>
            <w:tcW w:w="772"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 xml:space="preserve">NEG </w:t>
            </w:r>
          </w:p>
        </w:tc>
        <w:tc>
          <w:tcPr>
            <w:tcW w:w="846"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5"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c>
          <w:tcPr>
            <w:tcW w:w="846" w:type="dxa"/>
            <w:tcBorders>
              <w:left w:val="single" w:sz="12" w:space="0" w:color="auto"/>
              <w:bottom w:val="single" w:sz="12" w:space="0" w:color="auto"/>
              <w:right w:val="single" w:sz="12" w:space="0" w:color="auto"/>
            </w:tcBorders>
          </w:tcPr>
          <w:p w:rsidR="00DF6DC0" w:rsidRPr="00DF6DC0" w:rsidRDefault="00DF6DC0" w:rsidP="009A1686">
            <w:pPr>
              <w:spacing w:after="0" w:line="240" w:lineRule="auto"/>
              <w:rPr>
                <w:rFonts w:cs="Arial"/>
                <w:color w:val="FF0000"/>
                <w:sz w:val="20"/>
                <w:szCs w:val="20"/>
              </w:rPr>
            </w:pPr>
            <w:r w:rsidRPr="00DF6DC0">
              <w:rPr>
                <w:rFonts w:eastAsia="Calibri" w:cs="Arial"/>
                <w:color w:val="FF0000"/>
                <w:sz w:val="20"/>
                <w:szCs w:val="20"/>
              </w:rPr>
              <w:t>55.5</w:t>
            </w:r>
          </w:p>
        </w:tc>
      </w:tr>
    </w:tbl>
    <w:p w:rsidR="009A7933" w:rsidRDefault="009A7933" w:rsidP="009A7933">
      <w:pPr>
        <w:spacing w:after="160"/>
      </w:pPr>
    </w:p>
    <w:p w:rsidR="009A7933" w:rsidRPr="00FA581E" w:rsidRDefault="009A7933" w:rsidP="009A7933">
      <w:pPr>
        <w:spacing w:after="160" w:line="259" w:lineRule="auto"/>
        <w:rPr>
          <w:sz w:val="20"/>
          <w:szCs w:val="20"/>
        </w:rPr>
      </w:pPr>
    </w:p>
    <w:p w:rsidR="00D26D0F" w:rsidRDefault="00D26D0F" w:rsidP="007B3EEB">
      <w:pPr>
        <w:pStyle w:val="Subtitle"/>
      </w:pPr>
      <w:bookmarkStart w:id="324" w:name="_Toc494731248"/>
      <w:bookmarkStart w:id="325" w:name="_Toc494732983"/>
    </w:p>
    <w:p w:rsidR="009A7933" w:rsidRDefault="00D83BF6" w:rsidP="00D83BF6">
      <w:pPr>
        <w:pStyle w:val="Table"/>
      </w:pPr>
      <w:r>
        <w:t xml:space="preserve">          </w:t>
      </w:r>
      <w:r w:rsidR="009A7933">
        <w:t>Table 3.3 Urinary glucose from monthly 24-hour urine samples.</w:t>
      </w:r>
      <w:bookmarkEnd w:id="324"/>
      <w:bookmarkEnd w:id="325"/>
      <w:r w:rsidR="009A7933">
        <w:t xml:space="preserve"> </w:t>
      </w:r>
    </w:p>
    <w:p w:rsidR="009A7933" w:rsidRDefault="009A7933" w:rsidP="00E155EB">
      <w:pPr>
        <w:pStyle w:val="LegText"/>
        <w:ind w:left="720"/>
      </w:pPr>
      <w:r>
        <w:t>The data in mM urinary glucose measurement from monthly 24-hour urine samples collected from rats put in metabolic cage. Values reflect measurements above the renal glucose threshold. The urine samples were negative at the beginning of the study before diabetes was induced.</w:t>
      </w:r>
    </w:p>
    <w:p w:rsidR="00DF6DC0" w:rsidRDefault="00DF6DC0" w:rsidP="00DF6DC0">
      <w:pPr>
        <w:spacing w:after="160" w:line="259" w:lineRule="auto"/>
        <w:ind w:firstLine="720"/>
        <w:jc w:val="left"/>
      </w:pPr>
    </w:p>
    <w:p w:rsidR="009A7933" w:rsidRPr="00DF6DC0" w:rsidRDefault="009A7933" w:rsidP="00134E5E">
      <w:pPr>
        <w:pStyle w:val="Heading4"/>
        <w:ind w:firstLine="720"/>
        <w:rPr>
          <w:rFonts w:eastAsia="Times New Roman"/>
          <w:color w:val="000000"/>
          <w:sz w:val="22"/>
          <w:szCs w:val="22"/>
          <w:lang w:eastAsia="en-GB"/>
        </w:rPr>
      </w:pPr>
      <w:bookmarkStart w:id="326" w:name="_Toc506232381"/>
      <w:r>
        <w:rPr>
          <w:rFonts w:eastAsia="Times New Roman"/>
        </w:rPr>
        <w:t>3.5.5 Urinary pH</w:t>
      </w:r>
      <w:bookmarkEnd w:id="326"/>
      <w:r>
        <w:rPr>
          <w:rFonts w:eastAsia="Times New Roman"/>
        </w:rPr>
        <w:t xml:space="preserve"> </w:t>
      </w:r>
    </w:p>
    <w:p w:rsidR="009A7933" w:rsidRDefault="009A7933" w:rsidP="005061D5">
      <w:pPr>
        <w:ind w:left="720"/>
      </w:pPr>
      <w:r>
        <w:t xml:space="preserve">Urinary pH reflects the </w:t>
      </w:r>
      <w:r w:rsidR="00E06955">
        <w:t xml:space="preserve">acidity or the alkalinity of urine and if can </w:t>
      </w:r>
      <w:r>
        <w:t>range between 5.0 to 8.0</w:t>
      </w:r>
      <w:r w:rsidR="00E06955">
        <w:t xml:space="preserve"> in pathological state</w:t>
      </w:r>
      <w:r>
        <w:rPr>
          <w:color w:val="2E75B5"/>
        </w:rPr>
        <w:t xml:space="preserve"> </w:t>
      </w:r>
      <w:r>
        <w:rPr>
          <w:color w:val="000000"/>
        </w:rPr>
        <w:t>(Bales et al., 1984)</w:t>
      </w:r>
      <w:r>
        <w:rPr>
          <w:i/>
        </w:rPr>
        <w:t>.</w:t>
      </w:r>
      <w:r>
        <w:t xml:space="preserve"> Urinary pH measurement is useful in the diagnosis of diseases such as calculi and UTI (Simerville et al., 2005). </w:t>
      </w:r>
    </w:p>
    <w:p w:rsidR="002D24AB" w:rsidRDefault="009A7933" w:rsidP="009A1686">
      <w:pPr>
        <w:ind w:left="720"/>
      </w:pPr>
      <w:r>
        <w:t xml:space="preserve">The pH range during </w:t>
      </w:r>
      <w:r w:rsidR="00E06955">
        <w:t>the study was 6.0–8</w:t>
      </w:r>
      <w:r>
        <w:t xml:space="preserve">.0. Most of the rats had a pH of 7 however one rat in the diseased group had a pH of 8 in the second and fifth months. Likewise only one rat had a pH variation in the treatment group which was a pH of 6 at the eighth month.  Three rats had a pH of 6 in the prophylaxis group with one rat among these three having pH of 6 at baseline, fifth, sixth and eighth month (Table 3.4). Only rats fed on chow mixed with UK-396082 (prophylaxis and treatment group) had pH of 6 with 13% of the measurements in the prophylaxis group having pH 6. </w:t>
      </w:r>
    </w:p>
    <w:p w:rsidR="009A7933" w:rsidRDefault="009A7933" w:rsidP="005061D5">
      <w:pPr>
        <w:ind w:left="720"/>
      </w:pPr>
    </w:p>
    <w:tbl>
      <w:tblPr>
        <w:tblW w:w="8172" w:type="dxa"/>
        <w:tblInd w:w="717" w:type="dxa"/>
        <w:tblLayout w:type="fixed"/>
        <w:tblLook w:val="0400" w:firstRow="0" w:lastRow="0" w:firstColumn="0" w:lastColumn="0" w:noHBand="0" w:noVBand="1"/>
      </w:tblPr>
      <w:tblGrid>
        <w:gridCol w:w="1678"/>
        <w:gridCol w:w="804"/>
        <w:gridCol w:w="709"/>
        <w:gridCol w:w="709"/>
        <w:gridCol w:w="709"/>
        <w:gridCol w:w="708"/>
        <w:gridCol w:w="709"/>
        <w:gridCol w:w="709"/>
        <w:gridCol w:w="709"/>
        <w:gridCol w:w="728"/>
      </w:tblGrid>
      <w:tr w:rsidR="009A7933" w:rsidTr="004E3C4F">
        <w:trPr>
          <w:trHeight w:val="692"/>
        </w:trPr>
        <w:tc>
          <w:tcPr>
            <w:tcW w:w="1678"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GROUP</w:t>
            </w:r>
          </w:p>
        </w:tc>
        <w:tc>
          <w:tcPr>
            <w:tcW w:w="804"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BASELINE</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1</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2</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3</w:t>
            </w:r>
          </w:p>
        </w:tc>
        <w:tc>
          <w:tcPr>
            <w:tcW w:w="708"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4</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5</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6</w:t>
            </w:r>
          </w:p>
        </w:tc>
        <w:tc>
          <w:tcPr>
            <w:tcW w:w="709"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7</w:t>
            </w:r>
          </w:p>
        </w:tc>
        <w:tc>
          <w:tcPr>
            <w:tcW w:w="728" w:type="dxa"/>
            <w:tcBorders>
              <w:top w:val="single" w:sz="12" w:space="0" w:color="auto"/>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MTH 8</w:t>
            </w:r>
          </w:p>
        </w:tc>
      </w:tr>
      <w:tr w:rsidR="009A7933" w:rsidTr="004E3C4F">
        <w:trPr>
          <w:trHeight w:val="40"/>
        </w:trPr>
        <w:tc>
          <w:tcPr>
            <w:tcW w:w="1678" w:type="dxa"/>
            <w:vMerge w:val="restart"/>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DISEASED</w:t>
            </w:r>
          </w:p>
        </w:tc>
        <w:tc>
          <w:tcPr>
            <w:tcW w:w="804"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8"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28" w:type="dxa"/>
            <w:tcBorders>
              <w:top w:val="single" w:sz="12" w:space="0" w:color="auto"/>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r>
      <w:tr w:rsidR="009A7933" w:rsidTr="004E3C4F">
        <w:trPr>
          <w:trHeight w:val="40"/>
        </w:trPr>
        <w:tc>
          <w:tcPr>
            <w:tcW w:w="1678" w:type="dxa"/>
            <w:vMerge/>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r>
      <w:tr w:rsidR="009A7933" w:rsidTr="004E3C4F">
        <w:trPr>
          <w:trHeight w:val="40"/>
        </w:trPr>
        <w:tc>
          <w:tcPr>
            <w:tcW w:w="1678" w:type="dxa"/>
            <w:vMerge/>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r>
      <w:tr w:rsidR="009A7933" w:rsidTr="004E3C4F">
        <w:trPr>
          <w:trHeight w:val="40"/>
        </w:trPr>
        <w:tc>
          <w:tcPr>
            <w:tcW w:w="1678" w:type="dxa"/>
            <w:vMerge/>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8</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8</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r>
      <w:tr w:rsidR="009A7933" w:rsidTr="004E3C4F">
        <w:trPr>
          <w:trHeight w:val="40"/>
        </w:trPr>
        <w:tc>
          <w:tcPr>
            <w:tcW w:w="1678" w:type="dxa"/>
            <w:vMerge/>
            <w:tcBorders>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8"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c>
          <w:tcPr>
            <w:tcW w:w="728"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7</w:t>
            </w:r>
          </w:p>
        </w:tc>
      </w:tr>
      <w:tr w:rsidR="009A7933" w:rsidTr="004E3C4F">
        <w:trPr>
          <w:trHeight w:val="40"/>
        </w:trPr>
        <w:tc>
          <w:tcPr>
            <w:tcW w:w="1678" w:type="dxa"/>
            <w:vMerge w:val="restart"/>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PROPHYLAXIS</w:t>
            </w:r>
          </w:p>
        </w:tc>
        <w:tc>
          <w:tcPr>
            <w:tcW w:w="804"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c>
          <w:tcPr>
            <w:tcW w:w="708"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28"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6</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8"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09"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c>
          <w:tcPr>
            <w:tcW w:w="728" w:type="dxa"/>
            <w:tcBorders>
              <w:left w:val="single" w:sz="12" w:space="0" w:color="auto"/>
              <w:bottom w:val="single" w:sz="12" w:space="0" w:color="000000"/>
              <w:right w:val="single" w:sz="12" w:space="0" w:color="auto"/>
            </w:tcBorders>
          </w:tcPr>
          <w:p w:rsidR="009A7933" w:rsidRPr="002D24AB" w:rsidRDefault="009A7933" w:rsidP="009A7933">
            <w:pPr>
              <w:spacing w:after="0" w:line="240" w:lineRule="auto"/>
              <w:rPr>
                <w:rFonts w:cs="Arial"/>
                <w:color w:val="4472C4"/>
                <w:sz w:val="20"/>
                <w:szCs w:val="20"/>
              </w:rPr>
            </w:pPr>
            <w:r w:rsidRPr="002D24AB">
              <w:rPr>
                <w:rFonts w:eastAsia="Calibri" w:cs="Arial"/>
                <w:color w:val="4472C4"/>
                <w:sz w:val="20"/>
                <w:szCs w:val="20"/>
              </w:rPr>
              <w:t>7</w:t>
            </w:r>
          </w:p>
        </w:tc>
      </w:tr>
      <w:tr w:rsidR="009A7933" w:rsidTr="004E3C4F">
        <w:trPr>
          <w:trHeight w:val="40"/>
        </w:trPr>
        <w:tc>
          <w:tcPr>
            <w:tcW w:w="1678" w:type="dxa"/>
            <w:vMerge w:val="restart"/>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r w:rsidRPr="002D24AB">
              <w:rPr>
                <w:rFonts w:eastAsia="Calibri" w:cs="Arial"/>
                <w:sz w:val="20"/>
                <w:szCs w:val="20"/>
              </w:rPr>
              <w:t>TREATMENT</w:t>
            </w:r>
          </w:p>
        </w:tc>
        <w:tc>
          <w:tcPr>
            <w:tcW w:w="804"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8"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28" w:type="dxa"/>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r>
      <w:tr w:rsidR="009A7933" w:rsidTr="004E3C4F">
        <w:trPr>
          <w:trHeight w:val="40"/>
        </w:trPr>
        <w:tc>
          <w:tcPr>
            <w:tcW w:w="1678" w:type="dxa"/>
            <w:vMerge/>
            <w:tcBorders>
              <w:top w:val="single" w:sz="12" w:space="0" w:color="000000"/>
              <w:left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28" w:type="dxa"/>
            <w:tcBorders>
              <w:left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6</w:t>
            </w:r>
          </w:p>
        </w:tc>
      </w:tr>
      <w:tr w:rsidR="009A7933" w:rsidTr="004E3C4F">
        <w:trPr>
          <w:trHeight w:val="40"/>
        </w:trPr>
        <w:tc>
          <w:tcPr>
            <w:tcW w:w="1678" w:type="dxa"/>
            <w:vMerge/>
            <w:tcBorders>
              <w:top w:val="single" w:sz="12" w:space="0" w:color="000000"/>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sz w:val="20"/>
                <w:szCs w:val="20"/>
              </w:rPr>
            </w:pPr>
          </w:p>
        </w:tc>
        <w:tc>
          <w:tcPr>
            <w:tcW w:w="804"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8"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09"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c>
          <w:tcPr>
            <w:tcW w:w="728" w:type="dxa"/>
            <w:tcBorders>
              <w:left w:val="single" w:sz="12" w:space="0" w:color="auto"/>
              <w:bottom w:val="single" w:sz="12" w:space="0" w:color="auto"/>
              <w:right w:val="single" w:sz="12" w:space="0" w:color="auto"/>
            </w:tcBorders>
          </w:tcPr>
          <w:p w:rsidR="009A7933" w:rsidRPr="002D24AB" w:rsidRDefault="009A7933" w:rsidP="009A7933">
            <w:pPr>
              <w:spacing w:after="0" w:line="240" w:lineRule="auto"/>
              <w:rPr>
                <w:rFonts w:cs="Arial"/>
                <w:color w:val="FF0000"/>
                <w:sz w:val="20"/>
                <w:szCs w:val="20"/>
              </w:rPr>
            </w:pPr>
            <w:r w:rsidRPr="002D24AB">
              <w:rPr>
                <w:rFonts w:eastAsia="Calibri" w:cs="Arial"/>
                <w:color w:val="FF0000"/>
                <w:sz w:val="20"/>
                <w:szCs w:val="20"/>
              </w:rPr>
              <w:t>7</w:t>
            </w:r>
          </w:p>
        </w:tc>
      </w:tr>
    </w:tbl>
    <w:p w:rsidR="009A7933" w:rsidRDefault="009A7933" w:rsidP="009A7933">
      <w:pPr>
        <w:spacing w:after="160" w:line="259" w:lineRule="auto"/>
      </w:pPr>
    </w:p>
    <w:p w:rsidR="009A7933" w:rsidRDefault="007A0FCA" w:rsidP="007A0FCA">
      <w:pPr>
        <w:pStyle w:val="Table"/>
      </w:pPr>
      <w:bookmarkStart w:id="327" w:name="_Toc494731249"/>
      <w:bookmarkStart w:id="328" w:name="_Toc494732984"/>
      <w:r>
        <w:t xml:space="preserve">          </w:t>
      </w:r>
      <w:r w:rsidR="009A7933">
        <w:t>Table 3.4 pH of monthly 24-hour urine samples.</w:t>
      </w:r>
      <w:bookmarkEnd w:id="327"/>
      <w:bookmarkEnd w:id="328"/>
      <w:r w:rsidR="009A7933">
        <w:t xml:space="preserve">  </w:t>
      </w:r>
    </w:p>
    <w:p w:rsidR="00D31B5D" w:rsidRDefault="009A7933" w:rsidP="00E155EB">
      <w:pPr>
        <w:pStyle w:val="LegText"/>
        <w:ind w:left="720"/>
      </w:pPr>
      <w:r>
        <w:t xml:space="preserve">The pH of monthly 24-hour urine samples collected from 5 rats per group was measured using the reagent strip. Each rat was placed in a metabolic cage and urine was collected for 24 hours. The pH was read against a standard chart provided by the manufacturer. </w:t>
      </w:r>
    </w:p>
    <w:p w:rsidR="0038088C" w:rsidRDefault="0038088C" w:rsidP="00E155EB">
      <w:pPr>
        <w:pStyle w:val="LegText"/>
        <w:ind w:left="720"/>
      </w:pPr>
    </w:p>
    <w:p w:rsidR="009A7933" w:rsidRPr="0038088C" w:rsidRDefault="009A7933" w:rsidP="00134E5E">
      <w:pPr>
        <w:pStyle w:val="Heading4"/>
        <w:ind w:firstLine="720"/>
        <w:rPr>
          <w:rFonts w:eastAsia="Times New Roman"/>
          <w:color w:val="000000"/>
          <w:sz w:val="22"/>
          <w:szCs w:val="22"/>
          <w:lang w:eastAsia="en-GB"/>
        </w:rPr>
      </w:pPr>
      <w:bookmarkStart w:id="329" w:name="_Toc506232382"/>
      <w:r>
        <w:rPr>
          <w:rFonts w:eastAsia="Times New Roman"/>
        </w:rPr>
        <w:t>3.5.6 Blood</w:t>
      </w:r>
      <w:bookmarkEnd w:id="329"/>
      <w:r>
        <w:rPr>
          <w:rFonts w:eastAsia="Times New Roman"/>
        </w:rPr>
        <w:t xml:space="preserve"> </w:t>
      </w:r>
    </w:p>
    <w:p w:rsidR="009A7933" w:rsidRDefault="009A7933" w:rsidP="005061D5">
      <w:pPr>
        <w:ind w:left="720"/>
      </w:pPr>
      <w:r>
        <w:t>The Urispec Plus Vet 10 plus dipstick can detect the presence of blood in the urine by measuring the peroxidase activity of red blood cells, and can also be diagnostic of bladder infection, kidney infection, bladder cancer and kidney stone. Haematuria is not a usual finding in diabetic nephropathy (Zhou et al., 2008) and its presence may suggest additional glomerulopathies (Hommel et al., 1987). However one study has suggested that the presence of significant haematuria may be a clinical finding in diabetic nephropathy (O'Neill et al., 1983). Our rationale for investigating haematuria was to identify the prevalence of haematuria within our groups and to check the protective effect of UK-396082 against haematuria.</w:t>
      </w:r>
    </w:p>
    <w:p w:rsidR="009A7933" w:rsidRPr="005061D5" w:rsidRDefault="009A7933" w:rsidP="005061D5">
      <w:pPr>
        <w:ind w:left="720"/>
        <w:rPr>
          <w:rFonts w:ascii="Calibri" w:eastAsia="Calibri" w:hAnsi="Calibri" w:cs="Calibri"/>
        </w:rPr>
      </w:pPr>
      <w:r>
        <w:t xml:space="preserve">The urine samples collected over the eight month period were clear macroscopically and microscopically there was no blood in any of the urine samples collected from all the three groups within the first three </w:t>
      </w:r>
      <w:r>
        <w:lastRenderedPageBreak/>
        <w:t>months (Fig. 3.6). Over 50% of the rats in both diseased and treatment groups developed haematuria by the fourth month and 100% of the rats in these two groups developed haematuria of 10 ery/μl by the end of the study</w:t>
      </w:r>
      <w:r w:rsidR="00D31B5D">
        <w:t xml:space="preserve"> (Fig.3.6)</w:t>
      </w:r>
      <w:r>
        <w:t xml:space="preserve">. The strip has the </w:t>
      </w:r>
      <w:r w:rsidRPr="005061D5">
        <w:t xml:space="preserve">ability to measure </w:t>
      </w:r>
      <w:r w:rsidR="00D31B5D">
        <w:t xml:space="preserve">up to 250 </w:t>
      </w:r>
      <w:r w:rsidRPr="005061D5">
        <w:t>intact erythrocytes</w:t>
      </w:r>
      <w:r w:rsidR="00D31B5D" w:rsidRPr="00D31B5D">
        <w:t xml:space="preserve"> </w:t>
      </w:r>
      <w:r w:rsidR="00D31B5D">
        <w:t>/μl</w:t>
      </w:r>
      <w:r w:rsidRPr="005061D5">
        <w:t xml:space="preserve"> in the urine. However, less than 50% of the rats in the prophylactic group developed haematuria of 10 ery/μl by the end of the study. There was a significant difference in haematuria between the diseased group and the prophylaxis group and also between the prophylaxis group and the treatment group. A on</w:t>
      </w:r>
      <w:r w:rsidR="00D31B5D">
        <w:t>e way Anova test followed by Tu</w:t>
      </w:r>
      <w:r w:rsidRPr="005061D5">
        <w:t xml:space="preserve">key’s multiple comparisons test showed a significant difference between the prophylaxis group and the treatment group and between the prophylaxis group and diseased group were significant </w:t>
      </w:r>
      <w:r w:rsidR="00D31B5D">
        <w:t xml:space="preserve">at </w:t>
      </w:r>
      <w:r w:rsidRPr="005061D5">
        <w:t>P &lt; 0.05.</w:t>
      </w:r>
      <w:r w:rsidRPr="005061D5">
        <w:rPr>
          <w:rFonts w:ascii="Calibri" w:eastAsia="Calibri" w:hAnsi="Calibri" w:cs="Calibri"/>
          <w:noProof/>
          <w:lang w:eastAsia="en-GB"/>
        </w:rPr>
        <mc:AlternateContent>
          <mc:Choice Requires="wps">
            <w:drawing>
              <wp:anchor distT="0" distB="0" distL="114300" distR="114300" simplePos="0" relativeHeight="251706368" behindDoc="0" locked="0" layoutInCell="1" hidden="0" allowOverlap="1" wp14:anchorId="35EE85C1" wp14:editId="1A8E1F32">
                <wp:simplePos x="0" y="0"/>
                <wp:positionH relativeFrom="margin">
                  <wp:posOffset>6667500</wp:posOffset>
                </wp:positionH>
                <wp:positionV relativeFrom="paragraph">
                  <wp:posOffset>1003300</wp:posOffset>
                </wp:positionV>
                <wp:extent cx="482600" cy="673100"/>
                <wp:effectExtent l="0" t="0" r="0" b="0"/>
                <wp:wrapNone/>
                <wp:docPr id="216" name="Rectangle 216"/>
                <wp:cNvGraphicFramePr/>
                <a:graphic xmlns:a="http://schemas.openxmlformats.org/drawingml/2006/main">
                  <a:graphicData uri="http://schemas.microsoft.com/office/word/2010/wordprocessingShape">
                    <wps:wsp>
                      <wps:cNvSpPr/>
                      <wps:spPr>
                        <a:xfrm>
                          <a:off x="5109144" y="3442180"/>
                          <a:ext cx="473709" cy="675640"/>
                        </a:xfrm>
                        <a:prstGeom prst="rect">
                          <a:avLst/>
                        </a:prstGeom>
                        <a:noFill/>
                        <a:ln>
                          <a:noFill/>
                        </a:ln>
                      </wps:spPr>
                      <wps:txbx>
                        <w:txbxContent>
                          <w:p w:rsidR="00AD6A02" w:rsidRDefault="00AD6A02" w:rsidP="009A7933">
                            <w:pPr>
                              <w:spacing w:after="0"/>
                              <w:ind w:firstLine="720"/>
                              <w:textDirection w:val="btLr"/>
                            </w:pPr>
                            <w:r>
                              <w:rPr>
                                <w:rFonts w:ascii="Calibri" w:eastAsia="Calibri" w:hAnsi="Calibri" w:cs="Calibri"/>
                                <w:color w:val="000000"/>
                              </w:rPr>
                              <w:t>NS</w:t>
                            </w:r>
                          </w:p>
                        </w:txbxContent>
                      </wps:txbx>
                      <wps:bodyPr lIns="88900" tIns="38100" rIns="88900" bIns="38100" anchor="t" anchorCtr="0"/>
                    </wps:wsp>
                  </a:graphicData>
                </a:graphic>
              </wp:anchor>
            </w:drawing>
          </mc:Choice>
          <mc:Fallback>
            <w:pict>
              <v:rect w14:anchorId="35EE85C1" id="Rectangle 216" o:spid="_x0000_s1033" style="position:absolute;left:0;text-align:left;margin-left:525pt;margin-top:79pt;width:38pt;height:53pt;z-index:251706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rm5sgEAAE0DAAAOAAAAZHJzL2Uyb0RvYy54bWysU8tu2zAQvBfoPxC815RsxZYF0zkkSFGg&#10;aIMk/QCaIi0CfIFkLPnvu6SdxGluRS7UvrA7M7vaXE9Go4MIUTlLcT2rMBKWu17ZPcV/nu6+tRjF&#10;xGzPtLOC4qOI+Hr79ctm9J2Yu8HpXgQETWzsRk/xkJLvCIl8EIbFmfPCQlK6YFgCN+xJH9gI3Y0m&#10;86paktGF3gfHRYwQvT0l8bb0l1Lw9FvKKBLSFAO2VN5Q3l1+yXbDun1gflD8DIP9BwrDlIWhr61u&#10;WWLoOagPrYziwUUn04w7Q5yUiovCAdjU1T9sHgfmReEC4kT/KlP8vLb81+E+INVTPK+XGFlmYEkP&#10;IBuzey1QDoJEo48dVD76+3D2IpiZ7ySDyV9ggiaKr+pqXTcNRkeKF00zr9uzxGJKiENBs1qsqjVG&#10;HAqWq6tlU/LkrZEPMX0XzqBsUBwAShGWHX7GBMOh9KUkz7XuTmldtqjtuwAU5gjJ2E9os5Wm3VTo&#10;rl547Vx/BAn0Dwuytu26ymdSnEVbZydcZnaXGWb54OCYEkYn8yaV08ow8zDYWQF8vq98FJd+qXr7&#10;C7Z/AQAA//8DAFBLAwQUAAYACAAAACEAv0NOFN8AAAANAQAADwAAAGRycy9kb3ducmV2LnhtbEyP&#10;wU7DMBBE70j8g7VI3Kjd0EZViFMVJHpBHGj5ACdekqjxOsROGvh6tid6e6Mdzc7k29l1YsIhtJ40&#10;LBcKBFLlbUu1hs/j68MGRIiGrOk8oYYfDLAtbm9yk1l/pg+cDrEWHEIhMxqaGPtMylA16ExY+B6J&#10;b19+cCayHGppB3PmcNfJRKlUOtMSf2hMjy8NVqfD6DRMv/3qed9af9p9v8/l27h/PLZO6/u7efcE&#10;IuIc/81wqc/VoeBOpR/JBtGxVmvFYyLTesNwsSyTlKnUkKQrBbLI5fWK4g8AAP//AwBQSwECLQAU&#10;AAYACAAAACEAtoM4kv4AAADhAQAAEwAAAAAAAAAAAAAAAAAAAAAAW0NvbnRlbnRfVHlwZXNdLnht&#10;bFBLAQItABQABgAIAAAAIQA4/SH/1gAAAJQBAAALAAAAAAAAAAAAAAAAAC8BAABfcmVscy8ucmVs&#10;c1BLAQItABQABgAIAAAAIQCIYrm5sgEAAE0DAAAOAAAAAAAAAAAAAAAAAC4CAABkcnMvZTJvRG9j&#10;LnhtbFBLAQItABQABgAIAAAAIQC/Q04U3wAAAA0BAAAPAAAAAAAAAAAAAAAAAAwEAABkcnMvZG93&#10;bnJldi54bWxQSwUGAAAAAAQABADzAAAAGAUAAAAA&#10;" filled="f" stroked="f">
                <v:textbox inset="7pt,3pt,7pt,3pt">
                  <w:txbxContent>
                    <w:p w:rsidR="00AD6A02" w:rsidRDefault="00AD6A02" w:rsidP="009A7933">
                      <w:pPr>
                        <w:spacing w:after="0"/>
                        <w:ind w:firstLine="720"/>
                        <w:textDirection w:val="btLr"/>
                      </w:pPr>
                      <w:r>
                        <w:rPr>
                          <w:rFonts w:ascii="Calibri" w:eastAsia="Calibri" w:hAnsi="Calibri" w:cs="Calibri"/>
                          <w:color w:val="000000"/>
                        </w:rPr>
                        <w:t>NS</w:t>
                      </w:r>
                    </w:p>
                  </w:txbxContent>
                </v:textbox>
                <w10:wrap anchorx="margin"/>
              </v:rect>
            </w:pict>
          </mc:Fallback>
        </mc:AlternateContent>
      </w:r>
    </w:p>
    <w:p w:rsidR="009A7933" w:rsidRDefault="0038088C" w:rsidP="00B22600">
      <w:pPr>
        <w:spacing w:after="160"/>
        <w:ind w:left="720"/>
      </w:pPr>
      <w:r>
        <w:rPr>
          <w:noProof/>
          <w:lang w:eastAsia="en-GB"/>
        </w:rPr>
        <mc:AlternateContent>
          <mc:Choice Requires="wps">
            <w:drawing>
              <wp:anchor distT="0" distB="0" distL="114300" distR="114300" simplePos="0" relativeHeight="251709440" behindDoc="0" locked="0" layoutInCell="1" hidden="0" allowOverlap="1" wp14:anchorId="2F69A90A" wp14:editId="0386B197">
                <wp:simplePos x="0" y="0"/>
                <wp:positionH relativeFrom="margin">
                  <wp:posOffset>2845435</wp:posOffset>
                </wp:positionH>
                <wp:positionV relativeFrom="paragraph">
                  <wp:posOffset>1313180</wp:posOffset>
                </wp:positionV>
                <wp:extent cx="904875" cy="676275"/>
                <wp:effectExtent l="0" t="0" r="0" b="9525"/>
                <wp:wrapNone/>
                <wp:docPr id="198" name="Rectangle 198"/>
                <wp:cNvGraphicFramePr/>
                <a:graphic xmlns:a="http://schemas.openxmlformats.org/drawingml/2006/main">
                  <a:graphicData uri="http://schemas.microsoft.com/office/word/2010/wordprocessingShape">
                    <wps:wsp>
                      <wps:cNvSpPr/>
                      <wps:spPr>
                        <a:xfrm>
                          <a:off x="0" y="0"/>
                          <a:ext cx="904875" cy="676275"/>
                        </a:xfrm>
                        <a:prstGeom prst="rect">
                          <a:avLst/>
                        </a:prstGeom>
                        <a:noFill/>
                        <a:ln>
                          <a:noFill/>
                        </a:ln>
                      </wps:spPr>
                      <wps:txbx>
                        <w:txbxContent>
                          <w:p w:rsidR="00AD6A02" w:rsidRDefault="00AD6A02" w:rsidP="0038088C">
                            <w:pPr>
                              <w:spacing w:after="0"/>
                              <w:ind w:firstLine="720"/>
                              <w:textDirection w:val="btLr"/>
                            </w:pPr>
                            <w:r>
                              <w:rPr>
                                <w:rFonts w:ascii="Calibri" w:eastAsia="Calibri" w:hAnsi="Calibri" w:cs="Calibri"/>
                                <w:color w:val="000000"/>
                                <w:sz w:val="36"/>
                              </w:rPr>
                              <w:t>*</w:t>
                            </w: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2F69A90A" id="Rectangle 198" o:spid="_x0000_s1034" style="position:absolute;left:0;text-align:left;margin-left:224.05pt;margin-top:103.4pt;width:71.25pt;height:53.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XHuAEAAGkDAAAOAAAAZHJzL2Uyb0RvYy54bWysU9tuEzEQfUfqP1h+J94ESDerbCrUqqhS&#10;BRUtH+B47awl3xg72c3fM/aGNNA3xIszt5yZc2Z2fTNaQw4SovaupfNZRYl0wnfa7Vr64+X+fU1J&#10;TNx13HgnW3qUkd5srt6th9DIhe+96SQQBHGxGUJL+5RCw1gUvbQ8znyQDpPKg+UJXdixDviA6Naw&#10;RVUt2eChC+CFjBGjd1OSbgq+UlKkb0pFmYhpKc6Wygvl3eaXbda82QEPvRanMfg/TGG5dtj0DHXH&#10;Eyd70G+grBbgo1dpJrxlXiktZOGAbObVX2yeex5k4YLixHCWKf4/WPH18AREd7i7Fa7KcYtL+o6y&#10;cbczkuQgSjSE2GDlc3iCkxfRzHxHBTb/IhMyFlmPZ1nlmIjA4Kr6WF9/okRganm9XKCNKOz1zwFi&#10;+iK9JdloKWD7IiY/PMY0lf4uyb2cv9fGYJw3xv0RQMwcYXneacJspXE7FopnLlvfHZH2gHtvafy5&#10;5yApMQ8Oha3rVZUPpTgf6nl24DKzvcxwJ3qP55QomczbVI5rmurzPnmlC4M8x9T1NB7us2hwur18&#10;MJd+qXr9Qja/AAAA//8DAFBLAwQUAAYACAAAACEAehEb2uAAAAALAQAADwAAAGRycy9kb3ducmV2&#10;LnhtbEyPQU7DMBBF90jcwRokdtROE6IS4lQFiW4QC1oO4MRDYjW2Q+ykgdMzrOhyNE//v19uF9uz&#10;GcdgvJOQrAQwdI3XxrUSPo4vdxtgISqnVe8dSvjGANvq+qpUhfZn947zIbaMQlwolIQuxqHgPDQd&#10;WhVWfkBHv08/WhXpHFuuR3WmcNvztRA5t8o4aujUgM8dNqfDZCXMP0P2tDfan3Zfb0v9Ou3To7FS&#10;3t4su0dgEZf4D8OfPqlDRU61n5wOrJeQZZuEUAlrkdMGIu4fRA6slpAmaQq8KvnlhuoXAAD//wMA&#10;UEsBAi0AFAAGAAgAAAAhALaDOJL+AAAA4QEAABMAAAAAAAAAAAAAAAAAAAAAAFtDb250ZW50X1R5&#10;cGVzXS54bWxQSwECLQAUAAYACAAAACEAOP0h/9YAAACUAQAACwAAAAAAAAAAAAAAAAAvAQAAX3Jl&#10;bHMvLnJlbHNQSwECLQAUAAYACAAAACEA2n2Vx7gBAABpAwAADgAAAAAAAAAAAAAAAAAuAgAAZHJz&#10;L2Uyb0RvYy54bWxQSwECLQAUAAYACAAAACEAehEb2uAAAAALAQAADwAAAAAAAAAAAAAAAAASBAAA&#10;ZHJzL2Rvd25yZXYueG1sUEsFBgAAAAAEAAQA8wAAAB8FAAAAAA==&#10;" filled="f" stroked="f">
                <v:textbox inset="7pt,3pt,7pt,3pt">
                  <w:txbxContent>
                    <w:p w:rsidR="00AD6A02" w:rsidRDefault="00AD6A02" w:rsidP="0038088C">
                      <w:pPr>
                        <w:spacing w:after="0"/>
                        <w:ind w:firstLine="720"/>
                        <w:textDirection w:val="btLr"/>
                      </w:pPr>
                      <w:r>
                        <w:rPr>
                          <w:rFonts w:ascii="Calibri" w:eastAsia="Calibri" w:hAnsi="Calibri" w:cs="Calibri"/>
                          <w:color w:val="000000"/>
                          <w:sz w:val="36"/>
                        </w:rPr>
                        <w:t>*</w:t>
                      </w:r>
                    </w:p>
                  </w:txbxContent>
                </v:textbox>
                <w10:wrap anchorx="margin"/>
              </v:rect>
            </w:pict>
          </mc:Fallback>
        </mc:AlternateContent>
      </w:r>
      <w:r>
        <w:rPr>
          <w:noProof/>
          <w:lang w:eastAsia="en-GB"/>
        </w:rPr>
        <mc:AlternateContent>
          <mc:Choice Requires="wps">
            <w:drawing>
              <wp:anchor distT="0" distB="0" distL="114300" distR="114300" simplePos="0" relativeHeight="251883520" behindDoc="0" locked="0" layoutInCell="1" allowOverlap="1" wp14:anchorId="503DAA85" wp14:editId="68C3917F">
                <wp:simplePos x="0" y="0"/>
                <wp:positionH relativeFrom="column">
                  <wp:posOffset>3227070</wp:posOffset>
                </wp:positionH>
                <wp:positionV relativeFrom="paragraph">
                  <wp:posOffset>1151254</wp:posOffset>
                </wp:positionV>
                <wp:extent cx="66675" cy="676275"/>
                <wp:effectExtent l="0" t="0" r="47625" b="28575"/>
                <wp:wrapNone/>
                <wp:docPr id="87" name="Right Brace 1"/>
                <wp:cNvGraphicFramePr/>
                <a:graphic xmlns:a="http://schemas.openxmlformats.org/drawingml/2006/main">
                  <a:graphicData uri="http://schemas.microsoft.com/office/word/2010/wordprocessingShape">
                    <wps:wsp>
                      <wps:cNvSpPr/>
                      <wps:spPr>
                        <a:xfrm flipV="1">
                          <a:off x="0" y="0"/>
                          <a:ext cx="66675" cy="676275"/>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6D51DB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254.1pt;margin-top:90.65pt;width:5.25pt;height:53.25pt;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eTbIwIAAF4EAAAOAAAAZHJzL2Uyb0RvYy54bWysVE1v2zAMvQ/YfxB0X5w4iBMEcYquQXYZ&#10;tmLtdmdlydagr0lKnPz7UbKbpetOQ30QSH088j2S3tyctCJH7oO0pqazyZQSbphtpGlr+v1x/2FF&#10;SYhgGlDW8JqeeaA32/fvNr1b89J2VjXcEwQxYd27mnYxunVRBNZxDWFiHTd4KKzXENH1bdF46BFd&#10;q6KcTquit75x3jIeAu7uhkO6zfhCcBa/ChF4JKqmmFvMq8/rU1qL7QbWrQfXSTamAf+RhQZpMOgF&#10;agcRyMHLV1BaMm+DFXHCrC6sEJLxzAHZzKZ/sXnowPHMBcUJ7iJTeDtY9uV474lsarpaUmJAY42+&#10;ybaL5KMHxsksKdS7sMaLD+7ej15AM9E9Ca+JUNL9wOJnAZASOWV9zxd9+SkShptVVS0XlDA8qZZV&#10;iTbCFQNKQnM+xE/capKMmvqUR04jI8Pxc4hZ42ZMFJqfM0qEVliyIyiyms/nY0WvrpTXVxblqqzG&#10;sCMgJvAcOKEHq2Szl0pl5xzulCcIXlPsusb2lCgIETdrus/fCPbimTKkR47zBbYcA2xroSCiqR0K&#10;HUxLCagW54VFn6m9eBxexXxEAa/iTvP3r7iJxw5CNyScUQc9tIw4ZkpqrPP1a2USS54HBdVN5UjF&#10;HsqbrCfbnLFBepwQzPzXATynxEd1Z4eBAsM6i1o8MzH29hCtkBeoAWDExSbOBR8HLk3JtZ9v/fkt&#10;bH8DAAD//wMAUEsDBBQABgAIAAAAIQASOal44gAAAAsBAAAPAAAAZHJzL2Rvd25yZXYueG1sTI/B&#10;TsMwEETvSPyDtUhcUOskEGpCnKpFChUnaIvE1Y2XJGq8jmI3Tf8ec4Ljap5m3ubLyXRsxMG1liTE&#10;8wgYUmV1S7WEz305E8CcV6RVZwklXNDBsri+ylWm7Zm2OO58zUIJuUxJaLzvM85d1aBRbm57pJB9&#10;28EoH86h5npQ51BuOp5E0SM3qqWw0KgeXxqsjruTkTCuH9LXTblZvZXu6e7raNeXj/etlLc30+oZ&#10;mMfJ/8Hwqx/UoQhOB3si7VgnIY1EEtAQiPgeWCDSWCyAHSQkYiGAFzn//0PxAwAA//8DAFBLAQIt&#10;ABQABgAIAAAAIQC2gziS/gAAAOEBAAATAAAAAAAAAAAAAAAAAAAAAABbQ29udGVudF9UeXBlc10u&#10;eG1sUEsBAi0AFAAGAAgAAAAhADj9If/WAAAAlAEAAAsAAAAAAAAAAAAAAAAALwEAAF9yZWxzLy5y&#10;ZWxzUEsBAi0AFAAGAAgAAAAhAJFR5NsjAgAAXgQAAA4AAAAAAAAAAAAAAAAALgIAAGRycy9lMm9E&#10;b2MueG1sUEsBAi0AFAAGAAgAAAAhABI5qXjiAAAACwEAAA8AAAAAAAAAAAAAAAAAfQQAAGRycy9k&#10;b3ducmV2LnhtbFBLBQYAAAAABAAEAPMAAACMBQAAAAA=&#10;" adj="177,11410" filled="t" fillcolor="window" strokecolor="windowText" strokeweight=".5pt">
                <v:stroke joinstyle="miter"/>
              </v:shape>
            </w:pict>
          </mc:Fallback>
        </mc:AlternateContent>
      </w:r>
      <w:r w:rsidR="009A7933">
        <w:rPr>
          <w:rFonts w:ascii="Calibri" w:eastAsia="Calibri" w:hAnsi="Calibri" w:cs="Calibri"/>
        </w:rPr>
        <w:t xml:space="preserve">   </w:t>
      </w:r>
      <w:r>
        <w:object w:dxaOrig="10251" w:dyaOrig="5439">
          <v:shape id="_x0000_i1039" type="#_x0000_t75" style="width:374.25pt;height:194.25pt" o:ole="">
            <v:imagedata r:id="rId77" o:title=""/>
          </v:shape>
          <o:OLEObject Type="Embed" ProgID="Prism7.Document" ShapeID="_x0000_i1039" DrawAspect="Content" ObjectID="_1583750209" r:id="rId78"/>
        </w:object>
      </w:r>
    </w:p>
    <w:p w:rsidR="009A7933" w:rsidRDefault="009A7933" w:rsidP="00E155EB">
      <w:pPr>
        <w:pStyle w:val="LegText"/>
        <w:ind w:left="720"/>
      </w:pPr>
      <w:bookmarkStart w:id="330" w:name="_Toc504640594"/>
      <w:r w:rsidRPr="005061D5">
        <w:rPr>
          <w:rStyle w:val="SubtitleChar"/>
        </w:rPr>
        <w:t>Figure 3.6 Rat blood urine of monthly 24 hour urine samples</w:t>
      </w:r>
      <w:bookmarkEnd w:id="330"/>
      <w:r w:rsidR="005061D5">
        <w:t xml:space="preserve">. </w:t>
      </w:r>
      <w:r>
        <w:t>The graph shows urinary blood data from monthly 24 hour urine samples. Values are mean percentages of rats with haematuria (5 rats per group). A one way ANO</w:t>
      </w:r>
      <w:r w:rsidR="00D31B5D">
        <w:t>VA test was done followed by Tu</w:t>
      </w:r>
      <w:r>
        <w:t xml:space="preserve">key’s multiple comparisons test which showed a P&lt;0.05 between diseased group and prophylaxis and also between prophylaxis and treatment group. </w:t>
      </w:r>
    </w:p>
    <w:p w:rsidR="005061D5" w:rsidRDefault="005061D5" w:rsidP="005061D5">
      <w:pPr>
        <w:pStyle w:val="LegText"/>
      </w:pPr>
    </w:p>
    <w:p w:rsidR="009A7933" w:rsidRDefault="009A7933" w:rsidP="005061D5">
      <w:pPr>
        <w:pStyle w:val="Heading4"/>
        <w:ind w:firstLine="720"/>
      </w:pPr>
      <w:bookmarkStart w:id="331" w:name="_Toc506232383"/>
      <w:r>
        <w:t>3.5.7 Leukocytes</w:t>
      </w:r>
      <w:bookmarkEnd w:id="331"/>
      <w:r>
        <w:t xml:space="preserve">  </w:t>
      </w:r>
    </w:p>
    <w:p w:rsidR="009A7933" w:rsidRDefault="009A7933" w:rsidP="005061D5">
      <w:pPr>
        <w:ind w:left="720"/>
      </w:pPr>
      <w:r>
        <w:t xml:space="preserve">Leukocyte esterase is produced by neutrophils and may signal pyuria associated with UTI. Leucocyte migration has been implicated in the </w:t>
      </w:r>
      <w:r>
        <w:lastRenderedPageBreak/>
        <w:t>development and progression of diabetic nephropathy (Navarro-González and Mora-Fernández, 2008). Fig 3.7 showed no rat developed leukocytes in the urine within the first three months of the study. However by the fourth month dipstick analysis showed 25 leukocytes/µl in 40% of the rats in the diseased group and 20% of the rats in the treatment group. There was no detectable leukocytes in the 24-hour urine sample of the prophylaxis group until the sixth month where 25 leukocytes/µl was detected in 60% of the rats. At the end of the study only 75 leukocytes/µl was detected in the urine sample of prophylaxis group compared to a maximum reading of 500 leukocytes/µl detected in both diseased and treatment group. A two way Anova test showed a significant difference of P &lt; 0.0001 between the prophylaxis group and the treatment group and between the prophylaxis group and diseased group. There was also a significant difference of P &lt; 0.0001</w:t>
      </w:r>
      <w:r w:rsidR="00344C5F">
        <w:t xml:space="preserve"> </w:t>
      </w:r>
      <w:r>
        <w:t xml:space="preserve">over time in both diseased and treatment group. </w:t>
      </w:r>
    </w:p>
    <w:p w:rsidR="009A7933" w:rsidRDefault="009A7933" w:rsidP="00E23389">
      <w:pPr>
        <w:spacing w:after="160"/>
        <w:ind w:left="720"/>
        <w:rPr>
          <w:rFonts w:ascii="Times New Roman" w:eastAsia="Times New Roman" w:hAnsi="Times New Roman"/>
        </w:rPr>
      </w:pPr>
      <w:r>
        <w:rPr>
          <w:rFonts w:ascii="Times New Roman" w:eastAsia="Times New Roman" w:hAnsi="Times New Roman"/>
        </w:rPr>
        <w:t xml:space="preserve">  </w:t>
      </w:r>
      <w:r w:rsidR="00E23389">
        <w:rPr>
          <w:noProof/>
          <w:lang w:eastAsia="en-GB"/>
        </w:rPr>
        <w:drawing>
          <wp:inline distT="0" distB="0" distL="114300" distR="114300" wp14:anchorId="3D592A4E" wp14:editId="20B8BD7E">
            <wp:extent cx="5205730" cy="2768418"/>
            <wp:effectExtent l="0" t="0" r="0" b="0"/>
            <wp:docPr id="2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a:stretch>
                      <a:fillRect/>
                    </a:stretch>
                  </pic:blipFill>
                  <pic:spPr>
                    <a:xfrm>
                      <a:off x="0" y="0"/>
                      <a:ext cx="5205730" cy="2768418"/>
                    </a:xfrm>
                    <a:prstGeom prst="rect">
                      <a:avLst/>
                    </a:prstGeom>
                    <a:ln/>
                  </pic:spPr>
                </pic:pic>
              </a:graphicData>
            </a:graphic>
          </wp:inline>
        </w:drawing>
      </w:r>
    </w:p>
    <w:p w:rsidR="009A7933" w:rsidRDefault="009A7933" w:rsidP="00E155EB">
      <w:pPr>
        <w:pStyle w:val="LegText"/>
        <w:ind w:left="720"/>
      </w:pPr>
      <w:bookmarkStart w:id="332" w:name="_Toc504640595"/>
      <w:r w:rsidRPr="003C6F70">
        <w:rPr>
          <w:rStyle w:val="SubtitleChar"/>
        </w:rPr>
        <w:t>Figure 3.7 Urinary leucocytes from</w:t>
      </w:r>
      <w:r w:rsidR="003C6F70" w:rsidRPr="003C6F70">
        <w:rPr>
          <w:rStyle w:val="SubtitleChar"/>
        </w:rPr>
        <w:t xml:space="preserve"> monthly 24-hour urine samples</w:t>
      </w:r>
      <w:bookmarkEnd w:id="332"/>
      <w:r w:rsidR="003C6F70">
        <w:t xml:space="preserve">. </w:t>
      </w:r>
      <w:r>
        <w:t xml:space="preserve">Urinary leucocytes was measured in 24 hour urine samples. These values are urinary leukocytes/µl read against manufacturers concentration chart extrapolated from colour fields on the dipstick that correspond to these concentrations. </w:t>
      </w:r>
      <w:bookmarkStart w:id="333" w:name="3l18frh" w:colFirst="0" w:colLast="0"/>
      <w:bookmarkEnd w:id="333"/>
      <w:r w:rsidR="002A6A12">
        <w:t>A two way ANOVA test with Tu</w:t>
      </w:r>
      <w:r>
        <w:t xml:space="preserve">key’s multiple comparisons </w:t>
      </w:r>
      <w:r w:rsidR="002A6A12">
        <w:t>test</w:t>
      </w:r>
      <w:r>
        <w:t xml:space="preserve"> showed a P&lt;0.0001 between diseased group and prophylaxis and also between prophylaxis and treatment group.</w:t>
      </w:r>
    </w:p>
    <w:p w:rsidR="003C6F70" w:rsidRPr="003C6F70" w:rsidRDefault="003C6F70" w:rsidP="003C6F70">
      <w:pPr>
        <w:pStyle w:val="LegText"/>
        <w:rPr>
          <w:sz w:val="24"/>
          <w:szCs w:val="24"/>
        </w:rPr>
      </w:pPr>
    </w:p>
    <w:p w:rsidR="009A7933" w:rsidRDefault="009A7933" w:rsidP="003C6F70">
      <w:pPr>
        <w:pStyle w:val="Heading4"/>
        <w:ind w:firstLine="720"/>
        <w:rPr>
          <w:rFonts w:eastAsia="Times New Roman"/>
        </w:rPr>
      </w:pPr>
      <w:bookmarkStart w:id="334" w:name="_Toc506232384"/>
      <w:r>
        <w:rPr>
          <w:rFonts w:eastAsia="Times New Roman"/>
        </w:rPr>
        <w:t>3.5.8 Nitrite</w:t>
      </w:r>
      <w:bookmarkEnd w:id="334"/>
      <w:r>
        <w:rPr>
          <w:rFonts w:eastAsia="Times New Roman"/>
        </w:rPr>
        <w:t xml:space="preserve"> </w:t>
      </w:r>
    </w:p>
    <w:p w:rsidR="009A7933" w:rsidRDefault="009A7933" w:rsidP="003C6F70">
      <w:pPr>
        <w:ind w:left="720"/>
      </w:pPr>
      <w:r>
        <w:t>Urinary tract infection (UTI) is common in diabetes and it may be asymptomatic, it was therefore important to assess the rats for UTI.</w:t>
      </w:r>
    </w:p>
    <w:p w:rsidR="009A7933" w:rsidRDefault="009A7933" w:rsidP="003C6F70">
      <w:pPr>
        <w:ind w:left="720"/>
      </w:pPr>
      <w:r>
        <w:t>Nitrites are not normally found in the urine of healthy subjects except in bacterial infection where bacteria reduce nitrate to nitrite. Therefore a positive dipstick is suggestive of bacterial infection while a negative infection does not exclude bacterial infection (Pels et al., 1989, McCarty et al., 1986). However the test for nitrite in combination with leucocytes increases a positive prediction of bacteriuria (Pels et al., 1989). Some studies have also validated the urine dipstick as sensitive enough to rule o</w:t>
      </w:r>
      <w:r w:rsidR="003C6F70">
        <w:t>ut UTI (Eigbefoh et al., 2008).</w:t>
      </w:r>
      <w:r>
        <w:t xml:space="preserve"> The rationale for the investigation of nitrite was because infection is a common trigger of DKA in diabetics (Calvet and Yoshikawa, 2001). Monthly urine samples collected from </w:t>
      </w:r>
      <w:r w:rsidR="002A6A12">
        <w:t xml:space="preserve">the </w:t>
      </w:r>
      <w:r>
        <w:t>metabolic cage were tested for nitrites using the dipstick strip. During the course of the study none of the rats developed positive nitrite in the urine (results not shown).</w:t>
      </w:r>
    </w:p>
    <w:p w:rsidR="009A7933" w:rsidRDefault="009A7933" w:rsidP="00EC226D">
      <w:pPr>
        <w:pStyle w:val="Heading4"/>
        <w:ind w:firstLine="720"/>
        <w:rPr>
          <w:rFonts w:eastAsia="Times New Roman"/>
        </w:rPr>
      </w:pPr>
      <w:bookmarkStart w:id="335" w:name="_Toc506232385"/>
      <w:r>
        <w:rPr>
          <w:rFonts w:eastAsia="Times New Roman"/>
        </w:rPr>
        <w:t>3.5.9 Bilirubin</w:t>
      </w:r>
      <w:bookmarkEnd w:id="335"/>
      <w:r>
        <w:rPr>
          <w:rFonts w:eastAsia="Times New Roman"/>
        </w:rPr>
        <w:t xml:space="preserve">  </w:t>
      </w:r>
    </w:p>
    <w:p w:rsidR="009A7933" w:rsidRDefault="009A7933" w:rsidP="00EC226D">
      <w:pPr>
        <w:ind w:left="720"/>
      </w:pPr>
      <w:r>
        <w:t>The dipstick can be used to detect the presence of conjugated bilirubin in</w:t>
      </w:r>
      <w:r w:rsidR="002A6A12">
        <w:t xml:space="preserve"> monthly</w:t>
      </w:r>
      <w:r>
        <w:t xml:space="preserve"> urine and this may be a pointer to liver dysfunction and obstruction of the biliary system. In type 2 diabetes, bilirubin levels have been associated with progression of nephropathy (Mashitan</w:t>
      </w:r>
      <w:r w:rsidR="00EC226D">
        <w:t>i et al., 2014)</w:t>
      </w:r>
      <w:r>
        <w:t xml:space="preserve"> while another study has reported that the presence of bilirubin prevents the cardiovascular complication</w:t>
      </w:r>
      <w:r w:rsidR="002A6A12">
        <w:t>s</w:t>
      </w:r>
      <w:r>
        <w:t xml:space="preserve"> of diabetes (Vítek, 2012). </w:t>
      </w:r>
    </w:p>
    <w:p w:rsidR="009A7933" w:rsidRDefault="009A7933" w:rsidP="00EC226D">
      <w:pPr>
        <w:ind w:left="720"/>
      </w:pPr>
      <w:r>
        <w:t>Our rationale was to ensure our rats did not have liver dysfunction or biliary system obstruction as concurrent pathology such as acute pancreatitis has been reported in diabetes (Hess et al., 2000). During the study we did not detect bilirubinuria in any rat (results not shown).</w:t>
      </w:r>
    </w:p>
    <w:p w:rsidR="009A7933" w:rsidRDefault="009A7933" w:rsidP="00EC226D">
      <w:pPr>
        <w:pStyle w:val="Heading4"/>
        <w:ind w:firstLine="720"/>
        <w:rPr>
          <w:rFonts w:eastAsia="Times New Roman"/>
        </w:rPr>
      </w:pPr>
      <w:bookmarkStart w:id="336" w:name="_Toc506232386"/>
      <w:r>
        <w:rPr>
          <w:rFonts w:eastAsia="Times New Roman"/>
        </w:rPr>
        <w:t>3.5.10 Discussion</w:t>
      </w:r>
      <w:bookmarkEnd w:id="336"/>
    </w:p>
    <w:p w:rsidR="009A7933" w:rsidRDefault="009A7933" w:rsidP="00EC226D">
      <w:pPr>
        <w:ind w:left="720"/>
      </w:pPr>
      <w:r>
        <w:t xml:space="preserve">The data </w:t>
      </w:r>
      <w:r w:rsidR="00E06955">
        <w:t xml:space="preserve">already presented </w:t>
      </w:r>
      <w:r>
        <w:t>clearly s</w:t>
      </w:r>
      <w:r w:rsidR="002A6A12">
        <w:t>how</w:t>
      </w:r>
      <w:r>
        <w:t xml:space="preserve"> that type one diabetes was established in all the three groups (Fig. 3.5 and Table 3.3) and this was a vital requirement for diabetic nephropathy. The best interpretation of </w:t>
      </w:r>
      <w:r w:rsidR="00344C5F">
        <w:lastRenderedPageBreak/>
        <w:t xml:space="preserve">urinalysis results is a </w:t>
      </w:r>
      <w:r>
        <w:t>holistic view rather than an individual approach. All rats had normal pH but rats fed on chow mixed with UK-396082 had a lower pH especially the prophylaxis group that fed on it throughout the entire study (Table 3.4).</w:t>
      </w:r>
    </w:p>
    <w:p w:rsidR="009A7933" w:rsidRDefault="009A7933" w:rsidP="00EC226D">
      <w:pPr>
        <w:ind w:left="720"/>
      </w:pPr>
      <w:r>
        <w:t>Diabetic ketoacidosis (DKA) is one the complications of poorly managed diabetes which can contribute to generation of oxygen radicals. There were cases of transient DKA in both the diseased and t</w:t>
      </w:r>
      <w:r w:rsidR="002A6A12">
        <w:t>reatment groups (Section 3.5.3) but not in the prophylaxis group</w:t>
      </w:r>
    </w:p>
    <w:p w:rsidR="009A7933" w:rsidRDefault="009A7933" w:rsidP="00EC226D">
      <w:pPr>
        <w:ind w:left="720"/>
      </w:pPr>
      <w:r>
        <w:t xml:space="preserve">The absence of nitrite from all the groups (Section 3.5.8) may exclude UTI during the study.  UK-396082 was also found to be renoprotective from haematuria as the rats that fed on chow mixed with UK-396082 throughout the study had less haematuria (Fig. 3.6). </w:t>
      </w:r>
    </w:p>
    <w:p w:rsidR="009A7933" w:rsidRDefault="009A7933" w:rsidP="00EC226D">
      <w:pPr>
        <w:ind w:left="720"/>
      </w:pPr>
      <w:r>
        <w:t>The data shown in Fig 3.7 is very interesting as this reflects</w:t>
      </w:r>
      <w:r w:rsidR="002A6A12">
        <w:t xml:space="preserve"> the</w:t>
      </w:r>
      <w:r>
        <w:t xml:space="preserve"> laboratory picture of diabetes as reported by Eastman et al. (1991). It was reported that leukocytosis is a feature of overt diabetes (Eastman et al., 1991). We observed more leucocytosis in </w:t>
      </w:r>
      <w:r w:rsidR="002A6A12">
        <w:t xml:space="preserve">the </w:t>
      </w:r>
      <w:r>
        <w:t>diseased group and the treatment group than the prophylaxis group. There was a significant difference of P &lt; 0.0001 between</w:t>
      </w:r>
      <w:r w:rsidR="002A6A12">
        <w:t xml:space="preserve"> the</w:t>
      </w:r>
      <w:r>
        <w:t xml:space="preserve"> prophylaxis group and </w:t>
      </w:r>
      <w:r w:rsidR="002A6A12">
        <w:t xml:space="preserve">the </w:t>
      </w:r>
      <w:r>
        <w:t>diseased group and a similar trend was observed between the prophylaxis group and the treatment group. A greater amount of circulating leukocytosis as seen in both diseased and treatment group is an indicator of worsening and progre</w:t>
      </w:r>
      <w:r w:rsidR="002A6A12">
        <w:t>ssive nephropathy</w:t>
      </w:r>
      <w:r w:rsidR="00EC226D">
        <w:t xml:space="preserve"> </w:t>
      </w:r>
      <w:r>
        <w:t xml:space="preserve">(Chung et al., 2005). The results observed with the prophylaxis group further strengthens the probability that UK-396082 can reduce the progression of diabetic nephropathy.  </w:t>
      </w:r>
    </w:p>
    <w:p w:rsidR="009A7933" w:rsidRDefault="009A7933" w:rsidP="00EC226D">
      <w:pPr>
        <w:ind w:firstLine="720"/>
      </w:pPr>
      <w:r>
        <w:t>In summary our findings in this chapter shows</w:t>
      </w:r>
    </w:p>
    <w:p w:rsidR="009A7933" w:rsidRDefault="009A7933" w:rsidP="00EC226D">
      <w:pPr>
        <w:ind w:firstLine="720"/>
      </w:pPr>
      <w:r>
        <w:t xml:space="preserve">pH values were within expected ranges therefore no overt acidosis. </w:t>
      </w:r>
    </w:p>
    <w:p w:rsidR="009A7933" w:rsidRDefault="009A7933" w:rsidP="00EC226D">
      <w:pPr>
        <w:ind w:left="720"/>
      </w:pPr>
      <w:r>
        <w:rPr>
          <w:color w:val="000000"/>
        </w:rPr>
        <w:t xml:space="preserve">Haematuria was observed in all the groups at the end of the study. However the prophylactic group had significantly less haematuria. Haematuria however is not as strong a predictor of renal damage when </w:t>
      </w:r>
      <w:r>
        <w:rPr>
          <w:color w:val="000000"/>
        </w:rPr>
        <w:lastRenderedPageBreak/>
        <w:t>compared to proteinuria and albuminuria, because some diseases such as UTI, kidney stones and bladder cancer are recognized as causes of haematuria</w:t>
      </w:r>
      <w:r w:rsidR="00D83BB1">
        <w:rPr>
          <w:color w:val="000000"/>
        </w:rPr>
        <w:t>.</w:t>
      </w:r>
      <w:r w:rsidRPr="002A6A12">
        <w:rPr>
          <w:color w:val="FF0000"/>
        </w:rPr>
        <w:t xml:space="preserve"> </w:t>
      </w:r>
      <w:r>
        <w:rPr>
          <w:color w:val="000000"/>
        </w:rPr>
        <w:t xml:space="preserve">In the absence of an infection it is suggestive of chronic glomerular disease. Therefore, prophylactically UK-396082 may protect against glomerular disease.  </w:t>
      </w:r>
    </w:p>
    <w:p w:rsidR="009A7933" w:rsidRDefault="009A7933" w:rsidP="00EC226D">
      <w:pPr>
        <w:ind w:left="720"/>
      </w:pPr>
      <w:r>
        <w:t>Urinary glucose was above the renal threshold for glucose throughout the study. This confirms hyperglycaemia throughout the study</w:t>
      </w:r>
      <w:r w:rsidR="002A6A12">
        <w:t>.</w:t>
      </w:r>
    </w:p>
    <w:p w:rsidR="009A7933" w:rsidRDefault="009A7933" w:rsidP="002D24AB">
      <w:pPr>
        <w:ind w:left="720"/>
      </w:pPr>
      <w:r>
        <w:t>None of the rats</w:t>
      </w:r>
      <w:r w:rsidR="002A6A12">
        <w:t xml:space="preserve"> had nitrites in the urine, which</w:t>
      </w:r>
      <w:r>
        <w:t xml:space="preserve"> suggest the absence of UTI</w:t>
      </w:r>
    </w:p>
    <w:p w:rsidR="009A7933" w:rsidRDefault="009A7933" w:rsidP="00EC226D">
      <w:pPr>
        <w:ind w:left="720"/>
      </w:pPr>
      <w:r>
        <w:t xml:space="preserve">Leukocytosis was seen in all the groups although </w:t>
      </w:r>
      <w:r w:rsidR="002A6A12">
        <w:t xml:space="preserve">it was </w:t>
      </w:r>
      <w:r>
        <w:t>more pronounced in the diseased and treatment group with a P &lt; 0.0001 between the prophylaxis and the diseased and similarly between the prophylaxis and the treatment group. In the absence of an infection this is suggestive of inflammation or tissue damage. Thus prophylactic use of UK-396082 may reduce kidney tissue damage.</w:t>
      </w:r>
    </w:p>
    <w:p w:rsidR="009A7933" w:rsidRDefault="009A7933" w:rsidP="00EC226D">
      <w:pPr>
        <w:ind w:left="720"/>
      </w:pPr>
      <w:r>
        <w:t xml:space="preserve">Urinalysis helped to monitor the health of the rats and check unwanted complications.  </w:t>
      </w:r>
    </w:p>
    <w:p w:rsidR="009A7933" w:rsidRPr="00EC226D" w:rsidRDefault="009A7933" w:rsidP="00EC226D">
      <w:pPr>
        <w:pStyle w:val="Heading3"/>
        <w:ind w:firstLine="720"/>
      </w:pPr>
      <w:bookmarkStart w:id="337" w:name="_Toc506232387"/>
      <w:r w:rsidRPr="00EC226D">
        <w:t>3.6 Renal Function</w:t>
      </w:r>
      <w:bookmarkEnd w:id="337"/>
    </w:p>
    <w:p w:rsidR="009A7933" w:rsidRDefault="009A7933" w:rsidP="00EC226D">
      <w:pPr>
        <w:ind w:left="720"/>
      </w:pPr>
      <w:r>
        <w:t xml:space="preserve">Glomerular filtration rate (GFR) is the most widely used laboratory </w:t>
      </w:r>
      <w:r w:rsidR="002A6A12">
        <w:t xml:space="preserve">measure </w:t>
      </w:r>
      <w:r>
        <w:t>to assess kidney function. It is an estimated calculation based on urinary creatinine, serum creatinine and 24 hr urine output. It also factors in age, sex and ethnicity. It assesses both the quantitative and qualitative ability of the kidney’s excretory function. Kidney function can also be assessed using renal clearance, which is based on the ability of the kidney to clear a substa</w:t>
      </w:r>
      <w:r w:rsidR="00CF29F2">
        <w:t>nce (Section 2.4</w:t>
      </w:r>
      <w:r>
        <w:t>). Both inulin and endogenous creatinine have been used for this test. Inulin is said to be more accurate because it is an inert small polysaccharide molecule that can easily pass through the glomerulus without been reabsorbed and is not metabolised. Inulin clearance is accepted as a standard for GFR estimation (Green, 1993)</w:t>
      </w:r>
      <w:r w:rsidR="002A6A12">
        <w:t>,</w:t>
      </w:r>
      <w:r>
        <w:t xml:space="preserve"> however this procedure requires continuous intravenous inulin infusion with urine collection at several timed </w:t>
      </w:r>
      <w:r>
        <w:lastRenderedPageBreak/>
        <w:t xml:space="preserve">intervals, hereby making this procedure inconvenient. However, a study with rats showed no time dependent difference between inulin clearance and creatinine clearance (Darling and Morris, 1991). Earle and Berliner </w:t>
      </w:r>
      <w:r w:rsidR="002A6A12">
        <w:t xml:space="preserve">(1946) </w:t>
      </w:r>
      <w:r>
        <w:t xml:space="preserve">introduced systemic clearance of inulin to replace renal clearance of inulin but this was found to be unsuitable for patients with oedema and further studies also showed that systemic clearance of inulin overestimated inulin clearance by 20% when compared to renal clearance (Orlando et al., 1998). Pucci et al (2007) reported that serum cystatin C can be used as an early parameter to detect diabetic nephropathy and also in its </w:t>
      </w:r>
      <w:r w:rsidR="00BF0DFE">
        <w:t>management</w:t>
      </w:r>
      <w:r>
        <w:t>. In another study of GFR in type 1 diabetes</w:t>
      </w:r>
      <w:r w:rsidR="002A6A12">
        <w:t>, it was stated that</w:t>
      </w:r>
      <w:r>
        <w:t xml:space="preserve"> creatinine clearance was less reliable than cystatin C, however this needs further investigation (Tan et al., 2002).</w:t>
      </w:r>
    </w:p>
    <w:p w:rsidR="009A7933" w:rsidRDefault="009A7933" w:rsidP="00EC226D">
      <w:pPr>
        <w:ind w:left="720"/>
      </w:pPr>
      <w:r>
        <w:t xml:space="preserve">The use of creatinine is more common and has been extensively used in animal research because it is easy, reliable and reproducible when large numbers of samples are involved. Creatinine clearance has also been studied in many rat strains including Wistar and found to mirror GFR. (Van Liew et al., 1993). Creatinine clearance is calculated from urine flow over 24 hours and the creatinine values obtained from both urine and blood (Cholongitas et al., 2007). Based on the above points we decided to investigate renal function in our rat model by calculating the creatinine clearance over 24 hours. Overnight creatinine clearance measurement can be affected by the presence or absence of overnight feeding, therefore this variable was kept constant (Van Liew et al., 1993). </w:t>
      </w:r>
    </w:p>
    <w:p w:rsidR="009A7933" w:rsidRDefault="009A7933" w:rsidP="00804EA9">
      <w:pPr>
        <w:ind w:left="720"/>
      </w:pPr>
      <w:r>
        <w:t>Both urine and blood contain interfering molecules which render the Jaffe method of creatinine determination subject to error (Husdan and Rapoport, 1968) therefore the enzymatic method was favoured above the Jaffe because the effect of miscalculation from effect of these non-creatinine chromogens is less (Jung et al., 1987).</w:t>
      </w:r>
    </w:p>
    <w:p w:rsidR="009A7933" w:rsidRDefault="009A7933" w:rsidP="00804EA9">
      <w:pPr>
        <w:ind w:left="720"/>
      </w:pPr>
      <w:r>
        <w:lastRenderedPageBreak/>
        <w:t xml:space="preserve">Taking all the above into account we decided to measure blood creatinine, </w:t>
      </w:r>
      <w:r w:rsidR="002A6A12">
        <w:t xml:space="preserve">and </w:t>
      </w:r>
      <w:r>
        <w:t>urine creatinine in 24-hour urine sample</w:t>
      </w:r>
      <w:r w:rsidR="002A6A12">
        <w:t>s</w:t>
      </w:r>
      <w:r>
        <w:t xml:space="preserve"> to calculate creatinine clearance using the</w:t>
      </w:r>
      <w:r w:rsidR="00CF29F2">
        <w:t xml:space="preserve"> enzymatic method (Section 2.4.7</w:t>
      </w:r>
      <w:r>
        <w:t xml:space="preserve">). </w:t>
      </w:r>
    </w:p>
    <w:p w:rsidR="009A7933" w:rsidRDefault="009A7933" w:rsidP="00804EA9">
      <w:pPr>
        <w:ind w:left="720"/>
      </w:pPr>
      <w:r>
        <w:t>Other markers of renal function that we investigated to assess renal function w</w:t>
      </w:r>
      <w:r w:rsidR="00CF29F2">
        <w:t>ere urinary protein (Section 2.4.5), urinary albumin (Section 2.4.3</w:t>
      </w:r>
      <w:r>
        <w:t xml:space="preserve">) and </w:t>
      </w:r>
      <w:r w:rsidR="00CF29F2">
        <w:t>blood urea nitrogen (Section 2.4.2</w:t>
      </w:r>
      <w:r>
        <w:t>).</w:t>
      </w:r>
    </w:p>
    <w:p w:rsidR="009A7933" w:rsidRDefault="009A7933" w:rsidP="00804EA9">
      <w:pPr>
        <w:ind w:left="720"/>
      </w:pPr>
      <w:r>
        <w:t>Proteins are found in the blood</w:t>
      </w:r>
      <w:r w:rsidR="002A6A12">
        <w:t>,</w:t>
      </w:r>
      <w:r>
        <w:t xml:space="preserve"> however only trace amounts may be found in the urine as most proteins are too large to pass through the glomeruli of a healthy kidney. However in the diseased state proteins can be found in the urine in increased amount. The kidney and the bladder undergo structural and functional abnormalities in sustained hyperglycemia which results in a deficit in glomerular filtration rate in both man and rats (Yohannes et al., 2008). This structural defect leads to passage of protein into the urine. Two major methods are routinely carried out in the monitoring of disease progression in diabetes; urinary albumin excretion rates and total protein concentration (Schlatzer et al., 2009). We therefore determined both serum protein and urinary albumin in our study. </w:t>
      </w:r>
    </w:p>
    <w:p w:rsidR="009A7933" w:rsidRDefault="009A7933" w:rsidP="00804EA9">
      <w:pPr>
        <w:ind w:left="720"/>
      </w:pPr>
      <w:r>
        <w:t>Urea, like creatinine, is a by-product of metabolism that is filtered through the kidney. Urea is made in the liver from the catabolism of protein. This by-product is then excreted via the kidneys meaning that any morbidity that affects either the metabolic function of the liver or the excretory function of the kidney will lead to accumulation of urea in the blood.  The test is based on the measurement of the amount of urea nitrogen in the blood. Kidney disease, renal failure, or the presence of kidney stone blocking the urinary tract can result in elevated blood urea nitrogen (BUN) (Gowda et al., 2010).</w:t>
      </w:r>
    </w:p>
    <w:p w:rsidR="000127DB" w:rsidRDefault="009A7933" w:rsidP="00804EA9">
      <w:pPr>
        <w:ind w:left="720"/>
      </w:pPr>
      <w:r>
        <w:t xml:space="preserve">Screening for proteinuria, creatinine and calculating creatinine clearance, are good indices to measure glomerular functions. We therefore measured both serum and urinary creatinine, serum urea, urinary proteinuria and urinary albumin. We went further to analyze the </w:t>
      </w:r>
      <w:r>
        <w:lastRenderedPageBreak/>
        <w:t xml:space="preserve">protective and therapeutic effect of UK-396082 in </w:t>
      </w:r>
      <w:r w:rsidR="002A6A12">
        <w:t>a chronic kidney disease model.</w:t>
      </w:r>
      <w:r>
        <w:t xml:space="preserve"> All results were within the normal ranges at the start of the study confirming clinically sound state of health of the rats at the start of the study, this was similar to the baseline findings in chapter 3. From </w:t>
      </w:r>
      <w:r w:rsidR="002A6A12">
        <w:t>Fig.</w:t>
      </w:r>
      <w:r>
        <w:t xml:space="preserve"> 3.8 we observed </w:t>
      </w:r>
      <w:r w:rsidR="001A1106">
        <w:t xml:space="preserve">that </w:t>
      </w:r>
      <w:r>
        <w:t xml:space="preserve">none of the rats </w:t>
      </w:r>
      <w:r w:rsidR="00CB2600">
        <w:t>excreted measur</w:t>
      </w:r>
      <w:r>
        <w:t xml:space="preserve">able albuminuria for the first 90 days of the study, however this was followed by a sharp increase in excreted albuminuria in both </w:t>
      </w:r>
      <w:r w:rsidR="00FB67B3">
        <w:t xml:space="preserve">the </w:t>
      </w:r>
      <w:r>
        <w:t>diseased group</w:t>
      </w:r>
      <w:r w:rsidR="00CB2600">
        <w:t xml:space="preserve"> (group 1)</w:t>
      </w:r>
      <w:r>
        <w:t xml:space="preserve"> and treatment group</w:t>
      </w:r>
      <w:r w:rsidR="00CB2600">
        <w:t xml:space="preserve"> (group 3)</w:t>
      </w:r>
      <w:r>
        <w:t xml:space="preserve"> </w:t>
      </w:r>
      <w:r w:rsidR="00CB2600">
        <w:t>T</w:t>
      </w:r>
      <w:r>
        <w:t>his confirms the establishment</w:t>
      </w:r>
      <w:r w:rsidR="00CB2600">
        <w:t xml:space="preserve"> of overt diabetic nephropathy</w:t>
      </w:r>
      <w:r w:rsidR="00FB67B3">
        <w:t>. T</w:t>
      </w:r>
      <w:r>
        <w:t xml:space="preserve">his increase continued </w:t>
      </w:r>
      <w:r w:rsidR="00FB67B3">
        <w:t>until</w:t>
      </w:r>
      <w:r>
        <w:t xml:space="preserve"> the eighth month</w:t>
      </w:r>
      <w:r w:rsidR="00FB67B3">
        <w:t>.</w:t>
      </w:r>
      <w:r>
        <w:t xml:space="preserve"> </w:t>
      </w:r>
      <w:r w:rsidR="00FB67B3">
        <w:t>H</w:t>
      </w:r>
      <w:r>
        <w:t>owev</w:t>
      </w:r>
      <w:r w:rsidR="000127DB">
        <w:t>er the prophylactic group had a</w:t>
      </w:r>
      <w:r w:rsidR="00FB67B3">
        <w:t xml:space="preserve"> moderate increase </w:t>
      </w:r>
      <w:r>
        <w:t>in the amount of albuminuria excreted when compared to the other two groups. Significant difference was observed between the prophylaxis group and the diseased group between the sixth month and t</w:t>
      </w:r>
      <w:r w:rsidR="000127DB">
        <w:t>he eighth month</w:t>
      </w:r>
      <w:r>
        <w:t xml:space="preserve">. In the same vein the prophylactic group had </w:t>
      </w:r>
      <w:r w:rsidR="000127DB">
        <w:t xml:space="preserve">only moderate albuminuria and </w:t>
      </w:r>
      <w:r>
        <w:t>lesser urinary protein at the end of the study when compared with the diseased group.</w:t>
      </w:r>
    </w:p>
    <w:p w:rsidR="000127DB" w:rsidRDefault="000127DB">
      <w:pPr>
        <w:spacing w:after="160" w:line="259" w:lineRule="auto"/>
        <w:jc w:val="left"/>
      </w:pPr>
      <w:r>
        <w:br w:type="page"/>
      </w:r>
    </w:p>
    <w:p w:rsidR="009A7933" w:rsidRDefault="00034B48" w:rsidP="002A1888">
      <w:pPr>
        <w:pStyle w:val="LegText"/>
        <w:ind w:left="720"/>
      </w:pPr>
      <w:r w:rsidRPr="000127DB">
        <w:rPr>
          <w:rFonts w:asciiTheme="minorHAnsi" w:eastAsiaTheme="minorHAnsi" w:hAnsiTheme="minorHAnsi" w:cstheme="minorBidi"/>
          <w:noProof/>
          <w:color w:val="auto"/>
          <w:sz w:val="24"/>
          <w:szCs w:val="24"/>
        </w:rPr>
        <w:lastRenderedPageBreak/>
        <mc:AlternateContent>
          <mc:Choice Requires="wps">
            <w:drawing>
              <wp:anchor distT="0" distB="0" distL="114300" distR="114300" simplePos="0" relativeHeight="251978752" behindDoc="0" locked="0" layoutInCell="1" allowOverlap="1" wp14:anchorId="02288C27" wp14:editId="68956A90">
                <wp:simplePos x="0" y="0"/>
                <wp:positionH relativeFrom="column">
                  <wp:posOffset>4237674</wp:posOffset>
                </wp:positionH>
                <wp:positionV relativeFrom="paragraph">
                  <wp:posOffset>789622</wp:posOffset>
                </wp:positionV>
                <wp:extent cx="457201" cy="191769"/>
                <wp:effectExtent l="0" t="0" r="0" b="0"/>
                <wp:wrapNone/>
                <wp:docPr id="130" name="Rectangle 5"/>
                <wp:cNvGraphicFramePr/>
                <a:graphic xmlns:a="http://schemas.openxmlformats.org/drawingml/2006/main">
                  <a:graphicData uri="http://schemas.microsoft.com/office/word/2010/wordprocessingShape">
                    <wps:wsp>
                      <wps:cNvSpPr/>
                      <wps:spPr>
                        <a:xfrm rot="16200000">
                          <a:off x="0" y="0"/>
                          <a:ext cx="457201" cy="191769"/>
                        </a:xfrm>
                        <a:prstGeom prst="rect">
                          <a:avLst/>
                        </a:prstGeom>
                      </wps:spPr>
                      <wps:txbx>
                        <w:txbxContent>
                          <w:p w:rsidR="00AD6A02" w:rsidRPr="00BB113D" w:rsidRDefault="00AD6A02" w:rsidP="000127DB">
                            <w:pPr>
                              <w:pStyle w:val="NormalWeb"/>
                              <w:spacing w:after="160" w:line="256" w:lineRule="auto"/>
                            </w:pPr>
                            <w:r w:rsidRPr="00BB113D">
                              <w:rPr>
                                <w:color w:val="000000" w:themeColor="text1"/>
                                <w:kern w:val="24"/>
                              </w:rPr>
                              <w:t>****</w:t>
                            </w: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5611B6" w:rsidRDefault="00AD6A02" w:rsidP="000127DB">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2288C27" id="Rectangle 5" o:spid="_x0000_s1035" style="position:absolute;left:0;text-align:left;margin-left:333.7pt;margin-top:62.15pt;width:36pt;height:15.1pt;rotation:-90;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F7kAEAAAYDAAAOAAAAZHJzL2Uyb0RvYy54bWysUk1PGzEQvSPxHyzfyWYphLLKBlVC7QVR&#10;BO0PmHjtrKW1xx072c2/79gJAbU3xB5Gno99fu+Nl3eTG8ROU7ToW1nP5lJor7CzftPK37++X3yV&#10;IibwHQzodSv3Osq71fnZcgyNvsQeh06TYBAfmzG0sk8pNFUVVa8dxBkG7blpkBwkTmlTdQQjo7uh&#10;upzPF9WI1AVCpWPk6v2hKVcF3xit0k9jok5iaCVzSyVSiescq9USmg1B6K060oAPsHBgPV96grqH&#10;BGJL9j8oZxVhRJNmCl2FxliliwZWU8//UfPSQ9BFC5sTw8mm+Hmw6nH3RMJ2vLsv7I8Hx0t6ZtvA&#10;bwYtrrNBY4gNz72EJzpmkY9Z7WTICUJ2tV7wNvgrJrAsMRWP9yeP9ZSE4uLV9Q0rlUJxq76tbxa3&#10;+YrqgJUxA8X0Q6MT+dBKYi4FFHYPMR1GX0f4v8ztwCaf0rSeipgCmitr7PYscOQNtzL+2QJlQ6Hx&#10;+G2b0NiC+DZ4RGSzC6fjw8jbfJ+Xqbfnu/oLAAD//wMAUEsDBBQABgAIAAAAIQBof6qy4AAAAAsB&#10;AAAPAAAAZHJzL2Rvd25yZXYueG1sTI/BTsMwDIbvSLxDZCRuLNm6rVVpOiEECHFgoiC4Zo1pKxqn&#10;arK1vD3mBEf7//T7c7GbXS9OOIbOk4blQoFAqr3tqNHw9np/lYEI0ZA1vSfU8I0BduX5WWFy6yd6&#10;wVMVG8ElFHKjoY1xyKUMdYvOhIUfkDj79KMzkcexkXY0E5e7Xq6U2kpnOuILrRnwtsX6qzo6DU+e&#10;7t7rhy6dZrWyyfy4/6ie91pfXsw31yAizvEPhl99VoeSnQ7+SDaIXsM2yxJGOVDJGgQT6TLbgDjw&#10;Jt2sQZaF/P9D+QMAAP//AwBQSwECLQAUAAYACAAAACEAtoM4kv4AAADhAQAAEwAAAAAAAAAAAAAA&#10;AAAAAAAAW0NvbnRlbnRfVHlwZXNdLnhtbFBLAQItABQABgAIAAAAIQA4/SH/1gAAAJQBAAALAAAA&#10;AAAAAAAAAAAAAC8BAABfcmVscy8ucmVsc1BLAQItABQABgAIAAAAIQAtuFF7kAEAAAYDAAAOAAAA&#10;AAAAAAAAAAAAAC4CAABkcnMvZTJvRG9jLnhtbFBLAQItABQABgAIAAAAIQBof6qy4AAAAAsBAAAP&#10;AAAAAAAAAAAAAAAAAOoDAABkcnMvZG93bnJldi54bWxQSwUGAAAAAAQABADzAAAA9wQAAAAA&#10;" filled="f" stroked="f">
                <v:textbox>
                  <w:txbxContent>
                    <w:p w:rsidR="00AD6A02" w:rsidRPr="00BB113D" w:rsidRDefault="00AD6A02" w:rsidP="000127DB">
                      <w:pPr>
                        <w:pStyle w:val="NormalWeb"/>
                        <w:spacing w:after="160" w:line="256" w:lineRule="auto"/>
                      </w:pPr>
                      <w:r w:rsidRPr="00BB113D">
                        <w:rPr>
                          <w:color w:val="000000" w:themeColor="text1"/>
                          <w:kern w:val="24"/>
                        </w:rPr>
                        <w:t>****</w:t>
                      </w: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5611B6" w:rsidRDefault="00AD6A02" w:rsidP="000127DB">
                      <w:pPr>
                        <w:pStyle w:val="NormalWeb"/>
                        <w:spacing w:after="160" w:line="256" w:lineRule="auto"/>
                        <w:rPr>
                          <w:sz w:val="20"/>
                        </w:rPr>
                      </w:pPr>
                    </w:p>
                  </w:txbxContent>
                </v:textbox>
              </v:rect>
            </w:pict>
          </mc:Fallback>
        </mc:AlternateContent>
      </w:r>
      <w:r>
        <w:rPr>
          <w:noProof/>
        </w:rPr>
        <mc:AlternateContent>
          <mc:Choice Requires="wps">
            <w:drawing>
              <wp:anchor distT="0" distB="0" distL="114300" distR="114300" simplePos="0" relativeHeight="251972608" behindDoc="0" locked="0" layoutInCell="1" allowOverlap="1" wp14:anchorId="0D5A30DE" wp14:editId="581161AE">
                <wp:simplePos x="0" y="0"/>
                <wp:positionH relativeFrom="margin">
                  <wp:posOffset>4303395</wp:posOffset>
                </wp:positionH>
                <wp:positionV relativeFrom="paragraph">
                  <wp:posOffset>476250</wp:posOffset>
                </wp:positionV>
                <wp:extent cx="85725" cy="914400"/>
                <wp:effectExtent l="0" t="0" r="47625" b="19050"/>
                <wp:wrapNone/>
                <wp:docPr id="125" name="Right Brace 1"/>
                <wp:cNvGraphicFramePr/>
                <a:graphic xmlns:a="http://schemas.openxmlformats.org/drawingml/2006/main">
                  <a:graphicData uri="http://schemas.microsoft.com/office/word/2010/wordprocessingShape">
                    <wps:wsp>
                      <wps:cNvSpPr/>
                      <wps:spPr>
                        <a:xfrm flipV="1">
                          <a:off x="0" y="0"/>
                          <a:ext cx="85725" cy="91440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A3E0504" id="Right Brace 1" o:spid="_x0000_s1026" type="#_x0000_t88" style="position:absolute;margin-left:338.85pt;margin-top:37.5pt;width:6.75pt;height:1in;flip:y;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sKJAIAAF8EAAAOAAAAZHJzL2Uyb0RvYy54bWysVE1v2zAMvQ/YfxB0X+w4TZYFcYqtQXYZ&#10;tmLtemdlydagr0lKnPz7UbKbpWtPw3wQKIl65Hskvb4+akUO3AdpTU2nk5ISbphtpGlr+uN+925J&#10;SYhgGlDW8JqeeKDXm7dv1r1b8cp2VjXcEwQxYdW7mnYxulVRBNZxDWFiHTd4KazXEHHr26Lx0CO6&#10;VkVVlouit75x3jIeAp5uh0u6yfhCcBa/CRF4JKqmmFvMq8/rY1qLzRpWrQfXSTamAf+QhQZpMOgZ&#10;agsRyN7LF1BaMm+DFXHCrC6sEJLxzAHZTMu/2Nx14HjmguIEd5Yp/D9Y9vVw64lssHbVnBIDGov0&#10;XbZdJJ88ME6mSaLehRV63rlbP+4CmonvUXhNhJLuARGyAsiJHLPAp7PA/BgJw8Pl/H2KwvDmw/Tq&#10;qsz6FwNKQnM+xM/capKMmvqUR04jI8PhS4hZ5GZMFJqfU0qEVlizAyiynM1mY0kvXKpLl3m1rBbJ&#10;B8OOgGg9BU7owSrZ7KRSeXMKN8oTBK8ptl1je0oUhIiHNd3lbwR79kwZ0td0MZtjzzHAvhYKIpra&#10;odLBtJSAanFgWPSZ2rPH4UXMexTwIm6Zv9fiJh5bCN2QcEYd9NAy4pwpqbEIl6+VSSx5nhRUN+mS&#10;ij2UN1mPtjlhh/Q4Ipj5rz14TomP6sYOEwWGdRa1eGJi7Md9tEKeoQaAERe7OCs/Tlwak8t99vrz&#10;X9j8BgAA//8DAFBLAwQUAAYACAAAACEAXdNXGeAAAAAKAQAADwAAAGRycy9kb3ducmV2LnhtbEyP&#10;UUvDMBSF3wX/Q7iCL8UlLZputekQQfBF0DnYHu+a2JYlN6XJtvrvjU/6eLkf53ynXs/OsrOZwuBJ&#10;Qb4QwAy1Xg/UKdh+vtwtgYWIpNF6Mgq+TYB1c31VY6X9hT7MeRM7lkIoVKigj3GsOA9tbxyGhR8N&#10;pd+XnxzGdE4d1xNeUrizvBBCcocDpYYeR/Pcm/a4OTkFHnfbpcjsuzzKaZ9hfp+96Velbm/mp0dg&#10;0czxD4Zf/aQOTXI6+BPpwKwCWZZlQhWUD2lTAuQqL4AdFBT5SgBvav5/QvMDAAD//wMAUEsBAi0A&#10;FAAGAAgAAAAhALaDOJL+AAAA4QEAABMAAAAAAAAAAAAAAAAAAAAAAFtDb250ZW50X1R5cGVzXS54&#10;bWxQSwECLQAUAAYACAAAACEAOP0h/9YAAACUAQAACwAAAAAAAAAAAAAAAAAvAQAAX3JlbHMvLnJl&#10;bHNQSwECLQAUAAYACAAAACEAxFULCiQCAABfBAAADgAAAAAAAAAAAAAAAAAuAgAAZHJzL2Uyb0Rv&#10;Yy54bWxQSwECLQAUAAYACAAAACEAXdNXGeAAAAAKAQAADwAAAAAAAAAAAAAAAAB+BAAAZHJzL2Rv&#10;d25yZXYueG1sUEsFBgAAAAAEAAQA8wAAAIsFAAAAAA==&#10;" adj="169,11410" filled="t" fillcolor="window" strokecolor="windowText" strokeweight=".5pt">
                <v:stroke joinstyle="miter"/>
                <w10:wrap anchorx="margin"/>
              </v:shape>
            </w:pict>
          </mc:Fallback>
        </mc:AlternateContent>
      </w:r>
      <w:r w:rsidRPr="000127DB">
        <w:rPr>
          <w:rFonts w:asciiTheme="minorHAnsi" w:eastAsiaTheme="minorHAnsi" w:hAnsiTheme="minorHAnsi" w:cstheme="minorBidi"/>
          <w:noProof/>
          <w:color w:val="auto"/>
          <w:sz w:val="24"/>
          <w:szCs w:val="24"/>
        </w:rPr>
        <mc:AlternateContent>
          <mc:Choice Requires="wps">
            <w:drawing>
              <wp:anchor distT="0" distB="0" distL="114300" distR="114300" simplePos="0" relativeHeight="251976704" behindDoc="0" locked="0" layoutInCell="1" allowOverlap="1" wp14:anchorId="02288C27" wp14:editId="68956A90">
                <wp:simplePos x="0" y="0"/>
                <wp:positionH relativeFrom="column">
                  <wp:posOffset>3995739</wp:posOffset>
                </wp:positionH>
                <wp:positionV relativeFrom="paragraph">
                  <wp:posOffset>875347</wp:posOffset>
                </wp:positionV>
                <wp:extent cx="552451" cy="191769"/>
                <wp:effectExtent l="0" t="0" r="0" b="0"/>
                <wp:wrapNone/>
                <wp:docPr id="129" name="Rectangle 5"/>
                <wp:cNvGraphicFramePr/>
                <a:graphic xmlns:a="http://schemas.openxmlformats.org/drawingml/2006/main">
                  <a:graphicData uri="http://schemas.microsoft.com/office/word/2010/wordprocessingShape">
                    <wps:wsp>
                      <wps:cNvSpPr/>
                      <wps:spPr>
                        <a:xfrm rot="16200000">
                          <a:off x="0" y="0"/>
                          <a:ext cx="552451" cy="191769"/>
                        </a:xfrm>
                        <a:prstGeom prst="rect">
                          <a:avLst/>
                        </a:prstGeom>
                      </wps:spPr>
                      <wps:txbx>
                        <w:txbxContent>
                          <w:p w:rsidR="00AD6A02" w:rsidRPr="00BB113D" w:rsidRDefault="00AD6A02" w:rsidP="000127DB">
                            <w:pPr>
                              <w:pStyle w:val="NormalWeb"/>
                              <w:spacing w:after="160" w:line="256" w:lineRule="auto"/>
                            </w:pPr>
                            <w:r w:rsidRPr="00BB113D">
                              <w:rPr>
                                <w:color w:val="000000" w:themeColor="text1"/>
                                <w:kern w:val="24"/>
                              </w:rPr>
                              <w:t>****</w:t>
                            </w: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5611B6" w:rsidRDefault="00AD6A02" w:rsidP="000127DB">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2288C27" id="_x0000_s1036" style="position:absolute;left:0;text-align:left;margin-left:314.65pt;margin-top:68.9pt;width:43.5pt;height:15.1pt;rotation:-90;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ekkQEAAAcDAAAOAAAAZHJzL2Uyb0RvYy54bWysUk2P0zAQvSPxHyzfaZqKFho1Xa20gguC&#10;Fbv8ANexG0uxx8y4TfrvGTuli+CGNoeR5yPP773x7m7ygzgbJAehlfViKYUJGjoXjq388fzp3Ucp&#10;KKnQqQGCaeXFkLzbv32zG2NjVtDD0BkUDBKoGWMr+5RiU1Wke+MVLSCawE0L6FXiFI9Vh2pkdD9U&#10;q+VyU42AXUTQhoirD3NT7gu+tUanb9aSSWJoJXNLJWKJhxyr/U41R1Sxd/pKQ/0HC69c4EtvUA8q&#10;KXFC9w+UdxqBwKaFBl+BtU6booHV1Mu/1Dz1Kpqihc2heLOJXg9Wfz0/onAd7261lSIoz0v6zrap&#10;cByMWGeDxkgNzz3FR7xmxMesdrLoBQK7Wm94G/wVE1iWmIrHl5vHZkpCc3G9Xr1f11JobtXb+sNm&#10;m6+oZqyMGZHSZwNe5EMrkbkUUHX+Qmke/T3C/2VuM5t8StNhmsWUzebSAboLKxx5xa2knyeF2VHV&#10;BLg/JbCuQL4MXiHZ7ULq+jLyOv/My9TL+93/AgAA//8DAFBLAwQUAAYACAAAACEAisoVBeAAAAAL&#10;AQAADwAAAGRycy9kb3ducmV2LnhtbEyPwU7DMAyG70i8Q2QkbixhjHYtTSeEAKEdmCgIrllj2orG&#10;qZpsLW+POcHR/j/9/lxsZteLI46h86ThcqFAINXedtRoeHt9uFiDCNGQNb0n1PCNATbl6Ulhcusn&#10;esFjFRvBJRRyo6GNccilDHWLzoSFH5A4+/SjM5HHsZF2NBOXu14ulUqkMx3xhdYMeNdi/VUdnIat&#10;p/v3+rFLp1kt7dX8tPuonndan5/NtzcgIs7xD4ZffVaHkp32/kA2iF5Dcp2mjHKgshUIJpJ1moHY&#10;8yZLViDLQv7/ofwBAAD//wMAUEsBAi0AFAAGAAgAAAAhALaDOJL+AAAA4QEAABMAAAAAAAAAAAAA&#10;AAAAAAAAAFtDb250ZW50X1R5cGVzXS54bWxQSwECLQAUAAYACAAAACEAOP0h/9YAAACUAQAACwAA&#10;AAAAAAAAAAAAAAAvAQAAX3JlbHMvLnJlbHNQSwECLQAUAAYACAAAACEADhFnpJEBAAAHAwAADgAA&#10;AAAAAAAAAAAAAAAuAgAAZHJzL2Uyb0RvYy54bWxQSwECLQAUAAYACAAAACEAisoVBeAAAAALAQAA&#10;DwAAAAAAAAAAAAAAAADrAwAAZHJzL2Rvd25yZXYueG1sUEsFBgAAAAAEAAQA8wAAAPgEAAAAAA==&#10;" filled="f" stroked="f">
                <v:textbox>
                  <w:txbxContent>
                    <w:p w:rsidR="00AD6A02" w:rsidRPr="00BB113D" w:rsidRDefault="00AD6A02" w:rsidP="000127DB">
                      <w:pPr>
                        <w:pStyle w:val="NormalWeb"/>
                        <w:spacing w:after="160" w:line="256" w:lineRule="auto"/>
                      </w:pPr>
                      <w:r w:rsidRPr="00BB113D">
                        <w:rPr>
                          <w:color w:val="000000" w:themeColor="text1"/>
                          <w:kern w:val="24"/>
                        </w:rPr>
                        <w:t>****</w:t>
                      </w: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BB113D" w:rsidRDefault="00AD6A02" w:rsidP="000127DB">
                      <w:pPr>
                        <w:pStyle w:val="NormalWeb"/>
                        <w:spacing w:after="160" w:line="256" w:lineRule="auto"/>
                      </w:pPr>
                    </w:p>
                    <w:p w:rsidR="00AD6A02" w:rsidRPr="005611B6" w:rsidRDefault="00AD6A02" w:rsidP="000127DB">
                      <w:pPr>
                        <w:pStyle w:val="NormalWeb"/>
                        <w:spacing w:after="160" w:line="256" w:lineRule="auto"/>
                        <w:rPr>
                          <w:sz w:val="20"/>
                        </w:rPr>
                      </w:pPr>
                    </w:p>
                  </w:txbxContent>
                </v:textbox>
              </v:rect>
            </w:pict>
          </mc:Fallback>
        </mc:AlternateContent>
      </w:r>
      <w:r>
        <w:rPr>
          <w:noProof/>
        </w:rPr>
        <mc:AlternateContent>
          <mc:Choice Requires="wps">
            <w:drawing>
              <wp:anchor distT="0" distB="0" distL="114300" distR="114300" simplePos="0" relativeHeight="251974656" behindDoc="0" locked="0" layoutInCell="1" allowOverlap="1" wp14:anchorId="0D5A30DE" wp14:editId="581161AE">
                <wp:simplePos x="0" y="0"/>
                <wp:positionH relativeFrom="column">
                  <wp:posOffset>4163060</wp:posOffset>
                </wp:positionH>
                <wp:positionV relativeFrom="paragraph">
                  <wp:posOffset>676275</wp:posOffset>
                </wp:positionV>
                <wp:extent cx="45719" cy="742950"/>
                <wp:effectExtent l="0" t="0" r="31115" b="19050"/>
                <wp:wrapNone/>
                <wp:docPr id="126" name="Right Brace 1"/>
                <wp:cNvGraphicFramePr/>
                <a:graphic xmlns:a="http://schemas.openxmlformats.org/drawingml/2006/main">
                  <a:graphicData uri="http://schemas.microsoft.com/office/word/2010/wordprocessingShape">
                    <wps:wsp>
                      <wps:cNvSpPr/>
                      <wps:spPr>
                        <a:xfrm flipV="1">
                          <a:off x="0" y="0"/>
                          <a:ext cx="45719" cy="74295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B535442" id="Right Brace 1" o:spid="_x0000_s1026" type="#_x0000_t88" style="position:absolute;margin-left:327.8pt;margin-top:53.25pt;width:3.6pt;height:58.5pt;flip: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UKuJQIAAF8EAAAOAAAAZHJzL2Uyb0RvYy54bWysVE1v2zAMvQ/YfxB0X5w4TZoGcYqtQXYZ&#10;tmLtdmdlydagr0lKnPz7UbKbuetOw3wQSH088j2S3tyetCJH7oO0pqKzyZQSbpitpWkq+u1x/25F&#10;SYhgalDW8IqeeaC327dvNp1b89K2VtXcEwQxYd25irYxunVRBNZyDWFiHTd4KKzXENH1TVF76BBd&#10;q6KcTpdFZ33tvGU8BNzd9Yd0m/GF4Cx+ESLwSFRFMbeYV5/Xp7QW2w2sGw+ulWxIA/4hCw3SYNAL&#10;1A4ikIOXr6C0ZN4GK+KEWV1YISTjmQOymU3/YPPQguOZC4oT3EWm8P9g2efjvSeyxtqVS0oMaCzS&#10;V9m0kXzwwDiZJYk6F9Z488Hd+8ELaCa+J+E1EUq674iQFUBO5JQFPl8E5qdIGG5eLa5nN5QwPLm+&#10;Km8WWf+iR0lozof4kVtNklFRn/LIaWRkOH4KMYtcD4lC/WNGidAKa3YERVbz+Xwo6ehKOb6yKFdI&#10;FFlg2AEQrefACT1YJeu9VCo753CnPEHwimLb1bajREGIuFnRff4GsBfPlCFdRZdzZEgYYF8LBRFN&#10;7VDpYBpKQDU4MCz6TO3F4/Aq5iMKOIo7zd/f4iYeOwhtn3BG7fXQMuKcKakruhq/Viax5HlSUN2k&#10;Syp2X95kPdn6jB3S4Yhg5j8P4DklPqo7208UGNZa1OKZibHvD9EKeYHqAQZc7OKs/DBxaUzGfr71&#10;+7+w/QUAAP//AwBQSwMEFAAGAAgAAAAhABdkSBvgAAAACwEAAA8AAABkcnMvZG93bnJldi54bWxM&#10;j8FOAyEURfcm/gN5Jm4ay0iFmnGYxjRxp4m2LlzSgc6QDjAB2tK/97myy5d7ct+5zaq4kZxMTDZ4&#10;CY/zCojxXdDW9xK+t28Pz0BSVl6rMXgj4WISrNrbm0bVOpz9lzltck+wxKdaSRhynmpKUzcYp9I8&#10;TMZjtg/RqYxn7KmO6ozlbqSsqgR1ynr8MKjJrAfTHTZHJ+Hn8vS53/Jl+SjsfbE+LGfR2pmU93fl&#10;9QVINiX/w/Cnj+rQotMuHL1OZJQgOBeIYlAJDgQJIRiO2UlgbMGBtg293tD+AgAA//8DAFBLAQIt&#10;ABQABgAIAAAAIQC2gziS/gAAAOEBAAATAAAAAAAAAAAAAAAAAAAAAABbQ29udGVudF9UeXBlc10u&#10;eG1sUEsBAi0AFAAGAAgAAAAhADj9If/WAAAAlAEAAAsAAAAAAAAAAAAAAAAALwEAAF9yZWxzLy5y&#10;ZWxzUEsBAi0AFAAGAAgAAAAhAI5pQq4lAgAAXwQAAA4AAAAAAAAAAAAAAAAALgIAAGRycy9lMm9E&#10;b2MueG1sUEsBAi0AFAAGAAgAAAAhABdkSBvgAAAACwEAAA8AAAAAAAAAAAAAAAAAfwQAAGRycy9k&#10;b3ducmV2LnhtbFBLBQYAAAAABAAEAPMAAACMBQAAAAA=&#10;" adj="111,11410" filled="t" fillcolor="window" strokecolor="windowText" strokeweight=".5pt">
                <v:stroke joinstyle="miter"/>
              </v:shape>
            </w:pict>
          </mc:Fallback>
        </mc:AlternateContent>
      </w:r>
      <w:r>
        <w:object w:dxaOrig="10915" w:dyaOrig="6885">
          <v:shape id="_x0000_i1040" type="#_x0000_t75" style="width:416.25pt;height:258pt" o:ole="">
            <v:imagedata r:id="rId80" o:title=""/>
          </v:shape>
          <o:OLEObject Type="Embed" ProgID="Prism7.Document" ShapeID="_x0000_i1040" DrawAspect="Content" ObjectID="_1583750210" r:id="rId81"/>
        </w:object>
      </w:r>
      <w:r w:rsidR="000127DB" w:rsidRPr="000127DB">
        <w:rPr>
          <w:rStyle w:val="SubtitleChar"/>
        </w:rPr>
        <w:t xml:space="preserve"> </w:t>
      </w:r>
      <w:r w:rsidR="000127DB" w:rsidRPr="00301FB6">
        <w:rPr>
          <w:rStyle w:val="SubtitleChar"/>
        </w:rPr>
        <w:t>Figure 3.8 Urinary albumin measurement.</w:t>
      </w:r>
      <w:r w:rsidR="000127DB" w:rsidRPr="00C65F9F">
        <w:rPr>
          <w:rStyle w:val="SubtitleChar"/>
        </w:rPr>
        <w:t xml:space="preserve"> </w:t>
      </w:r>
      <w:r w:rsidR="000127DB" w:rsidRPr="00804EA9">
        <w:t xml:space="preserve">The plot is the x̅ ± SEM of 5 rats for prophylaxis group and 10 rats collectively for the diseased and treatment groups for the first four months and 5 rats per diseased and treatment group thereafter. A two way Anova test showed a significant difference of P &lt; 0.0001 with progression from baseline to 8 month in all three groups. However there was no significant difference between the three groups. </w:t>
      </w:r>
    </w:p>
    <w:p w:rsidR="00332ADF" w:rsidRDefault="00332ADF" w:rsidP="002A1888">
      <w:pPr>
        <w:pStyle w:val="LegText"/>
        <w:ind w:left="720"/>
      </w:pPr>
    </w:p>
    <w:p w:rsidR="00332ADF" w:rsidRDefault="005539EF" w:rsidP="00332ADF">
      <w:pPr>
        <w:spacing w:after="160" w:line="259" w:lineRule="auto"/>
        <w:ind w:left="720"/>
        <w:jc w:val="left"/>
      </w:pPr>
      <w:r>
        <w:t>In terms of urinary protein t</w:t>
      </w:r>
      <w:r w:rsidR="009A7933">
        <w:t xml:space="preserve">he values obtained in the diseased group were double those </w:t>
      </w:r>
      <w:r w:rsidR="00804EA9">
        <w:t>of the prophylaxis group (Fig</w:t>
      </w:r>
      <w:r w:rsidR="009A7933">
        <w:t xml:space="preserve"> 3.9). </w:t>
      </w:r>
    </w:p>
    <w:p w:rsidR="00332ADF" w:rsidRDefault="00332ADF">
      <w:pPr>
        <w:spacing w:after="160" w:line="259" w:lineRule="auto"/>
        <w:jc w:val="left"/>
      </w:pPr>
      <w:r>
        <w:br w:type="page"/>
      </w:r>
    </w:p>
    <w:p w:rsidR="002A1888" w:rsidRPr="00332ADF" w:rsidRDefault="002A1888" w:rsidP="00332ADF">
      <w:pPr>
        <w:spacing w:after="160" w:line="259" w:lineRule="auto"/>
        <w:ind w:left="720"/>
        <w:jc w:val="left"/>
        <w:rPr>
          <w:rFonts w:eastAsia="Times New Roman"/>
          <w:color w:val="000000"/>
          <w:sz w:val="22"/>
          <w:szCs w:val="22"/>
          <w:lang w:eastAsia="en-GB"/>
        </w:rPr>
      </w:pPr>
    </w:p>
    <w:p w:rsidR="002A1888" w:rsidRDefault="00E56F05" w:rsidP="00804EA9">
      <w:pPr>
        <w:ind w:left="720"/>
      </w:pPr>
      <w:r w:rsidRPr="000127DB">
        <w:rPr>
          <w:rFonts w:asciiTheme="minorHAnsi" w:hAnsiTheme="minorHAnsi" w:cstheme="minorBidi"/>
          <w:noProof/>
          <w:lang w:eastAsia="en-GB"/>
        </w:rPr>
        <mc:AlternateContent>
          <mc:Choice Requires="wps">
            <w:drawing>
              <wp:anchor distT="0" distB="0" distL="114300" distR="114300" simplePos="0" relativeHeight="252048384" behindDoc="0" locked="0" layoutInCell="1" allowOverlap="1" wp14:anchorId="23A84112" wp14:editId="08D50D0F">
                <wp:simplePos x="0" y="0"/>
                <wp:positionH relativeFrom="column">
                  <wp:posOffset>4104641</wp:posOffset>
                </wp:positionH>
                <wp:positionV relativeFrom="paragraph">
                  <wp:posOffset>1190942</wp:posOffset>
                </wp:positionV>
                <wp:extent cx="457201" cy="191769"/>
                <wp:effectExtent l="0" t="0" r="0" b="0"/>
                <wp:wrapNone/>
                <wp:docPr id="67" name="Rectangle 5"/>
                <wp:cNvGraphicFramePr/>
                <a:graphic xmlns:a="http://schemas.openxmlformats.org/drawingml/2006/main">
                  <a:graphicData uri="http://schemas.microsoft.com/office/word/2010/wordprocessingShape">
                    <wps:wsp>
                      <wps:cNvSpPr/>
                      <wps:spPr>
                        <a:xfrm rot="16200000">
                          <a:off x="0" y="0"/>
                          <a:ext cx="457201" cy="191769"/>
                        </a:xfrm>
                        <a:prstGeom prst="rect">
                          <a:avLst/>
                        </a:prstGeom>
                      </wps:spPr>
                      <wps:txbx>
                        <w:txbxContent>
                          <w:p w:rsidR="00AD6A02" w:rsidRPr="00BB113D" w:rsidRDefault="00AD6A02" w:rsidP="00E56F05">
                            <w:pPr>
                              <w:pStyle w:val="NormalWeb"/>
                              <w:spacing w:after="160" w:line="256" w:lineRule="auto"/>
                            </w:pPr>
                            <w:r w:rsidRPr="00BB113D">
                              <w:rPr>
                                <w:color w:val="000000" w:themeColor="text1"/>
                                <w:kern w:val="24"/>
                              </w:rPr>
                              <w:t>****</w:t>
                            </w:r>
                          </w:p>
                          <w:p w:rsidR="00AD6A02" w:rsidRPr="00BB113D" w:rsidRDefault="00AD6A02" w:rsidP="00E56F05">
                            <w:pPr>
                              <w:pStyle w:val="NormalWeb"/>
                              <w:spacing w:after="160" w:line="256" w:lineRule="auto"/>
                            </w:pPr>
                          </w:p>
                          <w:p w:rsidR="00AD6A02" w:rsidRPr="00BB113D" w:rsidRDefault="00AD6A02" w:rsidP="00E56F05">
                            <w:pPr>
                              <w:pStyle w:val="NormalWeb"/>
                              <w:spacing w:after="160" w:line="256" w:lineRule="auto"/>
                            </w:pPr>
                          </w:p>
                          <w:p w:rsidR="00AD6A02" w:rsidRPr="00BB113D" w:rsidRDefault="00AD6A02" w:rsidP="00E56F05">
                            <w:pPr>
                              <w:pStyle w:val="NormalWeb"/>
                              <w:spacing w:after="160" w:line="256" w:lineRule="auto"/>
                            </w:pPr>
                          </w:p>
                          <w:p w:rsidR="00AD6A02" w:rsidRPr="005611B6" w:rsidRDefault="00AD6A02" w:rsidP="00E56F05">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3A84112" id="_x0000_s1037" style="position:absolute;left:0;text-align:left;margin-left:323.2pt;margin-top:93.75pt;width:36pt;height:15.1pt;rotation:-90;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hwkgEAAAYDAAAOAAAAZHJzL2Uyb0RvYy54bWysUsFu2zAMvRfYPwi6L46LNmmNOEWBYrsM&#10;a9FuH8DIUizAEjVKiZ2/HyWn2bDdhulAiCL19N6jNg+TG8RRU7ToW1kvllJor7Czft/K798+fbyT&#10;IibwHQzodStPOsqH7YerzRgafY09Dp0mwSA+NmNoZZ9SaKoqql47iAsM2nPRIDlInNK+6ghGRndD&#10;db1crqoRqQuESsfIp09zUW4LvjFapWdjok5iaCVzSyVSibscq+0Gmj1B6K0604B/YOHAen70AvUE&#10;CcSB7F9QzirCiCYtFLoKjbFKFw2spl7+oeath6CLFjYnhotN8f/Bqq/HFxK2a+VqLYUHxzN6ZdfA&#10;7wctbrM/Y4gNt72FFzpnkbdZ7GTICUI2tV7xMHgVD1iVmIrFp4vFekpC8eHN7ZqFSqG4VN/X69V9&#10;fqKasTJmoJg+a3Qib1pJzKWAwvFLTHPrewvfy9xmNnmXpt1UtNT1O/EddicWOPKEWxl/HICyodB4&#10;fDwkNLZA5rtz4xmSzS6kzh8jT/P3vHT9+r7bnwAAAP//AwBQSwMEFAAGAAgAAAAhANiQZcLgAAAA&#10;CwEAAA8AAABkcnMvZG93bnJldi54bWxMj0FPhDAQhe8m/odmTLy5RYhlRcrGGDXGw25Eo9cuHYFI&#10;p4R2F/z3jic9Tt6X974pN4sbxBGn0HvScLlKQCA13vbUanh7fbhYgwjRkDWDJ9TwjQE21elJaQrr&#10;Z3rBYx1bwSUUCqOhi3EspAxNh86ElR+ROPv0kzORz6mVdjIzl7tBpkmipDM98UJnRrzrsPmqD07D&#10;s6f79+axz+clSW22PO0+6u1O6/Oz5fYGRMQl/sHwq8/qULHT3h/IBjFoUCrPGOVAKQWCCXWdX4HY&#10;a0iztQJZlfL/D9UPAAAA//8DAFBLAQItABQABgAIAAAAIQC2gziS/gAAAOEBAAATAAAAAAAAAAAA&#10;AAAAAAAAAABbQ29udGVudF9UeXBlc10ueG1sUEsBAi0AFAAGAAgAAAAhADj9If/WAAAAlAEAAAsA&#10;AAAAAAAAAAAAAAAALwEAAF9yZWxzLy5yZWxzUEsBAi0AFAAGAAgAAAAhAGc/WHCSAQAABgMAAA4A&#10;AAAAAAAAAAAAAAAALgIAAGRycy9lMm9Eb2MueG1sUEsBAi0AFAAGAAgAAAAhANiQZcLgAAAACwEA&#10;AA8AAAAAAAAAAAAAAAAA7AMAAGRycy9kb3ducmV2LnhtbFBLBQYAAAAABAAEAPMAAAD5BAAAAAA=&#10;" filled="f" stroked="f">
                <v:textbox>
                  <w:txbxContent>
                    <w:p w:rsidR="00AD6A02" w:rsidRPr="00BB113D" w:rsidRDefault="00AD6A02" w:rsidP="00E56F05">
                      <w:pPr>
                        <w:pStyle w:val="NormalWeb"/>
                        <w:spacing w:after="160" w:line="256" w:lineRule="auto"/>
                      </w:pPr>
                      <w:r w:rsidRPr="00BB113D">
                        <w:rPr>
                          <w:color w:val="000000" w:themeColor="text1"/>
                          <w:kern w:val="24"/>
                        </w:rPr>
                        <w:t>****</w:t>
                      </w:r>
                    </w:p>
                    <w:p w:rsidR="00AD6A02" w:rsidRPr="00BB113D" w:rsidRDefault="00AD6A02" w:rsidP="00E56F05">
                      <w:pPr>
                        <w:pStyle w:val="NormalWeb"/>
                        <w:spacing w:after="160" w:line="256" w:lineRule="auto"/>
                      </w:pPr>
                    </w:p>
                    <w:p w:rsidR="00AD6A02" w:rsidRPr="00BB113D" w:rsidRDefault="00AD6A02" w:rsidP="00E56F05">
                      <w:pPr>
                        <w:pStyle w:val="NormalWeb"/>
                        <w:spacing w:after="160" w:line="256" w:lineRule="auto"/>
                      </w:pPr>
                    </w:p>
                    <w:p w:rsidR="00AD6A02" w:rsidRPr="00BB113D" w:rsidRDefault="00AD6A02" w:rsidP="00E56F05">
                      <w:pPr>
                        <w:pStyle w:val="NormalWeb"/>
                        <w:spacing w:after="160" w:line="256" w:lineRule="auto"/>
                      </w:pPr>
                    </w:p>
                    <w:p w:rsidR="00AD6A02" w:rsidRPr="005611B6" w:rsidRDefault="00AD6A02" w:rsidP="00E56F05">
                      <w:pPr>
                        <w:pStyle w:val="NormalWeb"/>
                        <w:spacing w:after="160" w:line="256" w:lineRule="auto"/>
                        <w:rPr>
                          <w:sz w:val="20"/>
                        </w:rPr>
                      </w:pPr>
                    </w:p>
                  </w:txbxContent>
                </v:textbox>
              </v:rect>
            </w:pict>
          </mc:Fallback>
        </mc:AlternateContent>
      </w:r>
      <w:r>
        <w:rPr>
          <w:noProof/>
          <w:lang w:eastAsia="en-GB"/>
        </w:rPr>
        <mc:AlternateContent>
          <mc:Choice Requires="wps">
            <w:drawing>
              <wp:anchor distT="0" distB="0" distL="114300" distR="114300" simplePos="0" relativeHeight="252046336" behindDoc="0" locked="0" layoutInCell="1" allowOverlap="1" wp14:anchorId="54A2D7CB" wp14:editId="063D77F7">
                <wp:simplePos x="0" y="0"/>
                <wp:positionH relativeFrom="margin">
                  <wp:posOffset>4189095</wp:posOffset>
                </wp:positionH>
                <wp:positionV relativeFrom="paragraph">
                  <wp:posOffset>687070</wp:posOffset>
                </wp:positionV>
                <wp:extent cx="47625" cy="1314450"/>
                <wp:effectExtent l="0" t="0" r="47625" b="19050"/>
                <wp:wrapNone/>
                <wp:docPr id="66" name="Right Brace 1"/>
                <wp:cNvGraphicFramePr/>
                <a:graphic xmlns:a="http://schemas.openxmlformats.org/drawingml/2006/main">
                  <a:graphicData uri="http://schemas.microsoft.com/office/word/2010/wordprocessingShape">
                    <wps:wsp>
                      <wps:cNvSpPr/>
                      <wps:spPr>
                        <a:xfrm flipV="1">
                          <a:off x="0" y="0"/>
                          <a:ext cx="47625" cy="131445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C6A06D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329.85pt;margin-top:54.1pt;width:3.75pt;height:103.5pt;flip:y;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6DNJQIAAF8EAAAOAAAAZHJzL2Uyb0RvYy54bWysVE2P0zAQvSPxHyzfaZr0g6pquoKtygXB&#10;anfhPuvYiZG/sN2m/feMnWzpspwQOVgz9vjNvDeebG5OWpEj90FaU9NyMqWEG2Ybadqafnvcv1tR&#10;EiKYBpQ1vKZnHujN9u2bTe/WvLKdVQ33BEFMWPeupl2Mbl0UgXVcQ5hYxw0eCus1RHR9WzQeekTX&#10;qqim02XRW984bxkPAXd3wyHdZnwhOItfhQg8ElVTrC3m1ef1Ka3FdgPr1oPrJBvLgH+oQoM0mPQC&#10;tYMI5ODlKygtmbfBijhhVhdWCMl45oBsyukfbB46cDxzQXGCu8gU/h8s+3K880Q2NV0uKTGgsUf3&#10;su0i+eiBcVImhXoX1hj44O786AU0E92T8JoIJd13bH4WACmRU9b3fNGXnyJhuDl/v6wWlDA8KWfl&#10;fL7I+hcDTIJzPsRP3GqSjJr6VEiuI0PD8XOIWeRmrBSaHyUlQivs2REUWc1ms7GlVyHVdciiWlXL&#10;FINpR0C0nhMn9GCVbPZSqeycw63yBMFris+usT0lCkLEzZru8zeCvbimDOlR0hkyJAzwXQsFEU3t&#10;UOlgWkpAtTgwLPpM7cXl8CrnIyp4lXeav7/lTTx2ELqh4Iw66KFlxDlTUtd0dX1bmcSS50lBdZMu&#10;qdtDf5P1ZJszvpAeRwQr/3kAzynxUd3aYaLAsM6iFs9MjP1wiFbIC9QAMOLiK87KjxOXxuTaz1G/&#10;/wvbXwAAAP//AwBQSwMEFAAGAAgAAAAhAIhl8YzhAAAACwEAAA8AAABkcnMvZG93bnJldi54bWxM&#10;j8tOwzAQRfdI/IM1SOyoU0dN2zROhXhISLBJ6Ae48TSJ6kcUu2ng6xlWsJvRPbpzptjP1rAJx9B7&#10;J2G5SICha7zuXSvh8Pn6sAEWonJaGe9QwhcG2Je3N4XKtb+6Cqc6toxKXMiVhC7GIec8NB1aFRZ+&#10;QEfZyY9WRVrHlutRXancGi6SJONW9Y4udGrApw6bc32xEqrn87cQut5+tG+mGsIhnV7eUynv7+bH&#10;HbCIc/yD4Vef1KEkp6O/OB2YkZCttmtCKUg2AhgRWbam4SghXa4E8LLg/38ofwAAAP//AwBQSwEC&#10;LQAUAAYACAAAACEAtoM4kv4AAADhAQAAEwAAAAAAAAAAAAAAAAAAAAAAW0NvbnRlbnRfVHlwZXNd&#10;LnhtbFBLAQItABQABgAIAAAAIQA4/SH/1gAAAJQBAAALAAAAAAAAAAAAAAAAAC8BAABfcmVscy8u&#10;cmVsc1BLAQItABQABgAIAAAAIQCTS6DNJQIAAF8EAAAOAAAAAAAAAAAAAAAAAC4CAABkcnMvZTJv&#10;RG9jLnhtbFBLAQItABQABgAIAAAAIQCIZfGM4QAAAAsBAAAPAAAAAAAAAAAAAAAAAH8EAABkcnMv&#10;ZG93bnJldi54bWxQSwUGAAAAAAQABADzAAAAjQUAAAAA&#10;" adj="65,11410" filled="t" fillcolor="window" strokecolor="windowText" strokeweight=".5pt">
                <v:stroke joinstyle="miter"/>
                <w10:wrap anchorx="margin"/>
              </v:shape>
            </w:pict>
          </mc:Fallback>
        </mc:AlternateContent>
      </w:r>
      <w:r w:rsidR="0092557F">
        <w:object w:dxaOrig="9646" w:dyaOrig="5095">
          <v:shape id="_x0000_i1041" type="#_x0000_t75" style="width:400.5pt;height:211.5pt" o:ole="">
            <v:imagedata r:id="rId82" o:title=""/>
          </v:shape>
          <o:OLEObject Type="Embed" ProgID="Prism7.Document" ShapeID="_x0000_i1041" DrawAspect="Content" ObjectID="_1583750211" r:id="rId83"/>
        </w:object>
      </w:r>
    </w:p>
    <w:p w:rsidR="002A1888" w:rsidRDefault="002A1888" w:rsidP="002A1888">
      <w:pPr>
        <w:pStyle w:val="LegText"/>
        <w:ind w:left="720"/>
      </w:pPr>
      <w:bookmarkStart w:id="338" w:name="_Toc504640596"/>
      <w:r w:rsidRPr="00804EA9">
        <w:rPr>
          <w:rStyle w:val="SubtitleChar"/>
        </w:rPr>
        <w:t>Figure 3.9 Urinary protein measurement</w:t>
      </w:r>
      <w:bookmarkEnd w:id="338"/>
      <w:r>
        <w:t>.</w:t>
      </w:r>
      <w:r>
        <w:rPr>
          <w:rFonts w:ascii="Calibri" w:eastAsia="Calibri" w:hAnsi="Calibri" w:cs="Calibri"/>
        </w:rPr>
        <w:t xml:space="preserve"> </w:t>
      </w:r>
      <w:r>
        <w:t>The plot is the x̅ ± SEM of 5 rats for prophylaxis group and 10 rats collectively for the diseased and treatment groups for the first four months and 5 rats per diseased and treatment group thereafter</w:t>
      </w:r>
      <w:bookmarkStart w:id="339" w:name="4k668n3" w:colFirst="0" w:colLast="0"/>
      <w:bookmarkEnd w:id="339"/>
      <w:r>
        <w:t xml:space="preserve">. A two way Anova test showed a significant difference of P &lt; 0.0001 with progression from baseline to 8 month in all three groups. However with Tukey's multiple comparisons test there was no significant difference between the three groups. </w:t>
      </w:r>
    </w:p>
    <w:p w:rsidR="002A1888" w:rsidRDefault="002A1888" w:rsidP="00804EA9">
      <w:pPr>
        <w:ind w:left="720"/>
      </w:pPr>
    </w:p>
    <w:p w:rsidR="002A1888" w:rsidRDefault="002A1888" w:rsidP="00804EA9">
      <w:pPr>
        <w:ind w:left="720"/>
      </w:pPr>
      <w:r>
        <w:t>Fig 3.10 shows data from serum urea and there was a gradual increase in serum urea within the first three months however by the sixth month there was a sharp rise in serum urea in both the diseased group and treatment group while serum urea in the prophylaxis group was minimal with values just about half of the values obtained with the diseased group by the end of the study.</w:t>
      </w:r>
    </w:p>
    <w:p w:rsidR="002A1888" w:rsidRDefault="002A1888">
      <w:pPr>
        <w:spacing w:after="160" w:line="259" w:lineRule="auto"/>
        <w:jc w:val="left"/>
      </w:pPr>
      <w:r>
        <w:br w:type="page"/>
      </w:r>
    </w:p>
    <w:p w:rsidR="00C65F9F" w:rsidRDefault="00E2563B" w:rsidP="008D7E4E">
      <w:pPr>
        <w:pStyle w:val="LegText"/>
        <w:ind w:left="720"/>
        <w:rPr>
          <w:rStyle w:val="SubtitleChar"/>
        </w:rPr>
      </w:pPr>
      <w:r w:rsidRPr="00F30AD8">
        <w:rPr>
          <w:rFonts w:asciiTheme="minorHAnsi" w:hAnsiTheme="minorHAnsi" w:cstheme="minorBidi"/>
          <w:noProof/>
        </w:rPr>
        <w:lastRenderedPageBreak/>
        <mc:AlternateContent>
          <mc:Choice Requires="wps">
            <w:drawing>
              <wp:anchor distT="0" distB="0" distL="114300" distR="114300" simplePos="0" relativeHeight="251982848" behindDoc="0" locked="0" layoutInCell="1" allowOverlap="1" wp14:anchorId="1DD98EC1" wp14:editId="3E4641A7">
                <wp:simplePos x="0" y="0"/>
                <wp:positionH relativeFrom="column">
                  <wp:posOffset>3552508</wp:posOffset>
                </wp:positionH>
                <wp:positionV relativeFrom="paragraph">
                  <wp:posOffset>1105218</wp:posOffset>
                </wp:positionV>
                <wp:extent cx="914400" cy="180975"/>
                <wp:effectExtent l="0" t="0" r="0" b="0"/>
                <wp:wrapNone/>
                <wp:docPr id="372" name="Rectangle 5"/>
                <wp:cNvGraphicFramePr/>
                <a:graphic xmlns:a="http://schemas.openxmlformats.org/drawingml/2006/main">
                  <a:graphicData uri="http://schemas.microsoft.com/office/word/2010/wordprocessingShape">
                    <wps:wsp>
                      <wps:cNvSpPr/>
                      <wps:spPr>
                        <a:xfrm rot="5400000">
                          <a:off x="0" y="0"/>
                          <a:ext cx="914400" cy="180975"/>
                        </a:xfrm>
                        <a:prstGeom prst="rect">
                          <a:avLst/>
                        </a:prstGeom>
                      </wps:spPr>
                      <wps:txbx>
                        <w:txbxContent>
                          <w:p w:rsidR="00AD6A02" w:rsidRPr="000E538F" w:rsidRDefault="00AD6A02" w:rsidP="008D7E4E">
                            <w:pPr>
                              <w:pStyle w:val="NormalWeb"/>
                              <w:spacing w:after="160" w:line="256" w:lineRule="auto"/>
                              <w:rPr>
                                <w:sz w:val="16"/>
                                <w:szCs w:val="16"/>
                              </w:rPr>
                            </w:pPr>
                            <w:r w:rsidRPr="000E538F">
                              <w:rPr>
                                <w:rFonts w:ascii="Calibri" w:hAnsi="Calibri"/>
                                <w:color w:val="000000" w:themeColor="text1"/>
                                <w:kern w:val="24"/>
                                <w:sz w:val="16"/>
                                <w:szCs w:val="16"/>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DD98EC1" id="_x0000_s1038" style="position:absolute;left:0;text-align:left;margin-left:279.75pt;margin-top:87.05pt;width:1in;height:14.25pt;rotation:90;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v2kgEAAAYDAAAOAAAAZHJzL2Uyb0RvYy54bWysUsFu2zAMvQ/oPwi6N7azdm2NOMWAYrsM&#10;W7FuH8DIUizAElVKiZ2/H6Wk6bDdivpAiCL9+N6jVvezG8VeU7ToO9ksaim0V9hbv+3k719fLm+l&#10;iAl8DyN63cmDjvJ+ffFhNYVWL3HAsdckGMTHdgqdHFIKbVVFNWgHcYFBey4aJAeJU9pWPcHE6G6s&#10;lnX9qZqQ+kCodIx8+3AsynXBN0ar9MOYqJMYO8ncUolU4ibHar2CdksQBqtONOANLBxYz0PPUA+Q&#10;QOzI/gflrCKMaNJCoavQGKt00cBqmvofNU8DBF20sDkxnG2K7wervu8fSdi+kx9vllJ4cLykn2wb&#10;+O2oxXU2aAqx5b6n8EinLPIxq50NOUHIrl5f1fkrHrAqMReLD2eL9ZyE4su75oo7pVBcam7ru5sy&#10;oTpCZchAMX3V6EQ+dJKYSgGF/beYeDy3vrRwkqkdyeRTmjdz0dIsX3hvsD+wwIk33Mn4vAPKhkLr&#10;8fMuobEFMv97bDxBstll0ulh5G3+nZeu1+e7/gMAAP//AwBQSwMEFAAGAAgAAAAhAGG95THgAAAA&#10;CwEAAA8AAABkcnMvZG93bnJldi54bWxMj8FOwzAQRO9I/IO1SFwQtROCW6VxqlIJVT22RZydeJuE&#10;xusodtvw95gTHFfzNPO2WE22Z1ccfedIQTITwJBqZzpqFHwc358XwHzQZHTvCBV8o4dVeX9X6Ny4&#10;G+3xeggNiyXkc62gDWHIOfd1i1b7mRuQYnZyo9UhnmPDzahvsdz2PBVCcqs7igutHnDTYn0+XKyC&#10;jazwbXc0u/Vn8yLO8mu7GJ+2Sj0+TOslsIBT+IPhVz+qQxmdKnch41mvQCbzNKIxSGQGLBIye50D&#10;qxSkUmTAy4L//6H8AQAA//8DAFBLAQItABQABgAIAAAAIQC2gziS/gAAAOEBAAATAAAAAAAAAAAA&#10;AAAAAAAAAABbQ29udGVudF9UeXBlc10ueG1sUEsBAi0AFAAGAAgAAAAhADj9If/WAAAAlAEAAAsA&#10;AAAAAAAAAAAAAAAALwEAAF9yZWxzLy5yZWxzUEsBAi0AFAAGAAgAAAAhABdym/aSAQAABgMAAA4A&#10;AAAAAAAAAAAAAAAALgIAAGRycy9lMm9Eb2MueG1sUEsBAi0AFAAGAAgAAAAhAGG95THgAAAACwEA&#10;AA8AAAAAAAAAAAAAAAAA7AMAAGRycy9kb3ducmV2LnhtbFBLBQYAAAAABAAEAPMAAAD5BAAAAAA=&#10;" filled="f" stroked="f">
                <v:textbox>
                  <w:txbxContent>
                    <w:p w:rsidR="00AD6A02" w:rsidRPr="000E538F" w:rsidRDefault="00AD6A02" w:rsidP="008D7E4E">
                      <w:pPr>
                        <w:pStyle w:val="NormalWeb"/>
                        <w:spacing w:after="160" w:line="256" w:lineRule="auto"/>
                        <w:rPr>
                          <w:sz w:val="16"/>
                          <w:szCs w:val="16"/>
                        </w:rPr>
                      </w:pPr>
                      <w:r w:rsidRPr="000E538F">
                        <w:rPr>
                          <w:rFonts w:ascii="Calibri" w:hAnsi="Calibri"/>
                          <w:color w:val="000000" w:themeColor="text1"/>
                          <w:kern w:val="24"/>
                          <w:sz w:val="16"/>
                          <w:szCs w:val="16"/>
                        </w:rPr>
                        <w:t>****</w:t>
                      </w:r>
                    </w:p>
                  </w:txbxContent>
                </v:textbox>
              </v:rect>
            </w:pict>
          </mc:Fallback>
        </mc:AlternateContent>
      </w:r>
      <w:r>
        <w:rPr>
          <w:noProof/>
        </w:rPr>
        <mc:AlternateContent>
          <mc:Choice Requires="wps">
            <w:drawing>
              <wp:anchor distT="0" distB="0" distL="114300" distR="114300" simplePos="0" relativeHeight="251980800" behindDoc="0" locked="0" layoutInCell="1" allowOverlap="1" wp14:anchorId="66AD7BAA" wp14:editId="286E25D1">
                <wp:simplePos x="0" y="0"/>
                <wp:positionH relativeFrom="column">
                  <wp:posOffset>3779521</wp:posOffset>
                </wp:positionH>
                <wp:positionV relativeFrom="paragraph">
                  <wp:posOffset>495299</wp:posOffset>
                </wp:positionV>
                <wp:extent cx="133350" cy="923925"/>
                <wp:effectExtent l="0" t="0" r="38100" b="28575"/>
                <wp:wrapNone/>
                <wp:docPr id="369" name="Right Brace 1"/>
                <wp:cNvGraphicFramePr/>
                <a:graphic xmlns:a="http://schemas.openxmlformats.org/drawingml/2006/main">
                  <a:graphicData uri="http://schemas.microsoft.com/office/word/2010/wordprocessingShape">
                    <wps:wsp>
                      <wps:cNvSpPr/>
                      <wps:spPr>
                        <a:xfrm flipV="1">
                          <a:off x="0" y="0"/>
                          <a:ext cx="133350" cy="923925"/>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437FAE3" id="Right Brace 1" o:spid="_x0000_s1026" type="#_x0000_t88" style="position:absolute;margin-left:297.6pt;margin-top:39pt;width:10.5pt;height:72.75pt;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aFUIgIAAGAEAAAOAAAAZHJzL2Uyb0RvYy54bWysVE2P0zAQvSPxHyzfadpUrbpV0xVsVS4I&#10;VuzCfdYfiZG/sN2m/feMnWzpspwQOVj+fPPem5lsbk9Gk6MIUTnb0NlkSomwzHFl24Z+e9y/W1ES&#10;E1gO2lnR0LOI9Hb79s2m92tRu85pLgJBEBvXvW9ol5JfV1VknTAQJ84Li4fSBQMJl6GteIAe0Y2u&#10;6ul0WfUucB8cEzHi7m44pNuCL6Vg6YuUUSSiG4rcUhlDGZ/yWG03sG4D+E6xkQb8AwsDymLQC9QO&#10;EpBDUK+gjGLBRSfThDlTOSkVE0UDqplN/1Dz0IEXRQuaE/3Fpvj/YNnn430gijd0vryhxILBJH1V&#10;bZfIhwBMkFm2qPdxjTcf/H0YVxGnWe9JBkOkVv47Zr84gJrIqRh8vhgsTokw3JzN5/MFpoHh0U09&#10;v6kXGb0aYDKcDzF9FM6QPGloyEQKjwINx08xFZf5yBT4jxkl0mhM2hE0WWGAMadXV+rrK4t6VS/H&#10;sCMgEngOnNGj04rvldZlcY53OhAEbyjWHXc9JRpiws2G7ss3gr14pi3pG7oc1AIWttSQULjxaHW0&#10;LSWgW+wYlkKR9uJxfBXzER28ijst39/iZh07iN1AuKAOfhiVsNG0Mg1dXb/WNqsUpVXQ3ZyOnO0h&#10;v3n25PgZS6THHkHmPw8QBCUh6Ts3tBRY1jn04lmJde8PyUl1gRoARlws45LwseVyn1yvy63fP4bt&#10;LwAAAP//AwBQSwMEFAAGAAgAAAAhAOAlPpfeAAAACgEAAA8AAABkcnMvZG93bnJldi54bWxMj8FO&#10;wzAMhu9IvENkJC4TS9vRbitNJwTiPDp4gKzx2mqN0zXZVt4ec2JH259+f3+xmWwvLjj6zpGCeB6B&#10;QKqd6ahR8P318bQC4YMmo3tHqOAHPWzK+7tC58ZdqcLLLjSCQ8jnWkEbwpBL6esWrfZzNyDx7eBG&#10;qwOPYyPNqK8cbnuZRFEmre6IP7R6wLcW6+PubBXQcVxgvJ7Rdqar6vO5Or1vs5NSjw/T6wuIgFP4&#10;h+FPn9WhZKe9O5PxoleQrtOEUQXLFXdiIIszXuwVJMkiBVkW8rZC+QsAAP//AwBQSwECLQAUAAYA&#10;CAAAACEAtoM4kv4AAADhAQAAEwAAAAAAAAAAAAAAAAAAAAAAW0NvbnRlbnRfVHlwZXNdLnhtbFBL&#10;AQItABQABgAIAAAAIQA4/SH/1gAAAJQBAAALAAAAAAAAAAAAAAAAAC8BAABfcmVscy8ucmVsc1BL&#10;AQItABQABgAIAAAAIQDOaaFUIgIAAGAEAAAOAAAAAAAAAAAAAAAAAC4CAABkcnMvZTJvRG9jLnht&#10;bFBLAQItABQABgAIAAAAIQDgJT6X3gAAAAoBAAAPAAAAAAAAAAAAAAAAAHwEAABkcnMvZG93bnJl&#10;di54bWxQSwUGAAAAAAQABADzAAAAhwUAAAAA&#10;" adj="260,11410" filled="t" fillcolor="window" strokecolor="windowText" strokeweight=".5pt">
                <v:stroke joinstyle="miter"/>
              </v:shape>
            </w:pict>
          </mc:Fallback>
        </mc:AlternateContent>
      </w:r>
      <w:r w:rsidR="00332ADF" w:rsidRPr="00AF26CF">
        <w:rPr>
          <w:rFonts w:asciiTheme="minorHAnsi" w:hAnsiTheme="minorHAnsi" w:cstheme="minorBidi"/>
        </w:rPr>
        <w:object w:dxaOrig="11854" w:dyaOrig="6280">
          <v:shape id="_x0000_i1042" type="#_x0000_t75" style="width:426.75pt;height:223.5pt" o:ole="">
            <v:imagedata r:id="rId84" o:title=""/>
          </v:shape>
          <o:OLEObject Type="Embed" ProgID="Prism7.Document" ShapeID="_x0000_i1042" DrawAspect="Content" ObjectID="_1583750212" r:id="rId85"/>
        </w:object>
      </w:r>
      <w:r w:rsidR="008D7E4E" w:rsidRPr="008D7E4E">
        <w:rPr>
          <w:rStyle w:val="SubtitleChar"/>
        </w:rPr>
        <w:t xml:space="preserve"> </w:t>
      </w:r>
    </w:p>
    <w:p w:rsidR="008D7E4E" w:rsidRDefault="008D7E4E" w:rsidP="008D7E4E">
      <w:pPr>
        <w:pStyle w:val="LegText"/>
        <w:ind w:left="720"/>
      </w:pPr>
      <w:bookmarkStart w:id="340" w:name="_Toc504640597"/>
      <w:r w:rsidRPr="00C65F9F">
        <w:rPr>
          <w:rStyle w:val="SubtitleChar"/>
        </w:rPr>
        <w:t>Figure 3.10 Blood urea nitrogen measurement.</w:t>
      </w:r>
      <w:bookmarkEnd w:id="340"/>
      <w:r>
        <w:rPr>
          <w:rFonts w:ascii="Calibri" w:eastAsia="Calibri" w:hAnsi="Calibri" w:cs="Calibri"/>
        </w:rPr>
        <w:t xml:space="preserve"> </w:t>
      </w:r>
      <w:r>
        <w:t>The plot is the x̅ ± SEM of 5 rats for prophylaxis group and 10 rats collectively for the diseased and treatment groups for the first four months and 5 rats per diseased and treatment group thereafter</w:t>
      </w:r>
      <w:bookmarkStart w:id="341" w:name="2zbgiuw" w:colFirst="0" w:colLast="0"/>
      <w:bookmarkEnd w:id="341"/>
      <w:r>
        <w:t xml:space="preserve">. A two way Anova test showed a significant difference of P &lt; 0.0001 with progression from baseline to 8 month in all </w:t>
      </w:r>
      <w:r w:rsidRPr="00F30AD8">
        <w:t>three groups. A further analysis with Tukey's multiple comparisons test showed a significant difference of P &lt; 0.0001 between disease and prophylaxis.</w:t>
      </w:r>
      <w:r>
        <w:t xml:space="preserve"> </w:t>
      </w:r>
    </w:p>
    <w:p w:rsidR="002A1888" w:rsidRDefault="002A1888" w:rsidP="00804EA9">
      <w:pPr>
        <w:ind w:left="720"/>
      </w:pPr>
    </w:p>
    <w:p w:rsidR="001E2DED" w:rsidRDefault="009A7933" w:rsidP="00804EA9">
      <w:pPr>
        <w:ind w:left="720"/>
      </w:pPr>
      <w:r>
        <w:t>Data from both serum creatinine and urinary creatinine once again showed the renal function of the prophylaxis group was better when compared with the data from the diseased and treatment group. (Fig 3.11 and 3.12). Fig 3.11 showed a sharp increase in serum creatinine after the fourth month in both diseased and treatment group however serum creatinine remain constant in the pr</w:t>
      </w:r>
      <w:r w:rsidR="00804EA9">
        <w:t>ophylaxis group. While in Fig</w:t>
      </w:r>
      <w:r>
        <w:t xml:space="preserve"> 3.12 there was a sharp decline in excreted creatinine following the combined assault of nephrectomy a</w:t>
      </w:r>
      <w:r w:rsidR="00804EA9">
        <w:t>nd induction of diabetes.</w:t>
      </w:r>
    </w:p>
    <w:p w:rsidR="001E2DED" w:rsidRDefault="001E2DED">
      <w:pPr>
        <w:spacing w:after="160" w:line="259" w:lineRule="auto"/>
        <w:jc w:val="left"/>
      </w:pPr>
      <w:r>
        <w:br w:type="page"/>
      </w:r>
    </w:p>
    <w:p w:rsidR="00C65F9F" w:rsidRDefault="00332ADF" w:rsidP="003F2697">
      <w:pPr>
        <w:pStyle w:val="LegText"/>
        <w:ind w:left="720"/>
        <w:rPr>
          <w:rStyle w:val="SubtitleChar"/>
        </w:rPr>
      </w:pPr>
      <w:r w:rsidRPr="00CB1817">
        <w:rPr>
          <w:rFonts w:asciiTheme="minorHAnsi" w:hAnsiTheme="minorHAnsi" w:cstheme="minorBidi"/>
          <w:noProof/>
        </w:rPr>
        <w:lastRenderedPageBreak/>
        <mc:AlternateContent>
          <mc:Choice Requires="wps">
            <w:drawing>
              <wp:anchor distT="0" distB="0" distL="114300" distR="114300" simplePos="0" relativeHeight="251988992" behindDoc="0" locked="0" layoutInCell="1" allowOverlap="1" wp14:anchorId="1B2ABF4A" wp14:editId="51F94A5B">
                <wp:simplePos x="0" y="0"/>
                <wp:positionH relativeFrom="column">
                  <wp:posOffset>3758883</wp:posOffset>
                </wp:positionH>
                <wp:positionV relativeFrom="paragraph">
                  <wp:posOffset>966787</wp:posOffset>
                </wp:positionV>
                <wp:extent cx="448359" cy="219563"/>
                <wp:effectExtent l="0" t="0" r="0" b="0"/>
                <wp:wrapNone/>
                <wp:docPr id="258" name="Rectangle 5"/>
                <wp:cNvGraphicFramePr/>
                <a:graphic xmlns:a="http://schemas.openxmlformats.org/drawingml/2006/main">
                  <a:graphicData uri="http://schemas.microsoft.com/office/word/2010/wordprocessingShape">
                    <wps:wsp>
                      <wps:cNvSpPr/>
                      <wps:spPr>
                        <a:xfrm rot="16200000" flipV="1">
                          <a:off x="0" y="0"/>
                          <a:ext cx="448359" cy="219563"/>
                        </a:xfrm>
                        <a:prstGeom prst="rect">
                          <a:avLst/>
                        </a:prstGeom>
                      </wps:spPr>
                      <wps:txbx>
                        <w:txbxContent>
                          <w:p w:rsidR="00AD6A02" w:rsidRPr="00BB113D" w:rsidRDefault="00AD6A02" w:rsidP="003F2697">
                            <w:pPr>
                              <w:pStyle w:val="NormalWeb"/>
                              <w:spacing w:after="160" w:line="256" w:lineRule="auto"/>
                            </w:pPr>
                            <w:r w:rsidRPr="00BB113D">
                              <w:rPr>
                                <w:color w:val="000000" w:themeColor="text1"/>
                                <w:kern w:val="24"/>
                              </w:rPr>
                              <w:t>***</w:t>
                            </w:r>
                          </w:p>
                          <w:p w:rsidR="00AD6A02" w:rsidRPr="005611B6" w:rsidRDefault="00AD6A02" w:rsidP="003F2697">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2ABF4A" id="_x0000_s1039" style="position:absolute;left:0;text-align:left;margin-left:296pt;margin-top:76.1pt;width:35.3pt;height:17.3pt;rotation:90;flip:y;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74ZmQEAABEDAAAOAAAAZHJzL2Uyb0RvYy54bWysUstu2zAQvBfoPxC817Kc2EgEy0GBIL0U&#10;bdAkva8p0iIgcpklbcl/3yXtOkF7K6rDgvvQcGaW67vJDeKgKVr0raxncym0V9hZv2vly/PDpxsp&#10;YgLfwYBet/Koo7zbfPywHkOjF9jj0GkSDOJjM4ZW9imFpqqi6rWDOMOgPTcNkoPEKe2qjmBkdDdU&#10;i/l8VY1IXSBUOkau3p+aclPwjdEqfTcm6iSGVjK3VCKVuM2x2qyh2RGE3qozDfgHFg6s50svUPeQ&#10;QOzJ/gXlrCKMaNJMoavQGKt00cBq6vkfap56CLpoYXNiuNgU/x+s+nZ4JGG7Vi6WvCoPjpf0g20D&#10;vxu0WGaDxhAbnnsKj3TOIh+z2smQE4Tsar3ibfAnhRls+MmFYgcLFFNx+3hxW09JKC5eX99cLW+l&#10;UNxa1LfL1VW+rDqhZvRAMX3R6EQ+tJKYVQGFw9eYTqO/R/i/zPLEK5/StJ2KrLqg5tIWuyNrHXnZ&#10;rYyve6DsLTQeP+8TGlsg3wbPkOx7IXV+I3mx7/My9faSN78AAAD//wMAUEsDBBQABgAIAAAAIQC4&#10;mEcq3wAAAAsBAAAPAAAAZHJzL2Rvd25yZXYueG1sTI/BTsMwEETvSPyDtUhcqtZuMFYb4lQIiRMS&#10;iMIHOPE2iWqvo9ht07/HnOA4mtHMm2o3e8fOOMUhkIb1SgBDaoMdqNPw/fW63ACLyZA1LhBquGKE&#10;XX17U5nShgt94nmfOpZLKJZGQ5/SWHIe2x69iaswImXvECZvUpZTx+1kLrncO14Iobg3A+WF3oz4&#10;0mN73J+8hje5iGocMByb2V0P248FPY7vWt/fzc9PwBLO6S8Mv/gZHerM1IQT2cicBrUW+UvKxoMs&#10;gOWEklIBazQUQm6A1xX//6H+AQAA//8DAFBLAQItABQABgAIAAAAIQC2gziS/gAAAOEBAAATAAAA&#10;AAAAAAAAAAAAAAAAAABbQ29udGVudF9UeXBlc10ueG1sUEsBAi0AFAAGAAgAAAAhADj9If/WAAAA&#10;lAEAAAsAAAAAAAAAAAAAAAAALwEAAF9yZWxzLy5yZWxzUEsBAi0AFAAGAAgAAAAhAE/3vhmZAQAA&#10;EQMAAA4AAAAAAAAAAAAAAAAALgIAAGRycy9lMm9Eb2MueG1sUEsBAi0AFAAGAAgAAAAhALiYRyrf&#10;AAAACwEAAA8AAAAAAAAAAAAAAAAA8wMAAGRycy9kb3ducmV2LnhtbFBLBQYAAAAABAAEAPMAAAD/&#10;BAAAAAA=&#10;" filled="f" stroked="f">
                <v:textbox>
                  <w:txbxContent>
                    <w:p w:rsidR="00AD6A02" w:rsidRPr="00BB113D" w:rsidRDefault="00AD6A02" w:rsidP="003F2697">
                      <w:pPr>
                        <w:pStyle w:val="NormalWeb"/>
                        <w:spacing w:after="160" w:line="256" w:lineRule="auto"/>
                      </w:pPr>
                      <w:r w:rsidRPr="00BB113D">
                        <w:rPr>
                          <w:color w:val="000000" w:themeColor="text1"/>
                          <w:kern w:val="24"/>
                        </w:rPr>
                        <w:t>***</w:t>
                      </w:r>
                    </w:p>
                    <w:p w:rsidR="00AD6A02" w:rsidRPr="005611B6" w:rsidRDefault="00AD6A02" w:rsidP="003F2697">
                      <w:pPr>
                        <w:pStyle w:val="NormalWeb"/>
                        <w:spacing w:after="160" w:line="256" w:lineRule="auto"/>
                        <w:rPr>
                          <w:sz w:val="20"/>
                        </w:rPr>
                      </w:pPr>
                    </w:p>
                  </w:txbxContent>
                </v:textbox>
              </v:rect>
            </w:pict>
          </mc:Fallback>
        </mc:AlternateContent>
      </w:r>
      <w:r>
        <w:rPr>
          <w:noProof/>
        </w:rPr>
        <mc:AlternateContent>
          <mc:Choice Requires="wps">
            <w:drawing>
              <wp:anchor distT="0" distB="0" distL="114300" distR="114300" simplePos="0" relativeHeight="251991040" behindDoc="0" locked="0" layoutInCell="1" allowOverlap="1" wp14:anchorId="67045857" wp14:editId="2CBDFEF6">
                <wp:simplePos x="0" y="0"/>
                <wp:positionH relativeFrom="margin">
                  <wp:posOffset>3848100</wp:posOffset>
                </wp:positionH>
                <wp:positionV relativeFrom="paragraph">
                  <wp:posOffset>586105</wp:posOffset>
                </wp:positionV>
                <wp:extent cx="45719" cy="905607"/>
                <wp:effectExtent l="0" t="0" r="31115" b="27940"/>
                <wp:wrapNone/>
                <wp:docPr id="131" name="Right Brace 1"/>
                <wp:cNvGraphicFramePr/>
                <a:graphic xmlns:a="http://schemas.openxmlformats.org/drawingml/2006/main">
                  <a:graphicData uri="http://schemas.microsoft.com/office/word/2010/wordprocessingShape">
                    <wps:wsp>
                      <wps:cNvSpPr/>
                      <wps:spPr>
                        <a:xfrm flipV="1">
                          <a:off x="0" y="0"/>
                          <a:ext cx="45719" cy="905607"/>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8B4B5EE" id="Right Brace 1" o:spid="_x0000_s1026" type="#_x0000_t88" style="position:absolute;margin-left:303pt;margin-top:46.15pt;width:3.6pt;height:71.3pt;flip:y;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JpJAIAAF8EAAAOAAAAZHJzL2Uyb0RvYy54bWysVE1z0zAQvTPDf9DoTmwnJE0zcTrQTLgw&#10;0GkL960s2WL0haTEyb9nJbshpZwYfNDo8+17b3e9vjlqRQ7cB2lNTatJSQk3zDbStDX99rh7t6Qk&#10;RDANKGt4TU880JvN2zfr3q341HZWNdwTBDFh1buadjG6VVEE1nENYWIdN3gorNcQcenbovHQI7pW&#10;xbQsF0VvfeO8ZTwE3N0Oh3ST8YXgLH4VIvBIVE2RW8yjz+NTGovNGlatB9dJNtKAf2ChQRoMeoba&#10;QgSy9/IVlJbM22BFnDCrCyuEZDxrQDVV+Yeahw4cz1rQnODONoX/B8u+HO48kQ3mblZRYkBjku5l&#10;20Xy0QPjpEoW9S6s8OaDu/PjKuA06T0Kr4lQ0n1HhOwAaiLHbPDpbDA/RsJw8/38qrqmhOHJdTlf&#10;lFcJvBhQEprzIX7iVpM0qalPPDKNjAyHzyFmk5uRKDQ/kLTQCnN2AEWWs9lsTOnFlenllfl0OV2M&#10;YUdAJPAcOKEHq2Szk0rlxSncKk8QvKZYdo3tKVEQIm7WdJe/EezFM2VIX9PFbI41xwDrWiiIONUO&#10;nQ6mpQRUiw3Dos/SXjwOr2I+ooEXccv8/S1u0rGF0A2EM+rgh5YR+0xJXdPl5WtlkkqeOwXdTelI&#10;yR7Sm2ZPtjlhhfTYIsj85x48p8RHdWuHjgLDOotePCsx9sM+WiHPUAPAiItVnBM+dlxqk8t1vvX7&#10;v7D5BQAA//8DAFBLAwQUAAYACAAAACEA3V6l2uAAAAAKAQAADwAAAGRycy9kb3ducmV2LnhtbEyP&#10;wU7DMBBE70j8g7VI3KjdBAIJcSqohDhRiVKp4uYmix0Rr4PttOHvMSc4jmY086ZezXZgR/ShdyRh&#10;uRDAkFrX9aQl7N6eru6AhaioU4MjlPCNAVbN+Vmtqs6d6BWP26hZKqFQKQkmxrHiPLQGrQoLNyIl&#10;78N5q2KSXvPOq1MqtwPPhCi4VT2lBaNGXBtsP7eTlbAuc/H+pXV7Mz2q2+A3+xc0z1JeXswP98Ai&#10;zvEvDL/4CR2axHRwE3WBDRIKUaQvUUKZ5cBSoFjmGbCDhCy/LoE3Nf9/ofkBAAD//wMAUEsBAi0A&#10;FAAGAAgAAAAhALaDOJL+AAAA4QEAABMAAAAAAAAAAAAAAAAAAAAAAFtDb250ZW50X1R5cGVzXS54&#10;bWxQSwECLQAUAAYACAAAACEAOP0h/9YAAACUAQAACwAAAAAAAAAAAAAAAAAvAQAAX3JlbHMvLnJl&#10;bHNQSwECLQAUAAYACAAAACEAmCjSaSQCAABfBAAADgAAAAAAAAAAAAAAAAAuAgAAZHJzL2Uyb0Rv&#10;Yy54bWxQSwECLQAUAAYACAAAACEA3V6l2uAAAAAKAQAADwAAAAAAAAAAAAAAAAB+BAAAZHJzL2Rv&#10;d25yZXYueG1sUEsFBgAAAAAEAAQA8wAAAIsFAAAAAA==&#10;" adj="91,11410" filled="t" fillcolor="window" strokecolor="windowText" strokeweight=".5pt">
                <v:stroke joinstyle="miter"/>
                <w10:wrap anchorx="margin"/>
              </v:shape>
            </w:pict>
          </mc:Fallback>
        </mc:AlternateContent>
      </w:r>
      <w:r w:rsidRPr="00CB1817">
        <w:rPr>
          <w:rFonts w:asciiTheme="minorHAnsi" w:hAnsiTheme="minorHAnsi" w:cstheme="minorBidi"/>
          <w:noProof/>
        </w:rPr>
        <mc:AlternateContent>
          <mc:Choice Requires="wps">
            <w:drawing>
              <wp:anchor distT="0" distB="0" distL="114300" distR="114300" simplePos="0" relativeHeight="251986944" behindDoc="0" locked="0" layoutInCell="1" allowOverlap="1" wp14:anchorId="13776C20" wp14:editId="677BB075">
                <wp:simplePos x="0" y="0"/>
                <wp:positionH relativeFrom="column">
                  <wp:posOffset>3567113</wp:posOffset>
                </wp:positionH>
                <wp:positionV relativeFrom="paragraph">
                  <wp:posOffset>1023937</wp:posOffset>
                </wp:positionV>
                <wp:extent cx="448359" cy="219563"/>
                <wp:effectExtent l="0" t="0" r="0" b="0"/>
                <wp:wrapNone/>
                <wp:docPr id="47" name="Rectangle 5"/>
                <wp:cNvGraphicFramePr/>
                <a:graphic xmlns:a="http://schemas.openxmlformats.org/drawingml/2006/main">
                  <a:graphicData uri="http://schemas.microsoft.com/office/word/2010/wordprocessingShape">
                    <wps:wsp>
                      <wps:cNvSpPr/>
                      <wps:spPr>
                        <a:xfrm rot="16200000" flipV="1">
                          <a:off x="0" y="0"/>
                          <a:ext cx="448359" cy="219563"/>
                        </a:xfrm>
                        <a:prstGeom prst="rect">
                          <a:avLst/>
                        </a:prstGeom>
                      </wps:spPr>
                      <wps:txbx>
                        <w:txbxContent>
                          <w:p w:rsidR="00AD6A02" w:rsidRPr="00BB113D" w:rsidRDefault="00AD6A02" w:rsidP="003F2697">
                            <w:pPr>
                              <w:pStyle w:val="NormalWeb"/>
                              <w:spacing w:after="160" w:line="256" w:lineRule="auto"/>
                            </w:pPr>
                            <w:r w:rsidRPr="00BB113D">
                              <w:rPr>
                                <w:color w:val="000000" w:themeColor="text1"/>
                                <w:kern w:val="24"/>
                              </w:rPr>
                              <w:t>***</w:t>
                            </w:r>
                          </w:p>
                          <w:p w:rsidR="00AD6A02" w:rsidRPr="005611B6" w:rsidRDefault="00AD6A02" w:rsidP="003F2697">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3776C20" id="_x0000_s1040" style="position:absolute;left:0;text-align:left;margin-left:280.9pt;margin-top:80.6pt;width:35.3pt;height:17.3pt;rotation:90;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bSmQEAABADAAAOAAAAZHJzL2Uyb0RvYy54bWysUk1v4yAQva+0/wFx3zhOk2xrxakqVbuX&#10;qq36dScYYiTDsAOJnX/fAafpqr1V5TBihuHx3htWl4Pt2F5hMOBqXk6mnCknoTFuW/Pnpz+/zjkL&#10;UbhGdOBUzQ8q8Mv1zx+r3ldqBi10jUJGIC5Uva95G6OviiLIVlkRJuCVo0MNaEWkFLdFg6IndNsV&#10;s+l0WfSAjUeQKgSqXo+HfJ3xtVYy3mkdVGRdzYlbzBFz3KRYrFei2qLwrZFHGuILLKwwjh49QV2L&#10;KNgOzScoayRCAB0nEmwBWhupsgZSU04/qHlshVdZC5kT/Mmm8H2w8nZ/j8w0NZ//5swJSzN6INeE&#10;23aKLZI/vQ8VtT36ezxmgbZJ7KDRMgQytVzSMGhxpjvjX6iQ3SB9bMhmH05mqyEyScX5/PxsccGZ&#10;pKNZebFYnqXHihE1oXsM8a8Cy9Km5kisMqjY34Q4tr610L3EcuSVdnHYDFlVOX+TsIHmQFJ7mnXN&#10;w7+dwGStqBxc7SJokyHT3bHxCEm2Z1LHL5Lm+n+eu94/8voVAAD//wMAUEsDBBQABgAIAAAAIQD8&#10;cAel4AAAAAsBAAAPAAAAZHJzL2Rvd25yZXYueG1sTI/BTsMwEETvSPyDtUhcKuokTUMb4lQIiRMS&#10;iMIHOPE2iWqvo9ht079nOcFxNKOZN9VudlaccQqDJwXpMgGB1HozUKfg++v1YQMiRE1GW0+o4IoB&#10;dvXtTaVL4y/0ied97ASXUCi1gj7GsZQytD06HZZ+RGLv4CenI8upk2bSFy53VmZJUkinB+KFXo/4&#10;0mN73J+cgrd8EYpxQH9sZns9bD8WtB7flbq/m5+fQESc418YfvEZHWpmavyJTBBWwfpxy+iRjXyV&#10;geBEkeY5iEZBlq42IOtK/v9Q/wAAAP//AwBQSwECLQAUAAYACAAAACEAtoM4kv4AAADhAQAAEwAA&#10;AAAAAAAAAAAAAAAAAAAAW0NvbnRlbnRfVHlwZXNdLnhtbFBLAQItABQABgAIAAAAIQA4/SH/1gAA&#10;AJQBAAALAAAAAAAAAAAAAAAAAC8BAABfcmVscy8ucmVsc1BLAQItABQABgAIAAAAIQD/MSbSmQEA&#10;ABADAAAOAAAAAAAAAAAAAAAAAC4CAABkcnMvZTJvRG9jLnhtbFBLAQItABQABgAIAAAAIQD8cAel&#10;4AAAAAsBAAAPAAAAAAAAAAAAAAAAAPMDAABkcnMvZG93bnJldi54bWxQSwUGAAAAAAQABADzAAAA&#10;AAUAAAAA&#10;" filled="f" stroked="f">
                <v:textbox>
                  <w:txbxContent>
                    <w:p w:rsidR="00AD6A02" w:rsidRPr="00BB113D" w:rsidRDefault="00AD6A02" w:rsidP="003F2697">
                      <w:pPr>
                        <w:pStyle w:val="NormalWeb"/>
                        <w:spacing w:after="160" w:line="256" w:lineRule="auto"/>
                      </w:pPr>
                      <w:r w:rsidRPr="00BB113D">
                        <w:rPr>
                          <w:color w:val="000000" w:themeColor="text1"/>
                          <w:kern w:val="24"/>
                        </w:rPr>
                        <w:t>***</w:t>
                      </w:r>
                    </w:p>
                    <w:p w:rsidR="00AD6A02" w:rsidRPr="005611B6" w:rsidRDefault="00AD6A02" w:rsidP="003F2697">
                      <w:pPr>
                        <w:pStyle w:val="NormalWeb"/>
                        <w:spacing w:after="160" w:line="256" w:lineRule="auto"/>
                        <w:rPr>
                          <w:sz w:val="20"/>
                        </w:rPr>
                      </w:pPr>
                    </w:p>
                  </w:txbxContent>
                </v:textbox>
              </v:rect>
            </w:pict>
          </mc:Fallback>
        </mc:AlternateContent>
      </w:r>
      <w:r>
        <w:rPr>
          <w:noProof/>
        </w:rPr>
        <mc:AlternateContent>
          <mc:Choice Requires="wps">
            <w:drawing>
              <wp:anchor distT="0" distB="0" distL="114300" distR="114300" simplePos="0" relativeHeight="251984896" behindDoc="0" locked="0" layoutInCell="1" allowOverlap="1" wp14:anchorId="647CFCB8" wp14:editId="29F80D71">
                <wp:simplePos x="0" y="0"/>
                <wp:positionH relativeFrom="margin">
                  <wp:posOffset>3679507</wp:posOffset>
                </wp:positionH>
                <wp:positionV relativeFrom="paragraph">
                  <wp:posOffset>614680</wp:posOffset>
                </wp:positionV>
                <wp:extent cx="45719" cy="905607"/>
                <wp:effectExtent l="0" t="0" r="31115" b="27940"/>
                <wp:wrapNone/>
                <wp:docPr id="256" name="Right Brace 1"/>
                <wp:cNvGraphicFramePr/>
                <a:graphic xmlns:a="http://schemas.openxmlformats.org/drawingml/2006/main">
                  <a:graphicData uri="http://schemas.microsoft.com/office/word/2010/wordprocessingShape">
                    <wps:wsp>
                      <wps:cNvSpPr/>
                      <wps:spPr>
                        <a:xfrm flipV="1">
                          <a:off x="0" y="0"/>
                          <a:ext cx="45719" cy="905607"/>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BFE0988" id="Right Brace 1" o:spid="_x0000_s1026" type="#_x0000_t88" style="position:absolute;margin-left:289.7pt;margin-top:48.4pt;width:3.6pt;height:71.3pt;flip:y;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Sw9JQIAAF8EAAAOAAAAZHJzL2Uyb0RvYy54bWysVE1z0zAQvTPDf9DoTuw4JE0zcTrQTLgw&#10;0GkL960s2WL0haTEyb9nJbshpZwYfNDo8+17b3e9vjlqRQ7cB2lNTaeTkhJumG2kaWv67XH3bklJ&#10;iGAaUNbwmp54oDebt2/WvVvxynZWNdwTBDFh1buadjG6VVEE1nENYWIdN3gorNcQcenbovHQI7pW&#10;RVWWi6K3vnHeMh4C7m6HQ7rJ+EJwFr8KEXgkqqbILebR5/EpjcVmDavWg+skG2nAP7DQIA0GPUNt&#10;IQLZe/kKSkvmbbAiTpjVhRVCMp41oJpp+Yeahw4cz1rQnODONoX/B8u+HO48kU1Nq/mCEgMak3Qv&#10;2y6Sjx4YJ9NkUe/CCm8+uDs/rgJOk96j8JoIJd13zH52ADWRYzb4dDaYHyNhuPl+fjW9poThyXU5&#10;X5RXCbwYUBKa8yF+4laTNKmpTzwyjYwMh88hZpObkSg0P6aUCK0wZwdQZDmbzcaUXlypLq/Mq2W1&#10;GMOOgEjgOXBCD1bJZieVyotTuFWeIHhNsewa21OiIETcrOkufyPYi2fKkL6mi9kca44B1rVQEHGq&#10;HTodTEsJqBYbhkWfpb14HF7FfEQDL+KW+ftb3KRjC6EbCGfUwQ8tI/aZkrqmy8vXyiSVPHcKupvS&#10;kZI9pDfNnmxzwgrpsUWQ+c89eE6Jj+rWDh0FhnUWvXhWYuyHfbRCnqEGgBEXqzgnfOy41CaX63zr&#10;939h8wsAAP//AwBQSwMEFAAGAAgAAAAhAK6QjC/gAAAACgEAAA8AAABkcnMvZG93bnJldi54bWxM&#10;j8FOwzAQRO9I/IO1SNyoQ0vSJsSpoBLiRCUKUtWbGy92RGwH22nD37Oc4Liap9k39XqyPTthiJ13&#10;Am5nGTB0rVed0wLe355uVsBikk7J3jsU8I0R1s3lRS0r5c/uFU+7pBmVuFhJASaloeI8tgatjDM/&#10;oKPswwcrE51BcxXkmcptz+dZVnArO0cfjBxwY7D93I1WwKZcZIcvrdt8fJTLGLb7FzTPQlxfTQ/3&#10;wBJO6Q+GX31Sh4acjn50KrJeQL4s7wgVUBY0gYB8VRTAjgLmC0p4U/P/E5ofAAAA//8DAFBLAQIt&#10;ABQABgAIAAAAIQC2gziS/gAAAOEBAAATAAAAAAAAAAAAAAAAAAAAAABbQ29udGVudF9UeXBlc10u&#10;eG1sUEsBAi0AFAAGAAgAAAAhADj9If/WAAAAlAEAAAsAAAAAAAAAAAAAAAAALwEAAF9yZWxzLy5y&#10;ZWxzUEsBAi0AFAAGAAgAAAAhANShLD0lAgAAXwQAAA4AAAAAAAAAAAAAAAAALgIAAGRycy9lMm9E&#10;b2MueG1sUEsBAi0AFAAGAAgAAAAhAK6QjC/gAAAACgEAAA8AAAAAAAAAAAAAAAAAfwQAAGRycy9k&#10;b3ducmV2LnhtbFBLBQYAAAAABAAEAPMAAACMBQAAAAA=&#10;" adj="91,11410" filled="t" fillcolor="window" strokecolor="windowText" strokeweight=".5pt">
                <v:stroke joinstyle="miter"/>
                <w10:wrap anchorx="margin"/>
              </v:shape>
            </w:pict>
          </mc:Fallback>
        </mc:AlternateContent>
      </w:r>
      <w:r w:rsidRPr="00AF26CF">
        <w:rPr>
          <w:rFonts w:asciiTheme="minorHAnsi" w:hAnsiTheme="minorHAnsi" w:cstheme="minorBidi"/>
        </w:rPr>
        <w:object w:dxaOrig="11701" w:dyaOrig="6229">
          <v:shape id="_x0000_i1043" type="#_x0000_t75" style="width:430.5pt;height:225.75pt" o:ole="">
            <v:imagedata r:id="rId86" o:title=""/>
          </v:shape>
          <o:OLEObject Type="Embed" ProgID="Prism7.Document" ShapeID="_x0000_i1043" DrawAspect="Content" ObjectID="_1583750213" r:id="rId87"/>
        </w:object>
      </w:r>
      <w:r w:rsidR="003F2697" w:rsidRPr="003F2697">
        <w:rPr>
          <w:rStyle w:val="SubtitleChar"/>
        </w:rPr>
        <w:t xml:space="preserve"> </w:t>
      </w:r>
    </w:p>
    <w:p w:rsidR="003F2697" w:rsidRDefault="003F2697" w:rsidP="003F2697">
      <w:pPr>
        <w:pStyle w:val="LegText"/>
        <w:ind w:left="720"/>
      </w:pPr>
      <w:bookmarkStart w:id="342" w:name="_Toc504640598"/>
      <w:r w:rsidRPr="00C65F9F">
        <w:rPr>
          <w:rStyle w:val="SubtitleChar"/>
        </w:rPr>
        <w:t>Figure 3.11 Serum creatinine measurement</w:t>
      </w:r>
      <w:r w:rsidRPr="00C65F9F">
        <w:rPr>
          <w:rStyle w:val="SubtitleChar"/>
          <w:rFonts w:eastAsia="Calibri"/>
        </w:rPr>
        <w:t>.</w:t>
      </w:r>
      <w:bookmarkEnd w:id="342"/>
      <w:r>
        <w:rPr>
          <w:rFonts w:ascii="Calibri" w:eastAsia="Calibri" w:hAnsi="Calibri" w:cs="Calibri"/>
        </w:rPr>
        <w:t xml:space="preserve"> </w:t>
      </w:r>
      <w:r>
        <w:t>The plot is the x̅ ± SEM of 5 rats for prophylaxis group and 10 rats collectively for the diseased and treatment groups for the first four months and 5 rats per diseased and treatment group thereafter. There was a significant difference between the diseased group and the prophylaxis group and between the prophylaxis group and the treatment group of P &lt; 0.0001.</w:t>
      </w:r>
    </w:p>
    <w:p w:rsidR="002A1888" w:rsidRDefault="003B2491" w:rsidP="00804EA9">
      <w:pPr>
        <w:ind w:left="720"/>
      </w:pPr>
      <w:r w:rsidRPr="00B007C6">
        <w:rPr>
          <w:rFonts w:asciiTheme="minorHAnsi" w:hAnsiTheme="minorHAnsi" w:cstheme="minorBidi"/>
          <w:noProof/>
          <w:lang w:eastAsia="en-GB"/>
        </w:rPr>
        <mc:AlternateContent>
          <mc:Choice Requires="wps">
            <w:drawing>
              <wp:anchor distT="0" distB="0" distL="114300" distR="114300" simplePos="0" relativeHeight="251995136" behindDoc="0" locked="0" layoutInCell="1" allowOverlap="1" wp14:anchorId="669C9C15" wp14:editId="211CB3DD">
                <wp:simplePos x="0" y="0"/>
                <wp:positionH relativeFrom="column">
                  <wp:posOffset>3580765</wp:posOffset>
                </wp:positionH>
                <wp:positionV relativeFrom="paragraph">
                  <wp:posOffset>2147570</wp:posOffset>
                </wp:positionV>
                <wp:extent cx="533401" cy="229873"/>
                <wp:effectExtent l="0" t="0" r="0" b="0"/>
                <wp:wrapNone/>
                <wp:docPr id="375" name="Rectangle 5"/>
                <wp:cNvGraphicFramePr/>
                <a:graphic xmlns:a="http://schemas.openxmlformats.org/drawingml/2006/main">
                  <a:graphicData uri="http://schemas.microsoft.com/office/word/2010/wordprocessingShape">
                    <wps:wsp>
                      <wps:cNvSpPr/>
                      <wps:spPr>
                        <a:xfrm rot="16200000">
                          <a:off x="0" y="0"/>
                          <a:ext cx="533401" cy="229873"/>
                        </a:xfrm>
                        <a:prstGeom prst="rect">
                          <a:avLst/>
                        </a:prstGeom>
                      </wps:spPr>
                      <wps:txbx>
                        <w:txbxContent>
                          <w:p w:rsidR="00AD6A02" w:rsidRPr="00BB113D" w:rsidRDefault="00AD6A02" w:rsidP="003F2697">
                            <w:pPr>
                              <w:pStyle w:val="NormalWeb"/>
                              <w:spacing w:after="160" w:line="256" w:lineRule="auto"/>
                            </w:pPr>
                            <w:r w:rsidRPr="00BB113D">
                              <w:rPr>
                                <w:color w:val="000000" w:themeColor="text1"/>
                                <w:kern w:val="24"/>
                              </w:rPr>
                              <w:t>****</w:t>
                            </w:r>
                          </w:p>
                          <w:p w:rsidR="00AD6A02" w:rsidRPr="00BB113D" w:rsidRDefault="00AD6A02" w:rsidP="003F2697">
                            <w:pPr>
                              <w:pStyle w:val="NormalWeb"/>
                              <w:spacing w:after="160" w:line="256" w:lineRule="auto"/>
                            </w:pPr>
                          </w:p>
                          <w:p w:rsidR="00AD6A02" w:rsidRPr="00BB113D" w:rsidRDefault="00AD6A02" w:rsidP="003F2697">
                            <w:pPr>
                              <w:pStyle w:val="NormalWeb"/>
                              <w:spacing w:after="160" w:line="256" w:lineRule="auto"/>
                            </w:pPr>
                          </w:p>
                          <w:p w:rsidR="00AD6A02" w:rsidRPr="00BB113D" w:rsidRDefault="00AD6A02" w:rsidP="003F2697">
                            <w:pPr>
                              <w:pStyle w:val="NormalWeb"/>
                              <w:spacing w:after="160" w:line="256" w:lineRule="auto"/>
                            </w:pPr>
                          </w:p>
                          <w:p w:rsidR="00AD6A02" w:rsidRPr="005611B6" w:rsidRDefault="00AD6A02" w:rsidP="003F2697">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69C9C15" id="_x0000_s1041" style="position:absolute;left:0;text-align:left;margin-left:281.95pt;margin-top:169.1pt;width:42pt;height:18.1pt;rotation:-90;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kokwEAAAcDAAAOAAAAZHJzL2Uyb0RvYy54bWysUk1v4yAQvVfqf0DcN7aTTT+sONVKVfey&#10;aqu2+wMIhhjJMHQgsfPvO+A0rba3VTmMGGZ4vPeG1c1oe7ZXGAy4hlezkjPlJLTGbRv+9+XuxxVn&#10;IQrXih6cavhBBX6zPj9bDb5Wc+igbxUyAnGhHnzDuxh9XRRBdsqKMAOvHBU1oBWRUtwWLYqB0G1f&#10;zMvyohgAW48gVQh0ejsV+Trja61kfNA6qMj6hhO3mCPmuEmxWK9EvUXhOyOPNMR/sLDCOHr0BHUr&#10;omA7NF+grJEIAXScSbAFaG2kyhpITVX+o+a5E15lLWRO8CebwvfByvv9IzLTNnxxueTMCUtDeiLb&#10;hNv2ii2TQYMPNfU9+0c8ZoG2Se2o0TIEcrW6oGnQyiaQLDZmjw8nj9UYmaTD5WLxs6w4k1Saz6+v&#10;LhfpiWLCSpgeQ/ytwLK0aTgSlwwq9n9CnFrfW+he4jaxSbs4bsYspjoR30B7IIUDjbjh4XUnMDkq&#10;age/dhG0yZDp7tR4hCS3M6njz0jj/Jznro//u34DAAD//wMAUEsDBBQABgAIAAAAIQDzg45U4QAA&#10;AAsBAAAPAAAAZHJzL2Rvd25yZXYueG1sTI/BTsMwEETvSPyDtUjcqNOktCHEqRAChDhQERBc3XhJ&#10;IuJ1FLuN+XuWExxnZzT7ptxGO4gjTr53pGC5SEAgNc701Cp4e72/yEH4oMnowREq+EYP2+r0pNSF&#10;cTO94LEOreAS8oVW0IUwFlL6pkOr/cKNSOx9usnqwHJqpZn0zOV2kGmSrKXVPfGHTo9422HzVR+s&#10;gidHd+/NQ7+ZY5KaLD7uPurnnVLnZ/HmGkTAGP7C8IvP6FAx094dyHgxKLjMN4weFGTLVQaCE+t0&#10;xev2fLnKM5BVKf9vqH4AAAD//wMAUEsBAi0AFAAGAAgAAAAhALaDOJL+AAAA4QEAABMAAAAAAAAA&#10;AAAAAAAAAAAAAFtDb250ZW50X1R5cGVzXS54bWxQSwECLQAUAAYACAAAACEAOP0h/9YAAACUAQAA&#10;CwAAAAAAAAAAAAAAAAAvAQAAX3JlbHMvLnJlbHNQSwECLQAUAAYACAAAACEATx6ZKJMBAAAHAwAA&#10;DgAAAAAAAAAAAAAAAAAuAgAAZHJzL2Uyb0RvYy54bWxQSwECLQAUAAYACAAAACEA84OOVOEAAAAL&#10;AQAADwAAAAAAAAAAAAAAAADtAwAAZHJzL2Rvd25yZXYueG1sUEsFBgAAAAAEAAQA8wAAAPsEAAAA&#10;AA==&#10;" filled="f" stroked="f">
                <v:textbox>
                  <w:txbxContent>
                    <w:p w:rsidR="00AD6A02" w:rsidRPr="00BB113D" w:rsidRDefault="00AD6A02" w:rsidP="003F2697">
                      <w:pPr>
                        <w:pStyle w:val="NormalWeb"/>
                        <w:spacing w:after="160" w:line="256" w:lineRule="auto"/>
                      </w:pPr>
                      <w:r w:rsidRPr="00BB113D">
                        <w:rPr>
                          <w:color w:val="000000" w:themeColor="text1"/>
                          <w:kern w:val="24"/>
                        </w:rPr>
                        <w:t>****</w:t>
                      </w:r>
                    </w:p>
                    <w:p w:rsidR="00AD6A02" w:rsidRPr="00BB113D" w:rsidRDefault="00AD6A02" w:rsidP="003F2697">
                      <w:pPr>
                        <w:pStyle w:val="NormalWeb"/>
                        <w:spacing w:after="160" w:line="256" w:lineRule="auto"/>
                      </w:pPr>
                    </w:p>
                    <w:p w:rsidR="00AD6A02" w:rsidRPr="00BB113D" w:rsidRDefault="00AD6A02" w:rsidP="003F2697">
                      <w:pPr>
                        <w:pStyle w:val="NormalWeb"/>
                        <w:spacing w:after="160" w:line="256" w:lineRule="auto"/>
                      </w:pPr>
                    </w:p>
                    <w:p w:rsidR="00AD6A02" w:rsidRPr="00BB113D" w:rsidRDefault="00AD6A02" w:rsidP="003F2697">
                      <w:pPr>
                        <w:pStyle w:val="NormalWeb"/>
                        <w:spacing w:after="160" w:line="256" w:lineRule="auto"/>
                      </w:pPr>
                    </w:p>
                    <w:p w:rsidR="00AD6A02" w:rsidRPr="005611B6" w:rsidRDefault="00AD6A02" w:rsidP="003F2697">
                      <w:pPr>
                        <w:pStyle w:val="NormalWeb"/>
                        <w:spacing w:after="160" w:line="256" w:lineRule="auto"/>
                        <w:rPr>
                          <w:sz w:val="20"/>
                        </w:rPr>
                      </w:pPr>
                    </w:p>
                  </w:txbxContent>
                </v:textbox>
              </v:rect>
            </w:pict>
          </mc:Fallback>
        </mc:AlternateContent>
      </w:r>
      <w:r>
        <w:rPr>
          <w:noProof/>
          <w:lang w:eastAsia="en-GB"/>
        </w:rPr>
        <mc:AlternateContent>
          <mc:Choice Requires="wps">
            <w:drawing>
              <wp:anchor distT="0" distB="0" distL="114300" distR="114300" simplePos="0" relativeHeight="251993088" behindDoc="0" locked="0" layoutInCell="1" allowOverlap="1" wp14:anchorId="02937E7D" wp14:editId="6F683FF9">
                <wp:simplePos x="0" y="0"/>
                <wp:positionH relativeFrom="column">
                  <wp:posOffset>3674110</wp:posOffset>
                </wp:positionH>
                <wp:positionV relativeFrom="paragraph">
                  <wp:posOffset>2070735</wp:posOffset>
                </wp:positionV>
                <wp:extent cx="66675" cy="533400"/>
                <wp:effectExtent l="0" t="0" r="47625" b="19050"/>
                <wp:wrapNone/>
                <wp:docPr id="374" name="Right Brace 1"/>
                <wp:cNvGraphicFramePr/>
                <a:graphic xmlns:a="http://schemas.openxmlformats.org/drawingml/2006/main">
                  <a:graphicData uri="http://schemas.microsoft.com/office/word/2010/wordprocessingShape">
                    <wps:wsp>
                      <wps:cNvSpPr/>
                      <wps:spPr>
                        <a:xfrm flipV="1">
                          <a:off x="0" y="0"/>
                          <a:ext cx="66675" cy="53340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453B89E" id="Right Brace 1" o:spid="_x0000_s1026" type="#_x0000_t88" style="position:absolute;margin-left:289.3pt;margin-top:163.05pt;width:5.25pt;height:42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gJgIAAF8EAAAOAAAAZHJzL2Uyb0RvYy54bWysVE1v2zAMvQ/YfxB0X+zETRoEcYq1QXYZ&#10;tmLtdmdlyVahr0lKnPz7UbKbpetOw3wQKIl65Hskvb45akUO3AdpTU2nk5ISbphtpGlr+v1x92FJ&#10;SYhgGlDW8JqeeKA3m/fv1r1b8ZntrGq4Jwhiwqp3Ne1idKuiCKzjGsLEOm7wUlivIeLWt0XjoUd0&#10;rYpZWS6K3vrGect4CHi6HS7pJuMLwVn8KkTgkaiaYm4xrz6vT2ktNmtYtR5cJ9mYBvxDFhqkwaBn&#10;qC1EIHsv30BpybwNVsQJs7qwQkjGMwdkMy3/YPPQgeOZC4oT3Fmm8P9g2ZfDvSeyqWl1fUWJAY1F&#10;+ibbLpJbD4yTaZKod2GFng/u3o+7gGbiexReE6Gk+4HVzwogJ3LMAp/OAvNjJAwPF4vF9ZwShjfz&#10;qroqs/7FgJLQnA/xE7eaJKOmPuWR08jIcPgcYha5GROF5nlKidAKa3YARZZVVY0lvXCZXbrMZ8vZ&#10;Ivlg2BEQrZfACT1YJZudVCpvTuFOeYLgNcW2a2xPiYIQ8bCmu/yNYK+eKUN6pFvNsecYYF8LBRFN&#10;7VDpYFpKQLU4MCz6TO3V4/Am5iMKeBG3zN/f4iYeWwjdkHBGHfTQMuKcKalrurx8rUxiyfOkoLpJ&#10;l1TsobzJerLNCTukxxHBzH/uwXNKfFR3dpgoMKyzqMULE2M/7qMV8gw1AIy42MVZ+XHi0phc7rPX&#10;7//C5hcAAAD//wMAUEsDBBQABgAIAAAAIQBsEe5H4gAAAAsBAAAPAAAAZHJzL2Rvd25yZXYueG1s&#10;TI/BTsMwDIbvSLxDZCRuLM1gpeuaTlOlcVulDQ47Zo3XFpqkNNnavT3mBDdb/vT7+7P1ZDp2xcG3&#10;zkoQswgY2srp1tYSPt63TwkwH5TVqnMWJdzQwzq/v8tUqt1o93g9hJpRiPWpktCE0Kec+6pBo/zM&#10;9WjpdnaDUYHWoeZ6UCOFm47PoyjmRrWWPjSqx6LB6utwMRKS4vxWbnbHHj/H0pTbY7ET3zcpHx+m&#10;zQpYwCn8wfCrT+qQk9PJXaz2rJOweE1iQiU8z2MBjIhFsqThJOFFRAJ4nvH/HfIfAAAA//8DAFBL&#10;AQItABQABgAIAAAAIQC2gziS/gAAAOEBAAATAAAAAAAAAAAAAAAAAAAAAABbQ29udGVudF9UeXBl&#10;c10ueG1sUEsBAi0AFAAGAAgAAAAhADj9If/WAAAAlAEAAAsAAAAAAAAAAAAAAAAALwEAAF9yZWxz&#10;Ly5yZWxzUEsBAi0AFAAGAAgAAAAhAL82GCAmAgAAXwQAAA4AAAAAAAAAAAAAAAAALgIAAGRycy9l&#10;Mm9Eb2MueG1sUEsBAi0AFAAGAAgAAAAhAGwR7kfiAAAACwEAAA8AAAAAAAAAAAAAAAAAgAQAAGRy&#10;cy9kb3ducmV2LnhtbFBLBQYAAAAABAAEAPMAAACPBQAAAAA=&#10;" adj="225,11410" filled="t" fillcolor="window" strokecolor="windowText" strokeweight=".5pt">
                <v:stroke joinstyle="miter"/>
              </v:shape>
            </w:pict>
          </mc:Fallback>
        </mc:AlternateContent>
      </w:r>
      <w:r w:rsidR="003F2697" w:rsidRPr="003F2697">
        <w:rPr>
          <w:rFonts w:asciiTheme="minorHAnsi" w:hAnsiTheme="minorHAnsi" w:cstheme="minorBidi"/>
          <w:noProof/>
        </w:rPr>
        <w:t xml:space="preserve"> </w:t>
      </w:r>
      <w:r w:rsidR="003F2697">
        <w:rPr>
          <w:noProof/>
          <w:lang w:eastAsia="en-GB"/>
        </w:rPr>
        <w:drawing>
          <wp:inline distT="0" distB="0" distL="114300" distR="114300" wp14:anchorId="5C971E16" wp14:editId="2C6A2409">
            <wp:extent cx="5311707" cy="2821305"/>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8"/>
                    <a:srcRect/>
                    <a:stretch>
                      <a:fillRect/>
                    </a:stretch>
                  </pic:blipFill>
                  <pic:spPr>
                    <a:xfrm>
                      <a:off x="0" y="0"/>
                      <a:ext cx="5332218" cy="2832199"/>
                    </a:xfrm>
                    <a:prstGeom prst="rect">
                      <a:avLst/>
                    </a:prstGeom>
                    <a:ln/>
                  </pic:spPr>
                </pic:pic>
              </a:graphicData>
            </a:graphic>
          </wp:inline>
        </w:drawing>
      </w:r>
    </w:p>
    <w:p w:rsidR="003F2697" w:rsidRDefault="003F2697" w:rsidP="003F2697">
      <w:pPr>
        <w:pStyle w:val="LegText"/>
        <w:ind w:left="720"/>
      </w:pPr>
      <w:bookmarkStart w:id="343" w:name="_Toc504640599"/>
      <w:r w:rsidRPr="00B007C6">
        <w:rPr>
          <w:rStyle w:val="SubtitleChar"/>
        </w:rPr>
        <w:t>Figure 3.12 Urinary creatinine measurement</w:t>
      </w:r>
      <w:bookmarkEnd w:id="343"/>
      <w:r>
        <w:t>.</w:t>
      </w:r>
      <w:r>
        <w:rPr>
          <w:rFonts w:ascii="Calibri" w:eastAsia="Calibri" w:hAnsi="Calibri" w:cs="Calibri"/>
        </w:rPr>
        <w:t xml:space="preserve"> </w:t>
      </w:r>
      <w:r>
        <w:t>The plot is the x̅ ± SEM of 5 rats for prophylaxis group and 10 rats collectively for the diseased and treatment groups for the first four months and 5 rats per diseased and treatment group thereafter. A two way Anova test showed a significant difference of P &lt; 0.0001 with progression from baseline to 8 month in all three groups. A further analysis with Tukey's multiple comparisons test showed a significant difference of P &lt; 0.0001 between disease and prophylaxis and a similar trend was observed between disease and treatment, however there was no significant difference between diseased and treatment group.</w:t>
      </w:r>
    </w:p>
    <w:p w:rsidR="003F30BD" w:rsidRDefault="003F30BD" w:rsidP="003F2697">
      <w:pPr>
        <w:pStyle w:val="LegText"/>
        <w:ind w:left="720"/>
      </w:pPr>
    </w:p>
    <w:p w:rsidR="009A7933" w:rsidRDefault="00D40F45" w:rsidP="00804EA9">
      <w:pPr>
        <w:ind w:left="720"/>
      </w:pPr>
      <w:r>
        <w:t>Juxtaposing results from Fig 3</w:t>
      </w:r>
      <w:r w:rsidR="00804EA9">
        <w:t>.</w:t>
      </w:r>
      <w:r>
        <w:t>10</w:t>
      </w:r>
      <w:r w:rsidR="00804EA9">
        <w:t xml:space="preserve"> and S</w:t>
      </w:r>
      <w:r>
        <w:t>ection 3.5</w:t>
      </w:r>
      <w:r w:rsidR="009A7933">
        <w:t xml:space="preserve"> suggest that the rise in serum urea is likely due to renal impairment rather than a defect in hepatic metabolism.</w:t>
      </w:r>
    </w:p>
    <w:p w:rsidR="009A7933" w:rsidRDefault="009A7933" w:rsidP="00804EA9">
      <w:pPr>
        <w:ind w:left="720"/>
      </w:pPr>
      <w:r>
        <w:t>Creatinine clearance was calculat</w:t>
      </w:r>
      <w:r w:rsidR="00804EA9">
        <w:t xml:space="preserve">ed as seen in </w:t>
      </w:r>
      <w:r w:rsidR="00D40F45">
        <w:t xml:space="preserve">Section 2.4.7 and </w:t>
      </w:r>
      <w:r w:rsidR="00804EA9">
        <w:t>F</w:t>
      </w:r>
      <w:r>
        <w:t xml:space="preserve">ig 3.13 </w:t>
      </w:r>
      <w:r w:rsidR="00D40F45">
        <w:t>shows the summarized</w:t>
      </w:r>
      <w:r>
        <w:t xml:space="preserve"> protective effect of UK-396082 in diabetic nephropathy </w:t>
      </w:r>
      <w:r w:rsidR="009A526E">
        <w:t>using the results obtained from creatinine clearance. T</w:t>
      </w:r>
      <w:r>
        <w:t xml:space="preserve">he prophylaxis group had preserved renal glomerular function when compared to that of the diseased and treatment groups where a steep drop in creatinine clearance was observed. </w:t>
      </w:r>
    </w:p>
    <w:p w:rsidR="003F30BD" w:rsidRDefault="003B2491" w:rsidP="00804EA9">
      <w:pPr>
        <w:ind w:left="720"/>
      </w:pPr>
      <w:r w:rsidRPr="009924F6">
        <w:rPr>
          <w:rFonts w:asciiTheme="minorHAnsi" w:hAnsiTheme="minorHAnsi" w:cstheme="minorBidi"/>
          <w:noProof/>
          <w:sz w:val="22"/>
          <w:szCs w:val="22"/>
          <w:lang w:eastAsia="en-GB"/>
        </w:rPr>
        <mc:AlternateContent>
          <mc:Choice Requires="wps">
            <w:drawing>
              <wp:anchor distT="0" distB="0" distL="114300" distR="114300" simplePos="0" relativeHeight="251999232" behindDoc="0" locked="0" layoutInCell="1" allowOverlap="1" wp14:anchorId="2FA6E0CF" wp14:editId="300B3F0A">
                <wp:simplePos x="0" y="0"/>
                <wp:positionH relativeFrom="column">
                  <wp:posOffset>3624897</wp:posOffset>
                </wp:positionH>
                <wp:positionV relativeFrom="paragraph">
                  <wp:posOffset>1778635</wp:posOffset>
                </wp:positionV>
                <wp:extent cx="476251" cy="219072"/>
                <wp:effectExtent l="0" t="0" r="0" b="0"/>
                <wp:wrapNone/>
                <wp:docPr id="260" name="Rectangle 5"/>
                <wp:cNvGraphicFramePr/>
                <a:graphic xmlns:a="http://schemas.openxmlformats.org/drawingml/2006/main">
                  <a:graphicData uri="http://schemas.microsoft.com/office/word/2010/wordprocessingShape">
                    <wps:wsp>
                      <wps:cNvSpPr/>
                      <wps:spPr>
                        <a:xfrm rot="16200000">
                          <a:off x="0" y="0"/>
                          <a:ext cx="476251" cy="219072"/>
                        </a:xfrm>
                        <a:prstGeom prst="rect">
                          <a:avLst/>
                        </a:prstGeom>
                      </wps:spPr>
                      <wps:txbx>
                        <w:txbxContent>
                          <w:p w:rsidR="00AD6A02" w:rsidRPr="00BB113D" w:rsidRDefault="00AD6A02" w:rsidP="003F30BD">
                            <w:pPr>
                              <w:pStyle w:val="NormalWeb"/>
                              <w:spacing w:after="160" w:line="256" w:lineRule="auto"/>
                            </w:pPr>
                            <w:r w:rsidRPr="00BB113D">
                              <w:rPr>
                                <w:color w:val="000000" w:themeColor="text1"/>
                                <w:kern w:val="24"/>
                              </w:rPr>
                              <w:t>****</w:t>
                            </w:r>
                          </w:p>
                          <w:p w:rsidR="00AD6A02" w:rsidRPr="00BB113D" w:rsidRDefault="00AD6A02" w:rsidP="003F30BD">
                            <w:pPr>
                              <w:pStyle w:val="NormalWeb"/>
                              <w:spacing w:after="160" w:line="256" w:lineRule="auto"/>
                            </w:pPr>
                          </w:p>
                          <w:p w:rsidR="00AD6A02" w:rsidRPr="00BB113D" w:rsidRDefault="00AD6A02" w:rsidP="003F30BD">
                            <w:pPr>
                              <w:pStyle w:val="NormalWeb"/>
                              <w:spacing w:after="160" w:line="256" w:lineRule="auto"/>
                            </w:pPr>
                          </w:p>
                          <w:p w:rsidR="00AD6A02" w:rsidRPr="00BB113D" w:rsidRDefault="00AD6A02" w:rsidP="003F30BD">
                            <w:pPr>
                              <w:pStyle w:val="NormalWeb"/>
                              <w:spacing w:after="160" w:line="256" w:lineRule="auto"/>
                            </w:pPr>
                          </w:p>
                          <w:p w:rsidR="00AD6A02" w:rsidRPr="005611B6" w:rsidRDefault="00AD6A02" w:rsidP="003F30BD">
                            <w:pPr>
                              <w:pStyle w:val="NormalWeb"/>
                              <w:spacing w:after="160" w:line="256" w:lineRule="auto"/>
                              <w:rPr>
                                <w:sz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FA6E0CF" id="_x0000_s1042" style="position:absolute;left:0;text-align:left;margin-left:285.4pt;margin-top:140.05pt;width:37.5pt;height:17.25pt;rotation:-90;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vgtkwEAAAcDAAAOAAAAZHJzL2Uyb0RvYy54bWysUk1v3CAQvVfqf0Dcs/5Q4rTWeqNIUXuJ&#10;0qhJfwCLYY1kGDqwa++/z4A32yq5ReEwYpjh8d4b1jezHdlBYTDgOl6tSs6Uk9Abt+v4n+cfF984&#10;C1G4XozgVMePKvCbzdcv68m3qoYBxl4hIxAX2sl3fIjRt0UR5KCsCCvwylFRA1oRKcVd0aOYCN2O&#10;RV2WTTEB9h5BqhDo9G4p8k3G11rJ+EvroCIbO07cYo6Y4zbFYrMW7Q6FH4w80RAfYGGFcfToGepO&#10;RMH2aN5BWSMRAui4kmAL0NpIlTWQmqp8o+ZpEF5lLWRO8GebwufByofDIzLTd7xuyB8nLA3pN9km&#10;3G5U7CoZNPnQUt+Tf8RTFmib1M4aLUMgV6uGpkErm0Cy2Jw9Pp49VnNkkg4vr5v6quJMUqmuvpfX&#10;dXqiWLASpscQfyqwLG06jsQlg4rDfYhL62sL3UvcFjZpF+ftnMVUzSvxLfRHUjjRiDse/u4FJkdF&#10;6+B2H0GbDJnuLo0nSHI7kzr9jDTO//Pc9e//bl4AAAD//wMAUEsDBBQABgAIAAAAIQBvufmv4QAA&#10;AAsBAAAPAAAAZHJzL2Rvd25yZXYueG1sTI9BT4NAFITvJv6HzTPxZpeCtII8GmPUmB5spEavW/YJ&#10;RPYtYbcF/73rSY+Tmcx8U2xm04sTja6zjLBcRCCIa6s7bhDe9o9XNyCcV6xVb5kQvsnBpjw/K1Su&#10;7cSvdKp8I0IJu1whtN4PuZSubskot7ADcfA+7WiUD3JspB7VFMpNL+MoWkmjOg4LrRrovqX6qzoa&#10;hK3lh/f6qVtPcxTrZH7efVQvO8TLi/nuFoSn2f+F4Rc/oEMZmA72yNqJHiHNluGLR4jTLAMREqs4&#10;TUEcEJLkOgNZFvL/h/IHAAD//wMAUEsBAi0AFAAGAAgAAAAhALaDOJL+AAAA4QEAABMAAAAAAAAA&#10;AAAAAAAAAAAAAFtDb250ZW50X1R5cGVzXS54bWxQSwECLQAUAAYACAAAACEAOP0h/9YAAACUAQAA&#10;CwAAAAAAAAAAAAAAAAAvAQAAX3JlbHMvLnJlbHNQSwECLQAUAAYACAAAACEASRr4LZMBAAAHAwAA&#10;DgAAAAAAAAAAAAAAAAAuAgAAZHJzL2Uyb0RvYy54bWxQSwECLQAUAAYACAAAACEAb7n5r+EAAAAL&#10;AQAADwAAAAAAAAAAAAAAAADtAwAAZHJzL2Rvd25yZXYueG1sUEsFBgAAAAAEAAQA8wAAAPsEAAAA&#10;AA==&#10;" filled="f" stroked="f">
                <v:textbox>
                  <w:txbxContent>
                    <w:p w:rsidR="00AD6A02" w:rsidRPr="00BB113D" w:rsidRDefault="00AD6A02" w:rsidP="003F30BD">
                      <w:pPr>
                        <w:pStyle w:val="NormalWeb"/>
                        <w:spacing w:after="160" w:line="256" w:lineRule="auto"/>
                      </w:pPr>
                      <w:r w:rsidRPr="00BB113D">
                        <w:rPr>
                          <w:color w:val="000000" w:themeColor="text1"/>
                          <w:kern w:val="24"/>
                        </w:rPr>
                        <w:t>****</w:t>
                      </w:r>
                    </w:p>
                    <w:p w:rsidR="00AD6A02" w:rsidRPr="00BB113D" w:rsidRDefault="00AD6A02" w:rsidP="003F30BD">
                      <w:pPr>
                        <w:pStyle w:val="NormalWeb"/>
                        <w:spacing w:after="160" w:line="256" w:lineRule="auto"/>
                      </w:pPr>
                    </w:p>
                    <w:p w:rsidR="00AD6A02" w:rsidRPr="00BB113D" w:rsidRDefault="00AD6A02" w:rsidP="003F30BD">
                      <w:pPr>
                        <w:pStyle w:val="NormalWeb"/>
                        <w:spacing w:after="160" w:line="256" w:lineRule="auto"/>
                      </w:pPr>
                    </w:p>
                    <w:p w:rsidR="00AD6A02" w:rsidRPr="00BB113D" w:rsidRDefault="00AD6A02" w:rsidP="003F30BD">
                      <w:pPr>
                        <w:pStyle w:val="NormalWeb"/>
                        <w:spacing w:after="160" w:line="256" w:lineRule="auto"/>
                      </w:pPr>
                    </w:p>
                    <w:p w:rsidR="00AD6A02" w:rsidRPr="005611B6" w:rsidRDefault="00AD6A02" w:rsidP="003F30BD">
                      <w:pPr>
                        <w:pStyle w:val="NormalWeb"/>
                        <w:spacing w:after="160" w:line="256" w:lineRule="auto"/>
                        <w:rPr>
                          <w:sz w:val="20"/>
                        </w:rPr>
                      </w:pPr>
                    </w:p>
                  </w:txbxContent>
                </v:textbox>
              </v:rect>
            </w:pict>
          </mc:Fallback>
        </mc:AlternateContent>
      </w:r>
      <w:r>
        <w:rPr>
          <w:noProof/>
          <w:lang w:eastAsia="en-GB"/>
        </w:rPr>
        <mc:AlternateContent>
          <mc:Choice Requires="wps">
            <w:drawing>
              <wp:anchor distT="0" distB="0" distL="114300" distR="114300" simplePos="0" relativeHeight="251997184" behindDoc="0" locked="0" layoutInCell="1" allowOverlap="1" wp14:anchorId="05171F4C" wp14:editId="63184EC5">
                <wp:simplePos x="0" y="0"/>
                <wp:positionH relativeFrom="column">
                  <wp:posOffset>3703320</wp:posOffset>
                </wp:positionH>
                <wp:positionV relativeFrom="paragraph">
                  <wp:posOffset>1425575</wp:posOffset>
                </wp:positionV>
                <wp:extent cx="47625" cy="1085850"/>
                <wp:effectExtent l="0" t="0" r="47625" b="19050"/>
                <wp:wrapNone/>
                <wp:docPr id="259" name="Right Brace 1"/>
                <wp:cNvGraphicFramePr/>
                <a:graphic xmlns:a="http://schemas.openxmlformats.org/drawingml/2006/main">
                  <a:graphicData uri="http://schemas.microsoft.com/office/word/2010/wordprocessingShape">
                    <wps:wsp>
                      <wps:cNvSpPr/>
                      <wps:spPr>
                        <a:xfrm flipV="1">
                          <a:off x="0" y="0"/>
                          <a:ext cx="47625" cy="108585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D1253ED" id="Right Brace 1" o:spid="_x0000_s1026" type="#_x0000_t88" style="position:absolute;margin-left:291.6pt;margin-top:112.25pt;width:3.75pt;height:85.5pt;flip:y;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fPJgIAAGAEAAAOAAAAZHJzL2Uyb0RvYy54bWysVE2P0zAQvSPxHyzfadKUllA1XcFW5YJg&#10;tbtwn3XsxMhf2N6m/feMnWzpspwQOVgz9vjNvDeebK6OWpED90Fa09D5rKSEG2ZbabqGfrvfv6kp&#10;CRFMC8oa3tATD/Rq+/rVZnBrXtneqpZ7giAmrAfX0D5Gty6KwHquIcys4wYPhfUaIrq+K1oPA6Jr&#10;VVRluSoG61vnLeMh4O5uPKTbjC8EZ/GrEIFHohqKtcW8+rw+pLXYbmDdeXC9ZFMZ8A9VaJAGk56h&#10;dhCBPHr5AkpL5m2wIs6Y1YUVQjKeOSCbefkHm7seHM9cUJzgzjKF/wfLvhxuPJFtQ6vle0oMaGzS&#10;rez6SD56YJzMk0SDC2uMvHM3fvICmonvUXhNhJLuO3Y/K4CcyDELfDoLzI+RMNx8+25VLSlheDIv&#10;62W9zA0oRpgE53yIn7jVJBkN9amQXEeGhsPnELPK7VQptD/mlAitsGkHUKReLBZTTy9CqsuQZVVX&#10;qxSDaSdAtJ4SJ/RglWz3UqnsnMK18gTBG4rvrrUDJQpCxM2G7vM3gT27pgwZGrpaIEPCAB+2UBDR&#10;1A6lDqajBFSHE8Oiz9SeXQ4vct6jghd5y/z9LW/isYPQjwVn1FEPLSMOmpK6ofXlbWUSS55HBdVN&#10;uqRuj/1N1oNtT/hEBpwRrPznI3hOiY/q2o4jBYb1FrV4YmLsh8dohTxDjQATLj7jrPw0cmlOLv0c&#10;9fvHsP0FAAD//wMAUEsDBBQABgAIAAAAIQCykn2T4QAAAAsBAAAPAAAAZHJzL2Rvd25yZXYueG1s&#10;TI/BTsMwEETvSPyDtUjcqEOKaRuyqRASEuqpLdCzE7tJRLwOtpMmf485wXE1TzNv8+1kOjZq51tL&#10;CPeLBJimyqqWaoSP99e7NTAfJCnZWdIIs/awLa6vcpkpe6GDHo+hZrGEfCYRmhD6jHNfNdpIv7C9&#10;ppidrTMyxNPVXDl5ieWm42mSPHIjW4oLjez1S6Orr+NgEFy5cvPprT/sv/fUjuW8+xzqHeLtzfT8&#10;BCzoKfzB8Ksf1aGITqUdSHnWIYj1Mo0oQpo+CGCREJtkBaxEWG6EAF7k/P8PxQ8AAAD//wMAUEsB&#10;Ai0AFAAGAAgAAAAhALaDOJL+AAAA4QEAABMAAAAAAAAAAAAAAAAAAAAAAFtDb250ZW50X1R5cGVz&#10;XS54bWxQSwECLQAUAAYACAAAACEAOP0h/9YAAACUAQAACwAAAAAAAAAAAAAAAAAvAQAAX3JlbHMv&#10;LnJlbHNQSwECLQAUAAYACAAAACEAlAF3zyYCAABgBAAADgAAAAAAAAAAAAAAAAAuAgAAZHJzL2Uy&#10;b0RvYy54bWxQSwECLQAUAAYACAAAACEAspJ9k+EAAAALAQAADwAAAAAAAAAAAAAAAACABAAAZHJz&#10;L2Rvd25yZXYueG1sUEsFBgAAAAAEAAQA8wAAAI4FAAAAAA==&#10;" adj="79,11410" filled="t" fillcolor="window" strokecolor="windowText" strokeweight=".5pt">
                <v:stroke joinstyle="miter"/>
              </v:shape>
            </w:pict>
          </mc:Fallback>
        </mc:AlternateContent>
      </w:r>
      <w:r w:rsidR="003F30BD" w:rsidRPr="003F30BD">
        <w:rPr>
          <w:rFonts w:asciiTheme="minorHAnsi" w:hAnsiTheme="minorHAnsi" w:cstheme="minorBidi"/>
          <w:noProof/>
          <w:sz w:val="22"/>
          <w:szCs w:val="22"/>
          <w:lang w:eastAsia="en-GB"/>
        </w:rPr>
        <w:t xml:space="preserve"> </w:t>
      </w:r>
      <w:r w:rsidR="003F30BD">
        <w:rPr>
          <w:noProof/>
          <w:lang w:eastAsia="en-GB"/>
        </w:rPr>
        <w:drawing>
          <wp:inline distT="0" distB="0" distL="114300" distR="114300" wp14:anchorId="624A8B05" wp14:editId="60C42744">
            <wp:extent cx="5225939" cy="2827655"/>
            <wp:effectExtent l="0" t="0" r="0" b="0"/>
            <wp:docPr id="2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9"/>
                    <a:srcRect/>
                    <a:stretch>
                      <a:fillRect/>
                    </a:stretch>
                  </pic:blipFill>
                  <pic:spPr>
                    <a:xfrm>
                      <a:off x="0" y="0"/>
                      <a:ext cx="5233657" cy="2831831"/>
                    </a:xfrm>
                    <a:prstGeom prst="rect">
                      <a:avLst/>
                    </a:prstGeom>
                    <a:ln/>
                  </pic:spPr>
                </pic:pic>
              </a:graphicData>
            </a:graphic>
          </wp:inline>
        </w:drawing>
      </w:r>
    </w:p>
    <w:p w:rsidR="003F30BD" w:rsidRDefault="003F30BD" w:rsidP="003F30BD">
      <w:pPr>
        <w:pStyle w:val="LegText"/>
        <w:ind w:left="720"/>
      </w:pPr>
      <w:bookmarkStart w:id="344" w:name="_Toc504640600"/>
      <w:r w:rsidRPr="00B007C6">
        <w:rPr>
          <w:rStyle w:val="SubtitleChar"/>
        </w:rPr>
        <w:t>Figure 3.13 Creatinine clearance measurement</w:t>
      </w:r>
      <w:bookmarkEnd w:id="344"/>
      <w:r>
        <w:t>.</w:t>
      </w:r>
      <w:r>
        <w:rPr>
          <w:rFonts w:ascii="Calibri" w:eastAsia="Calibri" w:hAnsi="Calibri" w:cs="Calibri"/>
        </w:rPr>
        <w:t xml:space="preserve"> </w:t>
      </w:r>
      <w:r>
        <w:t xml:space="preserve">The plot is the x̅ ± SEM of 5 rats for prophylaxis group and 10 rats collectively for the diseased and treatment groups for the first four months and 5 rats per diseased and treatment group thereafter. A two way ANOVA test showed a significant difference of P &lt; 0.0001 with progression from baseline to 8 month in all three groups. A further analysis with Tukey's multiple comparison test showed a significant difference of P &lt; 0.0001 between disease and prophylaxis and a similar trend was observed between disease and treatment, there was however no significant difference between diseased and treatment group. </w:t>
      </w:r>
    </w:p>
    <w:p w:rsidR="003F30BD" w:rsidRDefault="003F30BD" w:rsidP="00804EA9">
      <w:pPr>
        <w:ind w:left="720"/>
      </w:pPr>
    </w:p>
    <w:p w:rsidR="009A7933" w:rsidRDefault="009A7933" w:rsidP="00804EA9">
      <w:pPr>
        <w:ind w:left="720"/>
      </w:pPr>
      <w:r>
        <w:t xml:space="preserve">Conclusively, putting all the data together we can summate </w:t>
      </w:r>
      <w:r w:rsidR="00B022C4">
        <w:t xml:space="preserve">that </w:t>
      </w:r>
      <w:r>
        <w:t xml:space="preserve">UK-396082 was renoprotective in the prophylaxis group.     </w:t>
      </w:r>
    </w:p>
    <w:p w:rsidR="00B007C6" w:rsidRPr="003F30BD" w:rsidRDefault="00B007C6" w:rsidP="003F30BD">
      <w:pPr>
        <w:spacing w:after="0" w:line="240" w:lineRule="auto"/>
        <w:rPr>
          <w:rFonts w:eastAsia="Arial" w:cs="Arial"/>
          <w:sz w:val="18"/>
          <w:szCs w:val="18"/>
        </w:rPr>
      </w:pPr>
      <w:bookmarkStart w:id="345" w:name="206ipza" w:colFirst="0" w:colLast="0"/>
      <w:bookmarkStart w:id="346" w:name="1egqt2p" w:colFirst="0" w:colLast="0"/>
      <w:bookmarkStart w:id="347" w:name="3ygebqi" w:colFirst="0" w:colLast="0"/>
      <w:bookmarkEnd w:id="345"/>
      <w:bookmarkEnd w:id="346"/>
      <w:bookmarkEnd w:id="347"/>
    </w:p>
    <w:p w:rsidR="00B007C6" w:rsidRDefault="00B007C6" w:rsidP="00B007C6">
      <w:pPr>
        <w:pStyle w:val="LegText"/>
      </w:pPr>
    </w:p>
    <w:p w:rsidR="009A7933" w:rsidRPr="009924F6" w:rsidRDefault="009A7933" w:rsidP="009924F6">
      <w:pPr>
        <w:pStyle w:val="Heading3"/>
        <w:ind w:firstLine="720"/>
      </w:pPr>
      <w:bookmarkStart w:id="348" w:name="_Toc506232388"/>
      <w:r w:rsidRPr="009924F6">
        <w:t>3.7 Discussion</w:t>
      </w:r>
      <w:bookmarkEnd w:id="348"/>
      <w:r w:rsidRPr="009924F6">
        <w:t xml:space="preserve"> </w:t>
      </w:r>
    </w:p>
    <w:p w:rsidR="009A7933" w:rsidRDefault="009A7933" w:rsidP="009924F6">
      <w:pPr>
        <w:ind w:left="720"/>
      </w:pPr>
      <w:r>
        <w:t>Diabetes is a common cause of kidney disease, and remains a major cause of end-stage renal disease (Snyder and Pendergraph, 2005). The assessment of urinary protein, haematuria and falling GFR are good indicators of kidney damage (Chadban et al., 2003). The key parameters in renal damage were studied; protein, albumin, serum and urinary creatinine, and creatinine clearance. Data from baseline data showed that the rats were of good health at the begin</w:t>
      </w:r>
      <w:r w:rsidR="003F30BD">
        <w:t>ning of the study and there was</w:t>
      </w:r>
      <w:r>
        <w:t xml:space="preserve"> no indication of renal damage. However with established diabetic nephropathy we envisaged the rats were at risk of ESRD with prolonged diabetic nephropathy. </w:t>
      </w:r>
    </w:p>
    <w:p w:rsidR="009A7933" w:rsidRDefault="009A7933" w:rsidP="009924F6">
      <w:pPr>
        <w:ind w:left="720"/>
      </w:pPr>
      <w:r>
        <w:t>Proteinuria was detected in all the three groups, with the diseased group having values as high as 146.7 mg/dl, treatmen</w:t>
      </w:r>
      <w:r w:rsidR="003F30BD">
        <w:t>t group with 103.6 mg/dl and</w:t>
      </w:r>
      <w:r>
        <w:t xml:space="preserve"> prophylaxis 97.4 mg/dl. These data were suggestive of renal damage with most damage in the disease</w:t>
      </w:r>
      <w:r w:rsidR="005A7117">
        <w:t>d</w:t>
      </w:r>
      <w:r>
        <w:t xml:space="preserve"> group and the least in the prophylaxis group. These data were suggestive of diabetic nephropathy in all the three groups as proteinuria is a manifestation of nephropathy. This has also been reported by Chadban et al. (2003). However, it appears once again that UK-3</w:t>
      </w:r>
      <w:r w:rsidR="005A7117">
        <w:t>96082 may be responsible for</w:t>
      </w:r>
      <w:r>
        <w:t xml:space="preserve"> less proteinuria seen in the prophylaxis group </w:t>
      </w:r>
      <w:r w:rsidR="005A7117">
        <w:t xml:space="preserve">than </w:t>
      </w:r>
      <w:r>
        <w:t>the treatment group.</w:t>
      </w:r>
    </w:p>
    <w:p w:rsidR="009A7933" w:rsidRDefault="009A7933" w:rsidP="009924F6">
      <w:pPr>
        <w:ind w:left="720"/>
      </w:pPr>
      <w:r>
        <w:t xml:space="preserve">Dipstick urinalysis has been reported to be sensitive to albumin but correlates poorly with </w:t>
      </w:r>
      <w:r w:rsidR="005A7117">
        <w:t>24 hour protein measurement (Guh</w:t>
      </w:r>
      <w:r>
        <w:t xml:space="preserve">, 2010). </w:t>
      </w:r>
      <w:r w:rsidR="005A7117">
        <w:t>U</w:t>
      </w:r>
      <w:r>
        <w:t xml:space="preserve">rinary albumin is a better parameter in the monitoring of the progression of early glomerular injury in diabetic renal injury because </w:t>
      </w:r>
      <w:r w:rsidR="005A7117">
        <w:t xml:space="preserve">an </w:t>
      </w:r>
      <w:r>
        <w:t xml:space="preserve">increase in albumin is detectable even with normal urinary protein (Chavers et al., 1989).   </w:t>
      </w:r>
    </w:p>
    <w:p w:rsidR="009A7933" w:rsidRDefault="009A7933" w:rsidP="009924F6">
      <w:pPr>
        <w:ind w:left="720"/>
      </w:pPr>
      <w:r>
        <w:t xml:space="preserve">Our data showed raised albuminuria at the end of </w:t>
      </w:r>
      <w:r w:rsidR="005A7117">
        <w:t xml:space="preserve">the eighth </w:t>
      </w:r>
      <w:r>
        <w:t>month, with the diseased group having a mean urinary albumin excretion of 442 mg/24hrs and the treatment group with 392.3 mg/24hrs. The</w:t>
      </w:r>
      <w:r w:rsidR="00162050">
        <w:t>se figures are about double that</w:t>
      </w:r>
      <w:r>
        <w:t xml:space="preserve"> of the mean urinary excretion albumin </w:t>
      </w:r>
      <w:r>
        <w:lastRenderedPageBreak/>
        <w:t>figure obtaine</w:t>
      </w:r>
      <w:r w:rsidR="00162050">
        <w:t xml:space="preserve">d in the prophylaxis group. These provide further </w:t>
      </w:r>
      <w:r>
        <w:t xml:space="preserve">an evidence for the renoprotective properties of UK-396082. </w:t>
      </w:r>
    </w:p>
    <w:p w:rsidR="009A7933" w:rsidRPr="00022AAD" w:rsidRDefault="009A7933" w:rsidP="00022AAD">
      <w:pPr>
        <w:ind w:left="720"/>
      </w:pPr>
      <w:r>
        <w:t xml:space="preserve">Assessment of creatinine clearance showed significant renal dysfunction in both </w:t>
      </w:r>
      <w:r w:rsidR="00162050">
        <w:t xml:space="preserve">the </w:t>
      </w:r>
      <w:r>
        <w:t xml:space="preserve">diseased and treatment group, with creatinine clearance dropping below 10 % of baseline values in both </w:t>
      </w:r>
      <w:r w:rsidR="00162050">
        <w:t>these groups,</w:t>
      </w:r>
      <w:r>
        <w:t xml:space="preserve"> while prophylaxis group</w:t>
      </w:r>
      <w:r w:rsidR="00162050">
        <w:t xml:space="preserve"> maintained </w:t>
      </w:r>
      <w:r>
        <w:t xml:space="preserve">a mean creatinine clearance of 1.12 mls/min at the end of the study compared to a mean baseline of 1.23 at the start of the study. </w:t>
      </w:r>
      <w:r w:rsidR="00162050">
        <w:t xml:space="preserve">Thus UK-396082 provided protection against </w:t>
      </w:r>
      <w:r w:rsidR="00022AAD">
        <w:t>a drop in creatinine clearance.</w:t>
      </w:r>
    </w:p>
    <w:p w:rsidR="009A7933" w:rsidRPr="00162050" w:rsidRDefault="00022AAD" w:rsidP="00162050">
      <w:pPr>
        <w:pStyle w:val="Heading3"/>
        <w:ind w:left="720"/>
        <w:rPr>
          <w:rFonts w:ascii="Times New Roman" w:eastAsia="Times New Roman" w:hAnsi="Times New Roman"/>
        </w:rPr>
      </w:pPr>
      <w:bookmarkStart w:id="349" w:name="_Toc506232389"/>
      <w:r>
        <w:rPr>
          <w:rFonts w:eastAsia="Times New Roman"/>
        </w:rPr>
        <w:t>3.8 Urinary g</w:t>
      </w:r>
      <w:r w:rsidR="009A7933">
        <w:rPr>
          <w:rFonts w:eastAsia="Times New Roman"/>
        </w:rPr>
        <w:t>lycosaminoglycans as a markers of kidney basement membrane damage</w:t>
      </w:r>
      <w:bookmarkEnd w:id="349"/>
    </w:p>
    <w:p w:rsidR="009A7933" w:rsidRDefault="009A7933" w:rsidP="00FC00F5">
      <w:pPr>
        <w:ind w:left="720"/>
      </w:pPr>
      <w:r>
        <w:t>Diabetes, like many chronic illnesses is missed at the early stage of the disease due to lack of highly sensitive and discriminative tests. In chronic kidney failure the disease remains asymptomatic until 50-60</w:t>
      </w:r>
      <w:r w:rsidR="00EE12EF">
        <w:t xml:space="preserve"> </w:t>
      </w:r>
      <w:r>
        <w:t xml:space="preserve">% of renal function is lost (Hosten, 1976). Unfortunately, when chronic kidney failure is detected towards its end stage, there are limited treatment options (Lees, 2004). </w:t>
      </w:r>
    </w:p>
    <w:p w:rsidR="009A7933" w:rsidRDefault="009A7933" w:rsidP="00FC00F5">
      <w:pPr>
        <w:ind w:left="720"/>
      </w:pPr>
      <w:r>
        <w:t>This prolonged asymptomatic phase results in patients presenting at a moderate to severe stage of the disease. However, there may be subtle signs and symptoms present at the asymptomatic phase of the disease. For example the detection of abnormal amounts of protein in urine is presently being interpreted as the presence of kidney disease. Microalbuminuria is used by clinicians as the first sign of diabetic nephropathy but this is not early enough as microalbuminuria sets in 5-10</w:t>
      </w:r>
      <w:r w:rsidR="00282604">
        <w:t xml:space="preserve"> years</w:t>
      </w:r>
      <w:r>
        <w:t xml:space="preserve"> after the onset of type 1 diabetes (Warram et al., 2000) and its progression to macro albuminuria is used to monitor the disease (Remuzzi et al., 2002). Unfortunately, this parameter is not specific as it can be affected by non-pathological conditions such as age, diet and </w:t>
      </w:r>
      <w:r w:rsidRPr="00397F25">
        <w:rPr>
          <w:rFonts w:cs="Arial"/>
        </w:rPr>
        <w:t>ethnicity</w:t>
      </w:r>
      <w:r w:rsidR="00282604" w:rsidRPr="00397F25">
        <w:rPr>
          <w:rFonts w:cs="Arial"/>
        </w:rPr>
        <w:t xml:space="preserve"> </w:t>
      </w:r>
      <w:r w:rsidR="00397F25" w:rsidRPr="00397F25">
        <w:rPr>
          <w:rFonts w:cs="Arial"/>
        </w:rPr>
        <w:fldChar w:fldCharType="begin"/>
      </w:r>
      <w:r w:rsidR="00397F25" w:rsidRPr="00397F25">
        <w:rPr>
          <w:rFonts w:cs="Arial"/>
        </w:rPr>
        <w:instrText xml:space="preserve"> ADDIN EN.CITE &lt;EndNote&gt;&lt;Cite&gt;&lt;Author&gt;Nettleton&lt;/Author&gt;&lt;Year&gt;2008&lt;/Year&gt;&lt;IDText&gt;Associations between microalbuminuria and animal foods, plant foods, and dietary patterns in the Multiethnic Study of Atherosclerosis&lt;/IDText&gt;&lt;DisplayText&gt;(Nettleton et al., 2008)&lt;/DisplayText&gt;&lt;record&gt;&lt;urls&gt;&lt;related-urls&gt;&lt;url&gt;http://www.ncbi.nlm.nih.gov/pmc/articles/PMC2503276/&lt;/url&gt;&lt;/related-urls&gt;&lt;/urls&gt;&lt;isbn&gt;0002-9165&lt;/isbn&gt;&lt;titles&gt;&lt;title&gt;Associations between microalbuminuria and animal foods, plant foods, and dietary patterns in the Multiethnic Study of Atherosclerosis&lt;/title&gt;&lt;secondary-title&gt;The American journal of clinical nutrition&lt;/secondary-title&gt;&lt;/titles&gt;&lt;pages&gt;1825-1836&lt;/pages&gt;&lt;number&gt;6&lt;/number&gt;&lt;contributors&gt;&lt;authors&gt;&lt;author&gt;Nettleton, Jennifer A.&lt;/author&gt;&lt;author&gt;Steffen, Lyn M.&lt;/author&gt;&lt;author&gt;Palmas, Walter&lt;/author&gt;&lt;author&gt;Burke, Gregory L.&lt;/author&gt;&lt;author&gt;Jacobs, David R.&lt;/author&gt;&lt;/authors&gt;&lt;/contributors&gt;&lt;added-date format="utc"&gt;1506148895&lt;/added-date&gt;&lt;ref-type name="Journal Article"&gt;17&lt;/ref-type&gt;&lt;dates&gt;&lt;year&gt;2008&lt;/year&gt;&lt;/dates&gt;&lt;rec-number&gt;1971&lt;/rec-number&gt;&lt;last-updated-date format="utc"&gt;1506148895&lt;/last-updated-date&gt;&lt;accession-num&gt;PMC2503276&lt;/accession-num&gt;&lt;volume&gt;87&lt;/volume&gt;&lt;remote-database-name&gt;PMC&lt;/remote-database-name&gt;&lt;/record&gt;&lt;/Cite&gt;&lt;/EndNote&gt;</w:instrText>
      </w:r>
      <w:r w:rsidR="00397F25" w:rsidRPr="00397F25">
        <w:rPr>
          <w:rFonts w:cs="Arial"/>
        </w:rPr>
        <w:fldChar w:fldCharType="separate"/>
      </w:r>
      <w:r w:rsidR="00397F25" w:rsidRPr="00397F25">
        <w:rPr>
          <w:rFonts w:cs="Arial"/>
          <w:noProof/>
        </w:rPr>
        <w:t>(Nettleton et al., 2008)</w:t>
      </w:r>
      <w:r w:rsidR="00397F25" w:rsidRPr="00397F25">
        <w:rPr>
          <w:rFonts w:cs="Arial"/>
        </w:rPr>
        <w:fldChar w:fldCharType="end"/>
      </w:r>
      <w:r w:rsidR="00397F25">
        <w:rPr>
          <w:rFonts w:ascii="Times New Roman" w:hAnsi="Times New Roman"/>
        </w:rPr>
        <w:t xml:space="preserve">. </w:t>
      </w:r>
      <w:r>
        <w:t xml:space="preserve">The ideal form of treatment would be early diagnosis followed by timely therapeutic intervention to slow down or stop the progression of the disease at an early stage. It will therefore be beneficial to identify biochemical parameters that can be used as </w:t>
      </w:r>
      <w:r>
        <w:lastRenderedPageBreak/>
        <w:t xml:space="preserve">early markers of renal disease particularly if they can be measured non-invasively. </w:t>
      </w:r>
    </w:p>
    <w:p w:rsidR="009A7933" w:rsidRDefault="009A7933" w:rsidP="00FC00F5">
      <w:pPr>
        <w:ind w:left="720"/>
      </w:pPr>
      <w:r>
        <w:t>Proteoglycans are large biomolecules which consist of a core protein which is glycosylated. This protein core is attached covalently to glycosaminoglycan chains via a s</w:t>
      </w:r>
      <w:r w:rsidR="004A4714">
        <w:t>erine residue. G</w:t>
      </w:r>
      <w:r>
        <w:t>AGs are unbranched, linear, negatively charged polysaccharides. They are composed of repeating disaccharide units which may be sulphated or non-sulphated with molecular we</w:t>
      </w:r>
      <w:r w:rsidR="00412CB5">
        <w:t>ight between 10-100 kDa</w:t>
      </w:r>
    </w:p>
    <w:p w:rsidR="009A7933" w:rsidRDefault="009A7933" w:rsidP="00FC00F5">
      <w:pPr>
        <w:ind w:left="720"/>
      </w:pPr>
      <w:r>
        <w:t>GAGs are involved in numerous biological function</w:t>
      </w:r>
      <w:r w:rsidR="00412CB5">
        <w:t>s</w:t>
      </w:r>
      <w:r>
        <w:t xml:space="preserve"> such as anticoagulation, antisepsis, and antitumor metastasis (Frazier et al., 2008). The role of heparin in anticoagulation has been well studied showing how heparin binds to antithrombin III which inhibits serine proteases in the cascade system and inhibits blood clotting. GAGs have also heralded new possibilities in the treatment of diseases such as cancer (Nicola, 2006).</w:t>
      </w:r>
    </w:p>
    <w:p w:rsidR="009A7933" w:rsidRDefault="009A7933" w:rsidP="00FC00F5">
      <w:pPr>
        <w:ind w:left="720"/>
      </w:pPr>
      <w:r>
        <w:t xml:space="preserve">Heparan sulphate is the most abundant GAG in the glomerular basement membrane but in diabetes its level within the mesangial matrix and the glomerular basement membrane is low due to reduced synthesis and increased rate of breakdown by proteinases. This leads to ineffective charge-selectivity of glomerular capillaries, which ultimately results in reduced excretion and albuminuria.  Glycaemic control and glomerular basement membrane injury plays a role in GAG excretion (Ueta et al., 1995). </w:t>
      </w:r>
    </w:p>
    <w:p w:rsidR="00412CB5" w:rsidRDefault="009A7933" w:rsidP="00FC00F5">
      <w:pPr>
        <w:ind w:left="720"/>
      </w:pPr>
      <w:r>
        <w:t xml:space="preserve">Proteoglycans can be categorized based on their size to either large proteoglycans such as versican, with 260-370 kDa, aggrecan with, 220 kDa or small proteoglycans like decorin, with 36 kDa. This structure is complex and its function has been an area of interest in matrix investigations. </w:t>
      </w:r>
    </w:p>
    <w:p w:rsidR="009A7933" w:rsidRDefault="00412CB5" w:rsidP="00FC00F5">
      <w:pPr>
        <w:ind w:left="720"/>
      </w:pPr>
      <w:r>
        <w:t>Syndecans</w:t>
      </w:r>
      <w:r w:rsidR="009A7933">
        <w:t xml:space="preserve"> are proteoglycans containing glycosaminoglycan chains such as heparan sulphate or chondroitin sulphate chains. These proteoglycans transect the membrane and therefore act as co-</w:t>
      </w:r>
      <w:r w:rsidR="009A7933">
        <w:lastRenderedPageBreak/>
        <w:t xml:space="preserve">receptors, for signal transduction from outside the cell membrane into the cell which leads to </w:t>
      </w:r>
      <w:r>
        <w:t xml:space="preserve">a </w:t>
      </w:r>
      <w:r w:rsidR="009A7933">
        <w:t xml:space="preserve">cellular response (Mythreye and Blobe, 2009). The glycosaminoglycan chains attached to these core proteins are believed to interact with many bioactive ligands that can affect cell phenotype, including proteinase inhibitors such as </w:t>
      </w:r>
      <w:r>
        <w:t>anti</w:t>
      </w:r>
      <w:r w:rsidR="009A7933">
        <w:t xml:space="preserve">thrombin III (Pomin and Mulloy, 2015). In addition to proteoglycans attached to the cell membrane, others are found in the basement membrane </w:t>
      </w:r>
      <w:r>
        <w:t xml:space="preserve">and the glomerular glycocalyx </w:t>
      </w:r>
      <w:r w:rsidR="009A7933">
        <w:t xml:space="preserve">e.g. perlecan and agrin (Kolářová et al., 2014).    </w:t>
      </w:r>
    </w:p>
    <w:p w:rsidR="009A7933" w:rsidRDefault="009A7933" w:rsidP="00FC00F5">
      <w:pPr>
        <w:ind w:left="720"/>
      </w:pPr>
      <w:r>
        <w:t>The synthesis of GAGs by endothelial cells is decreased by high glucose levels. This reduces the heparan sulphate on the glycocalyx making albumin more permeable through the glomerular capill</w:t>
      </w:r>
      <w:r w:rsidR="00412CB5">
        <w:t>ary wall (Singh et al., 2011). T</w:t>
      </w:r>
      <w:r>
        <w:t>herefore with a decrease in GAG synthesis and or an increase in proteoglycan proteolysis, there will be reduced excretion and an increase in albumin excretion due to increased permeability (To</w:t>
      </w:r>
      <w:r w:rsidR="00412CB5">
        <w:t>rffvit, 1999). Studies have already</w:t>
      </w:r>
      <w:r>
        <w:t xml:space="preserve"> shown a correlation between urinary markers of tubular damage and urinary GAG excretion (Kahaly et al., 1997). Based on this understanding we decided to investigate the possible role of GAGs as a non-invasive (early) marker of diabetic nephropathy and the effect of UK-396082 in this cascade of events. </w:t>
      </w:r>
    </w:p>
    <w:p w:rsidR="00BE1CB2" w:rsidRDefault="009A7933" w:rsidP="00FC00F5">
      <w:pPr>
        <w:ind w:left="720"/>
      </w:pPr>
      <w:r>
        <w:t>In our study we collected urine samples from rats placed in metabolic cage for 24 hours every month and assessed the levels of GAG present in the uri</w:t>
      </w:r>
      <w:r w:rsidR="00EE12EF">
        <w:t>ne of diabetic rats (Section 2.5</w:t>
      </w:r>
      <w:r>
        <w:t>). The presence of UK-3960</w:t>
      </w:r>
      <w:r w:rsidR="00BB3F32">
        <w:t>82 in chow</w:t>
      </w:r>
      <w:r>
        <w:t xml:space="preserve"> increased the excretion of urinary GAGs in healthy rats when compared to rats fed on normal chow</w:t>
      </w:r>
      <w:r w:rsidR="00BB3F32">
        <w:t xml:space="preserve"> (Fig.3.14)</w:t>
      </w:r>
      <w:r>
        <w:t>. However, when the rats were returned to normal diet the excretion of urinary GAGs returned back to baseline (Fig 3.14).</w:t>
      </w:r>
    </w:p>
    <w:p w:rsidR="00BE1CB2" w:rsidRDefault="00BE1CB2" w:rsidP="00FC00F5">
      <w:pPr>
        <w:ind w:left="720"/>
      </w:pPr>
      <w:r>
        <w:rPr>
          <w:noProof/>
          <w:lang w:eastAsia="en-GB"/>
        </w:rPr>
        <w:lastRenderedPageBreak/>
        <mc:AlternateContent>
          <mc:Choice Requires="wps">
            <w:drawing>
              <wp:anchor distT="0" distB="0" distL="114300" distR="114300" simplePos="0" relativeHeight="252000256" behindDoc="0" locked="0" layoutInCell="1" allowOverlap="1">
                <wp:simplePos x="0" y="0"/>
                <wp:positionH relativeFrom="column">
                  <wp:posOffset>2580640</wp:posOffset>
                </wp:positionH>
                <wp:positionV relativeFrom="paragraph">
                  <wp:posOffset>302260</wp:posOffset>
                </wp:positionV>
                <wp:extent cx="638175" cy="190500"/>
                <wp:effectExtent l="38100" t="19050" r="9525" b="76200"/>
                <wp:wrapNone/>
                <wp:docPr id="133" name="Straight Arrow Connector 133"/>
                <wp:cNvGraphicFramePr/>
                <a:graphic xmlns:a="http://schemas.openxmlformats.org/drawingml/2006/main">
                  <a:graphicData uri="http://schemas.microsoft.com/office/word/2010/wordprocessingShape">
                    <wps:wsp>
                      <wps:cNvCnPr/>
                      <wps:spPr>
                        <a:xfrm flipH="1">
                          <a:off x="0" y="0"/>
                          <a:ext cx="638175" cy="1905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314569" id="_x0000_t32" coordsize="21600,21600" o:spt="32" o:oned="t" path="m,l21600,21600e" filled="f">
                <v:path arrowok="t" fillok="f" o:connecttype="none"/>
                <o:lock v:ext="edit" shapetype="t"/>
              </v:shapetype>
              <v:shape id="Straight Arrow Connector 133" o:spid="_x0000_s1026" type="#_x0000_t32" style="position:absolute;margin-left:203.2pt;margin-top:23.8pt;width:50.25pt;height:15pt;flip:x;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Xw/gEAAE8EAAAOAAAAZHJzL2Uyb0RvYy54bWysVE2P0zAUvCPxHyzfadJWXUrUdIW6LBwQ&#10;VCz8AK9jJ5b8pWfTpP+eZydNKXABcbHi+M28mfFLdveD0eQkIChna7pclJQIy12jbFvTb18fX20p&#10;CZHZhmlnRU3PItD7/csXu95XYuU6pxsBBElsqHpf0y5GXxVF4J0wLCycFxYPpQPDIm6hLRpgPbIb&#10;XazK8q7oHTQeHBch4NuH8ZDuM7+UgsfPUgYRia4paot5hbw+p7XY71jVAvOd4pMM9g8qDFMWm85U&#10;Dywy8h3Ub1RGcXDBybjgzhROSsVF9oBuluUvbp465kX2guEEP8cU/h8t/3Q6AlEN3t16TYllBi/p&#10;KQJTbRfJWwDXk4OzFoN0QFINJtb7UCHwYI8w7YI/QrI/SDBEauU/IGEOBC2SIed9nvMWQyQcX96t&#10;t8vXG0o4Hi3flJsy30cx0iQ6DyG+F86Q9FDTMOmaBY0t2OljiCgEgRdAAmtL+pquthtskfbBadU8&#10;Kq3zJg2YOGggJ4ajEYdlMoYMN1WRKf3ONiSePcYSQTHbajFVaouAFMVoPj/FsxZj7y9CYqxoctSY&#10;B/raj3EubLz01BarE0yiuhlYjqpvhd4Cp/oEFXnY/wY8I3JnZ+MMNso6+FP3a0xyrL8kMPpOETy7&#10;5pzHIkeDU5tTnb6w9Fn8vM/w639g/wMAAP//AwBQSwMEFAAGAAgAAAAhAKfObHXeAAAACQEAAA8A&#10;AABkcnMvZG93bnJldi54bWxMjz1PwzAQhnck/oN1SCyIOlRt0qZxKoTUATZaFjY3viYR9jnYbpP+&#10;e44Jtvt49N5z1XZyVlwwxN6TgqdZBgKp8aanVsHHYfe4AhGTJqOtJ1RwxQjb+vam0qXxI73jZZ9a&#10;wSEUS62gS2kopYxNh07HmR+QeHfywenEbWilCXrkcGflPMty6XRPfKHTA7502Hztz07BIc3Dcioe&#10;Pnf9+GbT69qvvq9eqfu76XkDIuGU/mD41Wd1qNnp6M9korAKFlm+YJSLIgfBwDLL1yCOCgoeyLqS&#10;/z+ofwAAAP//AwBQSwECLQAUAAYACAAAACEAtoM4kv4AAADhAQAAEwAAAAAAAAAAAAAAAAAAAAAA&#10;W0NvbnRlbnRfVHlwZXNdLnhtbFBLAQItABQABgAIAAAAIQA4/SH/1gAAAJQBAAALAAAAAAAAAAAA&#10;AAAAAC8BAABfcmVscy8ucmVsc1BLAQItABQABgAIAAAAIQBVitXw/gEAAE8EAAAOAAAAAAAAAAAA&#10;AAAAAC4CAABkcnMvZTJvRG9jLnhtbFBLAQItABQABgAIAAAAIQCnzmx13gAAAAkBAAAPAAAAAAAA&#10;AAAAAAAAAFgEAABkcnMvZG93bnJldi54bWxQSwUGAAAAAAQABADzAAAAYwUAAAAA&#10;" strokecolor="black [3213]" strokeweight="2.25pt">
                <v:stroke endarrow="block" joinstyle="miter"/>
              </v:shape>
            </w:pict>
          </mc:Fallback>
        </mc:AlternateContent>
      </w:r>
      <w:r>
        <w:rPr>
          <w:noProof/>
          <w:lang w:eastAsia="en-GB"/>
        </w:rPr>
        <w:drawing>
          <wp:inline distT="0" distB="0" distL="114300" distR="114300" wp14:anchorId="0608A244" wp14:editId="1445C72C">
            <wp:extent cx="5359866" cy="2651125"/>
            <wp:effectExtent l="0" t="0" r="0" b="0"/>
            <wp:docPr id="24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0"/>
                    <a:srcRect/>
                    <a:stretch>
                      <a:fillRect/>
                    </a:stretch>
                  </pic:blipFill>
                  <pic:spPr>
                    <a:xfrm>
                      <a:off x="0" y="0"/>
                      <a:ext cx="5384710" cy="2663414"/>
                    </a:xfrm>
                    <a:prstGeom prst="rect">
                      <a:avLst/>
                    </a:prstGeom>
                    <a:ln/>
                  </pic:spPr>
                </pic:pic>
              </a:graphicData>
            </a:graphic>
          </wp:inline>
        </w:drawing>
      </w:r>
    </w:p>
    <w:p w:rsidR="00BE1CB2" w:rsidRPr="000D3D20" w:rsidRDefault="00BE1CB2" w:rsidP="00BE1CB2">
      <w:pPr>
        <w:pStyle w:val="LegText"/>
        <w:ind w:left="720"/>
        <w:rPr>
          <w:sz w:val="24"/>
          <w:szCs w:val="24"/>
        </w:rPr>
      </w:pPr>
      <w:bookmarkStart w:id="350" w:name="_Toc504640601"/>
      <w:r w:rsidRPr="000D3D20">
        <w:rPr>
          <w:rStyle w:val="SubtitleChar"/>
        </w:rPr>
        <w:t>Figure 3.14 Urinary GAGs measurement in healthy rats</w:t>
      </w:r>
      <w:bookmarkEnd w:id="350"/>
      <w:r>
        <w:t>. The plot is the x̅ of 2 rats</w:t>
      </w:r>
      <w:r w:rsidR="003051A7">
        <w:t xml:space="preserve"> per group</w:t>
      </w:r>
      <w:r>
        <w:t xml:space="preserve">. One group was fed on chow with 0.03 mg/kg Uk-396082 for 4 weeks after which the diet was returned to normal diet (see arrow). The other group was fed on normal chow for 8 weeks. </w:t>
      </w:r>
    </w:p>
    <w:p w:rsidR="00BE1CB2" w:rsidRDefault="009A7933" w:rsidP="00FC00F5">
      <w:pPr>
        <w:ind w:left="720"/>
      </w:pPr>
      <w:r>
        <w:t xml:space="preserve"> </w:t>
      </w:r>
    </w:p>
    <w:p w:rsidR="00BE1CB2" w:rsidRDefault="009A7933" w:rsidP="00FC00F5">
      <w:pPr>
        <w:ind w:left="720"/>
      </w:pPr>
      <w:r>
        <w:t>After we had established that UK-396082 increases the level of urinary GAGs in normal rats</w:t>
      </w:r>
      <w:r w:rsidR="00BB3F32">
        <w:t xml:space="preserve"> by an unknown mechanism we</w:t>
      </w:r>
      <w:r>
        <w:t xml:space="preserve"> progressed to investigate the effect in diabetic nephropathy. With the induction of type 1 diabetes with streptozotocin, there was a sharp variation in the level of GAGs excreted in the urine by the different groups. The diseased and the treatment groups demonstrated a rapid decline in the amount of urinary GAG excreted upon treatment with 80mg/kg of streptozotocin. This reduced excretion of urinary GAG remained </w:t>
      </w:r>
      <w:r w:rsidR="00BB3F32">
        <w:t>un</w:t>
      </w:r>
      <w:r>
        <w:t xml:space="preserve">til the end of the experiment. However, the amount of GAGs excreted by </w:t>
      </w:r>
      <w:r w:rsidR="00BB3F32">
        <w:t xml:space="preserve">the </w:t>
      </w:r>
      <w:r>
        <w:t>prophylaxis group was significantly increased compared to what was observed in both the diseased and treatment groups. (Fig 3.15), but after four months of continuous assault to the kidney we began to observe a gradual drop of excreted urinary GAGs back to</w:t>
      </w:r>
      <w:r w:rsidR="00BB3F32">
        <w:t>wards</w:t>
      </w:r>
      <w:r>
        <w:t xml:space="preserve"> the baseline level of about 60 µg GAG/24 hr. </w:t>
      </w:r>
      <w:r w:rsidR="00647336">
        <w:t>Excretion in the prophylaxis group remained significantly increased when compared with the other two groups. Also noticeable was the fact that prophylaxis group excreted GAGs like normal rats at the end of the eight month study (Fig. 3.14 and Fig. 3.15)</w:t>
      </w:r>
      <w:r w:rsidR="00BE1CB2">
        <w:t>.</w:t>
      </w:r>
    </w:p>
    <w:p w:rsidR="009A7933" w:rsidRDefault="00CA1B38" w:rsidP="00FC00F5">
      <w:pPr>
        <w:ind w:left="720"/>
      </w:pPr>
      <w:r w:rsidRPr="00E77B18">
        <w:rPr>
          <w:noProof/>
          <w:lang w:eastAsia="en-GB"/>
        </w:rPr>
        <w:lastRenderedPageBreak/>
        <mc:AlternateContent>
          <mc:Choice Requires="wps">
            <w:drawing>
              <wp:anchor distT="0" distB="0" distL="114300" distR="114300" simplePos="0" relativeHeight="252004352" behindDoc="0" locked="0" layoutInCell="1" hidden="0" allowOverlap="1" wp14:anchorId="51EC9EC7" wp14:editId="7D9406D0">
                <wp:simplePos x="0" y="0"/>
                <wp:positionH relativeFrom="margin">
                  <wp:posOffset>4260849</wp:posOffset>
                </wp:positionH>
                <wp:positionV relativeFrom="paragraph">
                  <wp:posOffset>1818639</wp:posOffset>
                </wp:positionV>
                <wp:extent cx="566686" cy="191778"/>
                <wp:effectExtent l="15875" t="0" r="20955" b="0"/>
                <wp:wrapNone/>
                <wp:docPr id="83" name="Rectangle 83"/>
                <wp:cNvGraphicFramePr/>
                <a:graphic xmlns:a="http://schemas.openxmlformats.org/drawingml/2006/main">
                  <a:graphicData uri="http://schemas.microsoft.com/office/word/2010/wordprocessingShape">
                    <wps:wsp>
                      <wps:cNvSpPr/>
                      <wps:spPr>
                        <a:xfrm rot="5576638">
                          <a:off x="0" y="0"/>
                          <a:ext cx="566686" cy="191778"/>
                        </a:xfrm>
                        <a:prstGeom prst="rect">
                          <a:avLst/>
                        </a:prstGeom>
                        <a:noFill/>
                        <a:ln>
                          <a:noFill/>
                        </a:ln>
                      </wps:spPr>
                      <wps:txbx>
                        <w:txbxContent>
                          <w:p w:rsidR="00AD6A02" w:rsidRDefault="00AD6A02" w:rsidP="00265420">
                            <w:pPr>
                              <w:spacing w:after="0"/>
                              <w:textDirection w:val="btLr"/>
                            </w:pPr>
                            <w:r>
                              <w:rPr>
                                <w:rFonts w:ascii="Calibri" w:eastAsia="Calibri" w:hAnsi="Calibri" w:cs="Calibri"/>
                                <w:color w:val="000000"/>
                              </w:rPr>
                              <w:t>****</w:t>
                            </w: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51EC9EC7" id="Rectangle 83" o:spid="_x0000_s1043" style="position:absolute;left:0;text-align:left;margin-left:335.5pt;margin-top:143.2pt;width:44.6pt;height:15.1pt;rotation:6091176fd;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J+wwEAAHYDAAAOAAAAZHJzL2Uyb0RvYy54bWysU11r2zAUfR/sPwi9L7Yb4rgmThkrHYOx&#10;lXb9AYosxQJ97UqJnX+/KznNsu2t7EXcL47OObra3E1Gk6OAoJztaLUoKRGWu17ZfUdffjx8aCgJ&#10;kdmeaWdFR08i0Lvt+3eb0bfixg1O9wIIgtjQjr6jQ4y+LYrAB2FYWDgvLDalA8MiprAvemAjohtd&#10;3JRlXYwOeg+OixCwej836TbjSyl4/C5lEJHojiK3mE/I5y6dxXbD2j0wPyh+psHewMIwZfHSC9Q9&#10;i4wcQP0DZRQHF5yMC+5M4aRUXGQNqKYq/1LzPDAvshY0J/iLTeH/wfJvx0cgqu9os6TEMoNv9ISu&#10;MbvXgmANDRp9aHHu2T/COQsYJrWTBEPAoaur1bqul032AFWRKVt8ulgspkg4Fld1XTc1JRxb1W21&#10;XjfphmKGSpAeQvwsnCEp6CgglwzKjl9DnEdfR9K4dQ9Ka6yzVts/CoiZKkViP/NNUZx2U5ZbrV+l&#10;7Vx/Qg9GXIKOhp8HBoIS/cWiy01zW6atycmyqVIC153ddYdZPjjcrUjJHH6KedNmWh8P0UmVJSQi&#10;861nfvi42YTzIqbtuc7z1O/vsv0FAAD//wMAUEsDBBQABgAIAAAAIQAiKZ/q3wAAAAsBAAAPAAAA&#10;ZHJzL2Rvd25yZXYueG1sTI/BTsMwDEDvSPxDZCRuLGnHWihNJ5jg1ANiTHDNGtNWNE5psq38PeYE&#10;R8tPz8/lenaDOOIUek8akoUCgdR421OrYff6dHUDIkRD1gyeUMM3BlhX52elKaw/0Qset7EVLKFQ&#10;GA1djGMhZWg6dCYs/IjEuw8/ORN5nFppJ3NiuRtkqlQmnemJL3RmxE2Hzef24DQsd/XmfbIP/Ved&#10;qGf52Pi3OvVaX17M93cgIs7xD4bffE6Hipv2/kA2iEFDrtSKUQ3pKrsFwUS+VDmIPeuvswRkVcr/&#10;P1Q/AAAA//8DAFBLAQItABQABgAIAAAAIQC2gziS/gAAAOEBAAATAAAAAAAAAAAAAAAAAAAAAABb&#10;Q29udGVudF9UeXBlc10ueG1sUEsBAi0AFAAGAAgAAAAhADj9If/WAAAAlAEAAAsAAAAAAAAAAAAA&#10;AAAALwEAAF9yZWxzLy5yZWxzUEsBAi0AFAAGAAgAAAAhAGuNkn7DAQAAdgMAAA4AAAAAAAAAAAAA&#10;AAAALgIAAGRycy9lMm9Eb2MueG1sUEsBAi0AFAAGAAgAAAAhACIpn+rfAAAACwEAAA8AAAAAAAAA&#10;AAAAAAAAHQQAAGRycy9kb3ducmV2LnhtbFBLBQYAAAAABAAEAPMAAAApBQAAAAA=&#10;" filled="f" stroked="f">
                <v:textbox inset="7pt,3pt,7pt,3pt">
                  <w:txbxContent>
                    <w:p w:rsidR="00AD6A02" w:rsidRDefault="00AD6A02" w:rsidP="00265420">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2002304" behindDoc="0" locked="0" layoutInCell="1" allowOverlap="1" wp14:anchorId="1CD1DE75" wp14:editId="3A4FFA42">
                <wp:simplePos x="0" y="0"/>
                <wp:positionH relativeFrom="margin">
                  <wp:posOffset>4284345</wp:posOffset>
                </wp:positionH>
                <wp:positionV relativeFrom="paragraph">
                  <wp:posOffset>1543050</wp:posOffset>
                </wp:positionV>
                <wp:extent cx="142875" cy="695325"/>
                <wp:effectExtent l="0" t="0" r="47625" b="28575"/>
                <wp:wrapNone/>
                <wp:docPr id="82" name="Right Brace 1"/>
                <wp:cNvGraphicFramePr/>
                <a:graphic xmlns:a="http://schemas.openxmlformats.org/drawingml/2006/main">
                  <a:graphicData uri="http://schemas.microsoft.com/office/word/2010/wordprocessingShape">
                    <wps:wsp>
                      <wps:cNvSpPr/>
                      <wps:spPr>
                        <a:xfrm flipV="1">
                          <a:off x="0" y="0"/>
                          <a:ext cx="142875" cy="695325"/>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3407DE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337.35pt;margin-top:121.5pt;width:11.25pt;height:54.75pt;flip:y;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sysJAIAAF8EAAAOAAAAZHJzL2Uyb0RvYy54bWysVE1vEzEQvSPxHyzfySYbUkKUTQWNwgVB&#10;RQv3qT92jfyF7WSTf8/Yu01TygmxB8ufb957M7Pr66PR5CBCVM42dDaZUiIsc1zZtqHf73dvlpTE&#10;BJaDdlY09CQivd68frXu/UrUrnOai0AQxMZV7xvapeRXVRVZJwzEifPC4qF0wUDCZWgrHqBHdKOr&#10;ejq9qnoXuA+OiRhxdzsc0k3Bl1Kw9FXKKBLRDUVuqYyhjA95rDZrWLUBfKfYSAP+gYUBZTHoGWoL&#10;Ccg+qBdQRrHgopNpwpypnJSKiaIB1cymf6i568CLogXNif5sU/x/sOzL4TYQxRu6rCmxYDBH31Tb&#10;JfIxABNklh3qfVzhxTt/G8ZVxGmWe5TBEKmV/4HJLwagJHIs/p7O/opjIgw3Z2/r5bsFJQyPrt4v&#10;5vUio1cDTIbzIaZPwhmSJw0NmUjhUaDh8DmmYjIfmQL/OaNEGo05O4Amy/l8Pqb04goKe7qyqJf1&#10;1Rh2BEQCj4EzenRa8Z3SuixO8UYHguANxbLjrqdEQ0y42dBd+UawZ8+0JT1qnC+w5hhgXUsNCafG&#10;o9PRtpSAbrFhWApF2rPH8UXMe3TwIu60fH+Lm3VsIXYD4YI6+GFUwj7TymCiL19rm1WK0inobk5H&#10;zvaQ3zx7cPyEFdJjiyDzX3sIgpKQ9I0bOgos6xx68ajEug/75KQ6Qw0AIy5WcUn42HG5TS7X5dbT&#10;f2HzGwAA//8DAFBLAwQUAAYACAAAACEAErL6N+EAAAALAQAADwAAAGRycy9kb3ducmV2LnhtbEyP&#10;y07DMBBF90j8gzVI7KhDmgeEOBUqqlTEirZSt048JFHjcRS7bfh7hhUsR3N077nlaraDuODke0cK&#10;HhcRCKTGmZ5aBYf95uEJhA+ajB4coYJv9LCqbm9KXRh3pU+87EIrOIR8oRV0IYyFlL7p0Gq/cCMS&#10;/77cZHXgc2qlmfSVw+0g4yjKpNU9cUOnR1x32Jx2Z6vgLTSH+rjeptuN27+fZPJxNCFX6v5ufn0B&#10;EXAOfzD86rM6VOxUuzMZLwYFWZ7kjCqIkyWPYiJ7zmMQtYJlGqcgq1L+31D9AAAA//8DAFBLAQIt&#10;ABQABgAIAAAAIQC2gziS/gAAAOEBAAATAAAAAAAAAAAAAAAAAAAAAABbQ29udGVudF9UeXBlc10u&#10;eG1sUEsBAi0AFAAGAAgAAAAhADj9If/WAAAAlAEAAAsAAAAAAAAAAAAAAAAALwEAAF9yZWxzLy5y&#10;ZWxzUEsBAi0AFAAGAAgAAAAhALSOzKwkAgAAXwQAAA4AAAAAAAAAAAAAAAAALgIAAGRycy9lMm9E&#10;b2MueG1sUEsBAi0AFAAGAAgAAAAhABKy+jfhAAAACwEAAA8AAAAAAAAAAAAAAAAAfgQAAGRycy9k&#10;b3ducmV2LnhtbFBLBQYAAAAABAAEAPMAAACMBQAAAAA=&#10;" adj="370,11410" filled="t" fillcolor="window" strokecolor="windowText" strokeweight=".5pt">
                <v:stroke joinstyle="miter"/>
                <w10:wrap anchorx="margin"/>
              </v:shape>
            </w:pict>
          </mc:Fallback>
        </mc:AlternateContent>
      </w:r>
      <w:r w:rsidR="00BE1CB2">
        <w:rPr>
          <w:noProof/>
          <w:lang w:eastAsia="en-GB"/>
        </w:rPr>
        <w:drawing>
          <wp:inline distT="0" distB="0" distL="0" distR="0" wp14:anchorId="21E7E718" wp14:editId="58995A2F">
            <wp:extent cx="5388610" cy="2877185"/>
            <wp:effectExtent l="0" t="0" r="0" b="0"/>
            <wp:docPr id="25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1"/>
                    <a:srcRect/>
                    <a:stretch>
                      <a:fillRect/>
                    </a:stretch>
                  </pic:blipFill>
                  <pic:spPr>
                    <a:xfrm>
                      <a:off x="0" y="0"/>
                      <a:ext cx="5388610" cy="2877185"/>
                    </a:xfrm>
                    <a:prstGeom prst="rect">
                      <a:avLst/>
                    </a:prstGeom>
                    <a:ln/>
                  </pic:spPr>
                </pic:pic>
              </a:graphicData>
            </a:graphic>
          </wp:inline>
        </w:drawing>
      </w:r>
    </w:p>
    <w:p w:rsidR="00CA1B38" w:rsidRDefault="00BE1CB2" w:rsidP="00BE1CB2">
      <w:pPr>
        <w:pStyle w:val="LegText"/>
        <w:ind w:left="720"/>
      </w:pPr>
      <w:bookmarkStart w:id="351" w:name="_Toc504640602"/>
      <w:r w:rsidRPr="000D3D20">
        <w:rPr>
          <w:rStyle w:val="SubtitleChar"/>
        </w:rPr>
        <w:t>Figure 3.15 Urinary GAGs measurement in diabetic rats.</w:t>
      </w:r>
      <w:bookmarkEnd w:id="351"/>
      <w:r>
        <w:t xml:space="preserve"> The plot is the x̅ ± SEM of 5 rats for prophylaxis group and 10 rats collectively for the diseased and treatment groups for the first four months and 5 rats per diseased and treatment group after the first four months. Tukey's multiple comparisons test gave P&lt;0.0001</w:t>
      </w:r>
      <w:r w:rsidR="00265420">
        <w:t xml:space="preserve"> for the difference between disease and prophylaxis and also between treatment and prophylaxis</w:t>
      </w:r>
      <w:r>
        <w:t>.</w:t>
      </w:r>
    </w:p>
    <w:p w:rsidR="00FC5A5F" w:rsidRDefault="00FC5A5F" w:rsidP="00FC5A5F">
      <w:pPr>
        <w:spacing w:after="160" w:line="259" w:lineRule="auto"/>
        <w:jc w:val="left"/>
      </w:pPr>
    </w:p>
    <w:p w:rsidR="003E3D7A" w:rsidRDefault="009A7933" w:rsidP="00FC5A5F">
      <w:pPr>
        <w:ind w:left="720"/>
      </w:pPr>
      <w:r>
        <w:t xml:space="preserve">Further investigation for possible interference of UK-396082 in the GAG assay was carried out and it was negative, as the standard curve for heparan sulphate and the standard curve for heparan sulphate mixed with 100nM UK-396082 had identical slopes (Fig 3.16). </w:t>
      </w:r>
    </w:p>
    <w:p w:rsidR="00FC5A5F" w:rsidRDefault="00FC5A5F" w:rsidP="00FC5A5F">
      <w:pPr>
        <w:spacing w:after="160" w:line="259" w:lineRule="auto"/>
        <w:ind w:left="720"/>
        <w:jc w:val="left"/>
      </w:pPr>
    </w:p>
    <w:p w:rsidR="00FC5A5F" w:rsidRPr="00FC5A5F" w:rsidRDefault="00FC5A5F" w:rsidP="00FC5A5F">
      <w:pPr>
        <w:spacing w:after="160" w:line="259" w:lineRule="auto"/>
        <w:ind w:left="720"/>
        <w:jc w:val="left"/>
        <w:rPr>
          <w:rFonts w:eastAsia="Times New Roman"/>
          <w:color w:val="000000"/>
          <w:sz w:val="22"/>
          <w:szCs w:val="22"/>
          <w:lang w:eastAsia="en-GB"/>
        </w:rPr>
      </w:pPr>
    </w:p>
    <w:p w:rsidR="003E3D7A" w:rsidRDefault="00CA1B38" w:rsidP="00FC00F5">
      <w:pPr>
        <w:ind w:left="720"/>
      </w:pPr>
      <w:r>
        <w:object w:dxaOrig="10413" w:dyaOrig="5196">
          <v:shape id="_x0000_i1044" type="#_x0000_t75" style="width:424.5pt;height:209.25pt" o:ole="">
            <v:imagedata r:id="rId92" o:title=""/>
          </v:shape>
          <o:OLEObject Type="Embed" ProgID="Prism7.Document" ShapeID="_x0000_i1044" DrawAspect="Content" ObjectID="_1583750214" r:id="rId93"/>
        </w:object>
      </w:r>
    </w:p>
    <w:p w:rsidR="003E3D7A" w:rsidRPr="000D3D20" w:rsidRDefault="003E3D7A" w:rsidP="003E3D7A">
      <w:pPr>
        <w:pStyle w:val="LegText"/>
        <w:ind w:left="720"/>
        <w:rPr>
          <w:sz w:val="24"/>
          <w:szCs w:val="24"/>
        </w:rPr>
      </w:pPr>
      <w:bookmarkStart w:id="352" w:name="_Toc504640603"/>
      <w:r w:rsidRPr="000D3D20">
        <w:rPr>
          <w:rStyle w:val="SubtitleChar"/>
        </w:rPr>
        <w:t xml:space="preserve">Figure 3.16 </w:t>
      </w:r>
      <w:r>
        <w:rPr>
          <w:rStyle w:val="SubtitleChar"/>
        </w:rPr>
        <w:t>Standard curve for h</w:t>
      </w:r>
      <w:r w:rsidRPr="000D3D20">
        <w:rPr>
          <w:rStyle w:val="SubtitleChar"/>
        </w:rPr>
        <w:t>eparan sulphate and heparan sulphate with 100nM UK-396082</w:t>
      </w:r>
      <w:r>
        <w:rPr>
          <w:rStyle w:val="SubtitleChar"/>
        </w:rPr>
        <w:t xml:space="preserve"> using the DMMB assay.</w:t>
      </w:r>
      <w:bookmarkEnd w:id="352"/>
      <w:r>
        <w:t xml:space="preserve"> The plot represents the standard curve for heparan sulphate and heparan sulphate with 100nM UK-396082 measured using the DMB assay. The slopes for the two graphs did not show any significant difference, the slope of the graph for heparan sulphate was 4.6X10</w:t>
      </w:r>
      <w:r>
        <w:rPr>
          <w:vertAlign w:val="superscript"/>
        </w:rPr>
        <w:t>-3</w:t>
      </w:r>
      <w:r>
        <w:t xml:space="preserve"> and the slope for heparan sulphate with 100nM of UK-396082 4.5X10</w:t>
      </w:r>
      <w:r>
        <w:rPr>
          <w:vertAlign w:val="superscript"/>
        </w:rPr>
        <w:t>-3</w:t>
      </w:r>
      <w:r>
        <w:t xml:space="preserve">. N=3. </w:t>
      </w:r>
    </w:p>
    <w:p w:rsidR="003E3D7A" w:rsidRDefault="003E3D7A" w:rsidP="00FC00F5">
      <w:pPr>
        <w:ind w:left="720"/>
      </w:pPr>
    </w:p>
    <w:p w:rsidR="003E3D7A" w:rsidRDefault="009A7933" w:rsidP="00FC00F5">
      <w:pPr>
        <w:ind w:left="720"/>
      </w:pPr>
      <w:r>
        <w:t>With the induction of diabetes, the rats immediately developed polyuria, this trend was also seen with the measurement of GAGs in Fig. 3.15</w:t>
      </w:r>
      <w:r w:rsidR="006E4F2C">
        <w:t>.</w:t>
      </w:r>
      <w:r>
        <w:t xml:space="preserve"> </w:t>
      </w:r>
      <w:r w:rsidR="006E4F2C">
        <w:t>H</w:t>
      </w:r>
      <w:r>
        <w:t xml:space="preserve">owever this was not the case with urinary albumin which did not become detectable until month 3 (Fig 3.8). We therefore investigated for any interference from the diabetic urine in the assessment of GAGs. </w:t>
      </w:r>
    </w:p>
    <w:p w:rsidR="003E3D7A" w:rsidRDefault="009A7933" w:rsidP="00FC00F5">
      <w:pPr>
        <w:ind w:left="720"/>
      </w:pPr>
      <w:r>
        <w:t>Our results showed that there was no interference from the urine as slopes of both standard curve of heparan sulphate and the slope of heparan sulphate with urine were almost identical (Fig 3.17).</w:t>
      </w:r>
    </w:p>
    <w:p w:rsidR="009A7933" w:rsidRDefault="009A7933" w:rsidP="00FC00F5">
      <w:pPr>
        <w:ind w:left="720"/>
      </w:pPr>
      <w:r>
        <w:t xml:space="preserve"> </w:t>
      </w:r>
    </w:p>
    <w:p w:rsidR="003E3D7A" w:rsidRPr="00DB02C1" w:rsidRDefault="003E3D7A" w:rsidP="003E3D7A">
      <w:pPr>
        <w:pStyle w:val="LegText"/>
        <w:ind w:left="720"/>
        <w:rPr>
          <w:sz w:val="24"/>
          <w:szCs w:val="24"/>
        </w:rPr>
      </w:pPr>
      <w:r>
        <w:rPr>
          <w:noProof/>
        </w:rPr>
        <w:lastRenderedPageBreak/>
        <w:drawing>
          <wp:inline distT="0" distB="0" distL="114300" distR="114300" wp14:anchorId="41361E3F" wp14:editId="543320FD">
            <wp:extent cx="5191125" cy="2838450"/>
            <wp:effectExtent l="0" t="0" r="0" b="0"/>
            <wp:docPr id="25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4"/>
                    <a:srcRect/>
                    <a:stretch>
                      <a:fillRect/>
                    </a:stretch>
                  </pic:blipFill>
                  <pic:spPr>
                    <a:xfrm>
                      <a:off x="0" y="0"/>
                      <a:ext cx="5191125" cy="2838450"/>
                    </a:xfrm>
                    <a:prstGeom prst="rect">
                      <a:avLst/>
                    </a:prstGeom>
                    <a:ln/>
                  </pic:spPr>
                </pic:pic>
              </a:graphicData>
            </a:graphic>
          </wp:inline>
        </w:drawing>
      </w:r>
      <w:r w:rsidRPr="003E3D7A">
        <w:rPr>
          <w:rStyle w:val="SubtitleChar"/>
        </w:rPr>
        <w:t xml:space="preserve"> </w:t>
      </w:r>
      <w:r w:rsidRPr="00B965EA">
        <w:rPr>
          <w:rStyle w:val="SubtitleChar"/>
        </w:rPr>
        <w:t>Figure 3.17 Standard curve for heparan sulphate and heparan sulphate with urine assayed with the DMMB assay.</w:t>
      </w:r>
      <w:r>
        <w:t xml:space="preserve"> The plot represents the standard curve for heparan sulphate and heparan sulphate with 200 µl of urine. The slope of the graph for heparan sulphate was 4.1X10</w:t>
      </w:r>
      <w:r>
        <w:rPr>
          <w:vertAlign w:val="superscript"/>
        </w:rPr>
        <w:t>-3</w:t>
      </w:r>
      <w:r>
        <w:t xml:space="preserve"> and the slope for heparan sulphate with urine was 4.5X10</w:t>
      </w:r>
      <w:r>
        <w:rPr>
          <w:vertAlign w:val="superscript"/>
        </w:rPr>
        <w:t>-3</w:t>
      </w:r>
      <w:r>
        <w:t xml:space="preserve"> There was no significant difference N=3 (samples from prophylaxis group). </w:t>
      </w:r>
    </w:p>
    <w:p w:rsidR="003E3D7A" w:rsidRDefault="003E3D7A" w:rsidP="00FC00F5">
      <w:pPr>
        <w:ind w:left="720"/>
      </w:pPr>
    </w:p>
    <w:p w:rsidR="009A7933" w:rsidRDefault="009A7933" w:rsidP="00FC00F5">
      <w:pPr>
        <w:ind w:left="720"/>
      </w:pPr>
      <w:r>
        <w:t>The significant results obtained in Fig 3.15 stimulated the need to identify which of the GAGs was being excreted in large amount</w:t>
      </w:r>
      <w:r w:rsidR="001B306B">
        <w:t>s</w:t>
      </w:r>
      <w:r>
        <w:t>. Heparan sulphate was the most obvious choice because it is abundant in basement membranes as the major GAG on proteoglycans present on cell surfaces, and it is associated with heparan sulphate proteoglycans (HSPG) such as syn</w:t>
      </w:r>
      <w:r w:rsidR="008C7A88">
        <w:t>decans, perlecan, glypicans etc</w:t>
      </w:r>
      <w:r>
        <w:t>. We therefore tested for the presence of heparan sulphate with heparinase II and heparinase III (S</w:t>
      </w:r>
      <w:r w:rsidR="004708A3">
        <w:t>ection 2.5.6 and Section 2.5</w:t>
      </w:r>
      <w:r w:rsidR="006E4F2C">
        <w:t>.7), which specifically degrade heparan sulphate to fragments that are not detectable by the DMMB assay.</w:t>
      </w:r>
    </w:p>
    <w:p w:rsidR="003B3933" w:rsidRDefault="009A7933" w:rsidP="008C7A88">
      <w:pPr>
        <w:ind w:left="720"/>
      </w:pPr>
      <w:r>
        <w:t>Heparinase II has substrate specificity for both heparin and heparan sulphate and cleaves sulphated po</w:t>
      </w:r>
      <w:r w:rsidR="006E4F2C">
        <w:t>lysaccharide (heparin and hepara</w:t>
      </w:r>
      <w:r>
        <w:t>n sulphate) with 1-4 linkages to yie</w:t>
      </w:r>
      <w:r w:rsidR="008C7A88">
        <w:t>ld mainly disaccharide products.</w:t>
      </w:r>
      <w:r>
        <w:t xml:space="preserve"> Heparan sulphate 25</w:t>
      </w:r>
      <w:r w:rsidR="001B306B">
        <w:t>µg/ml was digested with heparina</w:t>
      </w:r>
      <w:r>
        <w:t>se II (0.025 IU) and within the span of 30 mins over 90</w:t>
      </w:r>
      <w:r w:rsidR="004708A3">
        <w:t xml:space="preserve"> </w:t>
      </w:r>
      <w:r>
        <w:t>% of our heparan sulphate standard had been digested (Fig 3.18) demonstrating that the DM</w:t>
      </w:r>
      <w:r w:rsidR="00CA1B38">
        <w:t>M</w:t>
      </w:r>
      <w:r>
        <w:t xml:space="preserve">B </w:t>
      </w:r>
      <w:r>
        <w:lastRenderedPageBreak/>
        <w:t xml:space="preserve">assay can detect the appearance and disappearance of heparan sulphate. </w:t>
      </w:r>
    </w:p>
    <w:p w:rsidR="003B3933" w:rsidRDefault="004D2635" w:rsidP="008C7A88">
      <w:pPr>
        <w:ind w:left="720"/>
      </w:pPr>
      <w:r>
        <w:object w:dxaOrig="7659" w:dyaOrig="5148">
          <v:shape id="_x0000_i1045" type="#_x0000_t75" style="width:381.75pt;height:259.5pt" o:ole="">
            <v:imagedata r:id="rId95" o:title=""/>
          </v:shape>
          <o:OLEObject Type="Embed" ProgID="Prism7.Document" ShapeID="_x0000_i1045" DrawAspect="Content" ObjectID="_1583750215" r:id="rId96"/>
        </w:object>
      </w:r>
    </w:p>
    <w:p w:rsidR="003B3933" w:rsidRPr="00DB02C1" w:rsidRDefault="003B3933" w:rsidP="00CA1B38">
      <w:pPr>
        <w:pStyle w:val="LegText"/>
        <w:ind w:left="720"/>
        <w:rPr>
          <w:sz w:val="24"/>
          <w:szCs w:val="24"/>
        </w:rPr>
      </w:pPr>
      <w:bookmarkStart w:id="353" w:name="_Toc504640604"/>
      <w:r w:rsidRPr="00DB02C1">
        <w:rPr>
          <w:rStyle w:val="SubtitleChar"/>
        </w:rPr>
        <w:t xml:space="preserve">Figure 3.18 Heparan </w:t>
      </w:r>
      <w:r>
        <w:rPr>
          <w:rStyle w:val="SubtitleChar"/>
        </w:rPr>
        <w:t>sulphate digestion with heparina</w:t>
      </w:r>
      <w:r w:rsidRPr="00DB02C1">
        <w:rPr>
          <w:rStyle w:val="SubtitleChar"/>
        </w:rPr>
        <w:t>se II</w:t>
      </w:r>
      <w:r>
        <w:rPr>
          <w:rStyle w:val="SubtitleChar"/>
        </w:rPr>
        <w:t>.</w:t>
      </w:r>
      <w:bookmarkEnd w:id="353"/>
      <w:r>
        <w:t xml:space="preserve"> The plot represents the mean n=3 of the digestion of heparan sulphate (25µg/ml) with heparinise II (0.025 IU) and absorbance measured at 0, 5, 10, 20, 30 and 60 mins of incubation at ambient temperature.</w:t>
      </w:r>
    </w:p>
    <w:p w:rsidR="004D2635" w:rsidRDefault="004D2635" w:rsidP="004D2635"/>
    <w:p w:rsidR="009A7933" w:rsidRDefault="009A7933" w:rsidP="004D2635">
      <w:pPr>
        <w:ind w:left="720"/>
      </w:pPr>
      <w:r>
        <w:t xml:space="preserve">A similar </w:t>
      </w:r>
      <w:r w:rsidR="001B306B">
        <w:t>trend was observed when heparina</w:t>
      </w:r>
      <w:r>
        <w:t xml:space="preserve">se II was added to urine samples from the three groups. From the data, the sample from the prophylaxis group had the highest amount of GAG and this was completely digested after 120 mins incubation (Fig 3.19). </w:t>
      </w:r>
    </w:p>
    <w:p w:rsidR="004D2635" w:rsidRDefault="004D2635" w:rsidP="004D2635">
      <w:pPr>
        <w:ind w:left="720"/>
      </w:pPr>
    </w:p>
    <w:p w:rsidR="00CA1B38" w:rsidRDefault="00FE6981" w:rsidP="00FE6981">
      <w:pPr>
        <w:pStyle w:val="LegText"/>
        <w:ind w:left="720"/>
        <w:rPr>
          <w:rStyle w:val="SubtitleChar"/>
        </w:rPr>
      </w:pPr>
      <w:r>
        <w:rPr>
          <w:noProof/>
        </w:rPr>
        <w:lastRenderedPageBreak/>
        <w:drawing>
          <wp:inline distT="0" distB="0" distL="114300" distR="114300" wp14:anchorId="5A50BA3C" wp14:editId="660564C3">
            <wp:extent cx="5198110" cy="2613025"/>
            <wp:effectExtent l="0" t="0" r="2540" b="0"/>
            <wp:docPr id="3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7"/>
                    <a:srcRect/>
                    <a:stretch>
                      <a:fillRect/>
                    </a:stretch>
                  </pic:blipFill>
                  <pic:spPr>
                    <a:xfrm>
                      <a:off x="0" y="0"/>
                      <a:ext cx="5198110" cy="2613025"/>
                    </a:xfrm>
                    <a:prstGeom prst="rect">
                      <a:avLst/>
                    </a:prstGeom>
                    <a:ln/>
                  </pic:spPr>
                </pic:pic>
              </a:graphicData>
            </a:graphic>
          </wp:inline>
        </w:drawing>
      </w:r>
      <w:r w:rsidRPr="00FE6981">
        <w:rPr>
          <w:rStyle w:val="SubtitleChar"/>
        </w:rPr>
        <w:t xml:space="preserve"> </w:t>
      </w:r>
    </w:p>
    <w:p w:rsidR="00CA1B38" w:rsidRDefault="00CA1B38" w:rsidP="00FE6981">
      <w:pPr>
        <w:pStyle w:val="LegText"/>
        <w:ind w:left="720"/>
        <w:rPr>
          <w:rStyle w:val="SubtitleChar"/>
        </w:rPr>
      </w:pPr>
    </w:p>
    <w:p w:rsidR="00FE6981" w:rsidRPr="009777D6" w:rsidRDefault="00FE6981" w:rsidP="00FE6981">
      <w:pPr>
        <w:pStyle w:val="LegText"/>
        <w:ind w:left="720"/>
        <w:rPr>
          <w:sz w:val="24"/>
          <w:szCs w:val="24"/>
        </w:rPr>
      </w:pPr>
      <w:bookmarkStart w:id="354" w:name="_Toc504640605"/>
      <w:r w:rsidRPr="009777D6">
        <w:rPr>
          <w:rStyle w:val="SubtitleChar"/>
        </w:rPr>
        <w:t xml:space="preserve">Figure 3.19 Digestion of urinary GAGs in </w:t>
      </w:r>
      <w:r>
        <w:rPr>
          <w:rStyle w:val="SubtitleChar"/>
        </w:rPr>
        <w:t xml:space="preserve">rat </w:t>
      </w:r>
      <w:r w:rsidRPr="009777D6">
        <w:rPr>
          <w:rStyle w:val="SubtitleChar"/>
        </w:rPr>
        <w:t>urine with heparinase II</w:t>
      </w:r>
      <w:bookmarkEnd w:id="354"/>
      <w:r>
        <w:t>. Heparinise II 0.025IU digestion of the GAGs in urine sample (200µl) from the diseased, prophylaxis and treatment groups. The control group is incubation of prophylaxis urine without heparinase II. The plot is the x̅ ± SEM of triplicates of absorbance reading taken at 0, 10, 30, 60 and 120 minutes. N=3.</w:t>
      </w:r>
    </w:p>
    <w:p w:rsidR="00FE6981" w:rsidRDefault="00FE6981" w:rsidP="000D3D20">
      <w:pPr>
        <w:ind w:left="720"/>
      </w:pPr>
    </w:p>
    <w:p w:rsidR="009A7933" w:rsidRDefault="009A7933" w:rsidP="000D3D20">
      <w:pPr>
        <w:ind w:left="720"/>
      </w:pPr>
      <w:r>
        <w:t>A further discrimination te</w:t>
      </w:r>
      <w:r w:rsidR="001B306B">
        <w:t>st was carried out with heparina</w:t>
      </w:r>
      <w:r>
        <w:t xml:space="preserve">se III. </w:t>
      </w:r>
      <w:r w:rsidR="006E4F2C">
        <w:t>This enzyme als</w:t>
      </w:r>
      <w:r w:rsidR="001B306B">
        <w:t>o known as h</w:t>
      </w:r>
      <w:r w:rsidR="006E4F2C">
        <w:t>epara</w:t>
      </w:r>
      <w:r>
        <w:t>n sulphate eliminase, cleaves highly or low sulphate regions more discriminating than heparinise II</w:t>
      </w:r>
      <w:r w:rsidR="006E4F2C">
        <w:t xml:space="preserve"> </w:t>
      </w:r>
      <w:r w:rsidR="00297FD2">
        <w:t>(</w:t>
      </w:r>
      <w:r w:rsidR="00297FD2" w:rsidRPr="00297FD2">
        <w:t>https://www.neb.com/faqs/1/01/01/what-is-the-difference-between-em-bacteroides-em-heparinase-i-ii-and-iii</w:t>
      </w:r>
      <w:r w:rsidR="00297FD2">
        <w:t>).</w:t>
      </w:r>
    </w:p>
    <w:p w:rsidR="00FE6981" w:rsidRDefault="009A7933" w:rsidP="000D3D20">
      <w:pPr>
        <w:ind w:left="720"/>
      </w:pPr>
      <w:r>
        <w:t>Unlike heparinase II (Fig 3.18), heparinase III did not achieve complete digestion of our hep</w:t>
      </w:r>
      <w:r w:rsidR="000D3D20">
        <w:t>aran sulphate in 30 mins (Fig</w:t>
      </w:r>
      <w:r>
        <w:t xml:space="preserve"> 3.20). </w:t>
      </w:r>
    </w:p>
    <w:p w:rsidR="004D2635" w:rsidRDefault="009A7933" w:rsidP="000D3D20">
      <w:pPr>
        <w:ind w:left="720"/>
      </w:pPr>
      <w:r>
        <w:t xml:space="preserve">However when the reaction time was allowed to go up to 60 mins more heparan sulphate was digested (data not shown). </w:t>
      </w:r>
    </w:p>
    <w:p w:rsidR="004D2635" w:rsidRDefault="004D2635">
      <w:pPr>
        <w:spacing w:after="160" w:line="259" w:lineRule="auto"/>
        <w:jc w:val="left"/>
      </w:pPr>
      <w:r>
        <w:br w:type="page"/>
      </w:r>
    </w:p>
    <w:p w:rsidR="004D2635" w:rsidRDefault="004D2635" w:rsidP="000D3D20">
      <w:pPr>
        <w:ind w:left="720"/>
      </w:pPr>
      <w:r>
        <w:object w:dxaOrig="7665" w:dyaOrig="5239">
          <v:shape id="_x0000_i1046" type="#_x0000_t75" style="width:381.75pt;height:259.5pt" o:ole="">
            <v:imagedata r:id="rId98" o:title=""/>
          </v:shape>
          <o:OLEObject Type="Embed" ProgID="Prism7.Document" ShapeID="_x0000_i1046" DrawAspect="Content" ObjectID="_1583750216" r:id="rId99"/>
        </w:object>
      </w:r>
    </w:p>
    <w:p w:rsidR="004D2635" w:rsidRPr="009777D6" w:rsidRDefault="004D2635" w:rsidP="004D2635">
      <w:pPr>
        <w:pStyle w:val="LegText"/>
        <w:ind w:left="720"/>
        <w:rPr>
          <w:sz w:val="24"/>
          <w:szCs w:val="24"/>
        </w:rPr>
      </w:pPr>
      <w:bookmarkStart w:id="355" w:name="_Toc504640606"/>
      <w:r w:rsidRPr="009777D6">
        <w:rPr>
          <w:rStyle w:val="SubtitleChar"/>
        </w:rPr>
        <w:t xml:space="preserve">Figure 3.20 Heparan </w:t>
      </w:r>
      <w:r>
        <w:rPr>
          <w:rStyle w:val="SubtitleChar"/>
        </w:rPr>
        <w:t>sulphate digestion with heparina</w:t>
      </w:r>
      <w:r w:rsidRPr="009777D6">
        <w:rPr>
          <w:rStyle w:val="SubtitleChar"/>
        </w:rPr>
        <w:t>se III.</w:t>
      </w:r>
      <w:bookmarkEnd w:id="355"/>
      <w:r>
        <w:t xml:space="preserve"> The plot represents mean data of n=3 of the digestion of heparan sulphate (25 µg/ml) with heparinise III (0.025 IU) and absorbance measured at 0, 5, 10, 20, 30, 40 and 60 mins incubation at ambient temperature.  </w:t>
      </w:r>
    </w:p>
    <w:p w:rsidR="004D2635" w:rsidRDefault="004D2635" w:rsidP="000D3D20">
      <w:pPr>
        <w:ind w:left="720"/>
      </w:pPr>
    </w:p>
    <w:p w:rsidR="009A7933" w:rsidRDefault="009A7933" w:rsidP="000D3D20">
      <w:pPr>
        <w:ind w:left="720"/>
      </w:pPr>
      <w:r>
        <w:t>In an attempt to digest a urine sample from the prophylactic group with heparinase III, after 120 mins 65</w:t>
      </w:r>
      <w:r w:rsidR="004708A3">
        <w:t xml:space="preserve"> </w:t>
      </w:r>
      <w:r>
        <w:t>% of heparan sulphate was still undigested. (Fig 3.21).</w:t>
      </w: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p>
    <w:p w:rsidR="009A7933" w:rsidRDefault="009A7933" w:rsidP="009A7933">
      <w:pPr>
        <w:spacing w:after="160" w:line="259" w:lineRule="auto"/>
      </w:pPr>
      <w:r>
        <w:rPr>
          <w:noProof/>
          <w:lang w:eastAsia="en-GB"/>
        </w:rPr>
        <mc:AlternateContent>
          <mc:Choice Requires="wps">
            <w:drawing>
              <wp:anchor distT="0" distB="0" distL="114300" distR="114300" simplePos="0" relativeHeight="251715584" behindDoc="0" locked="0" layoutInCell="1" hidden="0" allowOverlap="1" wp14:anchorId="48F2C448" wp14:editId="2460E63C">
                <wp:simplePos x="0" y="0"/>
                <wp:positionH relativeFrom="margin">
                  <wp:posOffset>2171700</wp:posOffset>
                </wp:positionH>
                <wp:positionV relativeFrom="paragraph">
                  <wp:posOffset>647700</wp:posOffset>
                </wp:positionV>
                <wp:extent cx="50800" cy="406400"/>
                <wp:effectExtent l="0" t="0" r="0" b="0"/>
                <wp:wrapNone/>
                <wp:docPr id="186" name="Freeform 186"/>
                <wp:cNvGraphicFramePr/>
                <a:graphic xmlns:a="http://schemas.openxmlformats.org/drawingml/2006/main">
                  <a:graphicData uri="http://schemas.microsoft.com/office/word/2010/wordprocessingShape">
                    <wps:wsp>
                      <wps:cNvSpPr/>
                      <wps:spPr>
                        <a:xfrm rot="10800000" flipH="1">
                          <a:off x="5323139" y="3579975"/>
                          <a:ext cx="45719" cy="400049"/>
                        </a:xfrm>
                        <a:custGeom>
                          <a:avLst/>
                          <a:gdLst/>
                          <a:ahLst/>
                          <a:cxnLst/>
                          <a:rect l="0" t="0" r="0" b="0"/>
                          <a:pathLst>
                            <a:path w="45720" h="400050" extrusionOk="0">
                              <a:moveTo>
                                <a:pt x="0" y="0"/>
                              </a:moveTo>
                              <a:lnTo>
                                <a:pt x="45720" y="400050"/>
                              </a:lnTo>
                            </a:path>
                          </a:pathLst>
                        </a:custGeom>
                        <a:solidFill>
                          <a:srgbClr val="FFFFFF"/>
                        </a:solidFill>
                        <a:ln>
                          <a:noFill/>
                        </a:ln>
                      </wps:spPr>
                      <wps:bodyPr lIns="91425" tIns="91425" rIns="91425" bIns="91425" anchor="ctr" anchorCtr="0"/>
                    </wps:wsp>
                  </a:graphicData>
                </a:graphic>
              </wp:anchor>
            </w:drawing>
          </mc:Choice>
          <mc:Fallback>
            <w:pict>
              <v:shape w14:anchorId="1DE1A00C" id="Freeform 186" o:spid="_x0000_s1026" style="position:absolute;margin-left:171pt;margin-top:51pt;width:4pt;height:32pt;rotation:180;flip:x;z-index:251715584;visibility:visible;mso-wrap-style:square;mso-wrap-distance-left:9pt;mso-wrap-distance-top:0;mso-wrap-distance-right:9pt;mso-wrap-distance-bottom:0;mso-position-horizontal:absolute;mso-position-horizontal-relative:margin;mso-position-vertical:absolute;mso-position-vertical-relative:text;v-text-anchor:middle" coordsize="45720,400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p5EGQIAAFMEAAAOAAAAZHJzL2Uyb0RvYy54bWysVM1u2zAMvg/YOwi6L7aTuImDOD20yDZg&#10;WAu0ewBFlmNhsiRIiu28/Ug5Sd0N2GGYDwIpUh/58cfb+6FVpBPOS6NLms1SSoTmppL6WNIfr/tP&#10;a0p8YLpiymhR0rPw9H738cO2txsxN41RlXAEQLTf9LakTQh2kySeN6Jlfmas0GCsjWtZANUdk8qx&#10;HtBblczT9C7pjausM1x4D7ePo5HuIn5dCx6e6tqLQFRJIbcQTxfPA57Jbss2R8dsI/klDfYPWbRM&#10;agh6g3pkgZGTk39AtZI7400dZty0ialryUXkAGyy9Dc2Lw2zInKB4nh7K5P/f7D8e/fsiKygd+s7&#10;SjRroUl7JwSWnOAdVKi3fgOOL/bZXTQPItIdavByBsqapesUP0pqJe0XuIj1AIZkKGm+mC+yRUHJ&#10;uaSLfFUUq3wsvRgC4eCwzFcZmDnYl4CyLNCcjAEwED/58FmYFmXWffNhbFx1lVhzlfigr6KD9v+1&#10;8ZYFfIegKJI+JjIHEs2YR47zPAR3wvl++okTg86t6cSric8C0gMvSDxOE+T8ZlV66gUcEfpCEaBH&#10;iqMTvMMUIulbWnA5Je6NktVeKoWRvTseHpQjHYPR3sfvAvjOTWl01gafXeNBEGzp2ESUDqY6wxio&#10;rxpGq8iW8xxWZaq4qXKYKkzzxsBC8eAoGZWHEBcMoyE4TG5kddkyXI2pHr3e/gW7XwAAAP//AwBQ&#10;SwMEFAAGAAgAAAAhADMctuTeAAAACwEAAA8AAABkcnMvZG93bnJldi54bWxMT8tOwzAQvCPxD9Yi&#10;caN2HwQU4lRQqRIcUKHtB7jxNomI15Htpunfsz3BbWZnNDtTLEfXiQFDbD1pmE4UCKTK25ZqDfvd&#10;+uEZREyGrOk8oYYLRliWtzeFya0/0zcO21QLDqGYGw1NSn0uZawadCZOfI/E2tEHZxLTUEsbzJnD&#10;XSdnSmXSmZb4Q2N6XDVY/WxPTsP67fLx9bRJ7jh+vrt2sZGraRi0vr8bX19AJBzTnxmu9bk6lNzp&#10;4E9ko+g0zBcz3pJYUFfAjvmjYnDgS5YpkGUh/28ofwEAAP//AwBQSwECLQAUAAYACAAAACEAtoM4&#10;kv4AAADhAQAAEwAAAAAAAAAAAAAAAAAAAAAAW0NvbnRlbnRfVHlwZXNdLnhtbFBLAQItABQABgAI&#10;AAAAIQA4/SH/1gAAAJQBAAALAAAAAAAAAAAAAAAAAC8BAABfcmVscy8ucmVsc1BLAQItABQABgAI&#10;AAAAIQCDup5EGQIAAFMEAAAOAAAAAAAAAAAAAAAAAC4CAABkcnMvZTJvRG9jLnhtbFBLAQItABQA&#10;BgAIAAAAIQAzHLbk3gAAAAsBAAAPAAAAAAAAAAAAAAAAAHMEAABkcnMvZG93bnJldi54bWxQSwUG&#10;AAAAAAQABADzAAAAfgUAAAAA&#10;" path="m,l45720,400050e" stroked="f">
                <v:path arrowok="t" o:extrusionok="f" textboxrect="0,0,45720,400050"/>
                <w10:wrap anchorx="margin"/>
              </v:shape>
            </w:pict>
          </mc:Fallback>
        </mc:AlternateContent>
      </w:r>
    </w:p>
    <w:p w:rsidR="009A7933" w:rsidRDefault="009A7933" w:rsidP="009A7933">
      <w:pPr>
        <w:spacing w:after="160" w:line="259" w:lineRule="auto"/>
      </w:pPr>
    </w:p>
    <w:p w:rsidR="009A7933" w:rsidRDefault="009A7933" w:rsidP="00D27D50">
      <w:pPr>
        <w:spacing w:after="160" w:line="259" w:lineRule="auto"/>
        <w:ind w:firstLine="720"/>
      </w:pPr>
      <w:r>
        <w:rPr>
          <w:noProof/>
          <w:lang w:eastAsia="en-GB"/>
        </w:rPr>
        <mc:AlternateContent>
          <mc:Choice Requires="wps">
            <w:drawing>
              <wp:anchor distT="0" distB="0" distL="114300" distR="114300" simplePos="0" relativeHeight="251717632" behindDoc="0" locked="0" layoutInCell="1" hidden="0" allowOverlap="1" wp14:anchorId="73DAD84D" wp14:editId="2DA8ED7F">
                <wp:simplePos x="0" y="0"/>
                <wp:positionH relativeFrom="margin">
                  <wp:posOffset>5245100</wp:posOffset>
                </wp:positionH>
                <wp:positionV relativeFrom="paragraph">
                  <wp:posOffset>2260600</wp:posOffset>
                </wp:positionV>
                <wp:extent cx="152400" cy="330200"/>
                <wp:effectExtent l="0" t="0" r="0" b="0"/>
                <wp:wrapNone/>
                <wp:docPr id="203" name="Rectangle 203"/>
                <wp:cNvGraphicFramePr/>
                <a:graphic xmlns:a="http://schemas.openxmlformats.org/drawingml/2006/main">
                  <a:graphicData uri="http://schemas.microsoft.com/office/word/2010/wordprocessingShape">
                    <wps:wsp>
                      <wps:cNvSpPr/>
                      <wps:spPr>
                        <a:xfrm rot="5400000">
                          <a:off x="5180899" y="3704117"/>
                          <a:ext cx="330200" cy="151764"/>
                        </a:xfrm>
                        <a:prstGeom prst="rect">
                          <a:avLst/>
                        </a:prstGeom>
                        <a:noFill/>
                        <a:ln>
                          <a:noFill/>
                        </a:ln>
                      </wps:spPr>
                      <wps:txbx>
                        <w:txbxContent>
                          <w:p w:rsidR="00AD6A02" w:rsidRDefault="00AD6A02" w:rsidP="009A7933">
                            <w:pPr>
                              <w:spacing w:after="160" w:line="255" w:lineRule="auto"/>
                              <w:ind w:firstLine="720"/>
                              <w:textDirection w:val="btLr"/>
                            </w:pPr>
                            <w:r>
                              <w:rPr>
                                <w:rFonts w:ascii="Calibri" w:eastAsia="Calibri" w:hAnsi="Calibri" w:cs="Calibri"/>
                                <w:color w:val="000000"/>
                                <w:sz w:val="16"/>
                              </w:rPr>
                              <w:t>****</w:t>
                            </w:r>
                          </w:p>
                        </w:txbxContent>
                      </wps:txbx>
                      <wps:bodyPr lIns="88900" tIns="38100" rIns="88900" bIns="38100" anchor="t" anchorCtr="0"/>
                    </wps:wsp>
                  </a:graphicData>
                </a:graphic>
              </wp:anchor>
            </w:drawing>
          </mc:Choice>
          <mc:Fallback>
            <w:pict>
              <v:rect w14:anchorId="73DAD84D" id="Rectangle 203" o:spid="_x0000_s1044" style="position:absolute;left:0;text-align:left;margin-left:413pt;margin-top:178pt;width:12pt;height:26pt;rotation:90;z-index:251717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NWuwEAAFwDAAAOAAAAZHJzL2Uyb0RvYy54bWysU8tu2zAQvBfoPxC81yQtJ5YFyzk0SBEg&#10;SIMm/QCaoiwCfIFkLfnvs6Sc1G1uRXUg9jEY7gxX25vJaHSUISpnW8wWFCNpheuUPbT458vdlxqj&#10;mLjtuHZWtvgkI77Zff60HX0jl25wupMBAYmNzehbPKTkG0KiGKThceG8tNDsXTA8QRoOpAt8BHaj&#10;yZLSazK60PnghIwRqrdzE+8Kf99Lkb73fZQJ6RbDbKmcoZz7fJLdljeHwP2gxHkM/g9TGK4sXPpO&#10;dcsTR7+C+kBllAguuj4thDPE9b0SsmgANYz+peZ54F4WLWBO9O82xf9HKx6PTwGprsVLWmFkuYFH&#10;+gG2cXvQEuUiWDT62ADy2T+FcxYhzHqnPhgUHPh6taL5Ky6ALjRBidW03mwwOrW4WtMVY+vZcDkl&#10;JABQVRQeESMBAHbF1ter3Cczbab3IaZv0hmUgxYHGKxcwI8PMc3QN0iGW3entIY6b7T9owCcuUKy&#10;knn2HKVpPxXxrH6TuXfdCRzR9xZcrutNHi+VpKpZTsJlZ3/Z4VYMDnYrYTSHX1PZtDxnvg2esIg7&#10;r1vekcu8oH7/FLtXAAAA//8DAFBLAwQUAAYACAAAACEAC2C+o90AAAALAQAADwAAAGRycy9kb3du&#10;cmV2LnhtbEyPQU+DQBCF7yb+h82YeLNLqalIWZq2iVei6A9Y2BFo2Vlkt4D/3vGktzczL2++l+0X&#10;24sJR985UrBeRSCQamc6ahR8vL88JCB80GR07wgVfKOHfX57k+nUuJnecCpDIziEfKoVtCEMqZS+&#10;btFqv3IDEt8+3Wh14HFspBn1zOG2l3EUbaXVHfGHVg94arG+lFeroDyf/bSJv05J9VrNxdEU8/FQ&#10;KHV/txx2IAIu4c8Mv/iMDjkzVe5KxoteQbKOuUtQsHmKWLAj2T6yqHjzzELmmfzfIf8BAAD//wMA&#10;UEsBAi0AFAAGAAgAAAAhALaDOJL+AAAA4QEAABMAAAAAAAAAAAAAAAAAAAAAAFtDb250ZW50X1R5&#10;cGVzXS54bWxQSwECLQAUAAYACAAAACEAOP0h/9YAAACUAQAACwAAAAAAAAAAAAAAAAAvAQAAX3Jl&#10;bHMvLnJlbHNQSwECLQAUAAYACAAAACEA8qaDVrsBAABcAwAADgAAAAAAAAAAAAAAAAAuAgAAZHJz&#10;L2Uyb0RvYy54bWxQSwECLQAUAAYACAAAACEAC2C+o90AAAALAQAADwAAAAAAAAAAAAAAAAAVBAAA&#10;ZHJzL2Rvd25yZXYueG1sUEsFBgAAAAAEAAQA8wAAAB8FAAAAAA==&#10;" filled="f" stroked="f">
                <v:textbox inset="7pt,3pt,7pt,3pt">
                  <w:txbxContent>
                    <w:p w:rsidR="00AD6A02" w:rsidRDefault="00AD6A02" w:rsidP="009A7933">
                      <w:pPr>
                        <w:spacing w:after="160" w:line="255" w:lineRule="auto"/>
                        <w:ind w:firstLine="720"/>
                        <w:textDirection w:val="btLr"/>
                      </w:pPr>
                      <w:r>
                        <w:rPr>
                          <w:rFonts w:ascii="Calibri" w:eastAsia="Calibri" w:hAnsi="Calibri" w:cs="Calibri"/>
                          <w:color w:val="000000"/>
                          <w:sz w:val="16"/>
                        </w:rPr>
                        <w:t>****</w:t>
                      </w:r>
                    </w:p>
                  </w:txbxContent>
                </v:textbox>
                <w10:wrap anchorx="margin"/>
              </v:rect>
            </w:pict>
          </mc:Fallback>
        </mc:AlternateContent>
      </w:r>
    </w:p>
    <w:p w:rsidR="009A7933" w:rsidRDefault="009A7933" w:rsidP="009A7933">
      <w:pPr>
        <w:spacing w:after="160" w:line="259" w:lineRule="auto"/>
      </w:pPr>
    </w:p>
    <w:p w:rsidR="009A7933" w:rsidRDefault="009A7933" w:rsidP="009777D6">
      <w:pPr>
        <w:pStyle w:val="LegText"/>
      </w:pPr>
    </w:p>
    <w:p w:rsidR="009A7933" w:rsidRDefault="009A7933" w:rsidP="00265924">
      <w:pPr>
        <w:spacing w:after="160" w:line="259" w:lineRule="auto"/>
        <w:ind w:firstLine="720"/>
      </w:pPr>
      <w:r>
        <w:rPr>
          <w:noProof/>
          <w:lang w:eastAsia="en-GB"/>
        </w:rPr>
        <w:drawing>
          <wp:inline distT="0" distB="0" distL="114300" distR="114300" wp14:anchorId="0D8E382B" wp14:editId="240D9500">
            <wp:extent cx="5410200" cy="2714625"/>
            <wp:effectExtent l="0" t="0" r="0" b="0"/>
            <wp:docPr id="3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00"/>
                    <a:srcRect/>
                    <a:stretch>
                      <a:fillRect/>
                    </a:stretch>
                  </pic:blipFill>
                  <pic:spPr>
                    <a:xfrm>
                      <a:off x="0" y="0"/>
                      <a:ext cx="5410200" cy="2714625"/>
                    </a:xfrm>
                    <a:prstGeom prst="rect">
                      <a:avLst/>
                    </a:prstGeom>
                    <a:ln/>
                  </pic:spPr>
                </pic:pic>
              </a:graphicData>
            </a:graphic>
          </wp:inline>
        </w:drawing>
      </w:r>
    </w:p>
    <w:p w:rsidR="009A7933" w:rsidRPr="009777D6" w:rsidRDefault="009A7933" w:rsidP="00E155EB">
      <w:pPr>
        <w:pStyle w:val="LegText"/>
        <w:ind w:left="720"/>
        <w:rPr>
          <w:sz w:val="24"/>
          <w:szCs w:val="24"/>
        </w:rPr>
      </w:pPr>
      <w:bookmarkStart w:id="356" w:name="_Toc504640607"/>
      <w:r w:rsidRPr="009777D6">
        <w:rPr>
          <w:rStyle w:val="SubtitleChar"/>
        </w:rPr>
        <w:t>Figure 3.21 Digestion of GAGs in prophy</w:t>
      </w:r>
      <w:r w:rsidR="009777D6">
        <w:rPr>
          <w:rStyle w:val="SubtitleChar"/>
        </w:rPr>
        <w:t>laxis urine with heparina</w:t>
      </w:r>
      <w:r w:rsidR="009777D6" w:rsidRPr="009777D6">
        <w:rPr>
          <w:rStyle w:val="SubtitleChar"/>
        </w:rPr>
        <w:t>se III</w:t>
      </w:r>
      <w:bookmarkEnd w:id="356"/>
      <w:r w:rsidR="009777D6">
        <w:t xml:space="preserve">. </w:t>
      </w:r>
      <w:r>
        <w:t>The above graph shows the digestion of the GAGs in the urine sample</w:t>
      </w:r>
      <w:r w:rsidR="004D2635">
        <w:t>s</w:t>
      </w:r>
      <w:r>
        <w:t xml:space="preserve"> (200µl) taken from the prophylaxis group with and without heparinise III (0.025IU). The plot is the x̅ ± SEM of triplicates of absorbance reading taken at 0, 30, 60, 90 and 120 minutes. </w:t>
      </w:r>
    </w:p>
    <w:p w:rsidR="009A7933" w:rsidRDefault="009A7933" w:rsidP="009A7933">
      <w:pPr>
        <w:spacing w:after="160" w:line="259" w:lineRule="auto"/>
        <w:rPr>
          <w:sz w:val="20"/>
          <w:szCs w:val="20"/>
        </w:rPr>
      </w:pPr>
    </w:p>
    <w:p w:rsidR="009A7933" w:rsidRPr="00594A75" w:rsidRDefault="009A7933" w:rsidP="00594A75">
      <w:pPr>
        <w:pStyle w:val="Heading3"/>
        <w:ind w:firstLine="720"/>
      </w:pPr>
      <w:bookmarkStart w:id="357" w:name="_Toc506232390"/>
      <w:r w:rsidRPr="00594A75">
        <w:t>3.9 Discussion</w:t>
      </w:r>
      <w:bookmarkEnd w:id="357"/>
      <w:r w:rsidRPr="00594A75">
        <w:t xml:space="preserve"> </w:t>
      </w:r>
    </w:p>
    <w:p w:rsidR="009A7933" w:rsidRDefault="009A7933" w:rsidP="003128A5">
      <w:pPr>
        <w:ind w:left="720"/>
      </w:pPr>
      <w:r>
        <w:t>Previous studies have indicated that GAGs can be detected in urine of normal individuals and higher amounts are excreted in males and also younger individuals (Michelacci et</w:t>
      </w:r>
      <w:r w:rsidR="00226A70">
        <w:t xml:space="preserve"> al., 1989).</w:t>
      </w:r>
      <w:r>
        <w:t xml:space="preserve"> </w:t>
      </w:r>
      <w:r w:rsidR="00226A70">
        <w:t xml:space="preserve">Variable </w:t>
      </w:r>
      <w:r>
        <w:t>GA</w:t>
      </w:r>
      <w:r w:rsidR="002840F7">
        <w:t>G</w:t>
      </w:r>
      <w:r w:rsidR="0062615F">
        <w:t xml:space="preserve"> excretion has </w:t>
      </w:r>
      <w:r w:rsidR="00226A70">
        <w:t>been reported to be present in diseases and malignancies (Friman and Juvani, 1975, Kery et al., 1992) and also</w:t>
      </w:r>
      <w:r w:rsidR="0062615F">
        <w:t xml:space="preserve"> in the treatment of diseases such as </w:t>
      </w:r>
      <w:r w:rsidR="00226A70">
        <w:t>sciatica</w:t>
      </w:r>
      <w:r w:rsidR="003128A5">
        <w:rPr>
          <w:rFonts w:cs="Arial"/>
        </w:rPr>
        <w:t xml:space="preserve"> </w:t>
      </w:r>
      <w:r w:rsidR="003128A5" w:rsidRPr="003128A5">
        <w:fldChar w:fldCharType="begin"/>
      </w:r>
      <w:r w:rsidR="003128A5" w:rsidRPr="003128A5">
        <w:instrText xml:space="preserve"> ADDIN EN.CITE &lt;EndNote&gt;&lt;Cite&gt;&lt;Author&gt;Buttle&lt;/Author&gt;&lt;Year&gt;1986&lt;/Year&gt;&lt;IDText&gt;The biochemistry of the action of chymopapain in relief of sciatica&lt;/IDText&gt;&lt;DisplayText&gt;(Buttle et al., 1986)&lt;/DisplayText&gt;&lt;record&gt;&lt;isbn&gt;0362-2436&lt;/isbn&gt;&lt;titles&gt;&lt;title&gt;The biochemistry of the action of chymopapain in relief of sciatica&lt;/title&gt;&lt;secondary-title&gt;Spine&lt;/secondary-title&gt;&lt;/titles&gt;&lt;pages&gt;688-694&lt;/pages&gt;&lt;number&gt;7&lt;/number&gt;&lt;contributors&gt;&lt;authors&gt;&lt;author&gt;Buttle, David J&lt;/author&gt;&lt;author&gt;Abrahamson, Magnus&lt;/author&gt;&lt;author&gt;Barrett, Alan J&lt;/author&gt;&lt;/authors&gt;&lt;/contributors&gt;&lt;added-date format="utc"&gt;1504686137&lt;/added-date&gt;&lt;ref-type name="Journal Article"&gt;17&lt;/ref-type&gt;&lt;dates&gt;&lt;year&gt;1986&lt;/year&gt;&lt;/dates&gt;&lt;rec-number&gt;1965&lt;/rec-number&gt;&lt;last-updated-date format="utc"&gt;1504686137&lt;/last-updated-date&gt;&lt;volume&gt;11&lt;/volume&gt;&lt;/record&gt;&lt;/Cite&gt;&lt;/EndNote&gt;</w:instrText>
      </w:r>
      <w:r w:rsidR="003128A5" w:rsidRPr="003128A5">
        <w:fldChar w:fldCharType="separate"/>
      </w:r>
      <w:r w:rsidR="003128A5" w:rsidRPr="003128A5">
        <w:t>(Buttle et al., 1986)</w:t>
      </w:r>
      <w:r w:rsidR="003128A5" w:rsidRPr="003128A5">
        <w:fldChar w:fldCharType="end"/>
      </w:r>
      <w:r w:rsidR="00226A70">
        <w:t>.</w:t>
      </w:r>
      <w:r w:rsidR="002840F7">
        <w:t xml:space="preserve"> A reduction in GAG excretion was reported</w:t>
      </w:r>
      <w:r>
        <w:t xml:space="preserve"> in renal diseases (Michelacci et al., 1989, Tencer et al., 1997). </w:t>
      </w:r>
    </w:p>
    <w:p w:rsidR="009A7933" w:rsidRDefault="002840F7" w:rsidP="00594A75">
      <w:pPr>
        <w:ind w:left="720"/>
      </w:pPr>
      <w:r>
        <w:t>Our results demonstrated</w:t>
      </w:r>
      <w:r w:rsidR="009A7933">
        <w:t xml:space="preserve"> the presence of GAG in urine of healthy rats</w:t>
      </w:r>
      <w:r>
        <w:t>. T</w:t>
      </w:r>
      <w:r w:rsidR="009A7933">
        <w:t>here was an increase in excretion of GAG in the urine of healthy rats that</w:t>
      </w:r>
      <w:r>
        <w:t xml:space="preserve"> were</w:t>
      </w:r>
      <w:r w:rsidR="009A7933">
        <w:t xml:space="preserve"> fed on chow mixed with UK-396082. This might suggest that the normal turnover of basement membrane GAGs is partly accomplished through the action of plasmin.</w:t>
      </w:r>
    </w:p>
    <w:p w:rsidR="00A27440" w:rsidRDefault="009A7933" w:rsidP="00594A75">
      <w:pPr>
        <w:ind w:left="720"/>
      </w:pPr>
      <w:r>
        <w:lastRenderedPageBreak/>
        <w:t>With the induction of type 1 diabetes there was an immed</w:t>
      </w:r>
      <w:r w:rsidR="002840F7">
        <w:t>iate drop in excretion of hepara</w:t>
      </w:r>
      <w:r>
        <w:t>n sulphate which may be suggestive of less baseme</w:t>
      </w:r>
      <w:r w:rsidR="002840F7">
        <w:t>nt membrane ECM being</w:t>
      </w:r>
      <w:r>
        <w:t xml:space="preserve"> broken down resulting in fibrosis leading to a</w:t>
      </w:r>
      <w:r w:rsidR="002840F7">
        <w:t>n</w:t>
      </w:r>
      <w:r>
        <w:t xml:space="preserve"> ineffective basement membrane which allowed large molecules such as protein to pass </w:t>
      </w:r>
      <w:r w:rsidRPr="00A95B21">
        <w:t xml:space="preserve">through </w:t>
      </w:r>
      <w:r w:rsidR="00A95B21" w:rsidRPr="00A95B21">
        <w:t>(Fig 3.1</w:t>
      </w:r>
      <w:r w:rsidR="00A95B21">
        <w:t>5</w:t>
      </w:r>
      <w:r w:rsidR="00A42F43">
        <w:t xml:space="preserve"> and Fig</w:t>
      </w:r>
      <w:r w:rsidR="00C27A19">
        <w:t xml:space="preserve"> 3.8</w:t>
      </w:r>
      <w:r w:rsidRPr="00A95B21">
        <w:t xml:space="preserve">). The </w:t>
      </w:r>
      <w:r>
        <w:t>presence of UK-396082 in the diet of nephrectomised and diabetic rats showed an increase in the excretion of GAGs (Fig 3.15) which suggest</w:t>
      </w:r>
      <w:r w:rsidR="00081732">
        <w:t>s</w:t>
      </w:r>
      <w:r>
        <w:t xml:space="preserve"> an </w:t>
      </w:r>
      <w:r w:rsidR="00081732">
        <w:t>increase in ECM breakdown</w:t>
      </w:r>
      <w:r>
        <w:t xml:space="preserve"> and possibility of a more protective basement membrane possibly due to the action of plasmin. However this was not the case with the treatment group (fed on chow mixed with UK-396082 four months after the experiment had started)</w:t>
      </w:r>
      <w:r w:rsidR="00081732">
        <w:t xml:space="preserve"> probably due to the fact that diabetic nephropathy was established before UK-396082 was introduced</w:t>
      </w:r>
      <w:r>
        <w:t>. Further discriminatory tests with heparinase II and heparinase III in the digestion of urine from the prophylaxis group (fed on chow mixed with UK-396082) was sugge</w:t>
      </w:r>
      <w:r w:rsidR="00081732">
        <w:t>stive of high turnover of heparan sulphate in the urine</w:t>
      </w:r>
      <w:r>
        <w:t xml:space="preserve">. Lack of turnover </w:t>
      </w:r>
      <w:r w:rsidR="00594A75">
        <w:t>may be one reason for the build-</w:t>
      </w:r>
      <w:r>
        <w:t>up of fibrotic material in diabetic rats. Putting all these results together we can conclude that the effect of UK-396082 was</w:t>
      </w:r>
      <w:r w:rsidR="00081732">
        <w:t xml:space="preserve"> likely to be on</w:t>
      </w:r>
      <w:r>
        <w:t xml:space="preserve"> the basement membrane of the kidney and that the same effect was probably lost in advanced kidney disease as seen wi</w:t>
      </w:r>
      <w:r w:rsidR="00081732">
        <w:t xml:space="preserve">th the treatment group. </w:t>
      </w:r>
    </w:p>
    <w:p w:rsidR="00AD3976" w:rsidRDefault="00A27440" w:rsidP="00594A75">
      <w:pPr>
        <w:ind w:left="720"/>
      </w:pPr>
      <w:r>
        <w:t xml:space="preserve">In summary, our data suggest </w:t>
      </w:r>
      <w:r w:rsidR="00AD3976">
        <w:t>the following:</w:t>
      </w:r>
    </w:p>
    <w:p w:rsidR="00AD3976" w:rsidRDefault="00AD3976" w:rsidP="00B702A5">
      <w:pPr>
        <w:pStyle w:val="ListParagraph"/>
        <w:numPr>
          <w:ilvl w:val="0"/>
          <w:numId w:val="32"/>
        </w:numPr>
      </w:pPr>
      <w:r>
        <w:t>P</w:t>
      </w:r>
      <w:r w:rsidR="00A27440">
        <w:t xml:space="preserve">lasmin is involved in the breakdown of GAGs in the ECM. </w:t>
      </w:r>
    </w:p>
    <w:p w:rsidR="00AD3976" w:rsidRDefault="00AD3976" w:rsidP="00B702A5">
      <w:pPr>
        <w:pStyle w:val="ListParagraph"/>
        <w:numPr>
          <w:ilvl w:val="0"/>
          <w:numId w:val="32"/>
        </w:numPr>
      </w:pPr>
      <w:r>
        <w:t>The</w:t>
      </w:r>
      <w:r w:rsidR="00A27440">
        <w:t xml:space="preserve"> prophylactic administration of UK-396082 increases plasmin activity </w:t>
      </w:r>
      <w:r>
        <w:t>with continuous breakdown of the BM. This continuous breakdown of BM in type one diabetes prevented a build-up of fibrosis.</w:t>
      </w:r>
    </w:p>
    <w:p w:rsidR="00AD3976" w:rsidRDefault="00AD3976" w:rsidP="00B702A5">
      <w:pPr>
        <w:pStyle w:val="ListParagraph"/>
        <w:numPr>
          <w:ilvl w:val="0"/>
          <w:numId w:val="32"/>
        </w:numPr>
      </w:pPr>
      <w:r>
        <w:t>The continuous breakdown of BM allows the kidney to function even in diseased state such as type one diabetes.</w:t>
      </w:r>
    </w:p>
    <w:p w:rsidR="00351BAA" w:rsidRDefault="00AD3976" w:rsidP="005957AC">
      <w:pPr>
        <w:pStyle w:val="ListParagraph"/>
        <w:numPr>
          <w:ilvl w:val="0"/>
          <w:numId w:val="32"/>
        </w:numPr>
      </w:pPr>
      <w:r>
        <w:t>The GAG assay is</w:t>
      </w:r>
      <w:r w:rsidR="00081732">
        <w:t xml:space="preserve"> </w:t>
      </w:r>
      <w:r w:rsidR="009A7933">
        <w:t>a convenient, non-invasive and fast method for the quantification of heparan sulphate in urine, which is a potential biomarker for earl</w:t>
      </w:r>
      <w:r w:rsidR="00081732">
        <w:t>y clinical detection of diabetic</w:t>
      </w:r>
      <w:r w:rsidR="009A7933">
        <w:t xml:space="preserve"> nephropathy</w:t>
      </w:r>
      <w:r w:rsidR="00823E00">
        <w:t>.</w:t>
      </w:r>
      <w:r w:rsidR="00351BAA">
        <w:br w:type="page"/>
      </w:r>
    </w:p>
    <w:p w:rsidR="00AA651B" w:rsidRPr="00AF57B4" w:rsidRDefault="00351BAA" w:rsidP="00AA651B">
      <w:pPr>
        <w:pStyle w:val="Title1"/>
        <w:jc w:val="left"/>
        <w:rPr>
          <w:rFonts w:ascii="Arial" w:eastAsia="Calibri" w:hAnsi="Arial" w:cs="Arial"/>
          <w:lang w:val="en-US"/>
        </w:rPr>
      </w:pPr>
      <w:r w:rsidRPr="00AF57B4">
        <w:rPr>
          <w:rFonts w:ascii="Arial" w:eastAsia="Calibri" w:hAnsi="Arial" w:cs="Arial"/>
          <w:b/>
          <w:lang w:val="en-US"/>
        </w:rPr>
        <w:lastRenderedPageBreak/>
        <w:t>Chapter Four</w:t>
      </w:r>
      <w:r w:rsidRPr="00AF57B4">
        <w:rPr>
          <w:rFonts w:ascii="Arial" w:eastAsia="Calibri" w:hAnsi="Arial" w:cs="Arial"/>
          <w:sz w:val="48"/>
          <w:szCs w:val="48"/>
          <w:lang w:val="en-US"/>
        </w:rPr>
        <w:br/>
      </w:r>
      <w:r w:rsidRPr="00AF57B4">
        <w:rPr>
          <w:rFonts w:ascii="Arial" w:eastAsia="Calibri" w:hAnsi="Arial" w:cs="Arial"/>
          <w:lang w:val="en-US"/>
        </w:rPr>
        <w:t>Results</w:t>
      </w:r>
      <w:r w:rsidR="00AA651B" w:rsidRPr="00AF57B4">
        <w:rPr>
          <w:rFonts w:ascii="Arial" w:eastAsia="Calibri" w:hAnsi="Arial" w:cs="Arial"/>
          <w:lang w:val="en-US"/>
        </w:rPr>
        <w:t>:</w:t>
      </w:r>
      <w:r w:rsidR="00265924" w:rsidRPr="00AF57B4">
        <w:rPr>
          <w:rFonts w:ascii="Arial" w:eastAsia="Calibri" w:hAnsi="Arial" w:cs="Arial"/>
          <w:lang w:val="en-US"/>
        </w:rPr>
        <w:t xml:space="preserve"> </w:t>
      </w:r>
      <w:r w:rsidR="00AA651B" w:rsidRPr="00AF57B4">
        <w:rPr>
          <w:rFonts w:ascii="Arial" w:eastAsia="Calibri" w:hAnsi="Arial" w:cs="Arial"/>
          <w:lang w:val="en-US"/>
        </w:rPr>
        <w:t xml:space="preserve">Histomorphological assessment of the effect of </w:t>
      </w:r>
      <w:r w:rsidR="00AF57B4">
        <w:rPr>
          <w:rFonts w:ascii="Arial" w:eastAsia="Calibri" w:hAnsi="Arial" w:cs="Arial"/>
          <w:lang w:val="en-US"/>
        </w:rPr>
        <w:t xml:space="preserve">      </w:t>
      </w:r>
      <w:r w:rsidR="00AA651B" w:rsidRPr="00AF57B4">
        <w:rPr>
          <w:rFonts w:ascii="Arial" w:eastAsia="Calibri" w:hAnsi="Arial" w:cs="Arial"/>
          <w:lang w:val="en-US"/>
        </w:rPr>
        <w:t>UK-396082 in renal fibrosis</w:t>
      </w:r>
    </w:p>
    <w:p w:rsidR="009A7933" w:rsidRDefault="009A7933" w:rsidP="00AA651B">
      <w:r>
        <w:t xml:space="preserve">   </w:t>
      </w:r>
    </w:p>
    <w:p w:rsidR="00616C71" w:rsidRDefault="009A7933" w:rsidP="00616C71">
      <w:pPr>
        <w:pStyle w:val="Heading3"/>
        <w:ind w:firstLine="720"/>
      </w:pPr>
      <w:r>
        <w:br w:type="page"/>
      </w:r>
      <w:bookmarkStart w:id="358" w:name="_Toc506232391"/>
      <w:r w:rsidR="00616C71">
        <w:lastRenderedPageBreak/>
        <w:t>4.0 Renal histology</w:t>
      </w:r>
      <w:bookmarkEnd w:id="358"/>
      <w:r w:rsidR="00616C71">
        <w:t xml:space="preserve">  </w:t>
      </w:r>
    </w:p>
    <w:p w:rsidR="00616C71" w:rsidRPr="00616C71" w:rsidRDefault="00616C71" w:rsidP="00616C71">
      <w:pPr>
        <w:pStyle w:val="Heading3"/>
        <w:ind w:firstLine="720"/>
      </w:pPr>
      <w:bookmarkStart w:id="359" w:name="_Toc506232392"/>
      <w:r w:rsidRPr="00616C71">
        <w:t>4.1 Haematoxylin and eosin (H&amp;E) stain</w:t>
      </w:r>
      <w:bookmarkEnd w:id="359"/>
      <w:r w:rsidRPr="00616C71">
        <w:t xml:space="preserve"> </w:t>
      </w:r>
    </w:p>
    <w:p w:rsidR="00616C71" w:rsidRDefault="00616C71" w:rsidP="00616C71">
      <w:pPr>
        <w:ind w:left="720"/>
      </w:pPr>
      <w:r>
        <w:t>This is a widely used stain and a gold standard in many laboratories and a useful diagnostic tool in medicine. Prior to the invention of the microscope clinicians were unclear about the causes and pathogenesis of renal disease. However, the invention of the microscope in 1650 allowed microscopic imaging to play a vital role in the investigation and diagnosis of renal pathology (Weening and Jennette, 2012). It was not until 1800 that heamatoxylin was first used to stain the cell (Titford, 2005) and over the years it has become the most widely used stain in combination with eosin (Gamble and Wilson, 2008). Its simplicity and ability to show tissue structures made it popular among pathologists. However, H&amp;E is less specific when compared with speciality staining like immunohistochemistry and some cell types cannot be identified with H&amp;E which in some instances makes it an inconclusive diagnostic tool. The technique is also subject to human error which can result in pale nuclei or poorly differentiated slides (</w:t>
      </w:r>
      <w:hyperlink r:id="rId101">
        <w:r>
          <w:t>http://mhpl.facilities.northwestern.edu/files/2013/10/The-Science-and-Application-of-Hematoxylin-and-Eosin-Staining-6-5-2012.pdf</w:t>
        </w:r>
      </w:hyperlink>
      <w:r>
        <w:t xml:space="preserve">). </w:t>
      </w:r>
    </w:p>
    <w:p w:rsidR="00616C71" w:rsidRDefault="00616C71" w:rsidP="00616C71">
      <w:pPr>
        <w:ind w:left="720"/>
      </w:pPr>
      <w:r>
        <w:t>New techniques are continuously introduced as old ones also get improved. In this study we compared the basic histological findings of excised right kidney at the beginning of the study (control) with the excised left kidney at the end of the study using H&amp;E, picrosirius red</w:t>
      </w:r>
      <w:r w:rsidR="009714C3">
        <w:t xml:space="preserve"> to measure collagen</w:t>
      </w:r>
      <w:r>
        <w:t xml:space="preserve"> and Masson’s trichrome</w:t>
      </w:r>
      <w:r w:rsidR="00EB0588">
        <w:t xml:space="preserve"> to discriminate</w:t>
      </w:r>
      <w:r w:rsidR="00EB0588" w:rsidRPr="00EB0588">
        <w:t xml:space="preserve"> between muscl</w:t>
      </w:r>
      <w:r w:rsidR="00EB0588">
        <w:t>e and collagen</w:t>
      </w:r>
      <w:r>
        <w:t xml:space="preserve">.  </w:t>
      </w:r>
    </w:p>
    <w:p w:rsidR="003B4410" w:rsidRDefault="00616C71" w:rsidP="00616C71">
      <w:pPr>
        <w:ind w:left="720"/>
      </w:pPr>
      <w:r>
        <w:t>Control kidneys of the diseased, prophy</w:t>
      </w:r>
      <w:r w:rsidR="009D17CB">
        <w:t>laxis and treatment groups ha</w:t>
      </w:r>
      <w:r>
        <w:t>d similar findings, there was no glomerular hypertrophy, inflammation, tubular</w:t>
      </w:r>
      <w:r w:rsidR="003B4410">
        <w:t xml:space="preserve"> dilatation</w:t>
      </w:r>
      <w:r w:rsidR="009B2F27">
        <w:t xml:space="preserve"> (TD)</w:t>
      </w:r>
      <w:r w:rsidR="003B4410">
        <w:t xml:space="preserve"> or fibrosis present</w:t>
      </w:r>
      <w:r>
        <w:t xml:space="preserve"> (Fig 4.1a, </w:t>
      </w:r>
      <w:r w:rsidR="00165781">
        <w:t>4.1c and Fig 4.1e). Fig 4</w:t>
      </w:r>
      <w:r>
        <w:t xml:space="preserve">.1b </w:t>
      </w:r>
      <w:r w:rsidR="003B4410">
        <w:t>(diseased kidney from the diseased group), with</w:t>
      </w:r>
      <w:r>
        <w:t xml:space="preserve"> moderate interst</w:t>
      </w:r>
      <w:r w:rsidR="003B4410">
        <w:t>itial fibrosis (black arrow),</w:t>
      </w:r>
      <w:r>
        <w:t xml:space="preserve"> mild inflammation and tubular dilatation</w:t>
      </w:r>
      <w:r w:rsidR="003B4410">
        <w:t xml:space="preserve"> (blue TD)</w:t>
      </w:r>
      <w:r>
        <w:t xml:space="preserve">. There are degenerative/regenerative tubules which are </w:t>
      </w:r>
      <w:r>
        <w:lastRenderedPageBreak/>
        <w:t xml:space="preserve">smaller with small lumen (blue T). The glomerular mesangium are thicker with thickened Bowman’s capsule.  </w:t>
      </w:r>
    </w:p>
    <w:p w:rsidR="009B2F27" w:rsidRDefault="00616C71" w:rsidP="00616C71">
      <w:pPr>
        <w:ind w:left="720"/>
      </w:pPr>
      <w:r>
        <w:t xml:space="preserve">Fig 4.1d </w:t>
      </w:r>
      <w:r w:rsidR="003B4410">
        <w:t xml:space="preserve">(diseased kidney from the prophylaxis group) </w:t>
      </w:r>
      <w:r>
        <w:t>shows minimal inflammation and</w:t>
      </w:r>
      <w:r w:rsidR="00425FD9">
        <w:t xml:space="preserve"> mild tubular dilatation (blue</w:t>
      </w:r>
      <w:r>
        <w:t xml:space="preserve"> T</w:t>
      </w:r>
      <w:r w:rsidR="00425FD9">
        <w:t>D</w:t>
      </w:r>
      <w:r>
        <w:t xml:space="preserve">) </w:t>
      </w:r>
      <w:r w:rsidR="005A44B6">
        <w:t xml:space="preserve">with some degree of glomerular hypertrophy. </w:t>
      </w:r>
      <w:r>
        <w:t xml:space="preserve">The </w:t>
      </w:r>
      <w:r w:rsidR="005A44B6">
        <w:t xml:space="preserve">diseased kidney of the </w:t>
      </w:r>
      <w:r>
        <w:t>treatment group</w:t>
      </w:r>
      <w:r w:rsidR="005A44B6">
        <w:t xml:space="preserve"> (Fig 4.1f)</w:t>
      </w:r>
      <w:r>
        <w:t xml:space="preserve"> </w:t>
      </w:r>
      <w:r w:rsidR="005A44B6">
        <w:t>demonstrated</w:t>
      </w:r>
      <w:r>
        <w:t xml:space="preserve"> moderate interstitial fibrosis tubular dilatation (TD) glomerular hypertrophy and</w:t>
      </w:r>
      <w:r w:rsidR="005A44B6">
        <w:t xml:space="preserve"> mesangium thickening</w:t>
      </w:r>
      <w:r>
        <w:t>.</w:t>
      </w:r>
    </w:p>
    <w:p w:rsidR="009B2F27" w:rsidRDefault="009B2F27">
      <w:pPr>
        <w:spacing w:after="160" w:line="259" w:lineRule="auto"/>
        <w:jc w:val="left"/>
      </w:pPr>
      <w:r>
        <w:br w:type="page"/>
      </w:r>
    </w:p>
    <w:p w:rsidR="00616C71" w:rsidRDefault="00616C71" w:rsidP="00616C71">
      <w:pPr>
        <w:ind w:left="720"/>
      </w:pPr>
    </w:p>
    <w:p w:rsidR="00616C71" w:rsidRDefault="00616C71" w:rsidP="00B702A5">
      <w:pPr>
        <w:numPr>
          <w:ilvl w:val="0"/>
          <w:numId w:val="19"/>
        </w:numPr>
        <w:pBdr>
          <w:top w:val="nil"/>
          <w:left w:val="nil"/>
          <w:bottom w:val="nil"/>
          <w:right w:val="nil"/>
          <w:between w:val="nil"/>
        </w:pBdr>
        <w:spacing w:after="160"/>
        <w:ind w:hanging="360"/>
        <w:contextualSpacing/>
        <w:jc w:val="left"/>
        <w:rPr>
          <w:sz w:val="20"/>
          <w:szCs w:val="20"/>
        </w:rPr>
      </w:pPr>
      <w:r>
        <w:rPr>
          <w:noProof/>
          <w:lang w:eastAsia="en-GB"/>
        </w:rPr>
        <w:drawing>
          <wp:inline distT="0" distB="0" distL="0" distR="0" wp14:anchorId="7F47C772" wp14:editId="7FBB4F9B">
            <wp:extent cx="3934800" cy="3146400"/>
            <wp:effectExtent l="0" t="0" r="0" b="0"/>
            <wp:docPr id="39" name="image79.png" descr="C:\Users\UOS\Desktop\New folder (3)\Rat 09 Right kideny X20-sc.tif"/>
            <wp:cNvGraphicFramePr/>
            <a:graphic xmlns:a="http://schemas.openxmlformats.org/drawingml/2006/main">
              <a:graphicData uri="http://schemas.openxmlformats.org/drawingml/2006/picture">
                <pic:pic xmlns:pic="http://schemas.openxmlformats.org/drawingml/2006/picture">
                  <pic:nvPicPr>
                    <pic:cNvPr id="0" name="image79.png" descr="C:\Users\UOS\Desktop\New folder (3)\Rat 09 Right kideny X20-sc.tif"/>
                    <pic:cNvPicPr preferRelativeResize="0"/>
                  </pic:nvPicPr>
                  <pic:blipFill>
                    <a:blip r:embed="rId102"/>
                    <a:srcRect/>
                    <a:stretch>
                      <a:fillRect/>
                    </a:stretch>
                  </pic:blipFill>
                  <pic:spPr>
                    <a:xfrm>
                      <a:off x="0" y="0"/>
                      <a:ext cx="3934800" cy="3146400"/>
                    </a:xfrm>
                    <a:prstGeom prst="rect">
                      <a:avLst/>
                    </a:prstGeom>
                    <a:ln/>
                  </pic:spPr>
                </pic:pic>
              </a:graphicData>
            </a:graphic>
          </wp:inline>
        </w:drawing>
      </w:r>
      <w:r>
        <w:rPr>
          <w:noProof/>
          <w:lang w:eastAsia="en-GB"/>
        </w:rPr>
        <mc:AlternateContent>
          <mc:Choice Requires="wps">
            <w:drawing>
              <wp:anchor distT="0" distB="0" distL="114300" distR="114300" simplePos="0" relativeHeight="251740160" behindDoc="0" locked="0" layoutInCell="1" hidden="0" allowOverlap="1" wp14:anchorId="4FE9EAD0" wp14:editId="5BE210FE">
                <wp:simplePos x="0" y="0"/>
                <wp:positionH relativeFrom="margin">
                  <wp:posOffset>431800</wp:posOffset>
                </wp:positionH>
                <wp:positionV relativeFrom="paragraph">
                  <wp:posOffset>406400</wp:posOffset>
                </wp:positionV>
                <wp:extent cx="800100" cy="558800"/>
                <wp:effectExtent l="0" t="0" r="0" b="0"/>
                <wp:wrapNone/>
                <wp:docPr id="107" name="Rectangle 107"/>
                <wp:cNvGraphicFramePr/>
                <a:graphic xmlns:a="http://schemas.openxmlformats.org/drawingml/2006/main">
                  <a:graphicData uri="http://schemas.microsoft.com/office/word/2010/wordprocessingShape">
                    <wps:wsp>
                      <wps:cNvSpPr/>
                      <wps:spPr>
                        <a:xfrm>
                          <a:off x="4944998" y="3501869"/>
                          <a:ext cx="802004" cy="55626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FFFF00"/>
                                <w:sz w:val="40"/>
                              </w:rPr>
                              <w:t>G</w:t>
                            </w:r>
                          </w:p>
                        </w:txbxContent>
                      </wps:txbx>
                      <wps:bodyPr lIns="88900" tIns="38100" rIns="88900" bIns="38100" anchor="t" anchorCtr="0"/>
                    </wps:wsp>
                  </a:graphicData>
                </a:graphic>
              </wp:anchor>
            </w:drawing>
          </mc:Choice>
          <mc:Fallback>
            <w:pict>
              <v:rect w14:anchorId="4FE9EAD0" id="Rectangle 107" o:spid="_x0000_s1045" style="position:absolute;left:0;text-align:left;margin-left:34pt;margin-top:32pt;width:63pt;height:44pt;z-index:251740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TcswEAAE4DAAAOAAAAZHJzL2Uyb0RvYy54bWysU8tu2zAQvBfoPxC815Qd25UEyzk0SFGg&#10;aIOm+QCaIi0CJJcgWUv++y4pJ3HbW5ELtS/Mzs6udreTNeQkQ9TgOrpcVJRIJ6DX7tjRp5/3H2pK&#10;YuKu5wac7OhZRnq7f/9uN/pWrmAA08tAEMTFdvQdHVLyLWNRDNLyuAAvHSYVBMsTuuHI+sBHRLeG&#10;rapqy0YIvQ8gZIwYvZuTdF/wlZIifVcqykRMR5FbKm8o7yG/bL/j7TFwP2hxocH/g4Xl2mHTF6g7&#10;njj5FfQ/UFaLABFUWgiwDJTSQpYZcJpl9dc0jwP3ssyC4kT/IlN8O1jx7fQQiO5xd9VHShy3uKQf&#10;KBt3RyNJDqJEo48tVj76h3DxIpp53kkFm784CZk6um7W66bBnZ87erOplvW2mSWWUyICC+oKt7am&#10;RGDBZrNdbcsK2CuQDzF9lmBJNjoakEoRlp++xoTNsfS5JPd1cK+NKVs07o8AFuYIy9xnttlK02Ga&#10;xy3EcugA/Rk1MF8c6lrXTZXvpDg39TI74TpzuM5wJwbAa0qUzOanVG4r88zQuLTC+HJg+Squ/VL1&#10;+hvsfwMAAP//AwBQSwMEFAAGAAgAAAAhAAz8O0/cAAAACQEAAA8AAABkcnMvZG93bnJldi54bWxM&#10;T8tOwzAQvCPxD9ZW6o06fVCVEKcqSPSCONDyAU68JFbjdYidNPD1bE5wmlnNaHYm24+uEQN2wXpS&#10;sFwkIJBKbyxVCj7OL3c7ECFqMrrxhAq+McA+v73JdGr8ld5xOMVKcAiFVCuoY2xTKUNZo9Nh4Vsk&#10;1j5953Tks6uk6fSVw10jV0mylU5b4g+1bvG5xvJy6p2C4afdPB2t8ZfD19tYvPbH9dk6peaz8fAI&#10;IuIY/8ww1efqkHOnwvdkgmgUbHc8JTJuGCf9YSIFk/tVAjLP5P8F+S8AAAD//wMAUEsBAi0AFAAG&#10;AAgAAAAhALaDOJL+AAAA4QEAABMAAAAAAAAAAAAAAAAAAAAAAFtDb250ZW50X1R5cGVzXS54bWxQ&#10;SwECLQAUAAYACAAAACEAOP0h/9YAAACUAQAACwAAAAAAAAAAAAAAAAAvAQAAX3JlbHMvLnJlbHNQ&#10;SwECLQAUAAYACAAAACEAF0SE3LMBAABOAwAADgAAAAAAAAAAAAAAAAAuAgAAZHJzL2Uyb0RvYy54&#10;bWxQSwECLQAUAAYACAAAACEADPw7T9wAAAAJAQAADwAAAAAAAAAAAAAAAAANBAAAZHJzL2Rvd25y&#10;ZXYueG1sUEsFBgAAAAAEAAQA8wAAABYFAAAAAA==&#10;" filled="f" stroked="f">
                <v:textbox inset="7pt,3pt,7pt,3pt">
                  <w:txbxContent>
                    <w:p w:rsidR="00AD6A02" w:rsidRDefault="00AD6A02" w:rsidP="00616C71">
                      <w:pPr>
                        <w:spacing w:after="0"/>
                        <w:ind w:firstLine="720"/>
                        <w:textDirection w:val="btLr"/>
                      </w:pPr>
                      <w:r>
                        <w:rPr>
                          <w:rFonts w:ascii="Calibri" w:eastAsia="Calibri" w:hAnsi="Calibri" w:cs="Calibri"/>
                          <w:b/>
                          <w:color w:val="FFFF00"/>
                          <w:sz w:val="40"/>
                        </w:rPr>
                        <w:t>G</w:t>
                      </w:r>
                    </w:p>
                  </w:txbxContent>
                </v:textbox>
                <w10:wrap anchorx="margin"/>
              </v:rect>
            </w:pict>
          </mc:Fallback>
        </mc:AlternateContent>
      </w:r>
      <w:r>
        <w:rPr>
          <w:noProof/>
          <w:lang w:eastAsia="en-GB"/>
        </w:rPr>
        <mc:AlternateContent>
          <mc:Choice Requires="wps">
            <w:drawing>
              <wp:anchor distT="0" distB="0" distL="114300" distR="114300" simplePos="0" relativeHeight="251741184" behindDoc="0" locked="0" layoutInCell="1" hidden="0" allowOverlap="1" wp14:anchorId="0AB2BB8A" wp14:editId="05D159C1">
                <wp:simplePos x="0" y="0"/>
                <wp:positionH relativeFrom="margin">
                  <wp:posOffset>3124200</wp:posOffset>
                </wp:positionH>
                <wp:positionV relativeFrom="paragraph">
                  <wp:posOffset>1841500</wp:posOffset>
                </wp:positionV>
                <wp:extent cx="342900" cy="558800"/>
                <wp:effectExtent l="0" t="0" r="0" b="0"/>
                <wp:wrapNone/>
                <wp:docPr id="262" name="Rectangle 262"/>
                <wp:cNvGraphicFramePr/>
                <a:graphic xmlns:a="http://schemas.openxmlformats.org/drawingml/2006/main">
                  <a:graphicData uri="http://schemas.microsoft.com/office/word/2010/wordprocessingShape">
                    <wps:wsp>
                      <wps:cNvSpPr/>
                      <wps:spPr>
                        <a:xfrm>
                          <a:off x="5173598" y="3501869"/>
                          <a:ext cx="344805"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40"/>
                              </w:rPr>
                              <w:t>G</w:t>
                            </w:r>
                          </w:p>
                        </w:txbxContent>
                      </wps:txbx>
                      <wps:bodyPr lIns="88900" tIns="38100" rIns="88900" bIns="38100" anchor="t" anchorCtr="0"/>
                    </wps:wsp>
                  </a:graphicData>
                </a:graphic>
              </wp:anchor>
            </w:drawing>
          </mc:Choice>
          <mc:Fallback>
            <w:pict>
              <v:rect w14:anchorId="0AB2BB8A" id="Rectangle 262" o:spid="_x0000_s1046" style="position:absolute;left:0;text-align:left;margin-left:246pt;margin-top:145pt;width:27pt;height:44pt;z-index:251741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QlswEAAE4DAAAOAAAAZHJzL2Uyb0RvYy54bWysU8lu2zAQvRfIPxC811ocqbJgOocGKQoU&#10;bZDlA2iKtAhwA8lY8t93SDmJ296KXKjZ8ObNm9H2ZtYKHbkP0hqCq1WJETfMDtIcCH5+uvvcYRQi&#10;NQNV1nCCTzzgm93Vp+3kel7b0aqBewQgJvSTI3iM0fVFEdjINQ0r67iBpLBe0wiuPxSDpxOga1XU&#10;ZdkWk/WD85bxECB6uyTxLuMLwVn8JUTgESmCgVvMr8/vPr3Fbkv7g6dulOxMg/4HC02lgaZvULc0&#10;UvTi5T9QWjJvgxVxxawurBCS8TwDTFOVf03zOFLH8ywgTnBvMoWPg2U/j/ceyYHguq0xMlTDkh5A&#10;NmoOiqMUBIkmF3qofHT3/uwFMNO8s/A6fWESNBPcVF/WzQZ2fiJ43ZRV124WifkcEYOC9fV1VzYY&#10;MShomrZu8wqKdyDnQ/zGrUbJINgDlSwsPf4IEZpD6WtJ6mvsnVQqb1GZPwJQmCJF4r6wTVac9/My&#10;bm6cQns7nEAD9d2Arl23KdOdZGfdVcnxl5n9ZYYaNlq4pojRYn6N+bYSzwQNS8uMzweWruLSz1Xv&#10;v8HuNwAAAP//AwBQSwMEFAAGAAgAAAAhAP+y92HgAAAACwEAAA8AAABkcnMvZG93bnJldi54bWxM&#10;j8FOwzAQRO9I/IO1SNyoQxpKG+JUBYleEAdaPsCJl8RqvA6xkwa+nuUEtxntaPZNsZ1dJyYcgvWk&#10;4HaRgECqvbHUKHg/Pt+sQYSoyejOEyr4wgDb8vKi0LnxZ3rD6RAbwSUUcq2gjbHPpQx1i06Hhe+R&#10;+PbhB6cj26GRZtBnLnedTJNkJZ22xB9a3eNTi/XpMDoF03efPe6t8afd5+tcvYz75dE6pa6v5t0D&#10;iIhz/AvDLz6jQ8lMlR/JBNEpyDYpb4kK0k3CghN32YpFpWB5v05AloX8v6H8AQAA//8DAFBLAQIt&#10;ABQABgAIAAAAIQC2gziS/gAAAOEBAAATAAAAAAAAAAAAAAAAAAAAAABbQ29udGVudF9UeXBlc10u&#10;eG1sUEsBAi0AFAAGAAgAAAAhADj9If/WAAAAlAEAAAsAAAAAAAAAAAAAAAAALwEAAF9yZWxzLy5y&#10;ZWxzUEsBAi0AFAAGAAgAAAAhAK5sRCWzAQAATgMAAA4AAAAAAAAAAAAAAAAALgIAAGRycy9lMm9E&#10;b2MueG1sUEsBAi0AFAAGAAgAAAAhAP+y92HgAAAACwEAAA8AAAAAAAAAAAAAAAAADQQAAGRycy9k&#10;b3ducmV2LnhtbFBLBQYAAAAABAAEAPMAAAAaBQAAAAA=&#10;" filled="f" stroked="f">
                <v:textbox inset="7pt,3pt,7pt,3pt">
                  <w:txbxContent>
                    <w:p w:rsidR="00AD6A02" w:rsidRDefault="00AD6A02" w:rsidP="00616C71">
                      <w:pPr>
                        <w:spacing w:after="0"/>
                        <w:textDirection w:val="btLr"/>
                      </w:pPr>
                      <w:r>
                        <w:rPr>
                          <w:rFonts w:ascii="Calibri" w:eastAsia="Calibri" w:hAnsi="Calibri" w:cs="Calibri"/>
                          <w:b/>
                          <w:color w:val="FFFF00"/>
                          <w:sz w:val="40"/>
                        </w:rPr>
                        <w:t>G</w:t>
                      </w:r>
                    </w:p>
                  </w:txbxContent>
                </v:textbox>
                <w10:wrap anchorx="margin"/>
              </v:rect>
            </w:pict>
          </mc:Fallback>
        </mc:AlternateContent>
      </w:r>
      <w:r>
        <w:rPr>
          <w:noProof/>
          <w:lang w:eastAsia="en-GB"/>
        </w:rPr>
        <mc:AlternateContent>
          <mc:Choice Requires="wps">
            <w:drawing>
              <wp:anchor distT="0" distB="0" distL="114300" distR="114300" simplePos="0" relativeHeight="251742208" behindDoc="0" locked="0" layoutInCell="1" hidden="0" allowOverlap="1" wp14:anchorId="4B6CF291" wp14:editId="2DA27A05">
                <wp:simplePos x="0" y="0"/>
                <wp:positionH relativeFrom="margin">
                  <wp:posOffset>2235200</wp:posOffset>
                </wp:positionH>
                <wp:positionV relativeFrom="paragraph">
                  <wp:posOffset>2476500</wp:posOffset>
                </wp:positionV>
                <wp:extent cx="685800" cy="38100"/>
                <wp:effectExtent l="0" t="0" r="0" b="0"/>
                <wp:wrapNone/>
                <wp:docPr id="147" name="Freeform 147"/>
                <wp:cNvGraphicFramePr/>
                <a:graphic xmlns:a="http://schemas.openxmlformats.org/drawingml/2006/main">
                  <a:graphicData uri="http://schemas.microsoft.com/office/word/2010/wordprocessingShape">
                    <wps:wsp>
                      <wps:cNvSpPr/>
                      <wps:spPr>
                        <a:xfrm>
                          <a:off x="5003100" y="3780000"/>
                          <a:ext cx="685799" cy="0"/>
                        </a:xfrm>
                        <a:custGeom>
                          <a:avLst/>
                          <a:gdLst/>
                          <a:ahLst/>
                          <a:cxnLst/>
                          <a:rect l="0" t="0" r="0" b="0"/>
                          <a:pathLst>
                            <a:path w="685800" h="1" extrusionOk="0">
                              <a:moveTo>
                                <a:pt x="0" y="0"/>
                              </a:moveTo>
                              <a:lnTo>
                                <a:pt x="685800" y="0"/>
                              </a:lnTo>
                            </a:path>
                          </a:pathLst>
                        </a:custGeom>
                        <a:solidFill>
                          <a:srgbClr val="FFFFFF"/>
                        </a:solidFill>
                        <a:ln w="38100" cap="flat" cmpd="sng">
                          <a:solidFill>
                            <a:srgbClr val="92D050"/>
                          </a:solidFill>
                          <a:prstDash val="solid"/>
                          <a:miter/>
                          <a:headEnd type="none" w="med" len="med"/>
                          <a:tailEnd type="triangle" w="lg" len="lg"/>
                        </a:ln>
                      </wps:spPr>
                      <wps:bodyPr lIns="91425" tIns="91425" rIns="91425" bIns="91425" anchor="ctr" anchorCtr="0"/>
                    </wps:wsp>
                  </a:graphicData>
                </a:graphic>
              </wp:anchor>
            </w:drawing>
          </mc:Choice>
          <mc:Fallback>
            <w:pict>
              <v:shape w14:anchorId="5EE4F207" id="Freeform 147" o:spid="_x0000_s1026" style="position:absolute;margin-left:176pt;margin-top:195pt;width:54pt;height:3pt;z-index:251742208;visibility:visible;mso-wrap-style:square;mso-wrap-distance-left:9pt;mso-wrap-distance-top:0;mso-wrap-distance-right:9pt;mso-wrap-distance-bottom:0;mso-position-horizontal:absolute;mso-position-horizontal-relative:margin;mso-position-vertical:absolute;mso-position-vertical-relative:text;v-text-anchor:middle" coordsize="685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07OVgIAAPAEAAAOAAAAZHJzL2Uyb0RvYy54bWysVNuO2jAQfa/Uf7D8XhJg2YWIsA9LqSpV&#10;3ZV2+wGD4yRWfZNtSPj7jh1YQiv1oWoekpn4eHzOXLx+7JUkR+68MLqk00lOCdfMVEI3Jf3xtvu0&#10;pMQH0BVIo3lJT9zTx83HD+vOFnxmWiMr7ggG0b7obEnbEGyRZZ61XIGfGMs1LtbGKQjouiarHHQY&#10;Xclsluf3WWdcZZ1h3Hv8ux0W6SbFr2vOwnNdex6ILClyC+nt0nsf39lmDUXjwLaCnWnAP7BQIDQe&#10;+h5qCwHIwYk/QinBnPGmDhNmVGbqWjCeNKCaaf6bmtcWLE9aMDnevqfJ/7+w7PvxxRFRYe3uHijR&#10;oLBIO8d5TDmJ/zBDnfUFAl/tizt7Hs0ot6+dil8UQvqSLvJ8Ps0xz6eSzh+WOT5DhnkfCEPA/XLx&#10;sFpRwhCQlrJrDHbw4Qs3KR4cv/kw1Ka6WNBeLNbri+mwwn+trYUQ90WS0SRdIoHUKGlRNLZrH9wh&#10;tu/zz8gpApU58jeTtoQoaxB04XtdlXqMQm0p7EjaAECN8ejN+mwkOmiPBXsjRbUTUsZTvWv2T9KR&#10;I2DX7tIT04hbbmBSRzXzZco4A5yeWkLA5CqL9fS6SWJuttxEXs22+eKi6gZmnQ9b8O3AIC0NdVQi&#10;8NgDULQcqs+6IuFksWM0DjeNbBSvKJEc74JoJWQAIa/I4AToRg5o2ZzBaAwCpUadsd+GDovW3lQn&#10;7FH5VWPfr6Z3swXO8dhxY2c/dkCz1uC0s+AoGZynkKY/nhaD41ilxJ6vgDi3Yz+hrhfV5hcAAAD/&#10;/wMAUEsDBBQABgAIAAAAIQBod54v2wAAAAsBAAAPAAAAZHJzL2Rvd25yZXYueG1sTI9BTsMwEEX3&#10;SNzBGiQ2FbUpNIIQp0IFDkDbA7jxNI4ajyPbacPtmaxg92fm68/71WbyvbhgTF0gDY9LBQKpCbaj&#10;VsNh//XwAiJlQ9b0gVDDDybY1Lc3lSltuNI3Xna5FRxCqTQaXM5DKWVqHHqTlmFA4tspRG8yj7GV&#10;Nporh/terpQqpDcd8QdnBtw6bM670WtYu8Xn9uMwoW8xn2yMC3/Oo9b3d9P7G4iMU/4zw4zP6FAz&#10;0zGMZJPoNTytV9wls3hVLNjxXMziOG8KBbKu5P8O9S8AAAD//wMAUEsBAi0AFAAGAAgAAAAhALaD&#10;OJL+AAAA4QEAABMAAAAAAAAAAAAAAAAAAAAAAFtDb250ZW50X1R5cGVzXS54bWxQSwECLQAUAAYA&#10;CAAAACEAOP0h/9YAAACUAQAACwAAAAAAAAAAAAAAAAAvAQAAX3JlbHMvLnJlbHNQSwECLQAUAAYA&#10;CAAAACEALANOzlYCAADwBAAADgAAAAAAAAAAAAAAAAAuAgAAZHJzL2Uyb0RvYy54bWxQSwECLQAU&#10;AAYACAAAACEAaHeeL9sAAAALAQAADwAAAAAAAAAAAAAAAACwBAAAZHJzL2Rvd25yZXYueG1sUEsF&#10;BgAAAAAEAAQA8wAAALgFAAAAAA==&#10;" path="m,l685800,e" strokecolor="#92d050" strokeweight="3pt">
                <v:stroke endarrow="block" endarrowwidth="wide" endarrowlength="long" joinstyle="miter"/>
                <v:path arrowok="t" o:extrusionok="f" textboxrect="0,0,685800,1"/>
                <w10:wrap anchorx="margin"/>
              </v:shape>
            </w:pict>
          </mc:Fallback>
        </mc:AlternateContent>
      </w:r>
      <w:r>
        <w:rPr>
          <w:noProof/>
          <w:lang w:eastAsia="en-GB"/>
        </w:rPr>
        <mc:AlternateContent>
          <mc:Choice Requires="wps">
            <w:drawing>
              <wp:anchor distT="0" distB="0" distL="114300" distR="114300" simplePos="0" relativeHeight="251743232" behindDoc="0" locked="0" layoutInCell="1" hidden="0" allowOverlap="1" wp14:anchorId="4D2FE762" wp14:editId="41CC8513">
                <wp:simplePos x="0" y="0"/>
                <wp:positionH relativeFrom="margin">
                  <wp:posOffset>3022600</wp:posOffset>
                </wp:positionH>
                <wp:positionV relativeFrom="paragraph">
                  <wp:posOffset>1168400</wp:posOffset>
                </wp:positionV>
                <wp:extent cx="317500" cy="558800"/>
                <wp:effectExtent l="0" t="0" r="0" b="0"/>
                <wp:wrapNone/>
                <wp:docPr id="108" name="Rectangle 108"/>
                <wp:cNvGraphicFramePr/>
                <a:graphic xmlns:a="http://schemas.openxmlformats.org/drawingml/2006/main">
                  <a:graphicData uri="http://schemas.microsoft.com/office/word/2010/wordprocessingShape">
                    <wps:wsp>
                      <wps:cNvSpPr/>
                      <wps:spPr>
                        <a:xfrm>
                          <a:off x="5191378" y="3501869"/>
                          <a:ext cx="309244"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40"/>
                              </w:rPr>
                              <w:t>T</w:t>
                            </w:r>
                          </w:p>
                        </w:txbxContent>
                      </wps:txbx>
                      <wps:bodyPr lIns="88900" tIns="38100" rIns="88900" bIns="38100" anchor="t" anchorCtr="0"/>
                    </wps:wsp>
                  </a:graphicData>
                </a:graphic>
              </wp:anchor>
            </w:drawing>
          </mc:Choice>
          <mc:Fallback>
            <w:pict>
              <v:rect w14:anchorId="4D2FE762" id="Rectangle 108" o:spid="_x0000_s1047" style="position:absolute;left:0;text-align:left;margin-left:238pt;margin-top:92pt;width:25pt;height:44pt;z-index:251743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xrsswEAAE4DAAAOAAAAZHJzL2Uyb0RvYy54bWysU8tu2zAQvBfoPxC815Tk2JUFyzk0SFGg&#10;aIOm+QCaIi0CfGHJWvLfd0k7idveilyofWF2Z3a1vZ2tIUcJUXvX03pRUSKd8IN2h54+/bz/0FIS&#10;E3cDN97Jnp5kpLe79++2U+hk40dvBgkEQVzsptDTMaXQMRbFKC2PCx+kw6TyYHlCFw5sAD4hujWs&#10;qao1mzwMAbyQMWL07pyku4KvlBTpu1JRJmJ6irOl8kJ59/lluy3vDsDDqMVlDP4fU1iuHTZ9gbrj&#10;iZNfoP+BslqAj16lhfCWeaW0kIUDsqmrv9g8jjzIwgXFieFFpvh2sOLb8QGIHnB3Fa7KcYtL+oGy&#10;cXcwkuQgSjSF2GHlY3iAixfRzHxnBTZ/kQmZe7qqN/XyIwKderpcVXW73pwllnMiAguW1aa5uaFE&#10;YMFqtW7WZQXsFShATJ+ltyQbPQUcpQjLj19jwuZY+lyS+zp/r40pWzTujwAW5gjLs5+nzVaa93Oh&#10;29TPxPZ+OKEG5otDXdt2U+U7Kc6yrbMD15n9dYY7MXq8pkTJ2fyUym3lOXM3XFqZ+HJg+Squ/VL1&#10;+hvsfgMAAP//AwBQSwMEFAAGAAgAAAAhAOdbwlLfAAAACwEAAA8AAABkcnMvZG93bnJldi54bWxM&#10;j8FOwzAQRO9I/IO1SNyoQwhtFeJUBYleEAdaPsCJl8RqvA6xkwa+nu2p3HZ3RrNvis3sOjHhEKwn&#10;BfeLBARS7Y2lRsHn4fVuDSJETUZ3nlDBDwbYlNdXhc6NP9EHTvvYCA6hkGsFbYx9LmWoW3Q6LHyP&#10;xNqXH5yOvA6NNIM+cbjrZJokS+m0Jf7Q6h5fWqyP+9EpmH777HlnjT9uv9/n6m3cPRysU+r2Zt4+&#10;gYg4x4sZzviMDiUzVX4kE0SnIFstuUtkYZ3xwI7H9HypFKSrNAFZFvJ/h/IPAAD//wMAUEsBAi0A&#10;FAAGAAgAAAAhALaDOJL+AAAA4QEAABMAAAAAAAAAAAAAAAAAAAAAAFtDb250ZW50X1R5cGVzXS54&#10;bWxQSwECLQAUAAYACAAAACEAOP0h/9YAAACUAQAACwAAAAAAAAAAAAAAAAAvAQAAX3JlbHMvLnJl&#10;bHNQSwECLQAUAAYACAAAACEAau8a7LMBAABOAwAADgAAAAAAAAAAAAAAAAAuAgAAZHJzL2Uyb0Rv&#10;Yy54bWxQSwECLQAUAAYACAAAACEA51vCUt8AAAALAQAADwAAAAAAAAAAAAAAAAANBAAAZHJzL2Rv&#10;d25yZXYueG1sUEsFBgAAAAAEAAQA8wAAABkFAAAAAA==&#10;" filled="f" stroked="f">
                <v:textbox inset="7pt,3pt,7pt,3pt">
                  <w:txbxContent>
                    <w:p w:rsidR="00AD6A02" w:rsidRDefault="00AD6A02" w:rsidP="00616C71">
                      <w:pPr>
                        <w:spacing w:after="0"/>
                        <w:textDirection w:val="btLr"/>
                      </w:pPr>
                      <w:r>
                        <w:rPr>
                          <w:rFonts w:ascii="Calibri" w:eastAsia="Calibri" w:hAnsi="Calibri" w:cs="Calibri"/>
                          <w:b/>
                          <w:color w:val="FFFF00"/>
                          <w:sz w:val="40"/>
                        </w:rPr>
                        <w:t>T</w:t>
                      </w:r>
                    </w:p>
                  </w:txbxContent>
                </v:textbox>
                <w10:wrap anchorx="margin"/>
              </v:rect>
            </w:pict>
          </mc:Fallback>
        </mc:AlternateContent>
      </w:r>
    </w:p>
    <w:p w:rsidR="00616C71" w:rsidRDefault="00616C71" w:rsidP="00616C71">
      <w:pPr>
        <w:spacing w:after="160"/>
      </w:pPr>
    </w:p>
    <w:p w:rsidR="00616C71" w:rsidRDefault="00616C71" w:rsidP="00616C71">
      <w:pPr>
        <w:spacing w:after="160"/>
      </w:pPr>
    </w:p>
    <w:p w:rsidR="00616C71" w:rsidRDefault="003B4410" w:rsidP="00B702A5">
      <w:pPr>
        <w:numPr>
          <w:ilvl w:val="0"/>
          <w:numId w:val="19"/>
        </w:numPr>
        <w:pBdr>
          <w:top w:val="nil"/>
          <w:left w:val="nil"/>
          <w:bottom w:val="nil"/>
          <w:right w:val="nil"/>
          <w:between w:val="nil"/>
        </w:pBdr>
        <w:spacing w:after="160"/>
        <w:ind w:hanging="360"/>
        <w:contextualSpacing/>
        <w:jc w:val="left"/>
        <w:rPr>
          <w:sz w:val="20"/>
          <w:szCs w:val="20"/>
        </w:rPr>
      </w:pPr>
      <w:r>
        <w:rPr>
          <w:noProof/>
          <w:lang w:eastAsia="en-GB"/>
        </w:rPr>
        <mc:AlternateContent>
          <mc:Choice Requires="wps">
            <w:drawing>
              <wp:anchor distT="0" distB="0" distL="114300" distR="114300" simplePos="0" relativeHeight="251747328" behindDoc="0" locked="0" layoutInCell="1" hidden="0" allowOverlap="1" wp14:anchorId="51F050A2" wp14:editId="0B522C59">
                <wp:simplePos x="0" y="0"/>
                <wp:positionH relativeFrom="margin">
                  <wp:posOffset>3403600</wp:posOffset>
                </wp:positionH>
                <wp:positionV relativeFrom="paragraph">
                  <wp:posOffset>374650</wp:posOffset>
                </wp:positionV>
                <wp:extent cx="774700" cy="558800"/>
                <wp:effectExtent l="0" t="0" r="0" b="0"/>
                <wp:wrapNone/>
                <wp:docPr id="106" name="Rectangle 106"/>
                <wp:cNvGraphicFramePr/>
                <a:graphic xmlns:a="http://schemas.openxmlformats.org/drawingml/2006/main">
                  <a:graphicData uri="http://schemas.microsoft.com/office/word/2010/wordprocessingShape">
                    <wps:wsp>
                      <wps:cNvSpPr/>
                      <wps:spPr>
                        <a:xfrm>
                          <a:off x="0" y="0"/>
                          <a:ext cx="774700" cy="558800"/>
                        </a:xfrm>
                        <a:prstGeom prst="rect">
                          <a:avLst/>
                        </a:prstGeom>
                        <a:noFill/>
                        <a:ln>
                          <a:noFill/>
                        </a:ln>
                      </wps:spPr>
                      <wps:txbx>
                        <w:txbxContent>
                          <w:p w:rsidR="00AD6A02" w:rsidRPr="003B4410" w:rsidRDefault="00AD6A02" w:rsidP="00616C71">
                            <w:pPr>
                              <w:spacing w:after="0"/>
                              <w:ind w:firstLine="720"/>
                              <w:textDirection w:val="btLr"/>
                              <w:rPr>
                                <w:color w:val="5B9BD5" w:themeColor="accent1"/>
                              </w:rPr>
                            </w:pPr>
                            <w:r w:rsidRPr="003B4410">
                              <w:rPr>
                                <w:rFonts w:ascii="Calibri" w:eastAsia="Calibri" w:hAnsi="Calibri" w:cs="Calibri"/>
                                <w:b/>
                                <w:color w:val="5B9BD5" w:themeColor="accent1"/>
                                <w:sz w:val="40"/>
                              </w:rPr>
                              <w:t>T</w:t>
                            </w:r>
                          </w:p>
                        </w:txbxContent>
                      </wps:txbx>
                      <wps:bodyPr lIns="88900" tIns="38100" rIns="88900" bIns="38100" anchor="t" anchorCtr="0"/>
                    </wps:wsp>
                  </a:graphicData>
                </a:graphic>
              </wp:anchor>
            </w:drawing>
          </mc:Choice>
          <mc:Fallback>
            <w:pict>
              <v:rect w14:anchorId="51F050A2" id="Rectangle 106" o:spid="_x0000_s1048" style="position:absolute;left:0;text-align:left;margin-left:268pt;margin-top:29.5pt;width:61pt;height:44pt;z-index:251747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SaowEAAEIDAAAOAAAAZHJzL2Uyb0RvYy54bWysUk2P0zAQvSPxHyzfqdPCbkPUdA+sFiEh&#10;WLHwA6aO3ViyPZZtmvTfM3a73QI3xGUyX3kz73k2d7Oz7KBiMuh7vlw0nCkvcTB+3/Mf3x/etJyl&#10;DH4Ai171/KgSv9u+frWZQqdWOKIdVGQE4lM3hZ6POYdOiCRH5SAtMChPRY3RQaYw7sUQYSJ0Z8Wq&#10;aW7FhHEIEaVKibL3pyLfVnytlcxftU4qM9tz2i1XG6vdFSu2G+j2EcJo5HkN+IctHBhPQy9Q95CB&#10;/YzmLyhnZMSEOi8kOoFaG6kqB2KzbP5g8zRCUJULiZPCRab0/2Dll8NjZGagt2tuOfPg6JG+kWzg&#10;91axkiSJppA66nwKj/EcJXIL31lHV77EhM1V1uNFVjVnJim5Xr9bNyS+pNLNTduSTyji5ecQU/6o&#10;0LHi9DzS+ComHD6nfGp9bimzPD4YaykPnfW/JQizZETZ97Rh8fK8myvF1eqZzA6HI/G2nzxp2bbv&#10;y3q5Bm/bZQnidWV3XQEvR6QLypyd3A+53lPZs0yjh6rkzkdVLuE6rl0vp7/9BQAA//8DAFBLAwQU&#10;AAYACAAAACEATWtLDN8AAAAKAQAADwAAAGRycy9kb3ducmV2LnhtbEyPwU7DMBBE70j8g7VI3KgD&#10;bUMb4lQFiV5QD7R8gBNvE6vxOsROGvh6lhOcdlY7mn2TbybXihH7YD0puJ8lIJAqbyzVCj6Or3cr&#10;ECFqMrr1hAq+MMCmuL7KdWb8hd5xPMRacAiFTCtoYuwyKUPVoNNh5jskvp1873Tkta+l6fWFw10r&#10;H5IklU5b4g+N7vClwep8GJyC8btbPO+s8eft534q34bd/GidUrc30/YJRMQp/pnhF5/RoWCm0g9k&#10;gmgVLOcpd4ks1jzZkC5XLEp2Lh4TkEUu/1cofgAAAP//AwBQSwECLQAUAAYACAAAACEAtoM4kv4A&#10;AADhAQAAEwAAAAAAAAAAAAAAAAAAAAAAW0NvbnRlbnRfVHlwZXNdLnhtbFBLAQItABQABgAIAAAA&#10;IQA4/SH/1gAAAJQBAAALAAAAAAAAAAAAAAAAAC8BAABfcmVscy8ucmVsc1BLAQItABQABgAIAAAA&#10;IQBHDJSaowEAAEIDAAAOAAAAAAAAAAAAAAAAAC4CAABkcnMvZTJvRG9jLnhtbFBLAQItABQABgAI&#10;AAAAIQBNa0sM3wAAAAoBAAAPAAAAAAAAAAAAAAAAAP0DAABkcnMvZG93bnJldi54bWxQSwUGAAAA&#10;AAQABADzAAAACQUAAAAA&#10;" filled="f" stroked="f">
                <v:textbox inset="7pt,3pt,7pt,3pt">
                  <w:txbxContent>
                    <w:p w:rsidR="00AD6A02" w:rsidRPr="003B4410" w:rsidRDefault="00AD6A02" w:rsidP="00616C71">
                      <w:pPr>
                        <w:spacing w:after="0"/>
                        <w:ind w:firstLine="720"/>
                        <w:textDirection w:val="btLr"/>
                        <w:rPr>
                          <w:color w:val="5B9BD5" w:themeColor="accent1"/>
                        </w:rPr>
                      </w:pPr>
                      <w:r w:rsidRPr="003B4410">
                        <w:rPr>
                          <w:rFonts w:ascii="Calibri" w:eastAsia="Calibri" w:hAnsi="Calibri" w:cs="Calibri"/>
                          <w:b/>
                          <w:color w:val="5B9BD5" w:themeColor="accent1"/>
                          <w:sz w:val="40"/>
                        </w:rPr>
                        <w:t>T</w:t>
                      </w:r>
                    </w:p>
                  </w:txbxContent>
                </v:textbox>
                <w10:wrap anchorx="margin"/>
              </v:rect>
            </w:pict>
          </mc:Fallback>
        </mc:AlternateContent>
      </w:r>
      <w:r>
        <w:rPr>
          <w:noProof/>
          <w:lang w:eastAsia="en-GB"/>
        </w:rPr>
        <mc:AlternateContent>
          <mc:Choice Requires="wps">
            <w:drawing>
              <wp:anchor distT="0" distB="0" distL="114300" distR="114300" simplePos="0" relativeHeight="251748352" behindDoc="0" locked="0" layoutInCell="1" hidden="0" allowOverlap="1" wp14:anchorId="6A7C0F79" wp14:editId="346A7730">
                <wp:simplePos x="0" y="0"/>
                <wp:positionH relativeFrom="margin">
                  <wp:posOffset>1260475</wp:posOffset>
                </wp:positionH>
                <wp:positionV relativeFrom="paragraph">
                  <wp:posOffset>2384425</wp:posOffset>
                </wp:positionV>
                <wp:extent cx="317500" cy="558800"/>
                <wp:effectExtent l="0" t="0" r="0" b="0"/>
                <wp:wrapNone/>
                <wp:docPr id="132" name="Rectangle 132"/>
                <wp:cNvGraphicFramePr/>
                <a:graphic xmlns:a="http://schemas.openxmlformats.org/drawingml/2006/main">
                  <a:graphicData uri="http://schemas.microsoft.com/office/word/2010/wordprocessingShape">
                    <wps:wsp>
                      <wps:cNvSpPr/>
                      <wps:spPr>
                        <a:xfrm>
                          <a:off x="0" y="0"/>
                          <a:ext cx="317500" cy="5588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40"/>
                              </w:rPr>
                              <w:t>T</w:t>
                            </w:r>
                          </w:p>
                        </w:txbxContent>
                      </wps:txbx>
                      <wps:bodyPr lIns="88900" tIns="38100" rIns="88900" bIns="38100" anchor="t" anchorCtr="0"/>
                    </wps:wsp>
                  </a:graphicData>
                </a:graphic>
              </wp:anchor>
            </w:drawing>
          </mc:Choice>
          <mc:Fallback>
            <w:pict>
              <v:rect w14:anchorId="6A7C0F79" id="Rectangle 132" o:spid="_x0000_s1049" style="position:absolute;left:0;text-align:left;margin-left:99.25pt;margin-top:187.75pt;width:25pt;height:44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2pnogEAAEIDAAAOAAAAZHJzL2Uyb0RvYy54bWysUtuO0zAQfUfiHyy/U6etCiFqug+sFiEh&#10;WLHwAVPHbiz5prFp0r9n7Ha7Bd4QL5O55cyc49nezc6yo8Jkgu/5ctFwprwMg/GHnv/4/vCm5Sxl&#10;8APY4FXPTyrxu93rV9spdmoVxmAHhYxAfOqm2PMx59gJkeSoHKRFiMpTUQd0kCnEgxgQJkJ3Vqya&#10;5q2YAg4Rg1QpUfb+XOS7iq+1kvmr1kllZntOu+Vqsdp9sWK3he6AEEcjL2vAP2zhwHgaeoW6hwzs&#10;J5q/oJyRGFLQeSGDE0FrI1XlQGyWzR9snkaIqnIhcVK8ypT+H6z8cnxEZgZ6u/WKMw+OHukbyQb+&#10;YBUrSZJoiqmjzqf4iJcokVv4zhpd+RITNldZT1dZ1ZyZpOR6+W7TkPiSSptN25JPKOLl54gpf1TB&#10;seL0HGl8FROOn1M+tz63lFk+PBhrKQ+d9b8lCLNkRNn3vGHx8ryfK8XV+pnMPgwn4m0/edKybd+X&#10;9XIN1u2yBHhb2d9WwMsx0AVlzs7uh1zvqexZptFDVXKXoyqXcBvXrpfT3/0CAAD//wMAUEsDBBQA&#10;BgAIAAAAIQCWD8re4AAAAAsBAAAPAAAAZHJzL2Rvd25yZXYueG1sTI9BT4NAEIXvJv6HzZh4s4sF&#10;akWWpprYi+nB1h+wsCOQsrPILhT99U5Peps38/Lme/lmtp2YcPCtIwX3iwgEUuVMS7WCj+Pr3RqE&#10;D5qM7hyhgm/0sCmur3KdGXemd5wOoRYcQj7TCpoQ+kxKXzVotV+4Holvn26wOrAcamkGfeZw28ll&#10;FK2k1S3xh0b3+NJgdTqMVsH00yfPu9a40/ZrP5dv4y4+tlap25t5+wQi4Bz+zHDBZ3QomKl0Ixkv&#10;OtaP65StCuKHlAd2LJPLplSQrOIUZJHL/x2KXwAAAP//AwBQSwECLQAUAAYACAAAACEAtoM4kv4A&#10;AADhAQAAEwAAAAAAAAAAAAAAAAAAAAAAW0NvbnRlbnRfVHlwZXNdLnhtbFBLAQItABQABgAIAAAA&#10;IQA4/SH/1gAAAJQBAAALAAAAAAAAAAAAAAAAAC8BAABfcmVscy8ucmVsc1BLAQItABQABgAIAAAA&#10;IQAmI2pnogEAAEIDAAAOAAAAAAAAAAAAAAAAAC4CAABkcnMvZTJvRG9jLnhtbFBLAQItABQABgAI&#10;AAAAIQCWD8re4AAAAAsBAAAPAAAAAAAAAAAAAAAAAPw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FFFF00"/>
                          <w:sz w:val="40"/>
                        </w:rPr>
                        <w:t>T</w:t>
                      </w:r>
                    </w:p>
                  </w:txbxContent>
                </v:textbox>
                <w10:wrap anchorx="margin"/>
              </v:rect>
            </w:pict>
          </mc:Fallback>
        </mc:AlternateContent>
      </w:r>
      <w:r w:rsidR="009D17CB">
        <w:rPr>
          <w:noProof/>
          <w:lang w:eastAsia="en-GB"/>
        </w:rPr>
        <mc:AlternateContent>
          <mc:Choice Requires="wps">
            <w:drawing>
              <wp:anchor distT="0" distB="0" distL="114300" distR="114300" simplePos="0" relativeHeight="252006400" behindDoc="0" locked="0" layoutInCell="1" hidden="0" allowOverlap="1" wp14:anchorId="633BA9E4" wp14:editId="02F16CAB">
                <wp:simplePos x="0" y="0"/>
                <wp:positionH relativeFrom="margin">
                  <wp:posOffset>1285875</wp:posOffset>
                </wp:positionH>
                <wp:positionV relativeFrom="paragraph">
                  <wp:posOffset>1985645</wp:posOffset>
                </wp:positionV>
                <wp:extent cx="482600" cy="63500"/>
                <wp:effectExtent l="0" t="114300" r="0" b="107950"/>
                <wp:wrapNone/>
                <wp:docPr id="88" name="Freeform 88"/>
                <wp:cNvGraphicFramePr/>
                <a:graphic xmlns:a="http://schemas.openxmlformats.org/drawingml/2006/main">
                  <a:graphicData uri="http://schemas.microsoft.com/office/word/2010/wordprocessingShape">
                    <wps:wsp>
                      <wps:cNvSpPr/>
                      <wps:spPr>
                        <a:xfrm rot="10800000">
                          <a:off x="0" y="0"/>
                          <a:ext cx="482600" cy="63500"/>
                        </a:xfrm>
                        <a:custGeom>
                          <a:avLst/>
                          <a:gdLst/>
                          <a:ahLst/>
                          <a:cxnLst/>
                          <a:rect l="0" t="0" r="0" b="0"/>
                          <a:pathLst>
                            <a:path w="457200" h="45720" extrusionOk="0">
                              <a:moveTo>
                                <a:pt x="0" y="0"/>
                              </a:moveTo>
                              <a:lnTo>
                                <a:pt x="457200" y="45720"/>
                              </a:lnTo>
                            </a:path>
                          </a:pathLst>
                        </a:custGeom>
                        <a:solidFill>
                          <a:srgbClr val="FFFFFF"/>
                        </a:solidFill>
                        <a:ln w="28575" cap="flat" cmpd="sng">
                          <a:solidFill>
                            <a:schemeClr val="tx1"/>
                          </a:solidFill>
                          <a:prstDash val="solid"/>
                          <a:miter/>
                          <a:headEnd type="none" w="med" len="med"/>
                          <a:tailEnd type="triangle" w="lg" len="lg"/>
                        </a:ln>
                      </wps:spPr>
                      <wps:bodyPr lIns="91425" tIns="91425" rIns="91425" bIns="91425" anchor="ctr" anchorCtr="0"/>
                    </wps:wsp>
                  </a:graphicData>
                </a:graphic>
              </wp:anchor>
            </w:drawing>
          </mc:Choice>
          <mc:Fallback>
            <w:pict>
              <v:shape w14:anchorId="6AAC2010" id="Freeform 88" o:spid="_x0000_s1026" style="position:absolute;margin-left:101.25pt;margin-top:156.35pt;width:38pt;height:5pt;rotation:180;z-index:252006400;visibility:visible;mso-wrap-style:square;mso-wrap-distance-left:9pt;mso-wrap-distance-top:0;mso-wrap-distance-right:9pt;mso-wrap-distance-bottom:0;mso-position-horizontal:absolute;mso-position-horizontal-relative:margin;mso-position-vertical:absolute;mso-position-vertical-relative:text;v-text-anchor:middle" coordsize="45720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9oVAIAAPwEAAAOAAAAZHJzL2Uyb0RvYy54bWysVE1vGyEUvFfqf0Dcm7XdOHEt2znEdVWp&#10;aiIl/QGYZXdRWUDwYq//fQd2/ZG06qGqD+sBhuHN4z0Wd11r2E6FqJ1d8vHViDNlpSu1rZf8x/Pm&#10;w4yzSMKWwjirlvygIr9bvX+32Pu5mrjGmVIFBhEb53u/5A2RnxdFlI1qRbxyXlksVi60gjAMdVEG&#10;sYd6a4rJaHRT7F0ofXBSxYjZdb/IV1m/qpSkh6qKiphZcsRG+Rvyd5u+xWoh5nUQvtFyCEP8QxSt&#10;0BaHnqTWggR7Cfo3qVbL4KKr6Eq6tnBVpaXKHuBmPHrj5qkRXmUvSE70pzTF/ycrv+8eA9Plks9w&#10;U1a0uKNNUCplnGEK+dn7OAftyT+GYRQBk9muAik4JHU8mo3SL+cArliXU3w4pVh1xCQmr2eTG9CY&#10;xNLNxykgNIteKknKl0hflGsTFrtvkfoLKo9INEckO3uEAdf81wv2gtK+JJog2yOQ6S3qh7NmgKjb&#10;jsJLquOHnynsRG7dTj27vI3eWELM51VjL1lHaVjMcLDYk7AvhZBNn8LC5KXx6IwuN9qYdHIM9fbe&#10;BLYTKOFN/g2Cr2jGJleT2fR2iuwKtFJlBAG2HpcbbZ0NvdqSm0ydtKkb/0nYh0hrEZs+gCyQaLCv&#10;SYWMGiXKz7ZkdPAoH4tG5ymYVpWcGYV3IaHMJKHNmUlBC1ubnm3qgQwALlJiLP5S9fX1ltDWlQfU&#10;q/lq0QOfxtcTmKXLQbgcbC8HwsrGofMlBc76wT3llyCdlsTRYvnc4TlIPXw5zqzzo7X6BQAA//8D&#10;AFBLAwQUAAYACAAAACEAB2QpXeAAAAALAQAADwAAAGRycy9kb3ducmV2LnhtbEyPT0/DMAzF70h8&#10;h8hIXBBLF/5sKk0nhAYcOCDGLty8xrTVmqRqvK779pgTHP38/Px7xWrynRppSG0MFuazDBSFKro2&#10;1Ba2n8/XS1CJMTjsYiALJ0qwKs/PCsxdPIYPGjdcKwkJKUcLDXOfa52qhjymWewpyO47Dh5ZxqHW&#10;bsCjhPtOmyy71x7bIB8a7OmpoWq/OXjBwCum8cR8276+jF/vb9v9sF5be3kxPT6AYpr4zwy/+HID&#10;pTDt4iG4pDoLJjN3YrVwMzcLUOIwi6UoO1GMKLos9P8O5Q8AAAD//wMAUEsBAi0AFAAGAAgAAAAh&#10;ALaDOJL+AAAA4QEAABMAAAAAAAAAAAAAAAAAAAAAAFtDb250ZW50X1R5cGVzXS54bWxQSwECLQAU&#10;AAYACAAAACEAOP0h/9YAAACUAQAACwAAAAAAAAAAAAAAAAAvAQAAX3JlbHMvLnJlbHNQSwECLQAU&#10;AAYACAAAACEATqRPaFQCAAD8BAAADgAAAAAAAAAAAAAAAAAuAgAAZHJzL2Uyb0RvYy54bWxQSwEC&#10;LQAUAAYACAAAACEAB2QpXeAAAAALAQAADwAAAAAAAAAAAAAAAACuBAAAZHJzL2Rvd25yZXYueG1s&#10;UEsFBgAAAAAEAAQA8wAAALsFAAAAAA==&#10;" path="m,l457200,45720e" strokecolor="black [3213]" strokeweight="2.25pt">
                <v:stroke endarrow="block" endarrowwidth="wide" endarrowlength="long" joinstyle="miter"/>
                <v:path arrowok="t" o:extrusionok="f" textboxrect="0,0,457200,45720"/>
                <w10:wrap anchorx="margin"/>
              </v:shape>
            </w:pict>
          </mc:Fallback>
        </mc:AlternateContent>
      </w:r>
      <w:r w:rsidR="00616C71">
        <w:rPr>
          <w:rFonts w:ascii="Calibri" w:eastAsia="Calibri" w:hAnsi="Calibri" w:cs="Calibri"/>
          <w:color w:val="000000"/>
          <w:sz w:val="20"/>
          <w:szCs w:val="20"/>
        </w:rPr>
        <w:t xml:space="preserve">  </w:t>
      </w:r>
      <w:r w:rsidR="00616C71">
        <w:rPr>
          <w:noProof/>
          <w:lang w:eastAsia="en-GB"/>
        </w:rPr>
        <w:drawing>
          <wp:inline distT="0" distB="0" distL="0" distR="0" wp14:anchorId="5E1A0803" wp14:editId="27B23A53">
            <wp:extent cx="3916800" cy="3132000"/>
            <wp:effectExtent l="0" t="0" r="0" b="0"/>
            <wp:docPr id="40" name="image83.png" descr="C:\Users\UOS\Desktop\New folder (3)\Rat 16 Left kidneyX20-sc.tif"/>
            <wp:cNvGraphicFramePr/>
            <a:graphic xmlns:a="http://schemas.openxmlformats.org/drawingml/2006/main">
              <a:graphicData uri="http://schemas.openxmlformats.org/drawingml/2006/picture">
                <pic:pic xmlns:pic="http://schemas.openxmlformats.org/drawingml/2006/picture">
                  <pic:nvPicPr>
                    <pic:cNvPr id="0" name="image83.png" descr="C:\Users\UOS\Desktop\New folder (3)\Rat 16 Left kidneyX20-sc.tif"/>
                    <pic:cNvPicPr preferRelativeResize="0"/>
                  </pic:nvPicPr>
                  <pic:blipFill>
                    <a:blip r:embed="rId103"/>
                    <a:srcRect/>
                    <a:stretch>
                      <a:fillRect/>
                    </a:stretch>
                  </pic:blipFill>
                  <pic:spPr>
                    <a:xfrm>
                      <a:off x="0" y="0"/>
                      <a:ext cx="3916800" cy="3132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44256" behindDoc="0" locked="0" layoutInCell="1" hidden="0" allowOverlap="1" wp14:anchorId="7B7456D1" wp14:editId="393399DF">
                <wp:simplePos x="0" y="0"/>
                <wp:positionH relativeFrom="margin">
                  <wp:posOffset>2235200</wp:posOffset>
                </wp:positionH>
                <wp:positionV relativeFrom="paragraph">
                  <wp:posOffset>1600200</wp:posOffset>
                </wp:positionV>
                <wp:extent cx="482600" cy="38100"/>
                <wp:effectExtent l="0" t="0" r="0" b="0"/>
                <wp:wrapNone/>
                <wp:docPr id="154" name="Freeform 154"/>
                <wp:cNvGraphicFramePr/>
                <a:graphic xmlns:a="http://schemas.openxmlformats.org/drawingml/2006/main">
                  <a:graphicData uri="http://schemas.microsoft.com/office/word/2010/wordprocessingShape">
                    <wps:wsp>
                      <wps:cNvSpPr/>
                      <wps:spPr>
                        <a:xfrm>
                          <a:off x="5103112" y="3780000"/>
                          <a:ext cx="485774" cy="0"/>
                        </a:xfrm>
                        <a:custGeom>
                          <a:avLst/>
                          <a:gdLst/>
                          <a:ahLst/>
                          <a:cxnLst/>
                          <a:rect l="0" t="0" r="0" b="0"/>
                          <a:pathLst>
                            <a:path w="485775" h="1" extrusionOk="0">
                              <a:moveTo>
                                <a:pt x="0" y="0"/>
                              </a:moveTo>
                              <a:lnTo>
                                <a:pt x="485775" y="0"/>
                              </a:lnTo>
                            </a:path>
                          </a:pathLst>
                        </a:custGeom>
                        <a:solidFill>
                          <a:srgbClr val="FFFFFF"/>
                        </a:solidFill>
                        <a:ln w="38100" cap="flat" cmpd="sng">
                          <a:solidFill>
                            <a:srgbClr val="92D050"/>
                          </a:solidFill>
                          <a:prstDash val="solid"/>
                          <a:miter/>
                          <a:headEnd type="none" w="med" len="med"/>
                          <a:tailEnd type="triangle" w="lg" len="lg"/>
                        </a:ln>
                      </wps:spPr>
                      <wps:bodyPr lIns="91425" tIns="91425" rIns="91425" bIns="91425" anchor="ctr" anchorCtr="0"/>
                    </wps:wsp>
                  </a:graphicData>
                </a:graphic>
              </wp:anchor>
            </w:drawing>
          </mc:Choice>
          <mc:Fallback>
            <w:pict>
              <v:shape w14:anchorId="677D8445" id="Freeform 154" o:spid="_x0000_s1026" style="position:absolute;margin-left:176pt;margin-top:126pt;width:38pt;height:3pt;z-index:251744256;visibility:visible;mso-wrap-style:square;mso-wrap-distance-left:9pt;mso-wrap-distance-top:0;mso-wrap-distance-right:9pt;mso-wrap-distance-bottom:0;mso-position-horizontal:absolute;mso-position-horizontal-relative:margin;mso-position-vertical:absolute;mso-position-vertical-relative:text;v-text-anchor:middle" coordsize="4857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c8VQIAAPAEAAAOAAAAZHJzL2Uyb0RvYy54bWysVMlu2zAQvRfoPxC815K8NI5gOYe4LgoU&#10;TYCkHzCmKIkoN5C0Lf99h5QdyynQQ1EdpBnx8XHeLFw99EqSA3deGF3RYpJTwjUztdBtRX++bj8t&#10;KfEBdA3SaF7RE/f0Yf3xw+poSz41nZE1dwRJtC+PtqJdCLbMMs86rsBPjOUaFxvjFAR0XZvVDo7I&#10;rmQ2zfPP2dG42jrDuPf4dzMs0nXibxrOwlPTeB6IrCjGFtLbpfcuvrP1CsrWge0EO4cB/xCFAqHx&#10;0DeqDQQgeyf+oFKCOeNNEybMqMw0jWA8aUA1Rf5OzUsHlictmBxv39Lk/x8t+3F4dkTUWLvFnBIN&#10;Cou0dZzHlJP4DzN0tL5E4It9dmfPoxnl9o1T8YtCSF/RRZHPimJKyamis7tljs+QYd4HwhAwXy7u&#10;7vAchoC0lF052N6Hr9wkPjh892GoTX2xoLtYrNcX02GF/1pbCyHui0FGkxzPQSwo6VA0tmsf3D62&#10;79OvGFMEKnPgryZtCVEWNs4o3uuq1GNU0oa0I+gAQI3x6PXqbKRw0B4L9kaKeiukjKd61+4epSMH&#10;wK7dpiemEbfcwKSOambLArNMGOD0NBICmspiPb1uk5ibLTfM99NNvrhU4QZmnQ8b8N0QQVoa6qhE&#10;4LEHoOw41F90TcLJYsdoHG4ao1G8pkRyvAuilZABhLwigxOgWzmgZXsGozEIlBp1xn4bOixaO1Of&#10;sEflN419f1/Mp5jjMHbc2NmNHdCsMzjtLDhKBucxpOmPp0VyHKuU2PMVEOd27CfU9aJa/wYAAP//&#10;AwBQSwMEFAAGAAgAAAAhAEdwjNjdAAAACwEAAA8AAABkcnMvZG93bnJldi54bWxMT8tOwzAQvCPx&#10;D9YicaMO4aEojVMhpKoHBIiCxNWNt7HbeB1iNw1/z5YL3GZnRrMz1WLynRhxiC6QgutZBgKpCcZR&#10;q+DjfXlVgIhJk9FdIFTwjREW9flZpUsTjvSG4zq1gkMollqBTakvpYyNRa/jLPRIrG3D4HXic2il&#10;GfSRw30n8yy7l1474g9W9/hosdmvD17BEmOxW+2fHdFutC9PX5+vK0dKXV5MD3MQCaf0Z4ZTfa4O&#10;NXfahAOZKDoFN3c5b0kK8l/Ajtu8YGZzYhjIupL/N9Q/AAAA//8DAFBLAQItABQABgAIAAAAIQC2&#10;gziS/gAAAOEBAAATAAAAAAAAAAAAAAAAAAAAAABbQ29udGVudF9UeXBlc10ueG1sUEsBAi0AFAAG&#10;AAgAAAAhADj9If/WAAAAlAEAAAsAAAAAAAAAAAAAAAAALwEAAF9yZWxzLy5yZWxzUEsBAi0AFAAG&#10;AAgAAAAhALLHNzxVAgAA8AQAAA4AAAAAAAAAAAAAAAAALgIAAGRycy9lMm9Eb2MueG1sUEsBAi0A&#10;FAAGAAgAAAAhAEdwjNjdAAAACwEAAA8AAAAAAAAAAAAAAAAArwQAAGRycy9kb3ducmV2LnhtbFBL&#10;BQYAAAAABAAEAPMAAAC5BQAAAAA=&#10;" path="m,l485775,e" strokecolor="#92d050" strokeweight="3pt">
                <v:stroke endarrow="block" endarrowwidth="wide" endarrowlength="long" joinstyle="miter"/>
                <v:path arrowok="t" o:extrusionok="f" textboxrect="0,0,485775,1"/>
                <w10:wrap anchorx="margin"/>
              </v:shape>
            </w:pict>
          </mc:Fallback>
        </mc:AlternateContent>
      </w:r>
      <w:r w:rsidR="00616C71">
        <w:rPr>
          <w:noProof/>
          <w:lang w:eastAsia="en-GB"/>
        </w:rPr>
        <mc:AlternateContent>
          <mc:Choice Requires="wps">
            <w:drawing>
              <wp:anchor distT="0" distB="0" distL="114300" distR="114300" simplePos="0" relativeHeight="251745280" behindDoc="0" locked="0" layoutInCell="1" hidden="0" allowOverlap="1" wp14:anchorId="0BA2C2ED" wp14:editId="7E1CB970">
                <wp:simplePos x="0" y="0"/>
                <wp:positionH relativeFrom="margin">
                  <wp:posOffset>2692400</wp:posOffset>
                </wp:positionH>
                <wp:positionV relativeFrom="paragraph">
                  <wp:posOffset>673100</wp:posOffset>
                </wp:positionV>
                <wp:extent cx="774700" cy="419100"/>
                <wp:effectExtent l="0" t="0" r="0" b="0"/>
                <wp:wrapNone/>
                <wp:docPr id="137" name="Rectangle 137"/>
                <wp:cNvGraphicFramePr/>
                <a:graphic xmlns:a="http://schemas.openxmlformats.org/drawingml/2006/main">
                  <a:graphicData uri="http://schemas.microsoft.com/office/word/2010/wordprocessingShape">
                    <wps:wsp>
                      <wps:cNvSpPr/>
                      <wps:spPr>
                        <a:xfrm>
                          <a:off x="4959285" y="3569180"/>
                          <a:ext cx="773429" cy="421639"/>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0BA2C2ED" id="Rectangle 137" o:spid="_x0000_s1050" style="position:absolute;left:0;text-align:left;margin-left:212pt;margin-top:53pt;width:61pt;height:33pt;z-index:251745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QyLsgEAAE4DAAAOAAAAZHJzL2Uyb0RvYy54bWysU8lu2zAUvBfoPxC819TiRRIs59AgRYCg&#10;DZL0A2iKtAhwA8la8t/3kXYSt7kVvVBvw3Bm+LS9mbVCR+6DtKbH5aLAiBtmB2kOPf75cvelwShE&#10;agaqrOE9PvGAb3afP20n1/HKjlYN3CMAMaGbXI/HGF1HSGAj1zQsrOMGmsJ6TSOk/kAGTydA14pU&#10;RbEmk/WD85bxEKB6e27iXcYXgrP4Q4jAI1I9Bm4xnz6f+3SS3ZZ2B0/dKNmFBv0HFppKA5e+Qd3S&#10;SNEvLz9Aacm8DVbEBbOaWCEk41kDqCmLv9Q8j9TxrAXMCe7NpvD/YNn346NHcoC3qzcYGarhkZ7A&#10;NmoOiqNUBIsmFzqYfHaP/pIFCJPeWXidvqAEzT1etqu2alYYnXpcr9Zt2Vws5nNEDAY2m3pZtRgx&#10;GFhW5bpuEz55B3I+xG/capSCHnugko2lx4cQz6OvI+leY++kUlCnnTJ/FAAzVUjifmabojjv5yy3&#10;Wr4K29vhBB6oewO+Nk1bpD3JSd2UKfHXnf11hxo2WtimiNE5/BrzbiWe6TZ4tCzusmBpK67zPPX+&#10;G+x+AwAA//8DAFBLAwQUAAYACAAAACEA/1/HIt0AAAALAQAADwAAAGRycy9kb3ducmV2LnhtbExP&#10;QU7DMBC8I/EHa5G4UYcQCkrjVAWJXhAHWh7gxNvEarwOsZMGXs/2RG8zO6PZmWI9u05MOATrScH9&#10;IgGBVHtjqVHwtX+7ewYRoiajO0+o4AcDrMvrq0Lnxp/oE6ddbASHUMi1gjbGPpcy1C06HRa+R2Lt&#10;4AenI9OhkWbQJw53nUyTZCmdtsQfWt3ja4v1cTc6BdNvn71srfHHzffHXL2P24e9dUrd3sybFYiI&#10;c/w3w7k+V4eSO1V+JBNEpyBLM94SWUiWDNjxmJ1BxZenNAFZFvJyQ/kHAAD//wMAUEsBAi0AFAAG&#10;AAgAAAAhALaDOJL+AAAA4QEAABMAAAAAAAAAAAAAAAAAAAAAAFtDb250ZW50X1R5cGVzXS54bWxQ&#10;SwECLQAUAAYACAAAACEAOP0h/9YAAACUAQAACwAAAAAAAAAAAAAAAAAvAQAAX3JlbHMvLnJlbHNQ&#10;SwECLQAUAAYACAAAACEAVa0Mi7IBAABOAwAADgAAAAAAAAAAAAAAAAAuAgAAZHJzL2Uyb0RvYy54&#10;bWxQSwECLQAUAAYACAAAACEA/1/HIt0AAAALAQAADwAAAAAAAAAAAAAAAAAMBAAAZHJzL2Rvd25y&#10;ZXYueG1sUEsFBgAAAAAEAAQA8wAAABYFAAAAAA==&#10;" filled="f" stroked="f">
                <v:textbox inset="7pt,3pt,7pt,3pt">
                  <w:txbxContent>
                    <w:p w:rsidR="00AD6A02" w:rsidRDefault="00AD6A02" w:rsidP="00616C71">
                      <w:pPr>
                        <w:spacing w:after="0"/>
                        <w:ind w:firstLine="720"/>
                        <w:textDirection w:val="btLr"/>
                      </w:pPr>
                      <w:r>
                        <w:rPr>
                          <w:rFonts w:ascii="Calibri" w:eastAsia="Calibri" w:hAnsi="Calibri" w:cs="Calibri"/>
                          <w:b/>
                          <w:color w:val="FFFF00"/>
                          <w:sz w:val="36"/>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46304" behindDoc="0" locked="0" layoutInCell="1" hidden="0" allowOverlap="1" wp14:anchorId="2F02F87F" wp14:editId="2003EEE3">
                <wp:simplePos x="0" y="0"/>
                <wp:positionH relativeFrom="margin">
                  <wp:posOffset>3276600</wp:posOffset>
                </wp:positionH>
                <wp:positionV relativeFrom="paragraph">
                  <wp:posOffset>1447800</wp:posOffset>
                </wp:positionV>
                <wp:extent cx="482600" cy="63500"/>
                <wp:effectExtent l="0" t="0" r="0" b="0"/>
                <wp:wrapNone/>
                <wp:docPr id="112" name="Freeform 112"/>
                <wp:cNvGraphicFramePr/>
                <a:graphic xmlns:a="http://schemas.openxmlformats.org/drawingml/2006/main">
                  <a:graphicData uri="http://schemas.microsoft.com/office/word/2010/wordprocessingShape">
                    <wps:wsp>
                      <wps:cNvSpPr/>
                      <wps:spPr>
                        <a:xfrm rot="10800000">
                          <a:off x="5117400" y="3757140"/>
                          <a:ext cx="457199" cy="45719"/>
                        </a:xfrm>
                        <a:custGeom>
                          <a:avLst/>
                          <a:gdLst/>
                          <a:ahLst/>
                          <a:cxnLst/>
                          <a:rect l="0" t="0" r="0" b="0"/>
                          <a:pathLst>
                            <a:path w="457200" h="45720" extrusionOk="0">
                              <a:moveTo>
                                <a:pt x="0" y="0"/>
                              </a:moveTo>
                              <a:lnTo>
                                <a:pt x="457200" y="45720"/>
                              </a:lnTo>
                            </a:path>
                          </a:pathLst>
                        </a:custGeom>
                        <a:solidFill>
                          <a:srgbClr val="FFFFFF"/>
                        </a:solidFill>
                        <a:ln w="28575" cap="flat" cmpd="sng">
                          <a:solidFill>
                            <a:srgbClr val="FFFF00"/>
                          </a:solidFill>
                          <a:prstDash val="solid"/>
                          <a:miter/>
                          <a:headEnd type="none" w="med" len="med"/>
                          <a:tailEnd type="triangle" w="lg" len="lg"/>
                        </a:ln>
                      </wps:spPr>
                      <wps:bodyPr lIns="91425" tIns="91425" rIns="91425" bIns="91425" anchor="ctr" anchorCtr="0"/>
                    </wps:wsp>
                  </a:graphicData>
                </a:graphic>
              </wp:anchor>
            </w:drawing>
          </mc:Choice>
          <mc:Fallback>
            <w:pict>
              <v:shape w14:anchorId="0B8D4A5A" id="Freeform 112" o:spid="_x0000_s1026" style="position:absolute;margin-left:258pt;margin-top:114pt;width:38pt;height:5pt;rotation:180;z-index:251746304;visibility:visible;mso-wrap-style:square;mso-wrap-distance-left:9pt;mso-wrap-distance-top:0;mso-wrap-distance-right:9pt;mso-wrap-distance-bottom:0;mso-position-horizontal:absolute;mso-position-horizontal-relative:margin;mso-position-vertical:absolute;mso-position-vertical-relative:text;v-text-anchor:middle" coordsize="45720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jEYAIAAAsFAAAOAAAAZHJzL2Uyb0RvYy54bWysVE2P2yAQvVfqf0DcG8du0nwozh42TVWp&#10;6q602x9AMLZRMSAgsfPvO4OdxNmVeqjKAb2BxzBvZmDz0DWKnITz0uicppMpJUJzU0hd5fTX6/7T&#10;khIfmC6YMlrk9Cw8fdh+/LBp7VpkpjaqEI6AE+3Xrc1pHYJdJ4nntWiYnxgrNGyWxjUsgOmqpHCs&#10;Be+NSrLp9EvSGldYZ7jwHlZ3/SbdRv9lKXh4KksvAlE5hdhCnF2cDzgn2w1bV47ZWvIhDPYPUTRM&#10;arj06mrHAiNHJ9+5aiR3xpsyTLhpElOWkouoAdSk0zdqXmpmRdQCyfH2mib//9zyn6dnR2QBtUsz&#10;SjRroEh7JwSmnOAaZKi1fg3EF/vsBssDRLldCSxnIK3pdDnFEbMAukiX03maLmawRM45/byYL9LZ&#10;kHDRBcKBMIO11YoSDoSI8bakd4vu+dGHb8I0iNnphw99uYoLYvUF8U5foIOi/7XclgU8h04RkjZe&#10;Dt1EST1A6OIuuCN29dNv7BMkN+YkXk08FlBeLyxKgphvu0qPWaAruu4lZhd6T4JzGEIUfQ0LFsfC&#10;vVGy2Eul8GbvqsOjcuTEoKH3cQw5u6Mpjaqy5Xwxh+wyeFilYgFgY6HUXldR0N2Rd54hH3017mjW&#10;+bBjvu4jiFtIA/0yCBdRLVjxVRcknC00k4Z3TzGaRhSUKAHfBKLIDEyqGzM4yXSleraqBjKAPgyl&#10;IU3Yin3zITqY4gztq75reBKrdJaB2jA23Ng4jA2meW3gI+DBUdIbjyF+DHgbOocXF+sy/A74pMd2&#10;ZN3+sO0fAAAA//8DAFBLAwQUAAYACAAAACEAnZ57zN4AAAALAQAADwAAAGRycy9kb3ducmV2Lnht&#10;bExPy07DMBC8I/EP1iJxo05C05YQp0IV3HppgENv29gkgXgdxc6Dv2c5wW12ZjQ7k+8X24nJDL51&#10;pCBeRSAMVU63VCt4e32524HwAUlj58go+DYe9sX1VY6ZdjOdzFSGWnAI+QwVNCH0mZS+aoxFv3K9&#10;IdY+3GAx8DnUUg84c7jtZBJFG2mxJf7QYG8Ojam+ytEqOB3fz7RNyzhekuOE42H9PH+ulbq9WZ4e&#10;QQSzhD8z/Nbn6lBwp4sbSXvRKUjjDW8JCpJkx4Ad6UPC4MLMPTOyyOX/DcUPAAAA//8DAFBLAQIt&#10;ABQABgAIAAAAIQC2gziS/gAAAOEBAAATAAAAAAAAAAAAAAAAAAAAAABbQ29udGVudF9UeXBlc10u&#10;eG1sUEsBAi0AFAAGAAgAAAAhADj9If/WAAAAlAEAAAsAAAAAAAAAAAAAAAAALwEAAF9yZWxzLy5y&#10;ZWxzUEsBAi0AFAAGAAgAAAAhAGkZqMRgAgAACwUAAA4AAAAAAAAAAAAAAAAALgIAAGRycy9lMm9E&#10;b2MueG1sUEsBAi0AFAAGAAgAAAAhAJ2ee8zeAAAACwEAAA8AAAAAAAAAAAAAAAAAugQAAGRycy9k&#10;b3ducmV2LnhtbFBLBQYAAAAABAAEAPMAAADFBQAAAAA=&#10;" path="m,l457200,45720e" strokecolor="yellow" strokeweight="2.25pt">
                <v:stroke endarrow="block" endarrowwidth="wide" endarrowlength="long" joinstyle="miter"/>
                <v:path arrowok="t" o:extrusionok="f" textboxrect="0,0,457200,45720"/>
                <w10:wrap anchorx="margin"/>
              </v:shape>
            </w:pict>
          </mc:Fallback>
        </mc:AlternateContent>
      </w:r>
      <w:r w:rsidR="00616C71">
        <w:rPr>
          <w:noProof/>
          <w:lang w:eastAsia="en-GB"/>
        </w:rPr>
        <mc:AlternateContent>
          <mc:Choice Requires="wps">
            <w:drawing>
              <wp:anchor distT="0" distB="0" distL="114300" distR="114300" simplePos="0" relativeHeight="251749376" behindDoc="0" locked="0" layoutInCell="1" hidden="0" allowOverlap="1" wp14:anchorId="736B4B4B" wp14:editId="76347ACC">
                <wp:simplePos x="0" y="0"/>
                <wp:positionH relativeFrom="margin">
                  <wp:posOffset>596900</wp:posOffset>
                </wp:positionH>
                <wp:positionV relativeFrom="paragraph">
                  <wp:posOffset>762000</wp:posOffset>
                </wp:positionV>
                <wp:extent cx="444500" cy="508000"/>
                <wp:effectExtent l="0" t="0" r="0" b="0"/>
                <wp:wrapNone/>
                <wp:docPr id="207" name="Rectangle 207"/>
                <wp:cNvGraphicFramePr/>
                <a:graphic xmlns:a="http://schemas.openxmlformats.org/drawingml/2006/main">
                  <a:graphicData uri="http://schemas.microsoft.com/office/word/2010/wordprocessingShape">
                    <wps:wsp>
                      <wps:cNvSpPr/>
                      <wps:spPr>
                        <a:xfrm>
                          <a:off x="5125655" y="3525048"/>
                          <a:ext cx="440689" cy="509905"/>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5B9BD5"/>
                                <w:sz w:val="36"/>
                              </w:rPr>
                              <w:t>TD</w:t>
                            </w:r>
                          </w:p>
                        </w:txbxContent>
                      </wps:txbx>
                      <wps:bodyPr lIns="88900" tIns="38100" rIns="88900" bIns="38100" anchor="t" anchorCtr="0"/>
                    </wps:wsp>
                  </a:graphicData>
                </a:graphic>
              </wp:anchor>
            </w:drawing>
          </mc:Choice>
          <mc:Fallback>
            <w:pict>
              <v:rect w14:anchorId="736B4B4B" id="Rectangle 207" o:spid="_x0000_s1051" style="position:absolute;left:0;text-align:left;margin-left:47pt;margin-top:60pt;width:35pt;height:40pt;z-index:251749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QsgEAAE4DAAAOAAAAZHJzL2Uyb0RvYy54bWysU8lu2zAUvBfIPxC816QVy5UF0zk0SFGg&#10;aIMsH0BTlEWAG0jGkv++j5STuO2tyIV6G4Yzw6ftzWQ0OsoQlbMMLxcUI2mF65Q9MPz8dPe5wSgm&#10;bjuunZUMn2TEN7urT9vRt7Jyg9OdDAhAbGxHz/CQkm8JiWKQhseF89JCs3fB8ARpOJAu8BHQjSYV&#10;pWsyutD54ISMEaq3cxPvCn7fS5F+9X2UCWmGgVsqZyjnPp9kt+XtIXA/KHGmwf+DheHKwqVvULc8&#10;cfQS1D9QRongouvTQjhDXN8rIYsGULOkf6l5HLiXRQuYE/2bTfHjYMXP431AqmO4ol8wstzAIz2A&#10;bdwetES5CBaNPrYw+ejvwzmLEGa9Ux9M/oISNDFcL6t6XdcYnRi+rquarprZYjklJGBgtaLrZoOR&#10;gIGabja0zn3yDuRDTN+kMygHDAegUozlxx8xzaOvI/le6+6U1lDnrbZ/FAAzV0jmPrPNUZr20yy3&#10;XJxLe9edwAP93YKvTbOheU9Kct0scxIuO/vLDrdicLBNCaM5/JrKbmWeGRoerYg7L1jeisu8TL3/&#10;BrvfAAAA//8DAFBLAwQUAAYACAAAACEAZ86iZNwAAAAKAQAADwAAAGRycy9kb3ducmV2LnhtbEyP&#10;wU7DMBBE70j8g7VI3KhTqKoS4lQtEr0gDrT9ACfeJlbjdRo7aeDr2ZzocWdHM2+y9egaMWAXrCcF&#10;81kCAqn0xlKl4Hj4eFqBCFGT0Y0nVPCDAdb5/V2mU+Ov9I3DPlaCQyikWkEdY5tKGcoanQ4z3yLx&#10;7+Q7pyOfXSVNp68c7hr5nCRL6bQlbqh1i+81lud97xQMv+1iu7PGnzeXr7H47HcvB+uUenwYN28g&#10;Io7x3wwTPqNDzkyF78kE0Sh4XfCUyDrXgJgMy0kpFLCQgMwzeTsh/wMAAP//AwBQSwECLQAUAAYA&#10;CAAAACEAtoM4kv4AAADhAQAAEwAAAAAAAAAAAAAAAAAAAAAAW0NvbnRlbnRfVHlwZXNdLnhtbFBL&#10;AQItABQABgAIAAAAIQA4/SH/1gAAAJQBAAALAAAAAAAAAAAAAAAAAC8BAABfcmVscy8ucmVsc1BL&#10;AQItABQABgAIAAAAIQBo8+/QsgEAAE4DAAAOAAAAAAAAAAAAAAAAAC4CAABkcnMvZTJvRG9jLnht&#10;bFBLAQItABQABgAIAAAAIQBnzqJk3AAAAAoBAAAPAAAAAAAAAAAAAAAAAAwEAABkcnMvZG93bnJl&#10;di54bWxQSwUGAAAAAAQABADzAAAAFQUAAAAA&#10;" filled="f" stroked="f">
                <v:textbox inset="7pt,3pt,7pt,3pt">
                  <w:txbxContent>
                    <w:p w:rsidR="00AD6A02" w:rsidRDefault="00AD6A02" w:rsidP="00616C71">
                      <w:pPr>
                        <w:spacing w:after="0"/>
                        <w:textDirection w:val="btLr"/>
                      </w:pPr>
                      <w:r>
                        <w:rPr>
                          <w:rFonts w:ascii="Calibri" w:eastAsia="Calibri" w:hAnsi="Calibri" w:cs="Calibri"/>
                          <w:b/>
                          <w:color w:val="5B9BD5"/>
                          <w:sz w:val="36"/>
                        </w:rPr>
                        <w:t>TD</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50400" behindDoc="0" locked="0" layoutInCell="1" hidden="0" allowOverlap="1" wp14:anchorId="5657DC5E" wp14:editId="03ADF086">
                <wp:simplePos x="0" y="0"/>
                <wp:positionH relativeFrom="margin">
                  <wp:posOffset>596900</wp:posOffset>
                </wp:positionH>
                <wp:positionV relativeFrom="paragraph">
                  <wp:posOffset>1739900</wp:posOffset>
                </wp:positionV>
                <wp:extent cx="406400" cy="342900"/>
                <wp:effectExtent l="0" t="0" r="0" b="0"/>
                <wp:wrapNone/>
                <wp:docPr id="190" name="Freeform 190"/>
                <wp:cNvGraphicFramePr/>
                <a:graphic xmlns:a="http://schemas.openxmlformats.org/drawingml/2006/main">
                  <a:graphicData uri="http://schemas.microsoft.com/office/word/2010/wordprocessingShape">
                    <wps:wsp>
                      <wps:cNvSpPr/>
                      <wps:spPr>
                        <a:xfrm rot="10800000">
                          <a:off x="5145975" y="3613312"/>
                          <a:ext cx="400049" cy="333374"/>
                        </a:xfrm>
                        <a:custGeom>
                          <a:avLst/>
                          <a:gdLst/>
                          <a:ahLst/>
                          <a:cxnLst/>
                          <a:rect l="0" t="0" r="0" b="0"/>
                          <a:pathLst>
                            <a:path w="400050" h="333375" extrusionOk="0">
                              <a:moveTo>
                                <a:pt x="0" y="0"/>
                              </a:moveTo>
                              <a:lnTo>
                                <a:pt x="400050" y="333375"/>
                              </a:lnTo>
                            </a:path>
                          </a:pathLst>
                        </a:custGeom>
                        <a:solidFill>
                          <a:srgbClr val="FFFFFF"/>
                        </a:solidFill>
                        <a:ln>
                          <a:noFill/>
                        </a:ln>
                      </wps:spPr>
                      <wps:bodyPr lIns="91425" tIns="91425" rIns="91425" bIns="91425" anchor="ctr" anchorCtr="0"/>
                    </wps:wsp>
                  </a:graphicData>
                </a:graphic>
              </wp:anchor>
            </w:drawing>
          </mc:Choice>
          <mc:Fallback>
            <w:pict>
              <v:shape w14:anchorId="4EBE325B" id="Freeform 190" o:spid="_x0000_s1026" style="position:absolute;margin-left:47pt;margin-top:137pt;width:32pt;height:27pt;rotation:180;z-index:251750400;visibility:visible;mso-wrap-style:square;mso-wrap-distance-left:9pt;mso-wrap-distance-top:0;mso-wrap-distance-right:9pt;mso-wrap-distance-bottom:0;mso-position-horizontal:absolute;mso-position-horizontal-relative:margin;mso-position-vertical:absolute;mso-position-vertical-relative:text;v-text-anchor:middle" coordsize="400050,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xkEAIAAEwEAAAOAAAAZHJzL2Uyb0RvYy54bWysVMFu2zAMvQ/YPwi6L7YTu22COD20yDBg&#10;WAu0+wBFlmNjsiRQSpz8/UjZSb0V6GGYDwIpkU/vkZTX96dOs6MC31pT8myWcqaMtFVr9iX/+br9&#10;cseZD8JUQlujSn5Wnt9vPn9a926l5raxulLAEMT4Ve9K3oTgVkniZaM64WfWKYOHtYVOBHRhn1Qg&#10;ekTvdDJP05ukt1A5sFJ5j7uPwyHfRPy6VjI81bVXgemSI7cQV4jrjtZksxarPQjXtHKkIf6BRSda&#10;g5deoR5FEOwA7TuorpVgva3DTNousXXdShU1oJos/UvNSyOcilqwON5dy+T/H6z8cXwG1lbYuyXW&#10;x4gOm7QFpajkjPawQr3zKwx8cc8weh5NknuqMQosljVL71L6YhVQFzuVvMjyYnlbcHYu+eImWyyy&#10;+VBwdQpMYkCOCfmSM0kB+N3mdJ4MuIQvDz58VbYjWxy/+zD0q7pYorlY8mQuJmDXP+y3E4HyCJRM&#10;1g9MCixAMxJB0kgSDjTXT79oUii6s0f1amNeIIGYgMxjjZD026k20yhSSdgXkcUocojCRCIRZV+J&#10;4eZUure6rbat1nS1h/3uQQM7CpzpbfxGwD/CtKFgYyltKCrtJNTLoXtk7Wx1xv7rbwZnapnlc9Qd&#10;pg5Mnd3UEUY2Fl+SDMDZ4DyE+LLoNgLHkY2qxudFb2Lqx6i3n8DmNwAAAP//AwBQSwMEFAAGAAgA&#10;AAAhADIblXHcAAAACgEAAA8AAABkcnMvZG93bnJldi54bWxMj0tPwzAQhO9I/AdrkbhR58GjhGyq&#10;qhLcSUH06MbbJGpsR7GThn/P5kRv32hHszP5ZjadmGjwrbMI8SoCQbZyurU1wtf+/WENwgdlteqc&#10;JYRf8rApbm9ylWl3sZ80laEWHGJ9phCaEPpMSl81ZJRfuZ4s305uMCqwHGqpB3XhcNPJJIqepVGt&#10;5Q+N6mnXUHUuR4Nwng6H711w8zbdx+UQn9LqY/xBvL+bt28gAs3h3wxLfa4OBXc6utFqLzqE10ee&#10;EhCSlwUWw9Oa4YiQJgyyyOX1hOIPAAD//wMAUEsBAi0AFAAGAAgAAAAhALaDOJL+AAAA4QEAABMA&#10;AAAAAAAAAAAAAAAAAAAAAFtDb250ZW50X1R5cGVzXS54bWxQSwECLQAUAAYACAAAACEAOP0h/9YA&#10;AACUAQAACwAAAAAAAAAAAAAAAAAvAQAAX3JlbHMvLnJlbHNQSwECLQAUAAYACAAAACEAXQHcZBAC&#10;AABMBAAADgAAAAAAAAAAAAAAAAAuAgAAZHJzL2Uyb0RvYy54bWxQSwECLQAUAAYACAAAACEAMhuV&#10;cdwAAAAKAQAADwAAAAAAAAAAAAAAAABqBAAAZHJzL2Rvd25yZXYueG1sUEsFBgAAAAAEAAQA8wAA&#10;AHMFAAAAAA==&#10;" path="m,l400050,333375e" stroked="f">
                <v:path arrowok="t" o:extrusionok="f" textboxrect="0,0,400050,333375"/>
                <w10:wrap anchorx="margin"/>
              </v:shape>
            </w:pict>
          </mc:Fallback>
        </mc:AlternateContent>
      </w:r>
    </w:p>
    <w:p w:rsidR="00616C71" w:rsidRDefault="00616C71" w:rsidP="00616C71">
      <w:pPr>
        <w:spacing w:after="160"/>
      </w:pPr>
    </w:p>
    <w:p w:rsidR="00616C71" w:rsidRDefault="00616C71" w:rsidP="00616C71">
      <w:pPr>
        <w:spacing w:after="160"/>
      </w:pPr>
    </w:p>
    <w:p w:rsidR="00616C71" w:rsidRDefault="00616C71" w:rsidP="00616C71">
      <w:pPr>
        <w:spacing w:after="160"/>
      </w:pPr>
    </w:p>
    <w:p w:rsidR="00616C71" w:rsidRDefault="00E14E6A" w:rsidP="00616C71">
      <w:pPr>
        <w:spacing w:after="160"/>
      </w:pPr>
      <w:r w:rsidRPr="00E14E6A">
        <w:rPr>
          <w:noProof/>
          <w:lang w:eastAsia="en-GB"/>
        </w:rPr>
        <w:lastRenderedPageBreak/>
        <mc:AlternateContent>
          <mc:Choice Requires="wps">
            <w:drawing>
              <wp:anchor distT="0" distB="0" distL="114300" distR="114300" simplePos="0" relativeHeight="252008448" behindDoc="0" locked="0" layoutInCell="1" hidden="0" allowOverlap="1" wp14:anchorId="2F478828" wp14:editId="663F36B4">
                <wp:simplePos x="0" y="0"/>
                <wp:positionH relativeFrom="margin">
                  <wp:posOffset>1885950</wp:posOffset>
                </wp:positionH>
                <wp:positionV relativeFrom="paragraph">
                  <wp:posOffset>2466975</wp:posOffset>
                </wp:positionV>
                <wp:extent cx="330200" cy="508000"/>
                <wp:effectExtent l="0" t="0" r="0" b="0"/>
                <wp:wrapNone/>
                <wp:docPr id="309" name="Rectangle 309"/>
                <wp:cNvGraphicFramePr/>
                <a:graphic xmlns:a="http://schemas.openxmlformats.org/drawingml/2006/main">
                  <a:graphicData uri="http://schemas.microsoft.com/office/word/2010/wordprocessingShape">
                    <wps:wsp>
                      <wps:cNvSpPr/>
                      <wps:spPr>
                        <a:xfrm>
                          <a:off x="0" y="0"/>
                          <a:ext cx="330200" cy="508000"/>
                        </a:xfrm>
                        <a:prstGeom prst="rect">
                          <a:avLst/>
                        </a:prstGeom>
                        <a:noFill/>
                        <a:ln>
                          <a:noFill/>
                        </a:ln>
                      </wps:spPr>
                      <wps:txbx>
                        <w:txbxContent>
                          <w:p w:rsidR="00AD6A02" w:rsidRDefault="00AD6A02" w:rsidP="00E14E6A">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2F478828" id="Rectangle 309" o:spid="_x0000_s1052" style="position:absolute;left:0;text-align:left;margin-left:148.5pt;margin-top:194.25pt;width:26pt;height:40pt;z-index:252008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IUowEAAEIDAAAOAAAAZHJzL2Uyb0RvYy54bWysUstu2zAQvBfoPxC8x5RtNFAEyzkkSFGg&#10;aIOm/YA1RVoE+MKSteS/75J2HLe9Fb2s9qXZneFu7mdn2UFhMsH3fLloOFNehsH4fc9/fH+6aTlL&#10;GfwANnjV86NK/H77/t1mip1ahTHYQSEjEJ+6KfZ8zDl2QiQ5KgdpEaLyVNQBHWQKcS8GhInQnRWr&#10;prkVU8AhYpAqJco+nop8W/G1VjJ/1TqpzGzPabdcLVa7K1ZsN9DtEeJo5HkN+IctHBhPQy9Qj5CB&#10;/UTzF5QzEkMKOi9kcCJobaSqHIjNsvmDzcsIUVUuJE6KF5nS/4OVXw7PyMzQ83Vzx5kHR4/0jWQD&#10;v7eKlSRJNMXUUedLfMZzlMgtfGeNrnyJCZurrMeLrGrOTFJyvW7oqTiTVPrQtA35hCLefo6Y8kcV&#10;HCtOz5HGVzHh8DnlU+trS5nlw5OxlvLQWf9bgjBLRpR9TxsWL8+7uVJc3b6S2YXhSLztJ09atu1d&#10;WS/XYN0uS4DXld11BbwcA11Q5uzkPuR6T2XPMo0eqpI7H1W5hOu4dr2d/vYXAAAA//8DAFBLAwQU&#10;AAYACAAAACEA4tBF5eAAAAALAQAADwAAAGRycy9kb3ducmV2LnhtbEyPwU7DMBBE70j8g7VI3KjT&#10;JpQ0zaYqSPSCONDyAU68JFFjO8ROGvh6lhMcd3Y08ybfzaYTEw2+dRZhuYhAkK2cbm2N8H56vktB&#10;+KCsVp2zhPBFHnbF9VWuMu0u9o2mY6gFh1ifKYQmhD6T0lcNGeUXrifLvw83GBX4HGqpB3XhcNPJ&#10;VRStpVGt5YZG9fTUUHU+jgZh+u6Tx0Or3Xn/+TqXL+MhPrUG8fZm3m9BBJrDnxl+8RkdCmYq3Wi1&#10;Fx3CavPAWwJCnKb3INgRJxtWSoRkzYoscvl/Q/EDAAD//wMAUEsBAi0AFAAGAAgAAAAhALaDOJL+&#10;AAAA4QEAABMAAAAAAAAAAAAAAAAAAAAAAFtDb250ZW50X1R5cGVzXS54bWxQSwECLQAUAAYACAAA&#10;ACEAOP0h/9YAAACUAQAACwAAAAAAAAAAAAAAAAAvAQAAX3JlbHMvLnJlbHNQSwECLQAUAAYACAAA&#10;ACEAynJSFKMBAABCAwAADgAAAAAAAAAAAAAAAAAuAgAAZHJzL2Uyb0RvYy54bWxQSwECLQAUAAYA&#10;CAAAACEA4tBF5eAAAAALAQAADwAAAAAAAAAAAAAAAAD9AwAAZHJzL2Rvd25yZXYueG1sUEsFBgAA&#10;AAAEAAQA8wAAAAoFAAAAAA==&#10;" filled="f" stroked="f">
                <v:textbox inset="7pt,3pt,7pt,3pt">
                  <w:txbxContent>
                    <w:p w:rsidR="00AD6A02" w:rsidRDefault="00AD6A02" w:rsidP="00E14E6A">
                      <w:pPr>
                        <w:spacing w:after="0"/>
                        <w:textDirection w:val="btLr"/>
                      </w:pPr>
                      <w:r>
                        <w:rPr>
                          <w:rFonts w:ascii="Calibri" w:eastAsia="Calibri" w:hAnsi="Calibri" w:cs="Calibri"/>
                          <w:b/>
                          <w:color w:val="FFFF00"/>
                          <w:sz w:val="36"/>
                        </w:rPr>
                        <w:t>G</w:t>
                      </w:r>
                    </w:p>
                  </w:txbxContent>
                </v:textbox>
                <w10:wrap anchorx="margin"/>
              </v:rect>
            </w:pict>
          </mc:Fallback>
        </mc:AlternateContent>
      </w:r>
      <w:r w:rsidRPr="00A764DB">
        <w:rPr>
          <w:rFonts w:cs="Arial"/>
          <w:noProof/>
          <w:lang w:eastAsia="en-GB"/>
        </w:rPr>
        <mc:AlternateContent>
          <mc:Choice Requires="wps">
            <w:drawing>
              <wp:anchor distT="0" distB="0" distL="114300" distR="114300" simplePos="0" relativeHeight="251754496" behindDoc="0" locked="0" layoutInCell="1" hidden="0" allowOverlap="1" wp14:anchorId="632488B6" wp14:editId="0B9D9D17">
                <wp:simplePos x="0" y="0"/>
                <wp:positionH relativeFrom="margin">
                  <wp:posOffset>3654425</wp:posOffset>
                </wp:positionH>
                <wp:positionV relativeFrom="paragraph">
                  <wp:posOffset>619125</wp:posOffset>
                </wp:positionV>
                <wp:extent cx="762000" cy="508000"/>
                <wp:effectExtent l="0" t="0" r="0" b="0"/>
                <wp:wrapNone/>
                <wp:docPr id="217" name="Rectangle 217"/>
                <wp:cNvGraphicFramePr/>
                <a:graphic xmlns:a="http://schemas.openxmlformats.org/drawingml/2006/main">
                  <a:graphicData uri="http://schemas.microsoft.com/office/word/2010/wordprocessingShape">
                    <wps:wsp>
                      <wps:cNvSpPr/>
                      <wps:spPr>
                        <a:xfrm>
                          <a:off x="0" y="0"/>
                          <a:ext cx="762000" cy="50800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FFFF00"/>
                                <w:sz w:val="36"/>
                              </w:rPr>
                              <w:t>T</w:t>
                            </w:r>
                          </w:p>
                        </w:txbxContent>
                      </wps:txbx>
                      <wps:bodyPr lIns="88900" tIns="38100" rIns="88900" bIns="38100" anchor="t" anchorCtr="0"/>
                    </wps:wsp>
                  </a:graphicData>
                </a:graphic>
              </wp:anchor>
            </w:drawing>
          </mc:Choice>
          <mc:Fallback>
            <w:pict>
              <v:rect w14:anchorId="632488B6" id="Rectangle 217" o:spid="_x0000_s1053" style="position:absolute;left:0;text-align:left;margin-left:287.75pt;margin-top:48.75pt;width:60pt;height:40pt;z-index:251754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1zmoAEAAEIDAAAOAAAAZHJzL2Uyb0RvYy54bWysUk2P0zAQvSPxHyzfqdMidkPUdA+sFiEh&#10;WLHLD5g6dmPJ9li2adJ/z9gp3QI3xGUyX3kz73m2d7Oz7KhiMuh7vl41nCkvcTD+0PPvzw9vWs5S&#10;Bj+ARa96flKJ3+1ev9pOoVMbHNEOKjIC8ambQs/HnEMnRJKjcpBWGJSnosboIFMYD2KIMBG6s2LT&#10;NDdiwjiEiFKlRNn7pch3FV9rJfNXrZPKzPacdsvVxmr3xYrdFrpDhDAaeV4D/mELB8bT0AvUPWRg&#10;P6L5C8oZGTGhziuJTqDWRqrKgdismz/YPI0QVOVC4qRwkSn9P1j55fgYmRl6vlnfcubB0SN9I9nA&#10;H6xiJUkSTSF11PkUHuM5SuQWvrOOrnyJCZurrKeLrGrOTFLy9oZeisSXVHrXtMUnFPHyc4gpf1To&#10;WHF6Hml8FROOn1NeWn+1lFkeH4y1lIfO+t8ShFkyouy7bFi8PO/nheKFzB6HE/G2nzxp2bbvy3q5&#10;Bm/bdQnidWV/XQEvR6QLypwt7odc76nsWabRQ1Vy56Mql3Ad166X09/9BAAA//8DAFBLAwQUAAYA&#10;CAAAACEAQkHzmd4AAAAKAQAADwAAAGRycy9kb3ducmV2LnhtbEyPzU7DMBCE70i8g7VI3KjDTxoa&#10;4lQFiV5QD7Q8gBMvidV4HWInDTw92xOcVjvzaXa2WM+uExMOwXpScLtIQCDV3lhqFHwcXm8eQYSo&#10;yejOEyr4xgDr8vKi0LnxJ3rHaR8bwSEUcq2gjbHPpQx1i06Hhe+R2Pv0g9OR16GRZtAnDnedvEuS&#10;pXTaEl9odY8vLdbH/egUTD/9w/PWGn/cfO3m6m3c3h+sU+r6at48gYg4xz8YzvW5OpTcqfIjmSA6&#10;BWmWpowqWGU8GViuzkLFZMaKLAv5/4XyFwAA//8DAFBLAQItABQABgAIAAAAIQC2gziS/gAAAOEB&#10;AAATAAAAAAAAAAAAAAAAAAAAAABbQ29udGVudF9UeXBlc10ueG1sUEsBAi0AFAAGAAgAAAAhADj9&#10;If/WAAAAlAEAAAsAAAAAAAAAAAAAAAAALwEAAF9yZWxzLy5yZWxzUEsBAi0AFAAGAAgAAAAhAEFH&#10;XOagAQAAQgMAAA4AAAAAAAAAAAAAAAAALgIAAGRycy9lMm9Eb2MueG1sUEsBAi0AFAAGAAgAAAAh&#10;AEJB85neAAAACgEAAA8AAAAAAAAAAAAAAAAA+gMAAGRycy9kb3ducmV2LnhtbFBLBQYAAAAABAAE&#10;APMAAAAFBQAAAAA=&#10;" filled="f" stroked="f">
                <v:textbox inset="7pt,3pt,7pt,3pt">
                  <w:txbxContent>
                    <w:p w:rsidR="00AD6A02" w:rsidRDefault="00AD6A02" w:rsidP="00616C71">
                      <w:pPr>
                        <w:spacing w:after="0"/>
                        <w:ind w:firstLine="720"/>
                        <w:textDirection w:val="btLr"/>
                      </w:pPr>
                      <w:r>
                        <w:rPr>
                          <w:rFonts w:ascii="Calibri" w:eastAsia="Calibri" w:hAnsi="Calibri" w:cs="Calibri"/>
                          <w:b/>
                          <w:color w:val="FFFF00"/>
                          <w:sz w:val="36"/>
                        </w:rPr>
                        <w:t>T</w:t>
                      </w:r>
                    </w:p>
                  </w:txbxContent>
                </v:textbox>
                <w10:wrap anchorx="margin"/>
              </v:rect>
            </w:pict>
          </mc:Fallback>
        </mc:AlternateContent>
      </w:r>
      <w:r>
        <w:rPr>
          <w:noProof/>
          <w:lang w:eastAsia="en-GB"/>
        </w:rPr>
        <mc:AlternateContent>
          <mc:Choice Requires="wps">
            <w:drawing>
              <wp:anchor distT="0" distB="0" distL="114300" distR="114300" simplePos="0" relativeHeight="251751424" behindDoc="0" locked="0" layoutInCell="1" hidden="0" allowOverlap="1" wp14:anchorId="71A50719" wp14:editId="630E365A">
                <wp:simplePos x="0" y="0"/>
                <wp:positionH relativeFrom="margin">
                  <wp:posOffset>2505075</wp:posOffset>
                </wp:positionH>
                <wp:positionV relativeFrom="paragraph">
                  <wp:posOffset>1558925</wp:posOffset>
                </wp:positionV>
                <wp:extent cx="330200" cy="508000"/>
                <wp:effectExtent l="0" t="0" r="0" b="0"/>
                <wp:wrapNone/>
                <wp:docPr id="263" name="Rectangle 263"/>
                <wp:cNvGraphicFramePr/>
                <a:graphic xmlns:a="http://schemas.openxmlformats.org/drawingml/2006/main">
                  <a:graphicData uri="http://schemas.microsoft.com/office/word/2010/wordprocessingShape">
                    <wps:wsp>
                      <wps:cNvSpPr/>
                      <wps:spPr>
                        <a:xfrm>
                          <a:off x="0" y="0"/>
                          <a:ext cx="330200" cy="5080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71A50719" id="Rectangle 263" o:spid="_x0000_s1054" style="position:absolute;left:0;text-align:left;margin-left:197.25pt;margin-top:122.75pt;width:26pt;height:40pt;z-index:251751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arqoQEAAEIDAAAOAAAAZHJzL2Uyb0RvYy54bWysUttO4zAQfUfiHyy/U6etFoWoaR9AoJVW&#10;u2iBD3Adu7Hkm8amSf9+x04pXXhDvEzmljNzjme1Ga0hewlRe9fS+ayiRDrhO+12LX15vr+qKYmJ&#10;u44b72RLDzLSzfryYjWERi58700ngSCIi80QWtqnFBrGouil5XHmg3RYVB4sTxjCjnXAB0S3hi2q&#10;6poNHroAXsgYMXs3Fem64CslRfqjVJSJmJbibqlYKHabLVuveLMDHnotjmvwL2xhuXY49AR1xxMn&#10;r6A/QVktwEev0kx4y7xSWsjCAdnMqw9snnoeZOGC4sRwkil+H6z4vX8EoruWLq6XlDhu8ZH+omzc&#10;7YwkOYkSDSE22PkUHuEYRXQz31GBzV9kQsYi6+EkqxwTEZhcLit8KkoEln5UdYU+orD3nwPE9CC9&#10;JdlpKeD4Iibf/4ppan1rybOcv9fGYJ43xv2XQMycYXnfacPspXE7ThTrNzJb3x2Qt/npUMu6vsnr&#10;pRIs63kO4LyyPa9wJ3qPF5QomdzbVO4p75mn4UMVcsejypdwHpeu99Nf/wMAAP//AwBQSwMEFAAG&#10;AAgAAAAhAMFlhQ7fAAAACwEAAA8AAABkcnMvZG93bnJldi54bWxMj8FOwzAQRO9I/IO1SNyoQ5pW&#10;NMSpChK9IA60fIATbxOr8TrEThr4epYT3GZ3RrNvi+3sOjHhEKwnBfeLBARS7Y2lRsHH8eXuAUSI&#10;mozuPKGCLwywLa+vCp0bf6F3nA6xEVxCIdcK2hj7XMpQt+h0WPgeib2TH5yOPA6NNIO+cLnrZJok&#10;a+m0Jb7Q6h6fW6zPh9EpmL777GlvjT/vPt/m6nXcL4/WKXV7M+8eQUSc418YfvEZHUpmqvxIJohO&#10;wXKTrTiqIM1WLDiRZWsWFVspb2RZyP8/lD8AAAD//wMAUEsBAi0AFAAGAAgAAAAhALaDOJL+AAAA&#10;4QEAABMAAAAAAAAAAAAAAAAAAAAAAFtDb250ZW50X1R5cGVzXS54bWxQSwECLQAUAAYACAAAACEA&#10;OP0h/9YAAACUAQAACwAAAAAAAAAAAAAAAAAvAQAAX3JlbHMvLnJlbHNQSwECLQAUAAYACAAAACEA&#10;btmq6qEBAABCAwAADgAAAAAAAAAAAAAAAAAuAgAAZHJzL2Uyb0RvYy54bWxQSwECLQAUAAYACAAA&#10;ACEAwWWFDt8AAAALAQAADwAAAAAAAAAAAAAAAAD7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G</w:t>
                      </w:r>
                    </w:p>
                  </w:txbxContent>
                </v:textbox>
                <w10:wrap anchorx="margin"/>
              </v:rect>
            </w:pict>
          </mc:Fallback>
        </mc:AlternateContent>
      </w:r>
      <w:r w:rsidR="00616C71" w:rsidRPr="00A764DB">
        <w:rPr>
          <w:rFonts w:eastAsia="Times New Roman" w:cs="Arial"/>
        </w:rPr>
        <w:t xml:space="preserve">          c)</w:t>
      </w:r>
      <w:r w:rsidR="00616C71">
        <w:rPr>
          <w:rFonts w:ascii="Calibri" w:eastAsia="Calibri" w:hAnsi="Calibri" w:cs="Calibri"/>
        </w:rPr>
        <w:t xml:space="preserve">      </w:t>
      </w:r>
      <w:r w:rsidR="00616C71">
        <w:rPr>
          <w:noProof/>
          <w:lang w:eastAsia="en-GB"/>
        </w:rPr>
        <w:drawing>
          <wp:inline distT="0" distB="0" distL="0" distR="0" wp14:anchorId="42F0E726" wp14:editId="2EE06590">
            <wp:extent cx="3916800" cy="3132000"/>
            <wp:effectExtent l="0" t="0" r="0" b="0"/>
            <wp:docPr id="41" name="image84.png" descr="C:\Users\UOS\Desktop\New folder (3)\Rat 16 Right kideny X20-sc.tif"/>
            <wp:cNvGraphicFramePr/>
            <a:graphic xmlns:a="http://schemas.openxmlformats.org/drawingml/2006/main">
              <a:graphicData uri="http://schemas.openxmlformats.org/drawingml/2006/picture">
                <pic:pic xmlns:pic="http://schemas.openxmlformats.org/drawingml/2006/picture">
                  <pic:nvPicPr>
                    <pic:cNvPr id="0" name="image84.png" descr="C:\Users\UOS\Desktop\New folder (3)\Rat 16 Right kideny X20-sc.tif"/>
                    <pic:cNvPicPr preferRelativeResize="0"/>
                  </pic:nvPicPr>
                  <pic:blipFill>
                    <a:blip r:embed="rId104"/>
                    <a:srcRect/>
                    <a:stretch>
                      <a:fillRect/>
                    </a:stretch>
                  </pic:blipFill>
                  <pic:spPr>
                    <a:xfrm>
                      <a:off x="0" y="0"/>
                      <a:ext cx="3916800" cy="3132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52448" behindDoc="0" locked="0" layoutInCell="1" hidden="0" allowOverlap="1" wp14:anchorId="334806AB" wp14:editId="6D349E24">
                <wp:simplePos x="0" y="0"/>
                <wp:positionH relativeFrom="margin">
                  <wp:posOffset>1231900</wp:posOffset>
                </wp:positionH>
                <wp:positionV relativeFrom="paragraph">
                  <wp:posOffset>2400300</wp:posOffset>
                </wp:positionV>
                <wp:extent cx="406400" cy="381000"/>
                <wp:effectExtent l="0" t="0" r="0" b="0"/>
                <wp:wrapNone/>
                <wp:docPr id="149" name="Rectangle 149"/>
                <wp:cNvGraphicFramePr/>
                <a:graphic xmlns:a="http://schemas.openxmlformats.org/drawingml/2006/main">
                  <a:graphicData uri="http://schemas.microsoft.com/office/word/2010/wordprocessingShape">
                    <wps:wsp>
                      <wps:cNvSpPr/>
                      <wps:spPr>
                        <a:xfrm>
                          <a:off x="5145975" y="3589500"/>
                          <a:ext cx="400049" cy="38100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334806AB" id="Rectangle 149" o:spid="_x0000_s1055" style="position:absolute;left:0;text-align:left;margin-left:97pt;margin-top:189pt;width:32pt;height:30pt;z-index:251752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mrgEAAE4DAAAOAAAAZHJzL2Uyb0RvYy54bWysU8tu2zAQvAfoPxC815Rdq5EFyzk0SBEg&#10;SIOm/QCaIi0CfGHJWvLfZ0k7jpPeil6o3eVidma4Wt9M1pC9hKi96+h8VlEinfC9druO/v5197mh&#10;JCbuem68kx09yEhvNp+u1mNo5cIP3vQSCIK42I6ho0NKoWUsikFaHmc+SIeXyoPlCVPYsR74iOjW&#10;sEVVfWWjhz6AFzJGrN4eL+mm4CslRfqhVJSJmI4it1ROKOc2n2yz5u0OeBi0ONHg/8DCcu1w6Bnq&#10;lidO/oD+C8pqAT56lWbCW+aV0kIWDahmXn1Q8zzwIIsWNCeGs03x/8GKx/0TEN3j2y1XlDhu8ZF+&#10;om3c7YwkuYgWjSG22PkcnuCURQyz3kmBzV9UQqaO1vNlvbquKTl09EvdrOrqZLGcEhHYsKyqKg8S&#10;uaGZY5bx2RtQgJi+S29JDjoKSKUYy/cPMR1bX1vyXOfvtDFY561x7wqImSsscz+yzVGatlORuzgL&#10;2/r+gB6Ye4e+Ns0KKZFUkkKQEri82V7ecCcGj9uUKDmG31LZrcwzT8NHK+JOC5a34jIvXW+/weYF&#10;AAD//wMAUEsDBBQABgAIAAAAIQBuQMgz3gAAAAsBAAAPAAAAZHJzL2Rvd25yZXYueG1sTI/BTsMw&#10;EETvSPyDtUjcqEMToIQ4VUGiF9QDLR/gxEtiNV6H2EkDX8/2BLc32tHsTLGeXScmHIL1pOB2kYBA&#10;qr2x1Cj4OLzerECEqMnozhMq+MYA6/LyotC58Sd6x2kfG8EhFHKtoI2xz6UMdYtOh4Xvkfj26Qen&#10;I8uhkWbQJw53nVwmyb102hJ/aHWPLy3Wx/3oFEw/ffa8tcYfN1+7uXobt+nBOqWur+bNE4iIc/wz&#10;w7k+V4eSO1V+JBNEx/ox4y1RQfqwYmDH8u4MlYIsZZBlIf9vKH8BAAD//wMAUEsBAi0AFAAGAAgA&#10;AAAhALaDOJL+AAAA4QEAABMAAAAAAAAAAAAAAAAAAAAAAFtDb250ZW50X1R5cGVzXS54bWxQSwEC&#10;LQAUAAYACAAAACEAOP0h/9YAAACUAQAACwAAAAAAAAAAAAAAAAAvAQAAX3JlbHMvLnJlbHNQSwEC&#10;LQAUAAYACAAAACEALP3Spq4BAABOAwAADgAAAAAAAAAAAAAAAAAuAgAAZHJzL2Uyb0RvYy54bWxQ&#10;SwECLQAUAAYACAAAACEAbkDIM94AAAALAQAADwAAAAAAAAAAAAAAAAAIBAAAZHJzL2Rvd25yZXYu&#10;eG1sUEsFBgAAAAAEAAQA8wAAABMFAAAAAA==&#10;" filled="f" stroked="f">
                <v:textbox inset="7pt,3pt,7pt,3pt">
                  <w:txbxContent>
                    <w:p w:rsidR="00AD6A02" w:rsidRDefault="00AD6A02" w:rsidP="00616C71">
                      <w:pPr>
                        <w:spacing w:after="0"/>
                        <w:ind w:firstLine="720"/>
                        <w:textDirection w:val="btLr"/>
                      </w:pPr>
                      <w:r>
                        <w:rPr>
                          <w:rFonts w:ascii="Calibri" w:eastAsia="Calibri" w:hAnsi="Calibri" w:cs="Calibri"/>
                          <w:b/>
                          <w:color w:val="FFFF00"/>
                          <w:sz w:val="36"/>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53472" behindDoc="0" locked="0" layoutInCell="1" hidden="0" allowOverlap="1" wp14:anchorId="16A3CAFC" wp14:editId="24AEDB6C">
                <wp:simplePos x="0" y="0"/>
                <wp:positionH relativeFrom="margin">
                  <wp:posOffset>2273300</wp:posOffset>
                </wp:positionH>
                <wp:positionV relativeFrom="paragraph">
                  <wp:posOffset>2324100</wp:posOffset>
                </wp:positionV>
                <wp:extent cx="508000" cy="203200"/>
                <wp:effectExtent l="0" t="0" r="0" b="0"/>
                <wp:wrapNone/>
                <wp:docPr id="265" name="Freeform 265"/>
                <wp:cNvGraphicFramePr/>
                <a:graphic xmlns:a="http://schemas.openxmlformats.org/drawingml/2006/main">
                  <a:graphicData uri="http://schemas.microsoft.com/office/word/2010/wordprocessingShape">
                    <wps:wsp>
                      <wps:cNvSpPr/>
                      <wps:spPr>
                        <a:xfrm rot="10800000">
                          <a:off x="5107875" y="3694275"/>
                          <a:ext cx="476249" cy="171449"/>
                        </a:xfrm>
                        <a:custGeom>
                          <a:avLst/>
                          <a:gdLst/>
                          <a:ahLst/>
                          <a:cxnLst/>
                          <a:rect l="0" t="0" r="0" b="0"/>
                          <a:pathLst>
                            <a:path w="476250" h="171450" extrusionOk="0">
                              <a:moveTo>
                                <a:pt x="0" y="0"/>
                              </a:moveTo>
                              <a:lnTo>
                                <a:pt x="476250" y="171450"/>
                              </a:lnTo>
                            </a:path>
                          </a:pathLst>
                        </a:custGeom>
                        <a:solidFill>
                          <a:srgbClr val="FFFFFF"/>
                        </a:solidFill>
                        <a:ln w="38100" cap="flat" cmpd="sng">
                          <a:solidFill>
                            <a:srgbClr val="92D050"/>
                          </a:solidFill>
                          <a:prstDash val="solid"/>
                          <a:miter/>
                          <a:headEnd type="none" w="med" len="med"/>
                          <a:tailEnd type="triangle" w="lg" len="lg"/>
                        </a:ln>
                      </wps:spPr>
                      <wps:bodyPr lIns="91425" tIns="91425" rIns="91425" bIns="91425" anchor="ctr" anchorCtr="0"/>
                    </wps:wsp>
                  </a:graphicData>
                </a:graphic>
              </wp:anchor>
            </w:drawing>
          </mc:Choice>
          <mc:Fallback>
            <w:pict>
              <v:shape w14:anchorId="26254B13" id="Freeform 265" o:spid="_x0000_s1026" style="position:absolute;margin-left:179pt;margin-top:183pt;width:40pt;height:16pt;rotation:180;z-index:251753472;visibility:visible;mso-wrap-style:square;mso-wrap-distance-left:9pt;mso-wrap-distance-top:0;mso-wrap-distance-right:9pt;mso-wrap-distance-bottom:0;mso-position-horizontal:absolute;mso-position-horizontal-relative:margin;mso-position-vertical:absolute;mso-position-vertical-relative:text;v-text-anchor:middle" coordsize="4762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18ZQIAAA4FAAAOAAAAZHJzL2Uyb0RvYy54bWysVMlu2zAQvRfoPxC8N1riHZZziOuiQNEE&#10;SPoBNEVJRLmBpLe/7wzlRW6BHorqILwRH5/mzQy5fDpqRfbCB2lNRYuHnBJhuK2laSv6433zaUZJ&#10;iMzUTFkjKnoSgT6tPn5YHtxClLazqhaegIgJi4OraBejW2RZ4J3QLDxYJwwsNtZrFiH0bVZ7dgB1&#10;rbIyzyfZwfraectFCPB13S/SVdJvGsHjS9MEEYmqKOQW09un9xbf2WrJFq1nrpP8nAb7hyw0kwZ+&#10;epVas8jIzss/pLTk3gbbxAdudWabRnKRPICbIv/NzVvHnEheoDjBXcsU/p8s/75/9UTWFS0nY0oM&#10;09CkjRcCS07wG1To4MICiG/u1Z+jABDtHhtgeQtlLfJZjk+qAvgix4qOi3w6m4LsqaKPk/moBJwK&#10;Lo6RcCCMppNyNKeEA6GYFiPAsJ71uqjPdyF+EVYjZvtvIabtbX1BrLsgfjQX6KHrf+23YxH3oShC&#10;cugzGcOAdH0iCCFJv8O5fvmJk4Jsbffi3aZ9EQ0CCzJPUwRJ31aVGbLQJQqeTQLsTfYs2IhJJNvX&#10;xODj0HqwStYbqRT+Ovh2+6w82TOY6U16zoJ3NGXQ1+OsgJ4QzuBsNYpFgNpBt4Npk6O7LXfK83Kd&#10;X1O9ozkf4pqFrs8gLfVt1TIKnzrUCVZ/NjWJJwfzZODoU8xGi5oSJeCmQJSYkUl1Y0YvmWlVz1bt&#10;mQzgUjEoE05jP3+ItrY+wQSrrwZOxbwYlTBucRj4YbAdBszwzsJdwKOnpA+eY7ob8G8oDocu9eV8&#10;QeCpHsaJdbvGVr8AAAD//wMAUEsDBBQABgAIAAAAIQA9FaHr3gAAAAsBAAAPAAAAZHJzL2Rvd25y&#10;ZXYueG1sTE/RSsNAEHwX/IdjBd/sRVvTGnMpVlCEImit75vcmkRzeyV3TaNf7/ZJ32ZnhtmZfDm6&#10;Tg3Uh9azgctJAoq48rbl2sD27eFiASpEZIudZzLwTQGWxelJjpn1B36lYRNrJSEcMjTQxLjLtA5V&#10;Qw7DxO+IRfvwvcMoZ19r2+NBwl2nr5Ik1Q5blg8N7ui+oeprs3cGftazlV+9l8E+beePn8MYX+b4&#10;bMz52Xh3CyrSGP/McKwv1aGQTqXfsw2qMzC9XsiWKCBNBYhjNj0ypTA3AnSR6/8bil8AAAD//wMA&#10;UEsBAi0AFAAGAAgAAAAhALaDOJL+AAAA4QEAABMAAAAAAAAAAAAAAAAAAAAAAFtDb250ZW50X1R5&#10;cGVzXS54bWxQSwECLQAUAAYACAAAACEAOP0h/9YAAACUAQAACwAAAAAAAAAAAAAAAAAvAQAAX3Jl&#10;bHMvLnJlbHNQSwECLQAUAAYACAAAACEAKcqNfGUCAAAOBQAADgAAAAAAAAAAAAAAAAAuAgAAZHJz&#10;L2Uyb0RvYy54bWxQSwECLQAUAAYACAAAACEAPRWh694AAAALAQAADwAAAAAAAAAAAAAAAAC/BAAA&#10;ZHJzL2Rvd25yZXYueG1sUEsFBgAAAAAEAAQA8wAAAMoFAAAAAA==&#10;" path="m,l476250,171450e" strokecolor="#92d050" strokeweight="3pt">
                <v:stroke endarrow="block" endarrowwidth="wide" endarrowlength="long" joinstyle="miter"/>
                <v:path arrowok="t" o:extrusionok="f" textboxrect="0,0,476250,171450"/>
                <w10:wrap anchorx="margin"/>
              </v:shape>
            </w:pict>
          </mc:Fallback>
        </mc:AlternateContent>
      </w:r>
      <w:r w:rsidR="00616C71">
        <w:rPr>
          <w:noProof/>
          <w:lang w:eastAsia="en-GB"/>
        </w:rPr>
        <mc:AlternateContent>
          <mc:Choice Requires="wps">
            <w:drawing>
              <wp:anchor distT="0" distB="0" distL="114300" distR="114300" simplePos="0" relativeHeight="251755520" behindDoc="0" locked="0" layoutInCell="1" hidden="0" allowOverlap="1" wp14:anchorId="38A02F35" wp14:editId="743FD267">
                <wp:simplePos x="0" y="0"/>
                <wp:positionH relativeFrom="margin">
                  <wp:posOffset>0</wp:posOffset>
                </wp:positionH>
                <wp:positionV relativeFrom="paragraph">
                  <wp:posOffset>2616200</wp:posOffset>
                </wp:positionV>
                <wp:extent cx="406400" cy="381000"/>
                <wp:effectExtent l="0" t="0" r="0" b="0"/>
                <wp:wrapNone/>
                <wp:docPr id="176" name="Rectangle 176"/>
                <wp:cNvGraphicFramePr/>
                <a:graphic xmlns:a="http://schemas.openxmlformats.org/drawingml/2006/main">
                  <a:graphicData uri="http://schemas.microsoft.com/office/word/2010/wordprocessingShape">
                    <wps:wsp>
                      <wps:cNvSpPr/>
                      <wps:spPr>
                        <a:xfrm>
                          <a:off x="5145975" y="3589500"/>
                          <a:ext cx="400049" cy="38100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FF0000"/>
                                <w:sz w:val="40"/>
                              </w:rPr>
                              <w:t>C</w:t>
                            </w:r>
                          </w:p>
                        </w:txbxContent>
                      </wps:txbx>
                      <wps:bodyPr lIns="88900" tIns="38100" rIns="88900" bIns="38100" anchor="t" anchorCtr="0"/>
                    </wps:wsp>
                  </a:graphicData>
                </a:graphic>
              </wp:anchor>
            </w:drawing>
          </mc:Choice>
          <mc:Fallback>
            <w:pict>
              <v:rect w14:anchorId="38A02F35" id="Rectangle 176" o:spid="_x0000_s1056" style="position:absolute;left:0;text-align:left;margin-left:0;margin-top:206pt;width:32pt;height:30pt;z-index:251755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V5+sAEAAE4DAAAOAAAAZHJzL2Uyb0RvYy54bWysU8tu2zAQvAfoPxB7ryknViILlnNIkKJA&#10;0QR5fABNkRYBvkCylvz3XdJO4ja3IBdqXxjODFer68loshMhKmc7mM8qIMJy1yu77eDl+e57AyQm&#10;ZnumnRUd7EWE6/W3s9XoW3HuBqd7EQiC2NiOvoMhJd9SGvkgDIsz54XFpnTBsIRp2NI+sBHRjabn&#10;VXVJRxd6HxwXMWL19tCEdcGXUvB0L2UUiegOkFsqZyjnJp90vWLtNjA/KH6kwT7BwjBl8dI3qFuW&#10;GPkT1Acoo3hw0ck0485QJ6XiomhANfPqPzVPA/OiaEFzon+zKX4dLP+9ewhE9fh2V5dALDP4SI9o&#10;G7NbLUguokWjjy1OPvmHcMwihlnvJIPJX1RCpg7q+aJeXtVA9h1c1M2yro4WiykRjgOLqqoWSyA8&#10;DzRzzDI+fQfyIaYfwhmSgw4CUinGst2vmA6jryP5XuvulNZYZ622/xQQM1do5n5gm6M0baYi96Jc&#10;nEsb1+/RA/3Toq9Ns0RKJJWkEAQSTjub0w6zfHC4TQnIIbxJZbcyzwyNj1bEHRcsb8VpXqbef4P1&#10;XwAAAP//AwBQSwMEFAAGAAgAAAAhAEOxcPTcAAAABwEAAA8AAABkcnMvZG93bnJldi54bWxMj8FO&#10;wzAMhu9IvENkJG4s3agG6ppO26Ttgjiw8QBp47XRGqdr0q7w9JgTnGz/v/X7c76eXCtG7IP1pGA+&#10;S0AgVd5YqhV8nvZPryBC1GR06wkVfGGAdXF/l+vM+Bt94HiMteAQCplW0MTYZVKGqkGnw8x3SOyd&#10;fe905LGvpen1jcNdKxdJspROW+ILje5w12B1OQ5OwfjdpduDNf6yub5P5dtweD5Zp9Tjw7RZgYg4&#10;xb9l+MVndCiYqfQDmSBaBfxIVJDOF9ywvUy5liy8sCCLXP7nL34AAAD//wMAUEsBAi0AFAAGAAgA&#10;AAAhALaDOJL+AAAA4QEAABMAAAAAAAAAAAAAAAAAAAAAAFtDb250ZW50X1R5cGVzXS54bWxQSwEC&#10;LQAUAAYACAAAACEAOP0h/9YAAACUAQAACwAAAAAAAAAAAAAAAAAvAQAAX3JlbHMvLnJlbHNQSwEC&#10;LQAUAAYACAAAACEA6VFefrABAABOAwAADgAAAAAAAAAAAAAAAAAuAgAAZHJzL2Uyb0RvYy54bWxQ&#10;SwECLQAUAAYACAAAACEAQ7Fw9NwAAAAHAQAADwAAAAAAAAAAAAAAAAAKBAAAZHJzL2Rvd25yZXYu&#10;eG1sUEsFBgAAAAAEAAQA8wAAABMFAAAAAA==&#10;" filled="f" stroked="f">
                <v:textbox inset="7pt,3pt,7pt,3pt">
                  <w:txbxContent>
                    <w:p w:rsidR="00AD6A02" w:rsidRDefault="00AD6A02" w:rsidP="00616C71">
                      <w:pPr>
                        <w:spacing w:after="0"/>
                        <w:ind w:firstLine="720"/>
                        <w:textDirection w:val="btLr"/>
                      </w:pPr>
                      <w:r>
                        <w:rPr>
                          <w:rFonts w:ascii="Calibri" w:eastAsia="Calibri" w:hAnsi="Calibri" w:cs="Calibri"/>
                          <w:b/>
                          <w:color w:val="FF0000"/>
                          <w:sz w:val="40"/>
                        </w:rPr>
                        <w:t>C</w:t>
                      </w:r>
                    </w:p>
                  </w:txbxContent>
                </v:textbox>
                <w10:wrap anchorx="margin"/>
              </v:rect>
            </w:pict>
          </mc:Fallback>
        </mc:AlternateContent>
      </w:r>
      <w:r w:rsidR="00235B18">
        <w:rPr>
          <w:rFonts w:ascii="Calibri" w:eastAsia="Calibri" w:hAnsi="Calibri" w:cs="Calibri"/>
        </w:rPr>
        <w:tab/>
      </w:r>
    </w:p>
    <w:p w:rsidR="00616C71" w:rsidRDefault="00616C71" w:rsidP="00616C71">
      <w:pPr>
        <w:spacing w:after="160"/>
      </w:pPr>
    </w:p>
    <w:p w:rsidR="00616C71" w:rsidRDefault="00616C71" w:rsidP="00616C71">
      <w:pPr>
        <w:spacing w:after="160" w:line="240" w:lineRule="auto"/>
        <w:rPr>
          <w:sz w:val="20"/>
          <w:szCs w:val="20"/>
        </w:rPr>
      </w:pPr>
    </w:p>
    <w:p w:rsidR="00616C71" w:rsidRDefault="003B4410" w:rsidP="00616C71">
      <w:pPr>
        <w:spacing w:after="160" w:line="276" w:lineRule="auto"/>
        <w:ind w:left="360"/>
        <w:rPr>
          <w:sz w:val="20"/>
          <w:szCs w:val="20"/>
        </w:rPr>
      </w:pPr>
      <w:r w:rsidRPr="00A764DB">
        <w:rPr>
          <w:rFonts w:cs="Arial"/>
          <w:noProof/>
          <w:lang w:eastAsia="en-GB"/>
        </w:rPr>
        <mc:AlternateContent>
          <mc:Choice Requires="wps">
            <w:drawing>
              <wp:anchor distT="0" distB="0" distL="114300" distR="114300" simplePos="0" relativeHeight="251759616" behindDoc="0" locked="0" layoutInCell="1" hidden="0" allowOverlap="1" wp14:anchorId="0E6885D2" wp14:editId="5AE28D19">
                <wp:simplePos x="0" y="0"/>
                <wp:positionH relativeFrom="margin">
                  <wp:posOffset>664845</wp:posOffset>
                </wp:positionH>
                <wp:positionV relativeFrom="paragraph">
                  <wp:posOffset>1427480</wp:posOffset>
                </wp:positionV>
                <wp:extent cx="933450" cy="469900"/>
                <wp:effectExtent l="0" t="0" r="0" b="6350"/>
                <wp:wrapNone/>
                <wp:docPr id="102" name="Rectangle 102"/>
                <wp:cNvGraphicFramePr/>
                <a:graphic xmlns:a="http://schemas.openxmlformats.org/drawingml/2006/main">
                  <a:graphicData uri="http://schemas.microsoft.com/office/word/2010/wordprocessingShape">
                    <wps:wsp>
                      <wps:cNvSpPr/>
                      <wps:spPr>
                        <a:xfrm>
                          <a:off x="0" y="0"/>
                          <a:ext cx="933450" cy="469900"/>
                        </a:xfrm>
                        <a:prstGeom prst="rect">
                          <a:avLst/>
                        </a:prstGeom>
                        <a:noFill/>
                        <a:ln>
                          <a:noFill/>
                        </a:ln>
                      </wps:spPr>
                      <wps:txbx>
                        <w:txbxContent>
                          <w:p w:rsidR="00AD6A02" w:rsidRPr="00425FD9" w:rsidRDefault="00AD6A02" w:rsidP="00616C71">
                            <w:pPr>
                              <w:spacing w:after="0"/>
                              <w:ind w:firstLine="720"/>
                              <w:textDirection w:val="btLr"/>
                              <w:rPr>
                                <w:color w:val="00B0F0"/>
                              </w:rPr>
                            </w:pPr>
                            <w:r w:rsidRPr="00425FD9">
                              <w:rPr>
                                <w:rFonts w:ascii="Calibri" w:eastAsia="Calibri" w:hAnsi="Calibri" w:cs="Calibri"/>
                                <w:b/>
                                <w:color w:val="00B0F0"/>
                                <w:sz w:val="36"/>
                              </w:rPr>
                              <w:t>TD</w:t>
                            </w: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0E6885D2" id="Rectangle 102" o:spid="_x0000_s1057" style="position:absolute;left:0;text-align:left;margin-left:52.35pt;margin-top:112.4pt;width:73.5pt;height:37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2NruQEAAGoDAAAOAAAAZHJzL2Uyb0RvYy54bWysU9uO0zAQfUfiHyy/06TtsmqjpivEahES&#10;gtUufIDr2I0l22PGbpP+PWOn2y3whnhx59aZc85MNnejs+yoMBrwLZ/Pas6Ul9AZv2/5j+8P71ac&#10;xSR8Jyx41fKTivxu+/bNZgiNWkAPtlPIqImPzRBa3qcUmqqKsldOxBkE5SmpAZ1I5OK+6lAM1N3Z&#10;alHXt9UA2AUEqWKk6P2U5NvSX2sl0zeto0rMtpywpfJieXf5rbYb0exRhN7IMwzxDyicMJ6GXlrd&#10;iyTYAc1frZyRCBF0mklwFWhtpCociM28/oPNcy+CKlxInBguMsX/11Z+PT4iMx3trl5w5oWjJT2R&#10;bMLvrWI5SBINITZU+Rwe8exFMjPfUaPLv8SEjUXW00VWNSYmKbheLm/ek/iSUje363VdZK9e/xww&#10;pk8KHMtGy5HGFzHF8UtMNJBKX0ryLA8PxtqyOet/C1BhjlQZ74QwW2ncjYXicv5CZgfdiXgPtPiW&#10;x58HgYoz+9mTsqtVBshScZareXbwOrO7zggve6B7SpxN5sdUrmuC9eGQQJtCIQOZpp7x0UILs/Px&#10;5Yu59kvV6yey/QUAAP//AwBQSwMEFAAGAAgAAAAhANiz0d/fAAAACwEAAA8AAABkcnMvZG93bnJl&#10;di54bWxMj8FOwzAQRO9I/IO1SNyo0xAghDhVQaIXxIGWD3DiJbEar0PspIGvZznBbWd3NPum3Cyu&#10;FzOOwXpSsF4lIJAabyy1Ct4Pz1c5iBA1Gd17QgVfGGBTnZ+VujD+RG8472MrOIRCoRV0MQ6FlKHp&#10;0Omw8gMS3z786HRkObbSjPrE4a6XaZLcSqct8YdOD/jUYXPcT07B/D1kjztr/HH7+brUL9Pu+mCd&#10;UpcXy/YBRMQl/pnhF5/RoWKm2k9kguhZJ9kdWxWkacYd2JHerHlT83Cf5yCrUv7vUP0AAAD//wMA&#10;UEsBAi0AFAAGAAgAAAAhALaDOJL+AAAA4QEAABMAAAAAAAAAAAAAAAAAAAAAAFtDb250ZW50X1R5&#10;cGVzXS54bWxQSwECLQAUAAYACAAAACEAOP0h/9YAAACUAQAACwAAAAAAAAAAAAAAAAAvAQAAX3Jl&#10;bHMvLnJlbHNQSwECLQAUAAYACAAAACEAQAtja7kBAABqAwAADgAAAAAAAAAAAAAAAAAuAgAAZHJz&#10;L2Uyb0RvYy54bWxQSwECLQAUAAYACAAAACEA2LPR398AAAALAQAADwAAAAAAAAAAAAAAAAATBAAA&#10;ZHJzL2Rvd25yZXYueG1sUEsFBgAAAAAEAAQA8wAAAB8FAAAAAA==&#10;" filled="f" stroked="f">
                <v:textbox inset="7pt,3pt,7pt,3pt">
                  <w:txbxContent>
                    <w:p w:rsidR="00AD6A02" w:rsidRPr="00425FD9" w:rsidRDefault="00AD6A02" w:rsidP="00616C71">
                      <w:pPr>
                        <w:spacing w:after="0"/>
                        <w:ind w:firstLine="720"/>
                        <w:textDirection w:val="btLr"/>
                        <w:rPr>
                          <w:color w:val="00B0F0"/>
                        </w:rPr>
                      </w:pPr>
                      <w:r w:rsidRPr="00425FD9">
                        <w:rPr>
                          <w:rFonts w:ascii="Calibri" w:eastAsia="Calibri" w:hAnsi="Calibri" w:cs="Calibri"/>
                          <w:b/>
                          <w:color w:val="00B0F0"/>
                          <w:sz w:val="36"/>
                        </w:rPr>
                        <w:t>TD</w:t>
                      </w:r>
                    </w:p>
                  </w:txbxContent>
                </v:textbox>
                <w10:wrap anchorx="margin"/>
              </v:rect>
            </w:pict>
          </mc:Fallback>
        </mc:AlternateContent>
      </w:r>
      <w:r w:rsidR="00616C71" w:rsidRPr="00A764DB">
        <w:rPr>
          <w:rFonts w:eastAsia="Times New Roman" w:cs="Arial"/>
        </w:rPr>
        <w:t xml:space="preserve">   d)</w:t>
      </w:r>
      <w:r w:rsidR="00616C71">
        <w:rPr>
          <w:rFonts w:ascii="Calibri" w:eastAsia="Calibri" w:hAnsi="Calibri" w:cs="Calibri"/>
        </w:rPr>
        <w:t xml:space="preserve">       </w:t>
      </w:r>
      <w:r w:rsidR="00616C71">
        <w:rPr>
          <w:noProof/>
          <w:lang w:eastAsia="en-GB"/>
        </w:rPr>
        <w:drawing>
          <wp:inline distT="0" distB="0" distL="0" distR="0" wp14:anchorId="4F77A491" wp14:editId="3BF11EED">
            <wp:extent cx="3916800" cy="3132000"/>
            <wp:effectExtent l="0" t="0" r="0" b="0"/>
            <wp:docPr id="279" name="image87.png" descr="C:\Users\UOS\Desktop\New folder (3)\Rat 09 Left kideny X20-1-sc.tif"/>
            <wp:cNvGraphicFramePr/>
            <a:graphic xmlns:a="http://schemas.openxmlformats.org/drawingml/2006/main">
              <a:graphicData uri="http://schemas.openxmlformats.org/drawingml/2006/picture">
                <pic:pic xmlns:pic="http://schemas.openxmlformats.org/drawingml/2006/picture">
                  <pic:nvPicPr>
                    <pic:cNvPr id="0" name="image87.png" descr="C:\Users\UOS\Desktop\New folder (3)\Rat 09 Left kideny X20-1-sc.tif"/>
                    <pic:cNvPicPr preferRelativeResize="0"/>
                  </pic:nvPicPr>
                  <pic:blipFill>
                    <a:blip r:embed="rId105"/>
                    <a:srcRect/>
                    <a:stretch>
                      <a:fillRect/>
                    </a:stretch>
                  </pic:blipFill>
                  <pic:spPr>
                    <a:xfrm>
                      <a:off x="0" y="0"/>
                      <a:ext cx="3916800" cy="3132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56544" behindDoc="0" locked="0" layoutInCell="1" hidden="0" allowOverlap="1" wp14:anchorId="2C3C322E" wp14:editId="1C5DDE83">
                <wp:simplePos x="0" y="0"/>
                <wp:positionH relativeFrom="margin">
                  <wp:posOffset>3467100</wp:posOffset>
                </wp:positionH>
                <wp:positionV relativeFrom="paragraph">
                  <wp:posOffset>863600</wp:posOffset>
                </wp:positionV>
                <wp:extent cx="330200" cy="508000"/>
                <wp:effectExtent l="0" t="0" r="0" b="0"/>
                <wp:wrapNone/>
                <wp:docPr id="266" name="Rectangle 266"/>
                <wp:cNvGraphicFramePr/>
                <a:graphic xmlns:a="http://schemas.openxmlformats.org/drawingml/2006/main">
                  <a:graphicData uri="http://schemas.microsoft.com/office/word/2010/wordprocessingShape">
                    <wps:wsp>
                      <wps:cNvSpPr/>
                      <wps:spPr>
                        <a:xfrm>
                          <a:off x="5181535" y="3525048"/>
                          <a:ext cx="328929" cy="509905"/>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2C3C322E" id="Rectangle 266" o:spid="_x0000_s1058" style="position:absolute;left:0;text-align:left;margin-left:273pt;margin-top:68pt;width:26pt;height:40pt;z-index:251756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FTsgEAAE4DAAAOAAAAZHJzL2Uyb0RvYy54bWysU8lu2zAUvBfoPxC819RSGZJgOocGKQIE&#10;bdC0H0BTpCWAG0jWkv8+j5STuOmt6IV6G4Yzw6fdzaIVOgkfJmsoLjcFRsJwO0zmSPGvn3efWoxC&#10;ZGZgyhpB8VkEfLP/+GE3u15UdrRqEB4BiAn97CgeY3Q9IYGPQrOwsU4YaErrNYuQ+iMZPJsBXStS&#10;FcWWzNYPzlsuQoDq7drE+4wvpeDxu5RBRKQoBm4xnz6fh3SS/Y71R8/cOPELDfYPLDSbDFz6CnXL&#10;IkO//fQXlJ64t8HKuOFWEyvlxEXWAGrK4p2ap5E5kbWAOcG92hT+Hyz/dnr0aBoorrZbjAzT8Eg/&#10;wDZmjkqgVASLZhd6mHxyj/6SBQiT3kV6nb6gBC0UN2VbNnWD0Zniuqma4nO7WiyWiDgM1FXbVR1G&#10;HAaaouuKJvXJG5DzIX4VVqMUUOyBSjaWnR5CXEdfRtK9xt5NSkGd9cr8UQDMVCGJ+8o2RXE5LFlu&#10;Xb0IO9jhDB6oewO+tm1XpD3JSd2WKfHXncN1hxk+WtimiNEafol5txLPdBs8WhZ3WbC0Fdd5nnr7&#10;DfbPAAAA//8DAFBLAwQUAAYACAAAACEA2DfSat4AAAALAQAADwAAAGRycy9kb3ducmV2LnhtbExP&#10;y07DMBC8I/EP1lbiRp0+VdI4VUGiF8SBlg9w4iWxGq9D7KSBr2d7oreZndHsTLYbXSMG7IL1pGA2&#10;TUAgld5YqhR8nl4fNyBC1GR04wkV/GCAXX5/l+nU+At94HCMleAQCqlWUMfYplKGskanw9S3SKx9&#10;+c7pyLSrpOn0hcNdI+dJspZOW+IPtW7xpcbyfOydguG3XT4frPHn/ff7WLz1h8XJOqUeJuN+CyLi&#10;GP/NcK3P1SHnToXvyQTRKFgt17wlsrC4AnasnjYMCgXzGV9knsnbDfkfAAAA//8DAFBLAQItABQA&#10;BgAIAAAAIQC2gziS/gAAAOEBAAATAAAAAAAAAAAAAAAAAAAAAABbQ29udGVudF9UeXBlc10ueG1s&#10;UEsBAi0AFAAGAAgAAAAhADj9If/WAAAAlAEAAAsAAAAAAAAAAAAAAAAALwEAAF9yZWxzLy5yZWxz&#10;UEsBAi0AFAAGAAgAAAAhAAjaUVOyAQAATgMAAA4AAAAAAAAAAAAAAAAALgIAAGRycy9lMm9Eb2Mu&#10;eG1sUEsBAi0AFAAGAAgAAAAhANg30mreAAAACwEAAA8AAAAAAAAAAAAAAAAADAQAAGRycy9kb3du&#10;cmV2LnhtbFBLBQYAAAAABAAEAPMAAAAXBQ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57568" behindDoc="0" locked="0" layoutInCell="1" hidden="0" allowOverlap="1" wp14:anchorId="582E0C39" wp14:editId="7997CF3B">
                <wp:simplePos x="0" y="0"/>
                <wp:positionH relativeFrom="margin">
                  <wp:posOffset>2451100</wp:posOffset>
                </wp:positionH>
                <wp:positionV relativeFrom="paragraph">
                  <wp:posOffset>1447800</wp:posOffset>
                </wp:positionV>
                <wp:extent cx="647700" cy="88900"/>
                <wp:effectExtent l="0" t="0" r="0" b="0"/>
                <wp:wrapNone/>
                <wp:docPr id="121" name="Freeform 121"/>
                <wp:cNvGraphicFramePr/>
                <a:graphic xmlns:a="http://schemas.openxmlformats.org/drawingml/2006/main">
                  <a:graphicData uri="http://schemas.microsoft.com/office/word/2010/wordprocessingShape">
                    <wps:wsp>
                      <wps:cNvSpPr/>
                      <wps:spPr>
                        <a:xfrm rot="10800000" flipH="1">
                          <a:off x="5032944" y="3746662"/>
                          <a:ext cx="626109" cy="66674"/>
                        </a:xfrm>
                        <a:custGeom>
                          <a:avLst/>
                          <a:gdLst/>
                          <a:ahLst/>
                          <a:cxnLst/>
                          <a:rect l="0" t="0" r="0" b="0"/>
                          <a:pathLst>
                            <a:path w="626110" h="66675" extrusionOk="0">
                              <a:moveTo>
                                <a:pt x="0" y="0"/>
                              </a:moveTo>
                              <a:lnTo>
                                <a:pt x="626110" y="66675"/>
                              </a:lnTo>
                            </a:path>
                          </a:pathLst>
                        </a:custGeom>
                        <a:solidFill>
                          <a:srgbClr val="FFFFFF"/>
                        </a:solidFill>
                        <a:ln w="28575" cap="flat" cmpd="sng">
                          <a:solidFill>
                            <a:srgbClr val="92D050"/>
                          </a:solidFill>
                          <a:prstDash val="solid"/>
                          <a:miter/>
                          <a:headEnd type="none" w="med" len="med"/>
                          <a:tailEnd type="triangle" w="lg" len="lg"/>
                        </a:ln>
                      </wps:spPr>
                      <wps:bodyPr lIns="91425" tIns="91425" rIns="91425" bIns="91425" anchor="ctr" anchorCtr="0"/>
                    </wps:wsp>
                  </a:graphicData>
                </a:graphic>
              </wp:anchor>
            </w:drawing>
          </mc:Choice>
          <mc:Fallback>
            <w:pict>
              <v:shape w14:anchorId="0D91CE97" id="Freeform 121" o:spid="_x0000_s1026" style="position:absolute;margin-left:193pt;margin-top:114pt;width:51pt;height:7pt;rotation:180;flip:x;z-index:251757568;visibility:visible;mso-wrap-style:square;mso-wrap-distance-left:9pt;mso-wrap-distance-top:0;mso-wrap-distance-right:9pt;mso-wrap-distance-bottom:0;mso-position-horizontal:absolute;mso-position-horizontal-relative:margin;mso-position-vertical:absolute;mso-position-vertical-relative:text;v-text-anchor:middle" coordsize="626110,6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tlWcAIAABUFAAAOAAAAZHJzL2Uyb0RvYy54bWysVM1u2zAMvg/YOwi6r/5pkiZBnB6aZRsw&#10;rAXaPYAiy7Yw/UFSE+ftR8pOk3TADsN8kEnpE8mPpLi677Uie+GDtKaixU1OiTDc1tK0Ff35sv00&#10;pyREZmqmrBEVPYpA79cfP6wObilK21lVC0/AiAnLg6toF6NbZlngndAs3FgnDBw21msWQfVtVnt2&#10;AOtaZWWez7KD9bXzlosQYHczHNJ1st80gsfHpgkiElVRiC2m1ad1h2u2XrFl65nrJB/DYP8QhWbS&#10;gNM3UxsWGXn18g9TWnJvg23iDbc6s00juUgcgE2Rv2Pz3DEnEhdITnBvaQr/zyz/sX/yRNZQu7Kg&#10;xDANRdp6ITDlBPcgQwcXlgB8dk9+1AKISLdvAOUtpLXI5zl+lDRKuq+wkfIBDElf0Wl+Wy4mE0qO&#10;Fb29m8xms3JIvegj4QCYlbMiX1DCAQCndxM8zgYH6Ii/hvhFWI0y238PcShcfZJYd5J4b06ih/L/&#10;tfCORbyHRlEkhyGQAlh0QxxT6Oc++lfs78df2DEI1nYvXmy6FpEe4CHu1E0Q8/lUmUsUckTTI8Xp&#10;SHEAwT0MIZF+Cws2L4kHq2S9lUqh5+Db3YPyZM+gtbfpGw1ewZRBVuV8egdUOIMn1igWQdQOih5M&#10;mwhdXbmyvCg3+fTE7ArmfIgbFrohgnQ01FTLKHyqTydY/dnUJB4dtJWBCUAxGi1qSpSAgYFSQkYm&#10;1RkZvWSmVQNatSMYBMBCTpSBHzbl0IYo7Wx9hEZW3ww8jkUxKYFtvFT8pbK7VJjhnYWRwKOnZFAe&#10;YhoR6A2Nw9tLfsc5gY/7Uk+o8zRb/wYAAP//AwBQSwMEFAAGAAgAAAAhAB9MWTPdAAAACwEAAA8A&#10;AABkcnMvZG93bnJldi54bWxMj0FPwzAMhe9I/IfISNxYsjJNVWk6IcQ4wIkN7mnjNVUbp2qytfx7&#10;vBPcnu2n5++Vu8UP4oJT7AJpWK8UCKQm2I5aDV/H/UMOIiZD1gyBUMMPRthVtzelKWyY6RMvh9QK&#10;DqFYGA0upbGQMjYOvYmrMCLx7RQmbxKPUyvtZGYO94PMlNpKbzriD86M+OKw6Q9nr2H8fpfNm1Ru&#10;Pi1133/0+9dWrbW+v1uen0AkXNKfGa74jA4VM9XhTDaKQcNjvuUuSUOW5SzYscmvoubNJlMgq1L+&#10;71D9AgAA//8DAFBLAQItABQABgAIAAAAIQC2gziS/gAAAOEBAAATAAAAAAAAAAAAAAAAAAAAAABb&#10;Q29udGVudF9UeXBlc10ueG1sUEsBAi0AFAAGAAgAAAAhADj9If/WAAAAlAEAAAsAAAAAAAAAAAAA&#10;AAAALwEAAF9yZWxzLy5yZWxzUEsBAi0AFAAGAAgAAAAhALNO2VZwAgAAFQUAAA4AAAAAAAAAAAAA&#10;AAAALgIAAGRycy9lMm9Eb2MueG1sUEsBAi0AFAAGAAgAAAAhAB9MWTPdAAAACwEAAA8AAAAAAAAA&#10;AAAAAAAAygQAAGRycy9kb3ducmV2LnhtbFBLBQYAAAAABAAEAPMAAADUBQAAAAA=&#10;" path="m,l626110,66675e" strokecolor="#92d050" strokeweight="2.25pt">
                <v:stroke endarrow="block" endarrowwidth="wide" endarrowlength="long" joinstyle="miter"/>
                <v:path arrowok="t" o:extrusionok="f" textboxrect="0,0,626110,66675"/>
                <w10:wrap anchorx="margin"/>
              </v:shape>
            </w:pict>
          </mc:Fallback>
        </mc:AlternateContent>
      </w:r>
      <w:r w:rsidR="00616C71">
        <w:rPr>
          <w:noProof/>
          <w:lang w:eastAsia="en-GB"/>
        </w:rPr>
        <mc:AlternateContent>
          <mc:Choice Requires="wps">
            <w:drawing>
              <wp:anchor distT="0" distB="0" distL="114300" distR="114300" simplePos="0" relativeHeight="251758592" behindDoc="0" locked="0" layoutInCell="1" hidden="0" allowOverlap="1" wp14:anchorId="4FF5F32F" wp14:editId="297F2984">
                <wp:simplePos x="0" y="0"/>
                <wp:positionH relativeFrom="margin">
                  <wp:posOffset>3175000</wp:posOffset>
                </wp:positionH>
                <wp:positionV relativeFrom="paragraph">
                  <wp:posOffset>1739900</wp:posOffset>
                </wp:positionV>
                <wp:extent cx="508000" cy="63500"/>
                <wp:effectExtent l="0" t="0" r="0" b="0"/>
                <wp:wrapNone/>
                <wp:docPr id="97" name="Freeform 97"/>
                <wp:cNvGraphicFramePr/>
                <a:graphic xmlns:a="http://schemas.openxmlformats.org/drawingml/2006/main">
                  <a:graphicData uri="http://schemas.microsoft.com/office/word/2010/wordprocessingShape">
                    <wps:wsp>
                      <wps:cNvSpPr/>
                      <wps:spPr>
                        <a:xfrm rot="10800000">
                          <a:off x="5103112" y="3757140"/>
                          <a:ext cx="485774" cy="45719"/>
                        </a:xfrm>
                        <a:custGeom>
                          <a:avLst/>
                          <a:gdLst/>
                          <a:ahLst/>
                          <a:cxnLst/>
                          <a:rect l="0" t="0" r="0" b="0"/>
                          <a:pathLst>
                            <a:path w="485775" h="45720" extrusionOk="0">
                              <a:moveTo>
                                <a:pt x="0" y="0"/>
                              </a:moveTo>
                              <a:lnTo>
                                <a:pt x="485775" y="45720"/>
                              </a:lnTo>
                            </a:path>
                          </a:pathLst>
                        </a:custGeom>
                        <a:solidFill>
                          <a:srgbClr val="FFFFFF"/>
                        </a:solidFill>
                        <a:ln w="28575" cap="flat" cmpd="sng">
                          <a:solidFill>
                            <a:srgbClr val="FFFF00"/>
                          </a:solidFill>
                          <a:prstDash val="solid"/>
                          <a:miter/>
                          <a:headEnd type="none" w="med" len="med"/>
                          <a:tailEnd type="triangle" w="lg" len="lg"/>
                        </a:ln>
                      </wps:spPr>
                      <wps:bodyPr lIns="91425" tIns="91425" rIns="91425" bIns="91425" anchor="ctr" anchorCtr="0"/>
                    </wps:wsp>
                  </a:graphicData>
                </a:graphic>
              </wp:anchor>
            </w:drawing>
          </mc:Choice>
          <mc:Fallback>
            <w:pict>
              <v:shape w14:anchorId="2A1D52AF" id="Freeform 97" o:spid="_x0000_s1026" style="position:absolute;margin-left:250pt;margin-top:137pt;width:40pt;height:5pt;rotation:180;z-index:251758592;visibility:visible;mso-wrap-style:square;mso-wrap-distance-left:9pt;mso-wrap-distance-top:0;mso-wrap-distance-right:9pt;mso-wrap-distance-bottom:0;mso-position-horizontal:absolute;mso-position-horizontal-relative:margin;mso-position-vertical:absolute;mso-position-vertical-relative:text;v-text-anchor:middle" coordsize="48577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K/ZAIAAAkFAAAOAAAAZHJzL2Uyb0RvYy54bWysVNuO2yAQfa/Uf0C8N75s0lwUZx82TVWp&#10;6q602w8gGNuoGBCQOPn7zmAncbpSH6r6wZqBw+GcYWD9eGoVOQrnpdEFzSYpJUJzU0pdF/Tn2+7T&#10;ghIfmC6ZMloU9Cw8fdx8/LDu7ErkpjGqFI4Aifarzha0CcGuksTzRrTMT4wVGiYr41oWIHV1UjrW&#10;AXurkjxNPyedcaV1hgvvYXTbT9JN5K8qwcNzVXkRiCooaAvx7+J/j/9ks2ar2jHbSD7IYP+gomVS&#10;w6ZXqi0LjBycfEfVSu6MN1WYcNMmpqokF9EDuMnSP9y8NsyK6AWK4+21TP7/0fIfxxdHZFnQ5ZwS&#10;zVo4o50TAitOYAjq01m/AtirfXFD5iFEs6cKQM5AUbN0keIXawCuyKmgsyx9yLKcknNBH+azeTYd&#10;yi1OgXAATBez+XxKCQfAFOaXuFvS0yI9P/jwVZgWY3b87kN/WOUlYs0l4id9CR0c+V8P27KA65AU&#10;Q9INQmaUNFFHjj18Cu6APf38C7sEwa05ijcTlwW0ByjQHS2B5tus0mNU9AjUvUWg7i32IFiHEqLp&#10;qywYHBv3RslyJ5XCnb2r90/KkSODdt7FbyC8gymNrnIoL+zMGVyrSrEAYWvhoL2uo6G7Je+Y4Sx7&#10;qXcw63zYMt/0CuIUwsC/DMLFqBGs/KJLEs4WeknDraeophUlJUrAI4FRRAYm1Q0ZnGS6Vj1a1QMY&#10;gl6G0lAmbMW++TDam/IMzau+abgQy2yag9swTtw42Y8Tpnlj4BngwVHSJ08hPgu4G5LDfYvnMrwN&#10;eKHHeUTdXrDNbwAAAP//AwBQSwMEFAAGAAgAAAAhAC2FhYrdAAAACwEAAA8AAABkcnMvZG93bnJl&#10;di54bWxMj81OwzAQhO9IvIO1SNyo3YqUKMSpAlKPgCjQsxsvSUS8jmLnB56e7Qluu7Oj2W/y3eI6&#10;MeEQWk8a1isFAqnytqVaw/vb/iYFEaIhazpPqOEbA+yKy4vcZNbP9IrTIdaCQyhkRkMTY59JGaoG&#10;nQkr3yPx7dMPzkReh1rawcwc7jq5UWornWmJPzSmx8cGq6/D6DRsx6d5/7NOykHJh4mOx5fnj1Jq&#10;fX21lPcgIi7xzwxnfEaHgplOfiQbRKchUYq7RA2bu1se2JGkZ+XESsqKLHL5v0PxCwAA//8DAFBL&#10;AQItABQABgAIAAAAIQC2gziS/gAAAOEBAAATAAAAAAAAAAAAAAAAAAAAAABbQ29udGVudF9UeXBl&#10;c10ueG1sUEsBAi0AFAAGAAgAAAAhADj9If/WAAAAlAEAAAsAAAAAAAAAAAAAAAAALwEAAF9yZWxz&#10;Ly5yZWxzUEsBAi0AFAAGAAgAAAAhAKJJcr9kAgAACQUAAA4AAAAAAAAAAAAAAAAALgIAAGRycy9l&#10;Mm9Eb2MueG1sUEsBAi0AFAAGAAgAAAAhAC2FhYrdAAAACwEAAA8AAAAAAAAAAAAAAAAAvgQAAGRy&#10;cy9kb3ducmV2LnhtbFBLBQYAAAAABAAEAPMAAADIBQAAAAA=&#10;" path="m,l485775,45720e" strokecolor="yellow" strokeweight="2.25pt">
                <v:stroke endarrow="block" endarrowwidth="wide" endarrowlength="long" joinstyle="miter"/>
                <v:path arrowok="t" o:extrusionok="f" textboxrect="0,0,485775,45720"/>
                <w10:wrap anchorx="margin"/>
              </v:shape>
            </w:pict>
          </mc:Fallback>
        </mc:AlternateContent>
      </w:r>
    </w:p>
    <w:p w:rsidR="00544C15" w:rsidRDefault="00630BD3" w:rsidP="00616C71">
      <w:pPr>
        <w:spacing w:after="160"/>
      </w:pPr>
      <w:r>
        <w:rPr>
          <w:noProof/>
          <w:lang w:eastAsia="en-GB"/>
        </w:rPr>
        <w:lastRenderedPageBreak/>
        <mc:AlternateContent>
          <mc:Choice Requires="wps">
            <w:drawing>
              <wp:anchor distT="0" distB="0" distL="114300" distR="114300" simplePos="0" relativeHeight="251760640" behindDoc="0" locked="0" layoutInCell="1" hidden="0" allowOverlap="1" wp14:anchorId="629B17A1" wp14:editId="72E66D27">
                <wp:simplePos x="0" y="0"/>
                <wp:positionH relativeFrom="margin">
                  <wp:posOffset>1530350</wp:posOffset>
                </wp:positionH>
                <wp:positionV relativeFrom="paragraph">
                  <wp:posOffset>387350</wp:posOffset>
                </wp:positionV>
                <wp:extent cx="330200" cy="508000"/>
                <wp:effectExtent l="0" t="0" r="0" b="0"/>
                <wp:wrapNone/>
                <wp:docPr id="162" name="Rectangle 162"/>
                <wp:cNvGraphicFramePr/>
                <a:graphic xmlns:a="http://schemas.openxmlformats.org/drawingml/2006/main">
                  <a:graphicData uri="http://schemas.microsoft.com/office/word/2010/wordprocessingShape">
                    <wps:wsp>
                      <wps:cNvSpPr/>
                      <wps:spPr>
                        <a:xfrm>
                          <a:off x="0" y="0"/>
                          <a:ext cx="330200" cy="5080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629B17A1" id="Rectangle 162" o:spid="_x0000_s1059" style="position:absolute;left:0;text-align:left;margin-left:120.5pt;margin-top:30.5pt;width:26pt;height:40pt;z-index:251760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8RogEAAEIDAAAOAAAAZHJzL2Uyb0RvYy54bWysUk1P4zAQvSPxHyzfqdNGi0LUtAcQaKXV&#10;LlrgB7iO3ViyPZZtmvTf79gtpQs3xMWZr7yZ92aW68kaspMhanAdnc8qSqQT0Gu37ejL8/1VQ0lM&#10;3PXcgJMd3ctI16vLi+XoW7mAAUwvA0EQF9vRd3RIybeMRTFIy+MMvHSYVBAsT+iGLesDHxHdGrao&#10;qms2Quh9ACFjxOjdIUlXBV8pKdIfpaJMxHQUZ0vlDeXd5JetlrzdBu4HLY5j8C9MYbl22PQEdccT&#10;J69Bf4KyWgSIoNJMgGWglBaycEA28+oDm6eBe1m4oDjRn2SK3wcrfu8eA9E97u56QYnjFpf0F2Xj&#10;bmskyUGUaPSxxcon/xiOXkQz851UsPmLTMhUZN2fZJVTIgKDdV3hqigRmPpRNRXaiMLef/YhpgcJ&#10;lmSjowHbFzH57ldMh9K3ktzLwb02BuO8Ne6/AGLmCMvzHibMVpo2U6FY129kNtDvkbf56VDLprnJ&#10;46Xi1M08O+E8sznPcCcGwAtKlBzM21TuKc+Zu+GiCrnjUeVLOPdL1fvpr/4BAAD//wMAUEsDBBQA&#10;BgAIAAAAIQCI+yrE3gAAAAoBAAAPAAAAZHJzL2Rvd25yZXYueG1sTI/BTsMwEETvSPyDtUjcqNO0&#10;qmiIUxUkekEcaPsBTrwkVuN1iJ008PVsTnDaXc1o9k2+m1wrRuyD9aRguUhAIFXeWKoVnE+vD48g&#10;QtRkdOsJFXxjgF1xe5PrzPgrfeB4jLXgEAqZVtDE2GVShqpBp8PCd0isffre6chnX0vT6yuHu1am&#10;SbKRTlviD43u8KXB6nIcnILxp1s/H6zxl/3X+1S+DYfVyTql7u+m/ROIiFP8M8OMz+hQMFPpBzJB&#10;tArS9ZK7RAWbebIh3a54Kdk5K7LI5f8KxS8AAAD//wMAUEsBAi0AFAAGAAgAAAAhALaDOJL+AAAA&#10;4QEAABMAAAAAAAAAAAAAAAAAAAAAAFtDb250ZW50X1R5cGVzXS54bWxQSwECLQAUAAYACAAAACEA&#10;OP0h/9YAAACUAQAACwAAAAAAAAAAAAAAAAAvAQAAX3JlbHMvLnJlbHNQSwECLQAUAAYACAAAACEA&#10;VbJfEaIBAABCAwAADgAAAAAAAAAAAAAAAAAuAgAAZHJzL2Uyb0RvYy54bWxQSwECLQAUAAYACAAA&#10;ACEAiPsqxN4AAAAKAQAADwAAAAAAAAAAAAAAAAD8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G</w:t>
                      </w:r>
                    </w:p>
                  </w:txbxContent>
                </v:textbox>
                <w10:wrap anchorx="margin"/>
              </v:rect>
            </w:pict>
          </mc:Fallback>
        </mc:AlternateContent>
      </w:r>
      <w:r w:rsidR="0075685D">
        <w:rPr>
          <w:noProof/>
          <w:lang w:eastAsia="en-GB"/>
        </w:rPr>
        <mc:AlternateContent>
          <mc:Choice Requires="wps">
            <w:drawing>
              <wp:anchor distT="0" distB="0" distL="114300" distR="114300" simplePos="0" relativeHeight="251761664" behindDoc="0" locked="0" layoutInCell="1" hidden="0" allowOverlap="1" wp14:anchorId="0CF66011" wp14:editId="62D0190E">
                <wp:simplePos x="0" y="0"/>
                <wp:positionH relativeFrom="margin">
                  <wp:posOffset>1670050</wp:posOffset>
                </wp:positionH>
                <wp:positionV relativeFrom="paragraph">
                  <wp:posOffset>1104900</wp:posOffset>
                </wp:positionV>
                <wp:extent cx="304800" cy="508000"/>
                <wp:effectExtent l="0" t="0" r="0" b="0"/>
                <wp:wrapNone/>
                <wp:docPr id="139" name="Rectangle 139"/>
                <wp:cNvGraphicFramePr/>
                <a:graphic xmlns:a="http://schemas.openxmlformats.org/drawingml/2006/main">
                  <a:graphicData uri="http://schemas.microsoft.com/office/word/2010/wordprocessingShape">
                    <wps:wsp>
                      <wps:cNvSpPr/>
                      <wps:spPr>
                        <a:xfrm>
                          <a:off x="0" y="0"/>
                          <a:ext cx="304800" cy="5080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T</w:t>
                            </w:r>
                          </w:p>
                        </w:txbxContent>
                      </wps:txbx>
                      <wps:bodyPr lIns="88900" tIns="38100" rIns="88900" bIns="38100" anchor="t" anchorCtr="0"/>
                    </wps:wsp>
                  </a:graphicData>
                </a:graphic>
              </wp:anchor>
            </w:drawing>
          </mc:Choice>
          <mc:Fallback>
            <w:pict>
              <v:rect w14:anchorId="0CF66011" id="Rectangle 139" o:spid="_x0000_s1060" style="position:absolute;left:0;text-align:left;margin-left:131.5pt;margin-top:87pt;width:24pt;height:40pt;z-index:251761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PWlowEAAEIDAAAOAAAAZHJzL2Uyb0RvYy54bWysUk1v2zAMvQ/YfxB0X+Q03eAacXpo0WHA&#10;sBXr9gMUWYoFSKJAabHz70cpaZput6EXmV8m33vk+nb2ju01Jguh58tFw5kOCgYbdj3/9fPhQ8tZ&#10;yjIM0kHQPT/oxG8379+tp9jpKxjBDRoZNQmpm2LPx5xjJ0RSo/YyLSDqQEkD6GUmF3diQDlRd+/E&#10;VdN8EhPgEBGUTomi98ck39T+xmiVvxuTdGau54Qt1xfruy2v2Kxlt0MZR6tOMOR/oPDSBhp6bnUv&#10;s2S/0f7TyluFkMDkhQIvwBirdOVAbJbNX2yeRhl15ULipHiWKb1dW/Vt/4jMDrS71Q1nQXpa0g+S&#10;TYad06wESaIppo4qn+IjnrxEZuE7G/TlS0zYXGU9nGXVc2aKgqvmum1IfEWpjw2ZVXbx8nPElD9r&#10;8KwYPUcaX8WU+68p00AqfS4pswI8WOfq5lx4FaDCEhEF7xFhsfK8nSvF1fUzmS0MB+LtvgTSsm1v&#10;CrxcnVW7LA5eZraXGRnUCHRBmbOjeZfrPRWcZRotqiI+HVW5hEu/Vr2c/uYPAAAA//8DAFBLAwQU&#10;AAYACAAAACEAHdjINt0AAAALAQAADwAAAGRycy9kb3ducmV2LnhtbExPQU7DMBC8I/EHa5G4USdN&#10;KVWIUxUkekEcaHmAE28Tq/E6xE4aeD3LCW4zO6PZmWI7u05MOATrSUG6SEAg1d5YahR8HF/uNiBC&#10;1GR05wkVfGGAbXl9Vejc+Au943SIjeAQCrlW0MbY51KGukWnw8L3SKyd/OB0ZDo00gz6wuGuk8sk&#10;WUunLfGHVvf43GJ9PoxOwfTdr5721vjz7vNtrl7HfXa0Tqnbm3n3CCLiHP/M8Fufq0PJnSo/kgmi&#10;U7BcZ7wlsvCwYsCOLE0ZVCzd80WWhfy/ofwBAAD//wMAUEsBAi0AFAAGAAgAAAAhALaDOJL+AAAA&#10;4QEAABMAAAAAAAAAAAAAAAAAAAAAAFtDb250ZW50X1R5cGVzXS54bWxQSwECLQAUAAYACAAAACEA&#10;OP0h/9YAAACUAQAACwAAAAAAAAAAAAAAAAAvAQAAX3JlbHMvLnJlbHNQSwECLQAUAAYACAAAACEA&#10;vVz1paMBAABCAwAADgAAAAAAAAAAAAAAAAAuAgAAZHJzL2Uyb0RvYy54bWxQSwECLQAUAAYACAAA&#10;ACEAHdjINt0AAAALAQAADwAAAAAAAAAAAAAAAAD9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T</w:t>
                      </w:r>
                    </w:p>
                  </w:txbxContent>
                </v:textbox>
                <w10:wrap anchorx="margin"/>
              </v:rect>
            </w:pict>
          </mc:Fallback>
        </mc:AlternateContent>
      </w:r>
      <w:r w:rsidR="009B7691">
        <w:rPr>
          <w:noProof/>
          <w:lang w:eastAsia="en-GB"/>
        </w:rPr>
        <mc:AlternateContent>
          <mc:Choice Requires="wps">
            <w:drawing>
              <wp:anchor distT="0" distB="0" distL="114300" distR="114300" simplePos="0" relativeHeight="251763712" behindDoc="0" locked="0" layoutInCell="1" hidden="0" allowOverlap="1" wp14:anchorId="2561C005" wp14:editId="32104E91">
                <wp:simplePos x="0" y="0"/>
                <wp:positionH relativeFrom="margin">
                  <wp:posOffset>2190750</wp:posOffset>
                </wp:positionH>
                <wp:positionV relativeFrom="paragraph">
                  <wp:posOffset>723900</wp:posOffset>
                </wp:positionV>
                <wp:extent cx="571500" cy="203200"/>
                <wp:effectExtent l="0" t="0" r="0" b="0"/>
                <wp:wrapNone/>
                <wp:docPr id="227" name="Freeform 227"/>
                <wp:cNvGraphicFramePr/>
                <a:graphic xmlns:a="http://schemas.openxmlformats.org/drawingml/2006/main">
                  <a:graphicData uri="http://schemas.microsoft.com/office/word/2010/wordprocessingShape">
                    <wps:wsp>
                      <wps:cNvSpPr/>
                      <wps:spPr>
                        <a:xfrm rot="10800000">
                          <a:off x="0" y="0"/>
                          <a:ext cx="571500" cy="203200"/>
                        </a:xfrm>
                        <a:custGeom>
                          <a:avLst/>
                          <a:gdLst/>
                          <a:ahLst/>
                          <a:cxnLst/>
                          <a:rect l="0" t="0" r="0" b="0"/>
                          <a:pathLst>
                            <a:path w="542925" h="180975" extrusionOk="0">
                              <a:moveTo>
                                <a:pt x="0" y="0"/>
                              </a:moveTo>
                              <a:lnTo>
                                <a:pt x="542925" y="180975"/>
                              </a:lnTo>
                            </a:path>
                          </a:pathLst>
                        </a:custGeom>
                        <a:solidFill>
                          <a:srgbClr val="FFFFFF"/>
                        </a:solidFill>
                        <a:ln w="28575" cap="flat" cmpd="sng">
                          <a:solidFill>
                            <a:srgbClr val="92D050"/>
                          </a:solidFill>
                          <a:prstDash val="solid"/>
                          <a:miter/>
                          <a:headEnd type="none" w="med" len="med"/>
                          <a:tailEnd type="triangle" w="lg" len="lg"/>
                        </a:ln>
                      </wps:spPr>
                      <wps:bodyPr lIns="91425" tIns="91425" rIns="91425" bIns="91425" anchor="ctr" anchorCtr="0"/>
                    </wps:wsp>
                  </a:graphicData>
                </a:graphic>
              </wp:anchor>
            </w:drawing>
          </mc:Choice>
          <mc:Fallback>
            <w:pict>
              <v:shape w14:anchorId="0C2056B3" id="Freeform 227" o:spid="_x0000_s1026" style="position:absolute;margin-left:172.5pt;margin-top:57pt;width:45pt;height:16pt;rotation:180;z-index:251763712;visibility:visible;mso-wrap-style:square;mso-wrap-distance-left:9pt;mso-wrap-distance-top:0;mso-wrap-distance-right:9pt;mso-wrap-distance-bottom:0;mso-position-horizontal:absolute;mso-position-horizontal-relative:margin;mso-position-vertical:absolute;mso-position-vertical-relative:text;v-text-anchor:middle" coordsize="54292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FiWQIAAAIFAAAOAAAAZHJzL2Uyb0RvYy54bWysVMtu2zAQvBfoPxC815LVuLEF2znEdVGg&#10;aAIk/YA1RUlEKZIgacv+++5SfiZAD0V1EHbJ4XBnH5w/7DvNdtIHZc2Cj0c5Z9IIWynTLPiv1/Wn&#10;KWchgqlAWyMX/CADf1h+/DDvXSkL21pdSc+QxISydwvexujKLAuilR2EkXXS4GZtfQcRXd9klYce&#10;2TudFXn+Jeutr5y3QoaAq6thky8Tf11LEZ/qOsjI9IJjbDH9ffpv6J8t51A2HlyrxDEM+IcoOlAG&#10;Lz1TrSAC23r1jqpTwttg6zgStstsXSshkwZUM87fqHlpwcmkBZMT3DlN4f/Rip+7Z89UteBFcc+Z&#10;gQ6LtPZSUsoZrWGGehdKBL64Z3/0Apokd18jyltM6zif5vSlLKAutk9JPpyTLPeRCVyc3I8nCGMC&#10;t4r8MxaRrsgGLuIU2xC/SduRDbsfIQ41qk4WtCdL7M3J9Fjpv9bYQaRzREom6zGSu2JWTDhrMfpp&#10;PrtHE4P0W+rlp98UOKE7u5OvNp2Lb0Rh0Jddba5RJ24UeeQeRA4oPEhBJNnnwHDxWnqwWlVrpTVd&#10;HXyzedSe7QD7eJ2+Y9ZuYNqQrmI6IS0CcJ5qDRHNzmGFg2mSopsjN8yzYpVPTvW4gTkf4gpCO0SQ&#10;tigATICKkroCylZC9dVULB4c9pDBcecUTScrzrTE14GshIyg9AUZvQLT6AGtmyMYjVPGME3UgUPP&#10;kbWx1QG7Vn83OAmz8R0VMV47/trZXDtgRGtx/kX0nA3OY0zvAd1G5DhoqS7HR4Em+dpPqMvTtfwD&#10;AAD//wMAUEsDBBQABgAIAAAAIQDX8vZb3gAAAAsBAAAPAAAAZHJzL2Rvd25yZXYueG1sTE/LTsMw&#10;ELwj8Q/WInGjTpu0QiFOBUhFiAMqhQu3bbzEEbEdbKdN/57tCW47D83OVOvJ9uJAIXbeKZjPMhDk&#10;Gq871yr4eN/c3IKICZ3G3jtScKII6/ryosJS+6N7o8MutYJDXCxRgUlpKKWMjSGLceYHcqx9+WAx&#10;MQyt1AGPHG57uciylbTYOf5gcKBHQ833brSc8pM/h+1y+3rSm5dmNLiInw9PSl1fTfd3IBJN6c8M&#10;5/pcHWrutPej01H0CvJiyVsSC/OCD3YU+ZnZM1OsMpB1Jf9vqH8BAAD//wMAUEsBAi0AFAAGAAgA&#10;AAAhALaDOJL+AAAA4QEAABMAAAAAAAAAAAAAAAAAAAAAAFtDb250ZW50X1R5cGVzXS54bWxQSwEC&#10;LQAUAAYACAAAACEAOP0h/9YAAACUAQAACwAAAAAAAAAAAAAAAAAvAQAAX3JlbHMvLnJlbHNQSwEC&#10;LQAUAAYACAAAACEA1ioxYlkCAAACBQAADgAAAAAAAAAAAAAAAAAuAgAAZHJzL2Uyb0RvYy54bWxQ&#10;SwECLQAUAAYACAAAACEA1/L2W94AAAALAQAADwAAAAAAAAAAAAAAAACzBAAAZHJzL2Rvd25yZXYu&#10;eG1sUEsFBgAAAAAEAAQA8wAAAL4FAAAAAA==&#10;" path="m,l542925,180975e" strokecolor="#92d050" strokeweight="2.25pt">
                <v:stroke endarrow="block" endarrowwidth="wide" endarrowlength="long" joinstyle="miter"/>
                <v:path arrowok="t" o:extrusionok="f" textboxrect="0,0,542925,180975"/>
                <w10:wrap anchorx="margin"/>
              </v:shape>
            </w:pict>
          </mc:Fallback>
        </mc:AlternateContent>
      </w:r>
      <w:r w:rsidR="00616C71" w:rsidRPr="00A764DB">
        <w:rPr>
          <w:rFonts w:eastAsia="Times New Roman" w:cs="Arial"/>
        </w:rPr>
        <w:t xml:space="preserve">      e)</w:t>
      </w:r>
      <w:r w:rsidR="00616C71">
        <w:rPr>
          <w:rFonts w:ascii="Calibri" w:eastAsia="Calibri" w:hAnsi="Calibri" w:cs="Calibri"/>
        </w:rPr>
        <w:t xml:space="preserve">     </w:t>
      </w:r>
      <w:r w:rsidR="00616C71">
        <w:rPr>
          <w:noProof/>
          <w:lang w:eastAsia="en-GB"/>
        </w:rPr>
        <w:drawing>
          <wp:inline distT="0" distB="0" distL="0" distR="0" wp14:anchorId="404BE0AF" wp14:editId="39F762EE">
            <wp:extent cx="3916800" cy="3132000"/>
            <wp:effectExtent l="0" t="0" r="0" b="0"/>
            <wp:docPr id="43" name="image89.png" descr="C:\Users\UOS\Desktop\New folder (3)\Rat 17 Right kideny X20-sc.tif"/>
            <wp:cNvGraphicFramePr/>
            <a:graphic xmlns:a="http://schemas.openxmlformats.org/drawingml/2006/main">
              <a:graphicData uri="http://schemas.openxmlformats.org/drawingml/2006/picture">
                <pic:pic xmlns:pic="http://schemas.openxmlformats.org/drawingml/2006/picture">
                  <pic:nvPicPr>
                    <pic:cNvPr id="0" name="image89.png" descr="C:\Users\UOS\Desktop\New folder (3)\Rat 17 Right kideny X20-sc.tif"/>
                    <pic:cNvPicPr preferRelativeResize="0"/>
                  </pic:nvPicPr>
                  <pic:blipFill>
                    <a:blip r:embed="rId106"/>
                    <a:srcRect/>
                    <a:stretch>
                      <a:fillRect/>
                    </a:stretch>
                  </pic:blipFill>
                  <pic:spPr>
                    <a:xfrm>
                      <a:off x="0" y="0"/>
                      <a:ext cx="3916800" cy="3132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62688" behindDoc="0" locked="0" layoutInCell="1" hidden="0" allowOverlap="1" wp14:anchorId="645E26B8" wp14:editId="0B004B9F">
                <wp:simplePos x="0" y="0"/>
                <wp:positionH relativeFrom="margin">
                  <wp:posOffset>1193800</wp:posOffset>
                </wp:positionH>
                <wp:positionV relativeFrom="paragraph">
                  <wp:posOffset>2057400</wp:posOffset>
                </wp:positionV>
                <wp:extent cx="330200" cy="508000"/>
                <wp:effectExtent l="0" t="0" r="0" b="0"/>
                <wp:wrapNone/>
                <wp:docPr id="267" name="Rectangle 267"/>
                <wp:cNvGraphicFramePr/>
                <a:graphic xmlns:a="http://schemas.openxmlformats.org/drawingml/2006/main">
                  <a:graphicData uri="http://schemas.microsoft.com/office/word/2010/wordprocessingShape">
                    <wps:wsp>
                      <wps:cNvSpPr/>
                      <wps:spPr>
                        <a:xfrm>
                          <a:off x="5181535" y="3525048"/>
                          <a:ext cx="328929" cy="509905"/>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645E26B8" id="Rectangle 267" o:spid="_x0000_s1061" style="position:absolute;left:0;text-align:left;margin-left:94pt;margin-top:162pt;width:26pt;height:40pt;z-index:251762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72NsgEAAE4DAAAOAAAAZHJzL2Uyb0RvYy54bWysU8uO0zAU3SPxD5b31ElKhiSqOwtGg5AQ&#10;jBjmA1zHbiz5Jds06d9z7ZSZArsRG+e+dHzO8c3udjEanUSIylmK602FkbDcjcoeKX76cf+uwygm&#10;ZkemnRUUn0XEt/u3b3azH0TjJqdHERCA2DjMnuIpJT8QEvkkDIsb54WFpnTBsARpOJIxsBnQjSZN&#10;Vd2Q2YXRB8dFjFC9W5t4X/ClFDx9kzKKhDTFwC2VM5TzkE+y37HhGJifFL/QYK9gYZiycOkz1B1L&#10;DP0M6h8oo3hw0cm04c4QJ6XiomgANXX1l5rHiXlRtIA50T/bFP8fLP96eghIjRQ3Nx8wsszAI30H&#10;25g9aoFyESyafRxg8tE/hEsWIcx6FxlM/oIStFDc1l3dbluMzhRv26at3nerxWJJiMPAtun6pseI&#10;w0Bb9X3V5j55AfIhpk/CGZQDigNQKcay05eY1tHfI/le6+6V1lBng7Z/FAAzV0jmvrLNUVoOS5EL&#10;JC9SDm48gwf6swVfu66v8p6UZNvVOQnXncN1h1k+OdimhNEafkxltzLPfBs8WhF3WbC8Fdd5mXr5&#10;Dfa/AAAA//8DAFBLAwQUAAYACAAAACEA/m1f9N0AAAALAQAADwAAAGRycy9kb3ducmV2LnhtbExP&#10;QU7DMBC8I/EHa5G4UYc2QlEapypI9FJxoO0DnHibWI3XIXbSlNeznOC0M7uj2ZliM7tOTDgE60nB&#10;8yIBgVR7Y6lRcDq+P2UgQtRkdOcJFdwwwKa8vyt0bvyVPnE6xEawCYVcK2hj7HMpQ92i02HheyS+&#10;nf3gdGQ6NNIM+srmrpPLJHmRTlviD63u8a3F+nIYnYLpu09fd9b4y/brY6724251tE6px4d5uwYR&#10;cY5/YviNz9Gh5EyVH8kE0THPMu4SFayWKQNW8GRQKUgT3siykP87lD8AAAD//wMAUEsBAi0AFAAG&#10;AAgAAAAhALaDOJL+AAAA4QEAABMAAAAAAAAAAAAAAAAAAAAAAFtDb250ZW50X1R5cGVzXS54bWxQ&#10;SwECLQAUAAYACAAAACEAOP0h/9YAAACUAQAACwAAAAAAAAAAAAAAAAAvAQAAX3JlbHMvLnJlbHNQ&#10;SwECLQAUAAYACAAAACEAZdO9jbIBAABOAwAADgAAAAAAAAAAAAAAAAAuAgAAZHJzL2Uyb0RvYy54&#10;bWxQSwECLQAUAAYACAAAACEA/m1f9N0AAAALAQAADwAAAAAAAAAAAAAAAAAMBAAAZHJzL2Rvd25y&#10;ZXYueG1sUEsFBgAAAAAEAAQA8wAAABYFA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G</w:t>
                      </w:r>
                    </w:p>
                  </w:txbxContent>
                </v:textbox>
                <w10:wrap anchorx="margin"/>
              </v:rect>
            </w:pict>
          </mc:Fallback>
        </mc:AlternateContent>
      </w:r>
    </w:p>
    <w:p w:rsidR="00616C71" w:rsidRDefault="0075685D" w:rsidP="00616C71">
      <w:pPr>
        <w:spacing w:after="160"/>
      </w:pPr>
      <w:r>
        <w:rPr>
          <w:noProof/>
          <w:lang w:eastAsia="en-GB"/>
        </w:rPr>
        <mc:AlternateContent>
          <mc:Choice Requires="wps">
            <w:drawing>
              <wp:anchor distT="0" distB="0" distL="114300" distR="114300" simplePos="0" relativeHeight="251768832" behindDoc="0" locked="0" layoutInCell="1" hidden="0" allowOverlap="1" wp14:anchorId="0BF32C92" wp14:editId="0B01A69F">
                <wp:simplePos x="0" y="0"/>
                <wp:positionH relativeFrom="margin">
                  <wp:posOffset>1540510</wp:posOffset>
                </wp:positionH>
                <wp:positionV relativeFrom="paragraph">
                  <wp:posOffset>1891030</wp:posOffset>
                </wp:positionV>
                <wp:extent cx="631825" cy="45719"/>
                <wp:effectExtent l="0" t="171450" r="15875" b="107315"/>
                <wp:wrapNone/>
                <wp:docPr id="140" name="Freeform 140"/>
                <wp:cNvGraphicFramePr/>
                <a:graphic xmlns:a="http://schemas.openxmlformats.org/drawingml/2006/main">
                  <a:graphicData uri="http://schemas.microsoft.com/office/word/2010/wordprocessingShape">
                    <wps:wsp>
                      <wps:cNvSpPr/>
                      <wps:spPr>
                        <a:xfrm rot="20148953">
                          <a:off x="0" y="0"/>
                          <a:ext cx="631825" cy="45719"/>
                        </a:xfrm>
                        <a:custGeom>
                          <a:avLst/>
                          <a:gdLst/>
                          <a:ahLst/>
                          <a:cxnLst/>
                          <a:rect l="0" t="0" r="0" b="0"/>
                          <a:pathLst>
                            <a:path w="625475" h="1" extrusionOk="0">
                              <a:moveTo>
                                <a:pt x="0" y="0"/>
                              </a:moveTo>
                              <a:lnTo>
                                <a:pt x="625475" y="0"/>
                              </a:lnTo>
                            </a:path>
                          </a:pathLst>
                        </a:custGeom>
                        <a:solidFill>
                          <a:srgbClr val="FFFFFF"/>
                        </a:solidFill>
                        <a:ln w="28575" cap="flat" cmpd="sng">
                          <a:solidFill>
                            <a:srgbClr val="92D050"/>
                          </a:solidFill>
                          <a:prstDash val="solid"/>
                          <a:miter/>
                          <a:headEnd type="none" w="med" len="med"/>
                          <a:tailEnd type="triangle" w="lg" len="lg"/>
                        </a:ln>
                      </wps:spPr>
                      <wps:bodyPr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w14:anchorId="2E140F6F" id="Freeform 140" o:spid="_x0000_s1026" style="position:absolute;margin-left:121.3pt;margin-top:148.9pt;width:49.75pt;height:3.6pt;rotation:-1584930fd;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25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6FWQIAAPcEAAAOAAAAZHJzL2Uyb0RvYy54bWysVE2P2jAQvVfqf7B8L4Es7AIC9rCUqlLV&#10;XWm3P2BwnMSqY1u2gfDvO+PwEXalHqpyCDP288x7M2MvHttGs730QVmz5KPBkDNphC2UqZb819vm&#10;y5SzEMEUoK2RS36UgT+uPn9aHNxc5ra2upCeYRAT5ge35HWMbp5lQdSygTCwThrcLK1vIKLrq6zw&#10;cMDojc7y4fA+O1hfOG+FDAFX190mX6X4ZSlFfC7LICPTS47cYvr69N3SN1stYF55cLUSJxrwDywa&#10;UAaTXkKtIQLbefUhVKOEt8GWcSBsk9myVEImDahmNHyn5rUGJ5MWLE5wlzKF/xdW/Ny/eKYK7N0Y&#10;62OgwSZtvJRUckZrWKGDC3MEvroXf/ICmiS3LRHlLZYV6Y+ns8ldqgLqYm0q8vFSZNlGJnDx/m40&#10;zSecCdwaTx5GM8qQdaEopNiF+E3ahmzY/wixa1FxtqA+W6I1Z9Njo//aYgeRzlFQMtkBieST8QMS&#10;qVE7Tm0b/Y6m+Pk3USZgY/fyzaYj8Z0c5Hvd1aaPOoc9K0doB0CDUiexFzq42BccrFbFRmlNWYOv&#10;tk/asz3g8G7S71SrG5g2pCafTkiMALxEpYaIZuOwrcFUSczNkZvIs3w9nKQ+I5kbmPMhriHUHYO0&#10;RQRQu4qSRgHmtYTiqylYPDocHIN3nBObRhacaYlPAlkJGUHpKzJ6BabSHVpXJzAaiE0Vwz8au27Q&#10;yNra4oijqr8bHP/ZaEwzFPuO7zvbvgNG1BYvvYies855iukRoGwUHG9Xynt6Cej69v2Eur5Xqz8A&#10;AAD//wMAUEsDBBQABgAIAAAAIQCZyoyy4gAAAAsBAAAPAAAAZHJzL2Rvd25yZXYueG1sTI/NTsMw&#10;EITvSLyDtUjcqN3QlhLiVFBASFxQf1RxdOMlSRvbke205u1ZTnCb0X6anSkWyXTshD60zkoYjwQw&#10;tJXTra0lbDevN3NgISqrVecsSvjGAIvy8qJQuXZnu8LTOtaMQmzIlYQmxj7nPFQNGhVGrkdLty/n&#10;jYpkfc21V2cKNx3PhJhxo1pLHxrV47LB6rgejAQ8dG8fz6un+c5/pm1aDsfD+/RFyuur9PgALGKK&#10;fzD81qfqUFKnvRusDqyTkE2yGaEk7u9oAxG3k2wMbE9CTAXwsuD/N5Q/AAAA//8DAFBLAQItABQA&#10;BgAIAAAAIQC2gziS/gAAAOEBAAATAAAAAAAAAAAAAAAAAAAAAABbQ29udGVudF9UeXBlc10ueG1s&#10;UEsBAi0AFAAGAAgAAAAhADj9If/WAAAAlAEAAAsAAAAAAAAAAAAAAAAALwEAAF9yZWxzLy5yZWxz&#10;UEsBAi0AFAAGAAgAAAAhAMJQzoVZAgAA9wQAAA4AAAAAAAAAAAAAAAAALgIAAGRycy9lMm9Eb2Mu&#10;eG1sUEsBAi0AFAAGAAgAAAAhAJnKjLLiAAAACwEAAA8AAAAAAAAAAAAAAAAAswQAAGRycy9kb3du&#10;cmV2LnhtbFBLBQYAAAAABAAEAPMAAADCBQAAAAA=&#10;" path="m,l625475,e" strokecolor="#92d050" strokeweight="2.25pt">
                <v:stroke endarrow="block" endarrowwidth="wide" endarrowlength="long" joinstyle="miter"/>
                <v:path arrowok="t" o:extrusionok="f" textboxrect="0,0,625475,1"/>
                <w10:wrap anchorx="margin"/>
              </v:shape>
            </w:pict>
          </mc:Fallback>
        </mc:AlternateContent>
      </w:r>
      <w:r>
        <w:rPr>
          <w:noProof/>
          <w:lang w:eastAsia="en-GB"/>
        </w:rPr>
        <mc:AlternateContent>
          <mc:Choice Requires="wps">
            <w:drawing>
              <wp:anchor distT="0" distB="0" distL="114300" distR="114300" simplePos="0" relativeHeight="251765760" behindDoc="0" locked="0" layoutInCell="1" hidden="0" allowOverlap="1" wp14:anchorId="7567A774" wp14:editId="249012AA">
                <wp:simplePos x="0" y="0"/>
                <wp:positionH relativeFrom="margin">
                  <wp:posOffset>2965450</wp:posOffset>
                </wp:positionH>
                <wp:positionV relativeFrom="paragraph">
                  <wp:posOffset>1819275</wp:posOffset>
                </wp:positionV>
                <wp:extent cx="927100" cy="63500"/>
                <wp:effectExtent l="0" t="0" r="0" b="0"/>
                <wp:wrapNone/>
                <wp:docPr id="160" name="Freeform 160"/>
                <wp:cNvGraphicFramePr/>
                <a:graphic xmlns:a="http://schemas.openxmlformats.org/drawingml/2006/main">
                  <a:graphicData uri="http://schemas.microsoft.com/office/word/2010/wordprocessingShape">
                    <wps:wsp>
                      <wps:cNvSpPr/>
                      <wps:spPr>
                        <a:xfrm rot="10800000">
                          <a:off x="0" y="0"/>
                          <a:ext cx="927100" cy="63500"/>
                        </a:xfrm>
                        <a:custGeom>
                          <a:avLst/>
                          <a:gdLst/>
                          <a:ahLst/>
                          <a:cxnLst/>
                          <a:rect l="0" t="0" r="0" b="0"/>
                          <a:pathLst>
                            <a:path w="904875" h="45720" extrusionOk="0">
                              <a:moveTo>
                                <a:pt x="0" y="0"/>
                              </a:moveTo>
                              <a:lnTo>
                                <a:pt x="904875" y="45720"/>
                              </a:lnTo>
                            </a:path>
                          </a:pathLst>
                        </a:custGeom>
                        <a:solidFill>
                          <a:srgbClr val="FFFFFF"/>
                        </a:solidFill>
                        <a:ln w="28575" cap="flat" cmpd="sng">
                          <a:solidFill>
                            <a:srgbClr val="FFFF00"/>
                          </a:solidFill>
                          <a:prstDash val="solid"/>
                          <a:miter/>
                          <a:headEnd type="none" w="med" len="med"/>
                          <a:tailEnd type="triangle" w="lg" len="lg"/>
                        </a:ln>
                      </wps:spPr>
                      <wps:bodyPr lIns="91425" tIns="91425" rIns="91425" bIns="91425" anchor="ctr" anchorCtr="0"/>
                    </wps:wsp>
                  </a:graphicData>
                </a:graphic>
              </wp:anchor>
            </w:drawing>
          </mc:Choice>
          <mc:Fallback>
            <w:pict>
              <v:shape w14:anchorId="7FB2F186" id="Freeform 160" o:spid="_x0000_s1026" style="position:absolute;margin-left:233.5pt;margin-top:143.25pt;width:73pt;height:5pt;rotation:180;z-index:251765760;visibility:visible;mso-wrap-style:square;mso-wrap-distance-left:9pt;mso-wrap-distance-top:0;mso-wrap-distance-right:9pt;mso-wrap-distance-bottom:0;mso-position-horizontal:absolute;mso-position-horizontal-relative:margin;mso-position-vertical:absolute;mso-position-vertical-relative:text;v-text-anchor:middle" coordsize="90487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hvVAIAAP8EAAAOAAAAZHJzL2Uyb0RvYy54bWysVMlu2zAQvRfoPxC815JV23EMyznEdVGg&#10;aAIk+YAxRUlEKZIg6e3vO0N5TYAeiuogzJCPj/Nm4fxh32m2lT4oa0o+HOScSSNspUxT8rfX1Zcp&#10;ZyGCqUBbI0t+kIE/LD5/mu/cTBa2tbqSniGJCbOdK3kbo5tlWRCt7CAMrJMGN2vrO4jo+iarPOyQ&#10;vdNZkeeTbGd95bwVMgRcXfabfJH461qK+FTXQUamS46xxfT36b+mf7aYw6zx4FoljmHAP0TRgTJ4&#10;6ZlqCRHYxqsPVJ0S3gZbx4GwXWbrWgmZNKCaYf5OzUsLTiYtmJzgzmkK/49W/No+e6YqrN0E82Og&#10;wyKtvJSUckZrmKGdCzMEvrhnf/QCmiR3XyPKW0zrMJ/m9KUsoC62T0k+nJMs95EJXLwv7oYIYwK3&#10;Jl/HaCJn1lMRpdiE+F3ajmzY/gyxL1F1sqA9WWJvTqbHQv+1xA4inSNSMtkOA8lH07sxZ23JR+O7&#10;gjp3H/2GOvnpN4VN4M5u5atNx+I7SRjzZVeba9SJGiX21L3EHoTnKIQk+hwWLl4LD1araqW0ppuD&#10;b9aP2rMtYBOv0nfM2Q1MG1JVTMckSgAOU60hotk5LG8wTRJ0c+QD87kaNzDnQ1xCaPsI0hYFgPpV&#10;lNQSMGslVN9MxeLBYQMZnHVO0XSy4kxLfBrISsgISl+Q0Sswje7RujmC0ThlDNNE7dc3HFlrWx2w&#10;ZfUPg2NwPxwVqDZeO/7aWV87YERrcfhF9Jz1zmNMjwHdRuQ4ZakuxxeBxvjaT6jLu7X4AwAA//8D&#10;AFBLAwQUAAYACAAAACEAz04CaeAAAAALAQAADwAAAGRycy9kb3ducmV2LnhtbEyPwU7DMBBE70j8&#10;g7VI3KjTlpoQ4lQItUJCaiVKuLvxkgTidRS7Tfh7lhMcd3Y08yZfT64TZxxC60nDfJaAQKq8banW&#10;UL5tb1IQIRqypvOEGr4xwLq4vMhNZv1Ir3g+xFpwCIXMaGhi7DMpQ9WgM2HmeyT+ffjBmcjnUEs7&#10;mJHDXScXSaKkMy1xQ2N6fGqw+jqcnAa3KZfPVfdO++3nZjXuSrVPdy9aX19Njw8gIk7xzwy/+IwO&#10;BTMd/YlsEJ2GW3XHW6KGRapWINih5ktWjqzcsyKLXP7fUPwAAAD//wMAUEsBAi0AFAAGAAgAAAAh&#10;ALaDOJL+AAAA4QEAABMAAAAAAAAAAAAAAAAAAAAAAFtDb250ZW50X1R5cGVzXS54bWxQSwECLQAU&#10;AAYACAAAACEAOP0h/9YAAACUAQAACwAAAAAAAAAAAAAAAAAvAQAAX3JlbHMvLnJlbHNQSwECLQAU&#10;AAYACAAAACEArZKob1QCAAD/BAAADgAAAAAAAAAAAAAAAAAuAgAAZHJzL2Uyb0RvYy54bWxQSwEC&#10;LQAUAAYACAAAACEAz04CaeAAAAALAQAADwAAAAAAAAAAAAAAAACuBAAAZHJzL2Rvd25yZXYueG1s&#10;UEsFBgAAAAAEAAQA8wAAALsFAAAAAA==&#10;" path="m,l904875,45720e" strokecolor="yellow" strokeweight="2.25pt">
                <v:stroke endarrow="block" endarrowwidth="wide" endarrowlength="long" joinstyle="miter"/>
                <v:path arrowok="t" o:extrusionok="f" textboxrect="0,0,904875,45720"/>
                <w10:wrap anchorx="margin"/>
              </v:shape>
            </w:pict>
          </mc:Fallback>
        </mc:AlternateContent>
      </w:r>
      <w:r>
        <w:rPr>
          <w:noProof/>
          <w:lang w:eastAsia="en-GB"/>
        </w:rPr>
        <mc:AlternateContent>
          <mc:Choice Requires="wps">
            <w:drawing>
              <wp:anchor distT="0" distB="0" distL="114300" distR="114300" simplePos="0" relativeHeight="251764736" behindDoc="0" locked="0" layoutInCell="1" hidden="0" allowOverlap="1" wp14:anchorId="36A2E6D8" wp14:editId="227EC1F7">
                <wp:simplePos x="0" y="0"/>
                <wp:positionH relativeFrom="margin">
                  <wp:posOffset>1330325</wp:posOffset>
                </wp:positionH>
                <wp:positionV relativeFrom="paragraph">
                  <wp:posOffset>245110</wp:posOffset>
                </wp:positionV>
                <wp:extent cx="444500" cy="508000"/>
                <wp:effectExtent l="0" t="0" r="0" b="0"/>
                <wp:wrapNone/>
                <wp:docPr id="268" name="Rectangle 268"/>
                <wp:cNvGraphicFramePr/>
                <a:graphic xmlns:a="http://schemas.openxmlformats.org/drawingml/2006/main">
                  <a:graphicData uri="http://schemas.microsoft.com/office/word/2010/wordprocessingShape">
                    <wps:wsp>
                      <wps:cNvSpPr/>
                      <wps:spPr>
                        <a:xfrm>
                          <a:off x="0" y="0"/>
                          <a:ext cx="444500" cy="5080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5B9BD5"/>
                                <w:sz w:val="36"/>
                              </w:rPr>
                              <w:t>TD</w:t>
                            </w:r>
                          </w:p>
                        </w:txbxContent>
                      </wps:txbx>
                      <wps:bodyPr lIns="88900" tIns="38100" rIns="88900" bIns="38100" anchor="t" anchorCtr="0"/>
                    </wps:wsp>
                  </a:graphicData>
                </a:graphic>
              </wp:anchor>
            </w:drawing>
          </mc:Choice>
          <mc:Fallback>
            <w:pict>
              <v:rect w14:anchorId="36A2E6D8" id="Rectangle 268" o:spid="_x0000_s1062" style="position:absolute;left:0;text-align:left;margin-left:104.75pt;margin-top:19.3pt;width:35pt;height:40pt;z-index:251764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TUowEAAEIDAAAOAAAAZHJzL2Uyb0RvYy54bWysUk1P4zAQva/Ef7B83zotpQpRUw6LQEgI&#10;0Jb9Aa5jN5Zsj2V7m/TfM3ZL6bI3xGUyX3kz73mWN6M1ZCdD1OBaOp1UlEgnoNNu29I/r3c/a0pi&#10;4q7jBpxs6V5GerO6+LEcfCNn0IPpZCAI4mIz+Jb2KfmGsSh6aXmcgJcOiwqC5QnDsGVd4AOiW8Nm&#10;VbVgA4TOBxAyRszeHop0VfCVkiI9KxVlIqaluFsqNhS7yZatlrzZBu57LY5r8C9sYbl2OPQEdcsT&#10;J3+D/g/KahEggkoTAZaBUlrIwgHZTKtPbNY997JwQXGiP8kUvw9WPO1eAtFdS2cLfCrHLT7Sb5SN&#10;u62RJCdRosHHBjvX/iUco4hu5juqYPMXmZCxyLo/ySrHRAQm5/P5VYXiCyxdVXWFPqKwj599iOle&#10;giXZaWnA8UVMvnuM6dD63pJnObjTxmCeN8b9k0DMnGF538OG2UvjZiwULxfvZDbQ7ZG3eXCoZV1f&#10;5/VSCS7raQ7CeWVzXuFO9IAXlCg5uL9Suae8Z56GD1XIHY8qX8J5XLo+Tn/1BgAA//8DAFBLAwQU&#10;AAYACAAAACEAcJJ9pd4AAAAKAQAADwAAAGRycy9kb3ducmV2LnhtbEyPwU7DMAyG70i8Q2Qkbixd&#10;B2N0TaeBxC6IAxsPkDZeG61xSpN2hafHO8HRvz/9/pxvJteKEftgPSmYzxIQSJU3lmoFn4fXuxWI&#10;EDUZ3XpCBd8YYFNcX+U6M/5MHzjuYy24hEKmFTQxdpmUoWrQ6TDzHRLvjr53OvLY19L0+szlrpVp&#10;kiyl05b4QqM7fGmwOu0Hp2D86e6fd9b40/brfSrfht3iYJ1StzfTdg0i4hT/YLjoszoU7FT6gUwQ&#10;rYI0eXpgVMFitQTBQPp4CUom55zIIpf/Xyh+AQAA//8DAFBLAQItABQABgAIAAAAIQC2gziS/gAA&#10;AOEBAAATAAAAAAAAAAAAAAAAAAAAAABbQ29udGVudF9UeXBlc10ueG1sUEsBAi0AFAAGAAgAAAAh&#10;ADj9If/WAAAAlAEAAAsAAAAAAAAAAAAAAAAALwEAAF9yZWxzLy5yZWxzUEsBAi0AFAAGAAgAAAAh&#10;AN6GNNSjAQAAQgMAAA4AAAAAAAAAAAAAAAAALgIAAGRycy9lMm9Eb2MueG1sUEsBAi0AFAAGAAgA&#10;AAAhAHCSfaXeAAAACgEAAA8AAAAAAAAAAAAAAAAA/QMAAGRycy9kb3ducmV2LnhtbFBLBQYAAAAA&#10;BAAEAPMAAAAIBQAAAAA=&#10;" filled="f" stroked="f">
                <v:textbox inset="7pt,3pt,7pt,3pt">
                  <w:txbxContent>
                    <w:p w:rsidR="00AD6A02" w:rsidRDefault="00AD6A02" w:rsidP="00616C71">
                      <w:pPr>
                        <w:spacing w:after="0"/>
                        <w:textDirection w:val="btLr"/>
                      </w:pPr>
                      <w:r>
                        <w:rPr>
                          <w:rFonts w:ascii="Calibri" w:eastAsia="Calibri" w:hAnsi="Calibri" w:cs="Calibri"/>
                          <w:b/>
                          <w:color w:val="5B9BD5"/>
                          <w:sz w:val="36"/>
                        </w:rPr>
                        <w:t>TD</w:t>
                      </w:r>
                    </w:p>
                  </w:txbxContent>
                </v:textbox>
                <w10:wrap anchorx="margin"/>
              </v:rect>
            </w:pict>
          </mc:Fallback>
        </mc:AlternateContent>
      </w:r>
      <w:r>
        <w:rPr>
          <w:noProof/>
          <w:lang w:eastAsia="en-GB"/>
        </w:rPr>
        <mc:AlternateContent>
          <mc:Choice Requires="wps">
            <w:drawing>
              <wp:anchor distT="0" distB="0" distL="114300" distR="114300" simplePos="0" relativeHeight="251767808" behindDoc="0" locked="0" layoutInCell="1" hidden="0" allowOverlap="1" wp14:anchorId="7DA9507E" wp14:editId="6381F725">
                <wp:simplePos x="0" y="0"/>
                <wp:positionH relativeFrom="margin">
                  <wp:posOffset>2689225</wp:posOffset>
                </wp:positionH>
                <wp:positionV relativeFrom="paragraph">
                  <wp:posOffset>869950</wp:posOffset>
                </wp:positionV>
                <wp:extent cx="342900" cy="368300"/>
                <wp:effectExtent l="0" t="0" r="0" b="0"/>
                <wp:wrapNone/>
                <wp:docPr id="173" name="Rectangle 173"/>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FFFF00"/>
                                <w:sz w:val="36"/>
                              </w:rPr>
                              <w:t>G</w:t>
                            </w:r>
                          </w:p>
                        </w:txbxContent>
                      </wps:txbx>
                      <wps:bodyPr lIns="88900" tIns="38100" rIns="88900" bIns="38100" anchor="t" anchorCtr="0"/>
                    </wps:wsp>
                  </a:graphicData>
                </a:graphic>
              </wp:anchor>
            </w:drawing>
          </mc:Choice>
          <mc:Fallback>
            <w:pict>
              <v:rect w14:anchorId="7DA9507E" id="Rectangle 173" o:spid="_x0000_s1063" style="position:absolute;left:0;text-align:left;margin-left:211.75pt;margin-top:68.5pt;width:27pt;height:29pt;z-index:251767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08owEAAEIDAAAOAAAAZHJzL2Uyb0RvYy54bWysUk1P4zAQvSPxHyzfqdMGQYiaclgEQlrt&#10;ImB/gOvYjSXbY9mmSf/9jt1SCtxWe3Hmw3nz3vMsbydryFaGqMF1dD6rKJFOQK/dpqN/Xu8vGkpi&#10;4q7nBpzs6E5Gers6P1uOvpULGMD0MhAEcbEdfUeHlHzLWBSDtDzOwEuHTQXB8oRp2LA+8BHRrWGL&#10;qrpiI4TeBxAyRqze7Zt0VfCVkiL9VirKRExHkVsqZyjnOp9steTtJnA/aHGgwf+BheXa4dAj1B1P&#10;nLwF/Q3KahEggkozAZaBUlrIogHVzKsval4G7mXRguZEf7Qp/j9Y8Wv7FIju8e2ua0oct/hIz2gb&#10;dxsjSS6iRaOPLd588U/hkEUMs95JBZu/qIRMxdbd0VY5JSKwWF8ubio0X2CrvmpqjBGFffzsQ0wP&#10;EizJQUcDji9m8u3PmPZX36/kWQ7utTFY561xnwqImSss890zzFGa1lORWF+/i1lDv0Pd5tGhl01T&#10;6KWS1M08cw2nnfVphzsxAG5QomQf/khlnzLPPA0fqog7LFXehNO83PpY/dVfAAAA//8DAFBLAwQU&#10;AAYACAAAACEApcz8/t8AAAALAQAADwAAAGRycy9kb3ducmV2LnhtbEyPwU7DMBBE70j8g7VI3KhD&#10;k5I2xKkKEr2gHmj5ACdekqjxOsROGvh6lhMcd+ZpdibfzrYTEw6+daTgfhGBQKqcaalW8H56uVuD&#10;8EGT0Z0jVPCFHrbF9VWuM+Mu9IbTMdSCQ8hnWkETQp9J6asGrfYL1yOx9+EGqwOfQy3NoC8cbju5&#10;jKIHaXVL/KHRPT43WJ2Po1UwfffJ07417rz7PMzl67iPT61V6vZm3j2CCDiHPxh+63N1KLhT6UYy&#10;XnQKkmW8YpSNOOVRTCRpykrJymYVgSxy+X9D8QMAAP//AwBQSwECLQAUAAYACAAAACEAtoM4kv4A&#10;AADhAQAAEwAAAAAAAAAAAAAAAAAAAAAAW0NvbnRlbnRfVHlwZXNdLnhtbFBLAQItABQABgAIAAAA&#10;IQA4/SH/1gAAAJQBAAALAAAAAAAAAAAAAAAAAC8BAABfcmVscy8ucmVsc1BLAQItABQABgAIAAAA&#10;IQDvGS08owEAAEIDAAAOAAAAAAAAAAAAAAAAAC4CAABkcnMvZTJvRG9jLnhtbFBLAQItABQABgAI&#10;AAAAIQClzPz+3wAAAAsBAAAPAAAAAAAAAAAAAAAAAP0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FFFF00"/>
                          <w:sz w:val="36"/>
                        </w:rPr>
                        <w:t>G</w:t>
                      </w:r>
                    </w:p>
                  </w:txbxContent>
                </v:textbox>
                <w10:wrap anchorx="margin"/>
              </v:rect>
            </w:pict>
          </mc:Fallback>
        </mc:AlternateContent>
      </w:r>
      <w:r w:rsidR="00616C71" w:rsidRPr="00A764DB">
        <w:rPr>
          <w:rFonts w:eastAsia="Calibri" w:cs="Arial"/>
        </w:rPr>
        <w:t xml:space="preserve">        f)</w:t>
      </w:r>
      <w:r w:rsidR="00616C71">
        <w:rPr>
          <w:rFonts w:ascii="Calibri" w:eastAsia="Calibri" w:hAnsi="Calibri" w:cs="Calibri"/>
        </w:rPr>
        <w:t xml:space="preserve">     </w:t>
      </w:r>
      <w:r w:rsidR="00616C71">
        <w:rPr>
          <w:noProof/>
          <w:lang w:eastAsia="en-GB"/>
        </w:rPr>
        <w:drawing>
          <wp:inline distT="0" distB="0" distL="0" distR="0" wp14:anchorId="73E3DDDE" wp14:editId="07C3963F">
            <wp:extent cx="3916800" cy="3132000"/>
            <wp:effectExtent l="0" t="0" r="0" b="0"/>
            <wp:docPr id="280" name="image71.png" descr="C:\Users\UOS\Desktop\New folder (3)\Rat 17 Left Kidney X20-sc.tif"/>
            <wp:cNvGraphicFramePr/>
            <a:graphic xmlns:a="http://schemas.openxmlformats.org/drawingml/2006/main">
              <a:graphicData uri="http://schemas.openxmlformats.org/drawingml/2006/picture">
                <pic:pic xmlns:pic="http://schemas.openxmlformats.org/drawingml/2006/picture">
                  <pic:nvPicPr>
                    <pic:cNvPr id="0" name="image71.png" descr="C:\Users\UOS\Desktop\New folder (3)\Rat 17 Left Kidney X20-sc.tif"/>
                    <pic:cNvPicPr preferRelativeResize="0"/>
                  </pic:nvPicPr>
                  <pic:blipFill>
                    <a:blip r:embed="rId107"/>
                    <a:srcRect/>
                    <a:stretch>
                      <a:fillRect/>
                    </a:stretch>
                  </pic:blipFill>
                  <pic:spPr>
                    <a:xfrm>
                      <a:off x="0" y="0"/>
                      <a:ext cx="3916800" cy="3132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66784" behindDoc="0" locked="0" layoutInCell="1" hidden="0" allowOverlap="1" wp14:anchorId="4628D19C" wp14:editId="26FE1CF3">
                <wp:simplePos x="0" y="0"/>
                <wp:positionH relativeFrom="margin">
                  <wp:posOffset>1244600</wp:posOffset>
                </wp:positionH>
                <wp:positionV relativeFrom="paragraph">
                  <wp:posOffset>1016000</wp:posOffset>
                </wp:positionV>
                <wp:extent cx="444500" cy="508000"/>
                <wp:effectExtent l="0" t="0" r="0" b="0"/>
                <wp:wrapNone/>
                <wp:docPr id="177" name="Rectangle 177"/>
                <wp:cNvGraphicFramePr/>
                <a:graphic xmlns:a="http://schemas.openxmlformats.org/drawingml/2006/main">
                  <a:graphicData uri="http://schemas.microsoft.com/office/word/2010/wordprocessingShape">
                    <wps:wsp>
                      <wps:cNvSpPr/>
                      <wps:spPr>
                        <a:xfrm>
                          <a:off x="5125655" y="3525048"/>
                          <a:ext cx="440689" cy="509905"/>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5B9BD5"/>
                                <w:sz w:val="36"/>
                              </w:rPr>
                              <w:t>TD</w:t>
                            </w:r>
                          </w:p>
                        </w:txbxContent>
                      </wps:txbx>
                      <wps:bodyPr lIns="88900" tIns="38100" rIns="88900" bIns="38100" anchor="t" anchorCtr="0"/>
                    </wps:wsp>
                  </a:graphicData>
                </a:graphic>
              </wp:anchor>
            </w:drawing>
          </mc:Choice>
          <mc:Fallback>
            <w:pict>
              <v:rect w14:anchorId="4628D19C" id="Rectangle 177" o:spid="_x0000_s1064" style="position:absolute;left:0;text-align:left;margin-left:98pt;margin-top:80pt;width:35pt;height:40pt;z-index:251766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GmGswEAAE4DAAAOAAAAZHJzL2Uyb0RvYy54bWysU8lu2zAUvAfoPxC816QXObJgOYcGCQoU&#10;SZC0H0BTpEWAG0jWkv8+j5STuOmt6IV6G4Yzw6ftzWg0OooQlbMtns8oRsJy1yl7aPGvn3dfa4xi&#10;YrZj2lnR4pOI+Gb35Wo7+EYsXO90JwICEBubwbe4T8k3hETeC8PizHlhoSldMCxBGg6kC2wAdKPJ&#10;gtI1GVzofHBcxAjV26mJdwVfSsHTo5RRJKRbDNxSOUM59/kkuy1rDoH5XvEzDfYPLAxTFi59h7pl&#10;iaHfQf0FZRQPLjqZZtwZ4qRUXBQNoGZOP6l56ZkXRQuYE/27TfH/wfKH41NAqoO3u77GyDIDj/QM&#10;tjF70ALlIlg0+NjA5It/CucsQpj1jjKY/AUlaGxxNV9U66rC6NTiZbWo6KqeLBZjQhwGViu6rjcY&#10;cRio6GZDq9wnH0A+xHQvnEE5aHEAKsVYdvwR0zT6NpLvte5OaQ111mj7RwEwc4Vk7hPbHKVxPxa5&#10;y0Isl/auO4EH+rsFX+t6Q/OelGRZz3MSLjv7yw6zvHewTQmjKfyWym5lnhkaHq2IOy9Y3orLvEx9&#10;/Aa7VwAAAP//AwBQSwMEFAAGAAgAAAAhAB2/+2DcAAAACwEAAA8AAABkcnMvZG93bnJldi54bWxM&#10;T0FOwzAQvCP1D9YicaMOpYogjVMVJHpBHNryACfeJlbjdRo7aeD1bE/lNjM7mp3J15NrxYh9sJ4U&#10;PM0TEEiVN5ZqBd+Hj8cXECFqMrr1hAp+MMC6mN3lOjP+Qjsc97EWHEIh0wqaGLtMylA16HSY+w6J&#10;b0ffOx2Z9rU0vb5wuGvlIklS6bQl/tDoDt8brE77wSkYf7vl29Yaf9qcv6byc9g+H6xT6uF+2qxA&#10;RJzizQzX+lwdCu5U+oFMEC3z15S3RAZpwoAdi/SqlAyWrMgil/83FH8AAAD//wMAUEsBAi0AFAAG&#10;AAgAAAAhALaDOJL+AAAA4QEAABMAAAAAAAAAAAAAAAAAAAAAAFtDb250ZW50X1R5cGVzXS54bWxQ&#10;SwECLQAUAAYACAAAACEAOP0h/9YAAACUAQAACwAAAAAAAAAAAAAAAAAvAQAAX3JlbHMvLnJlbHNQ&#10;SwECLQAUAAYACAAAACEAIRRphrMBAABOAwAADgAAAAAAAAAAAAAAAAAuAgAAZHJzL2Uyb0RvYy54&#10;bWxQSwECLQAUAAYACAAAACEAHb/7YNwAAAALAQAADwAAAAAAAAAAAAAAAAANBAAAZHJzL2Rvd25y&#10;ZXYueG1sUEsFBgAAAAAEAAQA8wAAABYFAAAAAA==&#10;" filled="f" stroked="f">
                <v:textbox inset="7pt,3pt,7pt,3pt">
                  <w:txbxContent>
                    <w:p w:rsidR="00AD6A02" w:rsidRDefault="00AD6A02" w:rsidP="00616C71">
                      <w:pPr>
                        <w:spacing w:after="0"/>
                        <w:textDirection w:val="btLr"/>
                      </w:pPr>
                      <w:r>
                        <w:rPr>
                          <w:rFonts w:ascii="Calibri" w:eastAsia="Calibri" w:hAnsi="Calibri" w:cs="Calibri"/>
                          <w:b/>
                          <w:color w:val="5B9BD5"/>
                          <w:sz w:val="36"/>
                        </w:rPr>
                        <w:t>TD</w:t>
                      </w:r>
                    </w:p>
                  </w:txbxContent>
                </v:textbox>
                <w10:wrap anchorx="margin"/>
              </v:rect>
            </w:pict>
          </mc:Fallback>
        </mc:AlternateContent>
      </w:r>
    </w:p>
    <w:p w:rsidR="00616C71" w:rsidRDefault="00616C71" w:rsidP="002A62C8">
      <w:pPr>
        <w:pStyle w:val="LegText"/>
        <w:ind w:left="720"/>
      </w:pPr>
      <w:bookmarkStart w:id="360" w:name="_Toc504640608"/>
      <w:r w:rsidRPr="00E64D17">
        <w:rPr>
          <w:rStyle w:val="SubtitleChar"/>
        </w:rPr>
        <w:t>Figure 4.1. Haematoxylin and Eosin staining of rat kidneys.</w:t>
      </w:r>
      <w:bookmarkEnd w:id="360"/>
      <w:r>
        <w:t xml:space="preserve"> Yellow bar = 50µm</w:t>
      </w:r>
      <w:r w:rsidR="00E64D17">
        <w:t>.</w:t>
      </w:r>
    </w:p>
    <w:p w:rsidR="00616C71" w:rsidRDefault="005D4CF3" w:rsidP="002A62C8">
      <w:pPr>
        <w:pStyle w:val="LegText"/>
        <w:ind w:left="720"/>
      </w:pPr>
      <w:r>
        <w:t>a) Control kidney from diseased group</w:t>
      </w:r>
      <w:r w:rsidR="00C71854">
        <w:t xml:space="preserve"> with</w:t>
      </w:r>
      <w:r w:rsidR="00616C71">
        <w:t xml:space="preserve"> glomeruli (G) enclosed by thin basement membrane (green arrow</w:t>
      </w:r>
      <w:r w:rsidR="009B7691">
        <w:t>) and numerous tubules (T). b) D</w:t>
      </w:r>
      <w:r w:rsidR="00616C71">
        <w:t xml:space="preserve">iseased kidney from </w:t>
      </w:r>
      <w:r>
        <w:t>diseased group with</w:t>
      </w:r>
      <w:r w:rsidR="00616C71">
        <w:t xml:space="preserve"> hypertrophic glomerulus (G) and dilated tubules (TD), thickened basement membrane (green arrow) with expansion of the mesangium (yellow arrow). c) Control kidney from </w:t>
      </w:r>
      <w:r>
        <w:t>prophylaxis group with</w:t>
      </w:r>
      <w:r w:rsidR="00616C71">
        <w:t xml:space="preserve"> glomeruli (G) and thin basement membrane (green </w:t>
      </w:r>
      <w:r w:rsidR="009B7691">
        <w:t>arrow) and numerous tubules (T). d) D</w:t>
      </w:r>
      <w:r w:rsidR="00616C71">
        <w:t xml:space="preserve">iseased kidney from </w:t>
      </w:r>
      <w:r>
        <w:t>prophylaxis group with</w:t>
      </w:r>
      <w:r w:rsidR="00616C71">
        <w:t xml:space="preserve"> h</w:t>
      </w:r>
      <w:r w:rsidR="0075685D">
        <w:t xml:space="preserve">ypertrophic glomerulus (G) and </w:t>
      </w:r>
      <w:r w:rsidR="00616C71">
        <w:t xml:space="preserve">mildly dilated tubules (T), thickened basement membrane (green arrow) and expansion of the mesangium (yellow arrow). e) Control kidney from </w:t>
      </w:r>
      <w:r w:rsidR="009B7691">
        <w:t>treatment group with</w:t>
      </w:r>
      <w:r w:rsidR="00616C71">
        <w:t xml:space="preserve"> glomeruli (G) numerous tubules (T), thin </w:t>
      </w:r>
      <w:r w:rsidR="0075685D">
        <w:lastRenderedPageBreak/>
        <w:t xml:space="preserve">glomerular </w:t>
      </w:r>
      <w:r w:rsidR="00616C71">
        <w:t>membrane (</w:t>
      </w:r>
      <w:r w:rsidR="0075685D">
        <w:t xml:space="preserve">green </w:t>
      </w:r>
      <w:r w:rsidR="00544C15">
        <w:t>arrow). f) D</w:t>
      </w:r>
      <w:r w:rsidR="00616C71">
        <w:t xml:space="preserve">iseased kidney from </w:t>
      </w:r>
      <w:r w:rsidR="00544C15">
        <w:t>treatment group</w:t>
      </w:r>
      <w:r w:rsidR="00616C71">
        <w:t xml:space="preserve"> with one </w:t>
      </w:r>
      <w:r w:rsidR="00616C71" w:rsidRPr="00616C71">
        <w:t>hypertrophic glomerulus (G) dilated tubules (TD), thickened basement membrane with mesangial expansion</w:t>
      </w:r>
      <w:r w:rsidR="00616C71">
        <w:t xml:space="preserve">. </w:t>
      </w:r>
    </w:p>
    <w:p w:rsidR="00616C71" w:rsidRDefault="00616C71" w:rsidP="00616C71">
      <w:pPr>
        <w:pStyle w:val="LegText"/>
      </w:pPr>
      <w:r>
        <w:t xml:space="preserve"> </w:t>
      </w:r>
    </w:p>
    <w:p w:rsidR="00616C71" w:rsidRPr="005E174B" w:rsidRDefault="00616C71" w:rsidP="005E174B">
      <w:pPr>
        <w:pStyle w:val="Heading3"/>
        <w:ind w:firstLine="720"/>
        <w:rPr>
          <w:rStyle w:val="Heading3Char1"/>
          <w:b/>
        </w:rPr>
      </w:pPr>
      <w:bookmarkStart w:id="361" w:name="_Toc506232393"/>
      <w:r w:rsidRPr="005E174B">
        <w:t>4</w:t>
      </w:r>
      <w:r w:rsidRPr="005E174B">
        <w:rPr>
          <w:rStyle w:val="Heading3Char1"/>
          <w:b/>
        </w:rPr>
        <w:t>.2 Picrosirius red stain (PRS)</w:t>
      </w:r>
      <w:bookmarkEnd w:id="361"/>
      <w:r w:rsidRPr="005E174B">
        <w:rPr>
          <w:rStyle w:val="Heading3Char1"/>
          <w:b/>
        </w:rPr>
        <w:t xml:space="preserve"> </w:t>
      </w:r>
    </w:p>
    <w:p w:rsidR="00616C71" w:rsidRDefault="00616C71" w:rsidP="00616C71">
      <w:pPr>
        <w:ind w:left="720"/>
      </w:pPr>
      <w:r>
        <w:t xml:space="preserve">The drive for specific stains has led histopathologist to develop stains that will specifically or selectively label structures or molecules. Histopathologists </w:t>
      </w:r>
      <w:r w:rsidR="00544C15">
        <w:t>in the past have</w:t>
      </w:r>
      <w:r>
        <w:t xml:space="preserve"> used</w:t>
      </w:r>
      <w:r w:rsidR="00544C15">
        <w:t xml:space="preserve"> some histopathological patterns</w:t>
      </w:r>
      <w:r>
        <w:t xml:space="preserve"> in the scoring of interstitial fibrosis and these have been considered not reproducible and insensitive (Grimm et al., 2003). The picrosirius red stain is selective for collagen I and III and can therefore be used for the diagnosis of fibrosis. Under the light field view the collagen fibres appear red while the nuclei, cytoplasm, red cells and muscular fibres appear yellow to yellow-brown. We used paraffin-embedded kidney tissue sections taken at the beginning of the study (control) and at the end of the study. These sections were stained accord</w:t>
      </w:r>
      <w:r w:rsidR="007E5650">
        <w:t>ing to the protocol (Section 2.6</w:t>
      </w:r>
      <w:r>
        <w:t>.2), viewed and photographed under the light microscope. Digital addition and subtraction of the areas of fibrosis was semi-automated using the cell F software (https://www.electrooptics.com/press-releases/celld-cellf-and-cellp-imaging-systems).</w:t>
      </w:r>
    </w:p>
    <w:p w:rsidR="00FB718F" w:rsidRDefault="00616C71" w:rsidP="00616C71">
      <w:pPr>
        <w:ind w:left="720"/>
      </w:pPr>
      <w:r>
        <w:t xml:space="preserve">Fig 4.2a is a control for the disease group and shows the glomeruli surrounded by cortical tubules. The tubular and glomerular membranes are thin with no signs of fibrosis. The other control slides (c) and (e) are similar. </w:t>
      </w:r>
    </w:p>
    <w:p w:rsidR="00FB718F" w:rsidRDefault="00616C71" w:rsidP="00616C71">
      <w:pPr>
        <w:ind w:left="720"/>
      </w:pPr>
      <w:r>
        <w:t>Compared to Fig 4.2a, Fig 4.2b</w:t>
      </w:r>
      <w:r w:rsidR="0046399E">
        <w:t xml:space="preserve"> (diseased kidney from the diseased group) demonstrated</w:t>
      </w:r>
      <w:r>
        <w:t xml:space="preserve"> moderate tubular membrane and glomerular </w:t>
      </w:r>
      <w:r w:rsidR="00FB718F">
        <w:t xml:space="preserve">membrane </w:t>
      </w:r>
      <w:r>
        <w:t>thickening with dilated tubules (DT) typical for the diseased group</w:t>
      </w:r>
      <w:r w:rsidR="00FB718F">
        <w:t xml:space="preserve"> and also similar to our H&amp;E findings (Fig 4.1b) </w:t>
      </w:r>
      <w:r>
        <w:t>. The glomeruli showed increased amount of collagen fibres which are stained in red. There is also expansion of the mesan</w:t>
      </w:r>
      <w:r w:rsidR="009B053D">
        <w:t>gium within the glomeruli (blue</w:t>
      </w:r>
      <w:r>
        <w:t xml:space="preserve"> arrow), thickened Bowman’s capsule and interstitial fibrosis (green arrow). These are signs of renal fibrosis. </w:t>
      </w:r>
    </w:p>
    <w:p w:rsidR="00616C71" w:rsidRDefault="00616C71" w:rsidP="00616C71">
      <w:pPr>
        <w:ind w:left="720"/>
      </w:pPr>
      <w:r>
        <w:lastRenderedPageBreak/>
        <w:t xml:space="preserve">Fig 4.2d </w:t>
      </w:r>
      <w:r w:rsidR="0046399E">
        <w:t xml:space="preserve">(diseased kidney from prophylaxis group) </w:t>
      </w:r>
      <w:r>
        <w:t xml:space="preserve">is representative of </w:t>
      </w:r>
      <w:r w:rsidR="0046399E">
        <w:t xml:space="preserve">the </w:t>
      </w:r>
      <w:r>
        <w:t>prophylaxis group. There is increased amount of collagen fibres which are stained in red with expansion of the mesan</w:t>
      </w:r>
      <w:r w:rsidR="009B053D">
        <w:t>gium within the glomeruli (blue</w:t>
      </w:r>
      <w:r>
        <w:t xml:space="preserve"> arrow). There is also tubular dilatation with thickened Bowman’s capsule.</w:t>
      </w:r>
    </w:p>
    <w:p w:rsidR="00D60F76" w:rsidRDefault="00616C71" w:rsidP="00616C71">
      <w:pPr>
        <w:ind w:left="720"/>
      </w:pPr>
      <w:r>
        <w:t xml:space="preserve">Fig 4.2f is an image of a </w:t>
      </w:r>
      <w:r w:rsidR="00D60F76">
        <w:t xml:space="preserve">diseased </w:t>
      </w:r>
      <w:r>
        <w:t>kidney from</w:t>
      </w:r>
      <w:r w:rsidR="00D60F76">
        <w:t xml:space="preserve"> the treatment group showing</w:t>
      </w:r>
      <w:r>
        <w:t xml:space="preserve"> hypertrophic glomeruli (G) and dilated tubules (T). </w:t>
      </w:r>
      <w:r w:rsidR="00D60F76">
        <w:t>Within t</w:t>
      </w:r>
      <w:r>
        <w:t xml:space="preserve">he glomeruli </w:t>
      </w:r>
      <w:r w:rsidR="00D60F76">
        <w:t xml:space="preserve">there is </w:t>
      </w:r>
      <w:r>
        <w:t>increased amount of collagen fibres with expansion of th</w:t>
      </w:r>
      <w:r w:rsidR="00D60F76">
        <w:t>e mesangium (blue</w:t>
      </w:r>
      <w:r>
        <w:t xml:space="preserve"> ar</w:t>
      </w:r>
      <w:r w:rsidR="00D60F76">
        <w:t xml:space="preserve">row). There is also </w:t>
      </w:r>
      <w:r>
        <w:t xml:space="preserve">interstitial fibrosis (green arrow) and thickened Bowman’s capsule. </w:t>
      </w:r>
    </w:p>
    <w:p w:rsidR="00D60F76" w:rsidRDefault="00D60F76">
      <w:pPr>
        <w:spacing w:after="160" w:line="259" w:lineRule="auto"/>
        <w:jc w:val="left"/>
      </w:pPr>
      <w:r>
        <w:br w:type="page"/>
      </w:r>
    </w:p>
    <w:p w:rsidR="00616C71" w:rsidRDefault="00616C71" w:rsidP="00616C71">
      <w:pPr>
        <w:ind w:left="720"/>
      </w:pPr>
    </w:p>
    <w:p w:rsidR="00616C71" w:rsidRDefault="005F12B3" w:rsidP="00B702A5">
      <w:pPr>
        <w:numPr>
          <w:ilvl w:val="0"/>
          <w:numId w:val="20"/>
        </w:numPr>
        <w:pBdr>
          <w:top w:val="nil"/>
          <w:left w:val="nil"/>
          <w:bottom w:val="nil"/>
          <w:right w:val="nil"/>
          <w:between w:val="nil"/>
        </w:pBdr>
        <w:spacing w:after="160" w:line="259" w:lineRule="auto"/>
        <w:ind w:hanging="360"/>
        <w:contextualSpacing/>
        <w:jc w:val="left"/>
        <w:rPr>
          <w:sz w:val="20"/>
          <w:szCs w:val="20"/>
        </w:rPr>
      </w:pPr>
      <w:r>
        <w:rPr>
          <w:noProof/>
          <w:lang w:eastAsia="en-GB"/>
        </w:rPr>
        <mc:AlternateContent>
          <mc:Choice Requires="wps">
            <w:drawing>
              <wp:anchor distT="0" distB="0" distL="114300" distR="114300" simplePos="0" relativeHeight="252017664" behindDoc="0" locked="0" layoutInCell="1" allowOverlap="1">
                <wp:simplePos x="0" y="0"/>
                <wp:positionH relativeFrom="column">
                  <wp:posOffset>2209800</wp:posOffset>
                </wp:positionH>
                <wp:positionV relativeFrom="paragraph">
                  <wp:posOffset>1943735</wp:posOffset>
                </wp:positionV>
                <wp:extent cx="619125" cy="9525"/>
                <wp:effectExtent l="0" t="133350" r="0" b="142875"/>
                <wp:wrapNone/>
                <wp:docPr id="136" name="Straight Arrow Connector 136"/>
                <wp:cNvGraphicFramePr/>
                <a:graphic xmlns:a="http://schemas.openxmlformats.org/drawingml/2006/main">
                  <a:graphicData uri="http://schemas.microsoft.com/office/word/2010/wordprocessingShape">
                    <wps:wsp>
                      <wps:cNvCnPr/>
                      <wps:spPr>
                        <a:xfrm flipV="1">
                          <a:off x="0" y="0"/>
                          <a:ext cx="619125" cy="9525"/>
                        </a:xfrm>
                        <a:prstGeom prst="straightConnector1">
                          <a:avLst/>
                        </a:prstGeom>
                        <a:ln w="28575">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FBF29F7" id="_x0000_t32" coordsize="21600,21600" o:spt="32" o:oned="t" path="m,l21600,21600e" filled="f">
                <v:path arrowok="t" fillok="f" o:connecttype="none"/>
                <o:lock v:ext="edit" shapetype="t"/>
              </v:shapetype>
              <v:shape id="Straight Arrow Connector 136" o:spid="_x0000_s1026" type="#_x0000_t32" style="position:absolute;margin-left:174pt;margin-top:153.05pt;width:48.75pt;height:.75pt;flip:y;z-index:25201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3wTBQIAAF0EAAAOAAAAZHJzL2Uyb0RvYy54bWysVE2P0zAQvSPxHyzfadqilt2q6Qp1WS4I&#10;VrvA3euME0v+0tg07b9n7KQpu3ABcbHG8bw3b57H2d4crWEHwKi9q/liNucMnPSNdm3Nv329e3PF&#10;WUzCNcJ4BzU/QeQ3u9evtn3YwNJ33jSAjEhc3PSh5l1KYVNVUXZgRZz5AI4OlUcrEm2xrRoUPbFb&#10;Uy3n83XVe2wCegkx0tfb4ZDvCr9SINMXpSIkZmpO2lJZsaxPea12W7FpUYROy1GG+AcVVmhHRSeq&#10;W5EE+4H6NyqrJfroVZpJbyuvlJZQeqBuFvMX3Tx2IkDphcyJYbIp/j9a+flwj0w3dHdv15w5YemS&#10;HhMK3XaJvUf0Pdt758hIjyznkGN9iBsC7t09jrsY7jG3f1RomTI6fCfCYgi1yI7F79PkNxwTk/Rx&#10;vbheLFecSTq6XlFEbNVAkskCxvQRvGU5qHkcVU1yhgLi8CmmAXgGZLBxrK/58mr1blV0RG90c6eN&#10;yYdlvGBvkB0EDUY6LsbSz7KS0OaDa1g6BTIloRauNcAzr2k5M0ATT8FQ2zjSno0ZrChROhkYtDyA&#10;IpOp5UHzi/pCSnDprME4ys4wRWon4HzoIr+Li/DnwDE/Q6GM/t+AJ0Sp7F2awFY7j3+qfrFNDfln&#10;B4a+swVPvjmVISnW0AyXCx7fW34kv+4L/PJX2P0EAAD//wMAUEsDBBQABgAIAAAAIQAG73C+3wAA&#10;AAsBAAAPAAAAZHJzL2Rvd25yZXYueG1sTI/BTsMwEETvSPyDtUjcqF2ahhLiVAiEhDiAUvgAN1ni&#10;QLyObKcNf8/2BLfdndHsm3I7u0EcMMTek4blQoFAanzbU6fh4/3pagMiJkOtGTyhhh+MsK3Oz0pT&#10;tP5INR52qRMcQrEwGmxKYyFlbCw6Exd+RGLt0wdnEq+hk20wRw53g7xWKpfO9MQfrBnxwWLzvZuc&#10;hmeF3dsXxVpOr6vmcX6xtyHVWl9ezPd3IBLO6c8MJ3xGh4qZ9n6iNopBwyrbcJfEg8qXINiRZes1&#10;iP3pcpODrEr5v0P1CwAA//8DAFBLAQItABQABgAIAAAAIQC2gziS/gAAAOEBAAATAAAAAAAAAAAA&#10;AAAAAAAAAABbQ29udGVudF9UeXBlc10ueG1sUEsBAi0AFAAGAAgAAAAhADj9If/WAAAAlAEAAAsA&#10;AAAAAAAAAAAAAAAALwEAAF9yZWxzLy5yZWxzUEsBAi0AFAAGAAgAAAAhAC5PfBMFAgAAXQQAAA4A&#10;AAAAAAAAAAAAAAAALgIAAGRycy9lMm9Eb2MueG1sUEsBAi0AFAAGAAgAAAAhAAbvcL7fAAAACwEA&#10;AA8AAAAAAAAAAAAAAAAAXwQAAGRycy9kb3ducmV2LnhtbFBLBQYAAAAABAAEAPMAAABrBQAAAAA=&#10;" strokecolor="black [3213]" strokeweight="2.25pt">
                <v:stroke endarrow="block" endarrowwidth="wide" endarrowlength="long" joinstyle="miter"/>
              </v:shape>
            </w:pict>
          </mc:Fallback>
        </mc:AlternateContent>
      </w:r>
      <w:r>
        <w:rPr>
          <w:noProof/>
          <w:lang w:eastAsia="en-GB"/>
        </w:rPr>
        <mc:AlternateContent>
          <mc:Choice Requires="wps">
            <w:drawing>
              <wp:anchor distT="0" distB="0" distL="114300" distR="114300" simplePos="0" relativeHeight="252019712" behindDoc="0" locked="0" layoutInCell="1" allowOverlap="1" wp14:anchorId="2EBCADB6" wp14:editId="1760F54A">
                <wp:simplePos x="0" y="0"/>
                <wp:positionH relativeFrom="column">
                  <wp:posOffset>1990725</wp:posOffset>
                </wp:positionH>
                <wp:positionV relativeFrom="paragraph">
                  <wp:posOffset>1131570</wp:posOffset>
                </wp:positionV>
                <wp:extent cx="704850" cy="107315"/>
                <wp:effectExtent l="19050" t="114300" r="0" b="64135"/>
                <wp:wrapNone/>
                <wp:docPr id="143" name="Straight Arrow Connector 143"/>
                <wp:cNvGraphicFramePr/>
                <a:graphic xmlns:a="http://schemas.openxmlformats.org/drawingml/2006/main">
                  <a:graphicData uri="http://schemas.microsoft.com/office/word/2010/wordprocessingShape">
                    <wps:wsp>
                      <wps:cNvCnPr/>
                      <wps:spPr>
                        <a:xfrm flipV="1">
                          <a:off x="0" y="0"/>
                          <a:ext cx="704850" cy="107315"/>
                        </a:xfrm>
                        <a:prstGeom prst="straightConnector1">
                          <a:avLst/>
                        </a:prstGeom>
                        <a:noFill/>
                        <a:ln w="28575" cap="flat" cmpd="sng" algn="ctr">
                          <a:solidFill>
                            <a:sysClr val="windowText" lastClr="000000"/>
                          </a:solidFill>
                          <a:prstDash val="solid"/>
                          <a:miter lim="800000"/>
                          <a:tailEnd type="triangle" w="lg" len="lg"/>
                        </a:ln>
                        <a:effectLst/>
                      </wps:spPr>
                      <wps:bodyPr/>
                    </wps:wsp>
                  </a:graphicData>
                </a:graphic>
                <wp14:sizeRelH relativeFrom="margin">
                  <wp14:pctWidth>0</wp14:pctWidth>
                </wp14:sizeRelH>
                <wp14:sizeRelV relativeFrom="margin">
                  <wp14:pctHeight>0</wp14:pctHeight>
                </wp14:sizeRelV>
              </wp:anchor>
            </w:drawing>
          </mc:Choice>
          <mc:Fallback>
            <w:pict>
              <v:shape w14:anchorId="0D893736" id="Straight Arrow Connector 143" o:spid="_x0000_s1026" type="#_x0000_t32" style="position:absolute;margin-left:156.75pt;margin-top:89.1pt;width:55.5pt;height:8.45pt;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pw/wEAANsDAAAOAAAAZHJzL2Uyb0RvYy54bWysU02P0zAQvSPxHyzfadLullZR0xVqWS4I&#10;Ku3CfdaxE0v+ksc07b9n7IRqgRsiB2vs8Ty/N/Oye7hYw84yovau5ctFzZl0wnfa9S3/9vz4bssZ&#10;JnAdGO9ky68S+cP+7ZvdGBq58oM3nYyMQBw2Y2j5kFJoqgrFIC3gwgfpKKl8tJBoG/uqizASujXV&#10;qq7fV6OPXYheSEQ6PU5Jvi/4SkmRviqFMjHTcuKWyhrL+pLXar+Dpo8QBi1mGvAPLCxoR4/eoI6Q&#10;gP2I+i8oq0X06FVaCG8rr5QWsmggNcv6DzVPAwRZtFBzMNzahP8PVnw5nyLTHc3u/o4zB5aG9JQi&#10;6H5I7EOMfmQH7xw10keW71DHxoANFR7cKc47DKeY5V9UtEwZHb4TYGkISWSX0u/rrd/ykpigw019&#10;v13TVASllvXmbrnO6NUEk+FCxPRJesty0HKced0ITU/A+TOmqfBXQS52/lEbQ+fQGMfGlq+2682a&#10;XgPymTKQKLSBlKPrOQPTk4FFioU1eqO7XJ6r8YoHE9kZyENkvc6Pz6SAMwOYKEGyyjdz/6008zkC&#10;DlNxSeVr0FidyPdG25Zvb9XQJNDmo+tYugaaQ4oaXG8kz+wNkTSSOFIwiTUuI8ni8rkDeTLTLHL0&#10;4rtrGVGVd+Sg0tzZ7dmir/cUv/4n9z8BAAD//wMAUEsDBBQABgAIAAAAIQCKJCMW4AAAAAsBAAAP&#10;AAAAZHJzL2Rvd25yZXYueG1sTI9BT4NAEIXvJv6HzZh4MXaBtrYiS2NMDPFiYmt6XtgRUHaWsgvF&#10;f+940uO89+XNe9lutp2YcPCtIwXxIgKBVDnTUq3g/fB8uwXhgyajO0eo4Bs97PLLi0ynxp3pDad9&#10;qAWHkE+1giaEPpXSVw1a7ReuR2Lvww1WBz6HWppBnzncdjKJojtpdUv8odE9PjVYfe1Hq+AYvbjX&#10;UzEePkN/6mgqi7q4IaWur+bHBxAB5/AHw299rg45dyrdSMaLTsEyXq4ZZWOzTUAwsUpWrJSs3K9j&#10;kHkm/2/IfwAAAP//AwBQSwECLQAUAAYACAAAACEAtoM4kv4AAADhAQAAEwAAAAAAAAAAAAAAAAAA&#10;AAAAW0NvbnRlbnRfVHlwZXNdLnhtbFBLAQItABQABgAIAAAAIQA4/SH/1gAAAJQBAAALAAAAAAAA&#10;AAAAAAAAAC8BAABfcmVscy8ucmVsc1BLAQItABQABgAIAAAAIQCyORpw/wEAANsDAAAOAAAAAAAA&#10;AAAAAAAAAC4CAABkcnMvZTJvRG9jLnhtbFBLAQItABQABgAIAAAAIQCKJCMW4AAAAAsBAAAPAAAA&#10;AAAAAAAAAAAAAFkEAABkcnMvZG93bnJldi54bWxQSwUGAAAAAAQABADzAAAAZgUAAAAA&#10;" strokecolor="windowText" strokeweight="2.25pt">
                <v:stroke endarrow="block" endarrowwidth="wide" endarrowlength="long" joinstyle="miter"/>
              </v:shape>
            </w:pict>
          </mc:Fallback>
        </mc:AlternateContent>
      </w:r>
      <w:r w:rsidR="0046399E">
        <w:rPr>
          <w:noProof/>
          <w:lang w:eastAsia="en-GB"/>
        </w:rPr>
        <mc:AlternateContent>
          <mc:Choice Requires="wps">
            <w:drawing>
              <wp:anchor distT="0" distB="0" distL="114300" distR="114300" simplePos="0" relativeHeight="251769856" behindDoc="0" locked="0" layoutInCell="1" hidden="0" allowOverlap="1" wp14:anchorId="5FD899FE" wp14:editId="13989452">
                <wp:simplePos x="0" y="0"/>
                <wp:positionH relativeFrom="margin">
                  <wp:posOffset>3149600</wp:posOffset>
                </wp:positionH>
                <wp:positionV relativeFrom="paragraph">
                  <wp:posOffset>1933575</wp:posOffset>
                </wp:positionV>
                <wp:extent cx="304800" cy="368300"/>
                <wp:effectExtent l="0" t="0" r="0" b="0"/>
                <wp:wrapNone/>
                <wp:docPr id="99" name="Rectangle 99"/>
                <wp:cNvGraphicFramePr/>
                <a:graphic xmlns:a="http://schemas.openxmlformats.org/drawingml/2006/main">
                  <a:graphicData uri="http://schemas.microsoft.com/office/word/2010/wordprocessingShape">
                    <wps:wsp>
                      <wps:cNvSpPr/>
                      <wps:spPr>
                        <a:xfrm>
                          <a:off x="0" y="0"/>
                          <a:ext cx="3048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5FD899FE" id="Rectangle 99" o:spid="_x0000_s1065" style="position:absolute;left:0;text-align:left;margin-left:248pt;margin-top:152.25pt;width:24pt;height:29pt;z-index:251769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3/oQEAAEADAAAOAAAAZHJzL2Uyb0RvYy54bWysUk1P4zAQvSPtf7B83zolCKVR0x5AoJUQ&#10;ixb4Aa5jN5Zsj2WbJv33jN1SuuxtxWUyX3kz73mW68kaspMhanAdnc8qSqQT0Gu37ejry93PhpKY&#10;uOu5ASc7upeRrlc/Lpajb+UlDGB6GQiCuNiOvqNDSr5lLIpBWh5n4KXDooJgecIwbFkf+Ijo1rDL&#10;qrpmI4TeBxAyRszeHop0VfCVkiL9VirKRExHcbdUbCh2ky1bLXm7DdwPWhzX4P+xheXa4dAT1C1P&#10;nLwF/Q+U1SJABJVmAiwDpbSQhQOymVdf2DwP3MvCBcWJ/iRT/D5Y8bh7CkT3HV0sKHHc4hv9QdW4&#10;2xpJMIcCjT622Pfsn8IxiuhmtpMKNn+RB5mKqPuTqHJKRGCyrq6aCqUXWKqvmxp9RGGfP/sQ070E&#10;S7LT0YDTi5R89xDTofWjJc9ycKeNwTxvjfsrgZg5w/K+hw2zl6bNVAjWJzIb6PfI2vxyqGTTLPJ6&#10;qQR1M89BOK9szivciQHwfhIlB/cmlWvKe+Zp+EyF3PGk8h2cx6Xr8/BX7wAAAP//AwBQSwMEFAAG&#10;AAgAAAAhAPb3LWLgAAAACwEAAA8AAABkcnMvZG93bnJldi54bWxMj8FOwzAQRO9I/IO1SNyoQ5tE&#10;EOJUBYleEAdaPsCJl8RqvA6xkwa+nuUEx50dzbwpt4vrxYxjsJ4U3K4SEEiNN5ZaBe/H55s7ECFq&#10;Mrr3hAq+MMC2urwodWH8md5wPsRWcAiFQivoYhwKKUPTodNh5Qck/n340enI59hKM+ozh7terpMk&#10;l05b4oZOD/jUYXM6TE7B/D2kj3tr/Gn3+brUL9N+c7ROqeurZfcAIuIS/8zwi8/oUDFT7ScyQfQK&#10;0vuct0QFmyTNQLAjS1NWalbydQayKuX/DdUPAAAA//8DAFBLAQItABQABgAIAAAAIQC2gziS/gAA&#10;AOEBAAATAAAAAAAAAAAAAAAAAAAAAABbQ29udGVudF9UeXBlc10ueG1sUEsBAi0AFAAGAAgAAAAh&#10;ADj9If/WAAAAlAEAAAsAAAAAAAAAAAAAAAAALwEAAF9yZWxzLy5yZWxzUEsBAi0AFAAGAAgAAAAh&#10;ACyhzf+hAQAAQAMAAA4AAAAAAAAAAAAAAAAALgIAAGRycy9lMm9Eb2MueG1sUEsBAi0AFAAGAAgA&#10;AAAhAPb3LWLgAAAACwEAAA8AAAAAAAAAAAAAAAAA+wMAAGRycy9kb3ducmV2LnhtbFBLBQYAAAAA&#10;BAAEAPMAAAAIBQ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T</w:t>
                      </w:r>
                    </w:p>
                  </w:txbxContent>
                </v:textbox>
                <w10:wrap anchorx="margin"/>
              </v:rect>
            </w:pict>
          </mc:Fallback>
        </mc:AlternateContent>
      </w:r>
      <w:r w:rsidR="0046399E">
        <w:rPr>
          <w:noProof/>
          <w:lang w:eastAsia="en-GB"/>
        </w:rPr>
        <mc:AlternateContent>
          <mc:Choice Requires="wps">
            <w:drawing>
              <wp:anchor distT="0" distB="0" distL="114300" distR="114300" simplePos="0" relativeHeight="251770880" behindDoc="0" locked="0" layoutInCell="1" hidden="0" allowOverlap="1" wp14:anchorId="5F7EC89B" wp14:editId="1DE2D2B4">
                <wp:simplePos x="0" y="0"/>
                <wp:positionH relativeFrom="margin">
                  <wp:posOffset>3048000</wp:posOffset>
                </wp:positionH>
                <wp:positionV relativeFrom="paragraph">
                  <wp:posOffset>660400</wp:posOffset>
                </wp:positionV>
                <wp:extent cx="342900" cy="368300"/>
                <wp:effectExtent l="0" t="0" r="0" b="0"/>
                <wp:wrapNone/>
                <wp:docPr id="152" name="Rectangle 152"/>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5F7EC89B" id="Rectangle 152" o:spid="_x0000_s1066" style="position:absolute;left:0;text-align:left;margin-left:240pt;margin-top:52pt;width:27pt;height:29pt;z-index:251770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4kWowEAAEIDAAAOAAAAZHJzL2Uyb0RvYy54bWysUtuO0zAQfUfiHyy/U6ftsgpR031gtQgJ&#10;wYqFD5g6dmPJN41Nk/49Y7d0C7yt9sWZi3PmnOPZ3M3OsoPCZILv+XLRcKa8DIPx+57//PHwruUs&#10;ZfAD2OBVz48q8bvt2zebKXZqFcZgB4WMQHzqptjzMefYCZHkqBykRYjKU1MHdJApxb0YECZCd1as&#10;muZWTAGHiEGqlKh6f2rybcXXWsn8TeukMrM9J265nljPXTnFdgPdHiGORp5pwAtYODCehl6g7iED&#10;+4XmPyhnJIYUdF7I4ETQ2khVNZCaZfOPmqcRoqpayJwULzal14OVXw+PyMxAb/d+xZkHR4/0nWwD&#10;v7eKlSJZNMXU0c2n+IjnLFFY9M4aXfmSEjZXW48XW9WcmaTi+mb1oSHzJbXWt+2aYkIRzz9HTPmT&#10;Co6VoOdI46uZcPiS8unqnytllg8PxlqqQ2f9XwXCLBVR+J4YlijPu7lKvKmDS2kXhiPptp89edm2&#10;lV6uybpdFq543dldd8DLMdAGZc5O4cdc96nwLND0UFXceanKJlzn9dbz6m9/AwAA//8DAFBLAwQU&#10;AAYACAAAACEAWKhYPd0AAAALAQAADwAAAGRycy9kb3ducmV2LnhtbExPQU7DMBC8I/EHa5G4UZs2&#10;VFWIUxUkekEcaHmAEy+J1XgdYicNvJ7tCW4zO6PZmWI7+05MOEQXSMP9QoFAqoN11Gj4OL7cbUDE&#10;ZMiaLhBq+MYI2/L6qjC5DWd6x+mQGsEhFHOjoU2pz6WMdYvexEXokVj7DIM3ienQSDuYM4f7Ti6V&#10;WktvHPGH1vT43GJ9Ooxew/TTZ097Z8Np9/U2V6/jfnV0Xuvbm3n3CCLhnP7McKnP1aHkTlUYyUbR&#10;acg2irckFlTGgB0Pqwuo+LJeKpBlIf9vKH8BAAD//wMAUEsBAi0AFAAGAAgAAAAhALaDOJL+AAAA&#10;4QEAABMAAAAAAAAAAAAAAAAAAAAAAFtDb250ZW50X1R5cGVzXS54bWxQSwECLQAUAAYACAAAACEA&#10;OP0h/9YAAACUAQAACwAAAAAAAAAAAAAAAAAvAQAAX3JlbHMvLnJlbHNQSwECLQAUAAYACAAAACEA&#10;QoOJFqMBAABCAwAADgAAAAAAAAAAAAAAAAAuAgAAZHJzL2Uyb0RvYy54bWxQSwECLQAUAAYACAAA&#10;ACEAWKhYPd0AAAALAQAADwAAAAAAAAAAAAAAAAD9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46399E">
        <w:rPr>
          <w:noProof/>
          <w:lang w:eastAsia="en-GB"/>
        </w:rPr>
        <mc:AlternateContent>
          <mc:Choice Requires="wps">
            <w:drawing>
              <wp:anchor distT="0" distB="0" distL="114300" distR="114300" simplePos="0" relativeHeight="251771904" behindDoc="0" locked="0" layoutInCell="1" hidden="0" allowOverlap="1" wp14:anchorId="21BA088D" wp14:editId="78E6D5CC">
                <wp:simplePos x="0" y="0"/>
                <wp:positionH relativeFrom="margin">
                  <wp:posOffset>1936750</wp:posOffset>
                </wp:positionH>
                <wp:positionV relativeFrom="paragraph">
                  <wp:posOffset>1905000</wp:posOffset>
                </wp:positionV>
                <wp:extent cx="342900" cy="368300"/>
                <wp:effectExtent l="0" t="0" r="0" b="0"/>
                <wp:wrapNone/>
                <wp:docPr id="115" name="Rectangle 115"/>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21BA088D" id="Rectangle 115" o:spid="_x0000_s1067" style="position:absolute;left:0;text-align:left;margin-left:152.5pt;margin-top:150pt;width:27pt;height:29pt;z-index:251771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YErogEAAEIDAAAOAAAAZHJzL2Uyb0RvYy54bWysUstO4zAU3SPxD5b31EkLKERNWQwCIY1m&#10;EDAfcOvYjSW/ZJsm/Xuu3VLKsBvNxrkP59xzju/ydjKabEWIytmO1rOKEmG565XddPTP6/1FQ0lM&#10;YHvQzoqO7kSkt6vzs+XoWzF3g9O9CARBbGxH39EhJd8yFvkgDMSZ88JiU7pgIGEaNqwPMCK60Wxe&#10;VddsdKH3wXERI1bv9k26KvhSCp5+SxlFIrqjyC2VM5RznU+2WkK7CeAHxQ804B9YGFAWhx6h7iAB&#10;eQvqG5RRPLjoZJpxZ5iTUnFRNKCauvpLzcsAXhQtaE70R5vi/4Plv7ZPgage366+osSCwUd6RtvA&#10;brQguYgWjT62ePPFP4VDFjHMeicZTP6iEjIVW3dHW8WUCMfi4nJ+U6H5HFuL62aBMaKwz599iOlB&#10;OENy0NGA44uZsP0Z0/7qx5U8y7p7pTXWodX2SwExc4VlvnuGOUrTeioSL+sPMWvX71C3frToZdMU&#10;eqkki6bOXMNpZ33aAcsHhxuUKNmHP1LZp8wzT8OHKuIOS5U34TQvtz5Xf/UOAAD//wMAUEsDBBQA&#10;BgAIAAAAIQDqW5Tv3QAAAAsBAAAPAAAAZHJzL2Rvd25yZXYueG1sTI/BTsMwEETvSPyDtUjcqF1C&#10;UUnjVAWJXhCHtnyAEy9J1HgdYicNfD2bE9zeaEezM9l2cq0YsQ+NJw3LhQKBVHrbUKXh4/R6twYR&#10;oiFrWk+o4RsDbPPrq8yk1l/ogOMxVoJDKKRGQx1jl0oZyhqdCQvfIfHt0/fORJZ9JW1vLhzuWnmv&#10;1KN0piH+UJsOX2osz8fBaRh/uofnfWP9eff1PhVvwz45NU7r25tptwERcYp/Zpjrc3XIuVPhB7JB&#10;tBoSteItcQbFwI5k9cRQzLBWIPNM/t+Q/wIAAP//AwBQSwECLQAUAAYACAAAACEAtoM4kv4AAADh&#10;AQAAEwAAAAAAAAAAAAAAAAAAAAAAW0NvbnRlbnRfVHlwZXNdLnhtbFBLAQItABQABgAIAAAAIQA4&#10;/SH/1gAAAJQBAAALAAAAAAAAAAAAAAAAAC8BAABfcmVscy8ucmVsc1BLAQItABQABgAIAAAAIQC9&#10;PYErogEAAEIDAAAOAAAAAAAAAAAAAAAAAC4CAABkcnMvZTJvRG9jLnhtbFBLAQItABQABgAIAAAA&#10;IQDqW5Tv3QAAAAsBAAAPAAAAAAAAAAAAAAAAAPwDAABkcnMvZG93bnJldi54bWxQSwUGAAAAAAQA&#10;BADzAAAABgU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w:drawing>
          <wp:inline distT="0" distB="0" distL="0" distR="0" wp14:anchorId="5961E379" wp14:editId="1B607E43">
            <wp:extent cx="3958107" cy="3167061"/>
            <wp:effectExtent l="0" t="0" r="4445" b="0"/>
            <wp:docPr id="28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8"/>
                    <a:srcRect/>
                    <a:stretch>
                      <a:fillRect/>
                    </a:stretch>
                  </pic:blipFill>
                  <pic:spPr>
                    <a:xfrm>
                      <a:off x="0" y="0"/>
                      <a:ext cx="3958107" cy="3167061"/>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72928" behindDoc="0" locked="0" layoutInCell="1" hidden="0" allowOverlap="1" wp14:anchorId="4AA4E560" wp14:editId="33006DDD">
                <wp:simplePos x="0" y="0"/>
                <wp:positionH relativeFrom="margin">
                  <wp:posOffset>1562100</wp:posOffset>
                </wp:positionH>
                <wp:positionV relativeFrom="paragraph">
                  <wp:posOffset>1320800</wp:posOffset>
                </wp:positionV>
                <wp:extent cx="25400" cy="495300"/>
                <wp:effectExtent l="0" t="0" r="0" b="0"/>
                <wp:wrapNone/>
                <wp:docPr id="228" name="Freeform 228"/>
                <wp:cNvGraphicFramePr/>
                <a:graphic xmlns:a="http://schemas.openxmlformats.org/drawingml/2006/main">
                  <a:graphicData uri="http://schemas.microsoft.com/office/word/2010/wordprocessingShape">
                    <wps:wsp>
                      <wps:cNvSpPr/>
                      <wps:spPr>
                        <a:xfrm flipH="1">
                          <a:off x="5336475" y="3537112"/>
                          <a:ext cx="19049" cy="485774"/>
                        </a:xfrm>
                        <a:custGeom>
                          <a:avLst/>
                          <a:gdLst/>
                          <a:ahLst/>
                          <a:cxnLst/>
                          <a:rect l="0" t="0" r="0" b="0"/>
                          <a:pathLst>
                            <a:path w="19050" h="485775" extrusionOk="0">
                              <a:moveTo>
                                <a:pt x="0" y="0"/>
                              </a:moveTo>
                              <a:lnTo>
                                <a:pt x="19050" y="485775"/>
                              </a:lnTo>
                            </a:path>
                          </a:pathLst>
                        </a:custGeom>
                        <a:solidFill>
                          <a:srgbClr val="FFFFFF"/>
                        </a:solidFill>
                        <a:ln>
                          <a:noFill/>
                        </a:ln>
                      </wps:spPr>
                      <wps:bodyPr lIns="91425" tIns="91425" rIns="91425" bIns="91425" anchor="ctr" anchorCtr="0"/>
                    </wps:wsp>
                  </a:graphicData>
                </a:graphic>
              </wp:anchor>
            </w:drawing>
          </mc:Choice>
          <mc:Fallback>
            <w:pict>
              <v:shape w14:anchorId="1A4AE618" id="Freeform 228" o:spid="_x0000_s1026" style="position:absolute;margin-left:123pt;margin-top:104pt;width:2pt;height:39pt;flip:x;z-index:251772928;visibility:visible;mso-wrap-style:square;mso-wrap-distance-left:9pt;mso-wrap-distance-top:0;mso-wrap-distance-right:9pt;mso-wrap-distance-bottom:0;mso-position-horizontal:absolute;mso-position-horizontal-relative:margin;mso-position-vertical:absolute;mso-position-vertical-relative:text;v-text-anchor:middle" coordsize="1905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jRYEAIAAEQEAAAOAAAAZHJzL2Uyb0RvYy54bWysU8tu2zAQvBfoPxC813pYimPDcg4J3BYo&#10;mgBJP4CmKIsoRRIkbdl/311KdpQW6CGIDsIuuTuc2cf67tQpchTOS6Mrms1SSoTmppZ6X9FfL9sv&#10;t5T4wHTNlNGiomfh6d3m86d1b1ciN61RtXAEQLRf9baibQh2lSSet6Jjfmas0HDZGNexAK7bJ7Vj&#10;PaB3KsnT9CbpjautM1x4D6cPwyXdRPymETw8No0XgaiKArcQ/y7+d/hPNmu22jtmW8lHGuwdLDom&#10;NTx6hXpggZGDk/9AdZI7400TZtx0iWkayUXUAGqy9C81zy2zImqB4nh7LZP/OFj+8/jkiKwrmufQ&#10;Ks06aNLWCYElJ3gGFeqtX0Hgs31yo+fBRLmnBqIaJe03aH4sAEgip4qW8/lNsSgpOVd0Xs4XWZYP&#10;tRanQDgEZMu0WFLC4b64LReLAq+TARGR+cGHr8J0aLPjDx+GTtUXi7UXi5/0xXTQ7/922rKAeQiK&#10;JukjkRImox15AGWg6A440I+/cUQwuDNH8WJiWkB5kADE4/gA59dbpadRoBGhLxLLUeIQBHlIIYq+&#10;0oLDqXBvlKy3Uil82bv97l45cmQwy9v4jYBvwpTGYG0wbSgpniTYw6FraO1MfYa+q+8aZmmZFTnI&#10;DlPHTZ3d1GGatwY2iAdHyeDch7hR+BqCw6hGVeNa4S5M/Rj1uvybPwAAAP//AwBQSwMEFAAGAAgA&#10;AAAhAPRO0xfcAAAACwEAAA8AAABkcnMvZG93bnJldi54bWxMj8FOwzAQRO9I/IO1SNyoTVRKFOJU&#10;qCpSe6MFcd7GJokar6PYddK/ZznB7a1mNDtTrmfXi2TH0HnS8LhQICzV3nTUaPj8eHvIQYSIZLD3&#10;ZDVcbYB1dXtTYmH8RAebjrERHEKhQA1tjEMhZahb6zAs/GCJtW8/Oox8jo00I04c7nqZKbWSDjvi&#10;Dy0OdtPa+ny8OA27/ddhk7apOdMzLRNup+t+9671/d38+gIi2jn+meG3PleHijud/IVMEL2GbLni&#10;LZFB5QzsyJ4Uw4khZ0lWpfy/ofoBAAD//wMAUEsBAi0AFAAGAAgAAAAhALaDOJL+AAAA4QEAABMA&#10;AAAAAAAAAAAAAAAAAAAAAFtDb250ZW50X1R5cGVzXS54bWxQSwECLQAUAAYACAAAACEAOP0h/9YA&#10;AACUAQAACwAAAAAAAAAAAAAAAAAvAQAAX3JlbHMvLnJlbHNQSwECLQAUAAYACAAAACEAfYo0WBAC&#10;AABEBAAADgAAAAAAAAAAAAAAAAAuAgAAZHJzL2Uyb0RvYy54bWxQSwECLQAUAAYACAAAACEA9E7T&#10;F9wAAAALAQAADwAAAAAAAAAAAAAAAABqBAAAZHJzL2Rvd25yZXYueG1sUEsFBgAAAAAEAAQA8wAA&#10;AHMFAAAAAA==&#10;" path="m,l19050,485775e" stroked="f">
                <v:path arrowok="t" o:extrusionok="f" textboxrect="0,0,19050,485775"/>
                <w10:wrap anchorx="margin"/>
              </v:shape>
            </w:pict>
          </mc:Fallback>
        </mc:AlternateContent>
      </w:r>
      <w:r w:rsidR="00616C71">
        <w:rPr>
          <w:noProof/>
          <w:lang w:eastAsia="en-GB"/>
        </w:rPr>
        <mc:AlternateContent>
          <mc:Choice Requires="wps">
            <w:drawing>
              <wp:anchor distT="0" distB="0" distL="114300" distR="114300" simplePos="0" relativeHeight="251773952" behindDoc="0" locked="0" layoutInCell="1" hidden="0" allowOverlap="1" wp14:anchorId="328396E5" wp14:editId="7D40A056">
                <wp:simplePos x="0" y="0"/>
                <wp:positionH relativeFrom="margin">
                  <wp:posOffset>2070100</wp:posOffset>
                </wp:positionH>
                <wp:positionV relativeFrom="paragraph">
                  <wp:posOffset>558800</wp:posOffset>
                </wp:positionV>
                <wp:extent cx="304800" cy="50800"/>
                <wp:effectExtent l="0" t="0" r="0" b="0"/>
                <wp:wrapNone/>
                <wp:docPr id="213" name="Freeform 213"/>
                <wp:cNvGraphicFramePr/>
                <a:graphic xmlns:a="http://schemas.openxmlformats.org/drawingml/2006/main">
                  <a:graphicData uri="http://schemas.microsoft.com/office/word/2010/wordprocessingShape">
                    <wps:wsp>
                      <wps:cNvSpPr/>
                      <wps:spPr>
                        <a:xfrm>
                          <a:off x="5193282" y="3757139"/>
                          <a:ext cx="305434" cy="45719"/>
                        </a:xfrm>
                        <a:custGeom>
                          <a:avLst/>
                          <a:gdLst/>
                          <a:ahLst/>
                          <a:cxnLst/>
                          <a:rect l="0" t="0" r="0" b="0"/>
                          <a:pathLst>
                            <a:path w="305435" h="45720" extrusionOk="0">
                              <a:moveTo>
                                <a:pt x="0" y="0"/>
                              </a:moveTo>
                              <a:lnTo>
                                <a:pt x="305435" y="45720"/>
                              </a:lnTo>
                            </a:path>
                          </a:pathLst>
                        </a:custGeom>
                        <a:solidFill>
                          <a:srgbClr val="FFFFFF"/>
                        </a:solidFill>
                        <a:ln>
                          <a:noFill/>
                        </a:ln>
                      </wps:spPr>
                      <wps:bodyPr lIns="91425" tIns="91425" rIns="91425" bIns="91425" anchor="ctr" anchorCtr="0"/>
                    </wps:wsp>
                  </a:graphicData>
                </a:graphic>
              </wp:anchor>
            </w:drawing>
          </mc:Choice>
          <mc:Fallback>
            <w:pict>
              <v:shape w14:anchorId="45CF1A63" id="Freeform 213" o:spid="_x0000_s1026" style="position:absolute;margin-left:163pt;margin-top:44pt;width:24pt;height:4pt;z-index:251773952;visibility:visible;mso-wrap-style:square;mso-wrap-distance-left:9pt;mso-wrap-distance-top:0;mso-wrap-distance-right:9pt;mso-wrap-distance-bottom:0;mso-position-horizontal:absolute;mso-position-horizontal-relative:margin;mso-position-vertical:absolute;mso-position-vertical-relative:text;v-text-anchor:middle" coordsize="30543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QEMBwIAADoEAAAOAAAAZHJzL2Uyb0RvYy54bWysU02P2yAQvVfqf0DcG8d20t1Ycfawq1SV&#10;qu5Ku/sDCMaxVQxoILHz7zuD8+G2Ug9VfcAz8Hi8xwzrh6HT7KjAt9aUPJ3NOVNG2qo1+5K/v20/&#10;3XPmgzCV0Naokp+U5w+bjx/WvStUZhurKwUMSYwvelfyJgRXJImXjeqEn1mnDC7WFjoRMIV9UoHo&#10;kb3TSTaff056C5UDK5X3OPs0LvJN5K9rJcNzXXsVmC45agtxhDjuaEw2a1HsQbimlWcZ4h9UdKI1&#10;eOiV6kkEwQ7Q/kHVtRKst3WYSdsltq5bqaIHdJPOf3Pz2ginohe8HO+u1+T/H638fnwB1lYlz9Kc&#10;MyM6LNIWlKIrZzSHN9Q7XyDw1b3AOfMYkt2hho7+aIQNJV+mqzy7zzg7lTy/W96l+Wq8YTUEJhGQ&#10;z5eLfMGZRMAC1+NycuORBx++KBs5xfGbD2N9qkskmkskB3MJAav81/o6EWgfCaWQ9WchS86aqCOj&#10;th0CHKiNn39QYxC4s0f1ZuO2QPYQhbpj06Dm26o2U1T0iNSjRaRGDwgfQRiQhDhzlYWTU+Pe6rba&#10;tlrTyR72u0cN7Ciwg7fxOxP+AtOGwMbStst5eAhVbqwVRTtbnbDa+qvBDlqliwxVhmkC02Q3TYSR&#10;jcV3IwNwNiaPIb4jOo3IsUGjq/NjohcwzSPq9uQ3PwEAAP//AwBQSwMEFAAGAAgAAAAhAP+z9NLg&#10;AAAACQEAAA8AAABkcnMvZG93bnJldi54bWxMj81OwzAQhO9IvIO1SFwQdWirEkKciiKVqlI59OcB&#10;3HibWNjrKHbb8PYsJzjtrmY0+005H7wTF+yjDaTgaZSBQKqDsdQoOOyXjzmImDQZ7QKhgm+MMK9u&#10;b0pdmHClLV52qREcQrHQCtqUukLKWLfodRyFDom1U+i9Tnz2jTS9vnK4d3KcZTPptSX+0OoO31us&#10;v3Znr2ATw2JlF9v1x8pulp8nenDdFJW6vxveXkEkHNKfGX7xGR0qZjqGM5konILJeMZdkoI858mG&#10;yfOUl6OCFxZkVcr/DaofAAAA//8DAFBLAQItABQABgAIAAAAIQC2gziS/gAAAOEBAAATAAAAAAAA&#10;AAAAAAAAAAAAAABbQ29udGVudF9UeXBlc10ueG1sUEsBAi0AFAAGAAgAAAAhADj9If/WAAAAlAEA&#10;AAsAAAAAAAAAAAAAAAAALwEAAF9yZWxzLy5yZWxzUEsBAi0AFAAGAAgAAAAhAHoZAQwHAgAAOgQA&#10;AA4AAAAAAAAAAAAAAAAALgIAAGRycy9lMm9Eb2MueG1sUEsBAi0AFAAGAAgAAAAhAP+z9NLgAAAA&#10;CQEAAA8AAAAAAAAAAAAAAAAAYQQAAGRycy9kb3ducmV2LnhtbFBLBQYAAAAABAAEAPMAAABuBQAA&#10;AAA=&#10;" path="m,l305435,45720e" stroked="f">
                <v:path arrowok="t" o:extrusionok="f" textboxrect="0,0,305435,45720"/>
                <w10:wrap anchorx="margin"/>
              </v:shape>
            </w:pict>
          </mc:Fallback>
        </mc:AlternateContent>
      </w:r>
    </w:p>
    <w:p w:rsidR="00616C71" w:rsidRDefault="00616C71" w:rsidP="00616C71">
      <w:pPr>
        <w:spacing w:after="160" w:line="259" w:lineRule="auto"/>
      </w:pPr>
    </w:p>
    <w:p w:rsidR="00616C71" w:rsidRDefault="00616C71" w:rsidP="00616C71">
      <w:pPr>
        <w:spacing w:after="160" w:line="259" w:lineRule="auto"/>
      </w:pPr>
    </w:p>
    <w:p w:rsidR="00616C71" w:rsidRDefault="003F7BBD" w:rsidP="00B702A5">
      <w:pPr>
        <w:numPr>
          <w:ilvl w:val="0"/>
          <w:numId w:val="20"/>
        </w:numPr>
        <w:pBdr>
          <w:top w:val="nil"/>
          <w:left w:val="nil"/>
          <w:bottom w:val="nil"/>
          <w:right w:val="nil"/>
          <w:between w:val="nil"/>
        </w:pBdr>
        <w:spacing w:after="0" w:line="240" w:lineRule="auto"/>
        <w:ind w:hanging="360"/>
        <w:contextualSpacing/>
        <w:jc w:val="left"/>
        <w:rPr>
          <w:rFonts w:ascii="Times New Roman" w:eastAsia="Times New Roman" w:hAnsi="Times New Roman"/>
        </w:rPr>
      </w:pPr>
      <w:r w:rsidRPr="007D735D">
        <w:rPr>
          <w:noProof/>
          <w:lang w:eastAsia="en-GB"/>
        </w:rPr>
        <mc:AlternateContent>
          <mc:Choice Requires="wps">
            <w:drawing>
              <wp:anchor distT="0" distB="0" distL="114300" distR="114300" simplePos="0" relativeHeight="252023808" behindDoc="0" locked="0" layoutInCell="1" hidden="0" allowOverlap="1" wp14:anchorId="7B85DF80" wp14:editId="59DC26B0">
                <wp:simplePos x="0" y="0"/>
                <wp:positionH relativeFrom="margin">
                  <wp:posOffset>3228975</wp:posOffset>
                </wp:positionH>
                <wp:positionV relativeFrom="paragraph">
                  <wp:posOffset>2382520</wp:posOffset>
                </wp:positionV>
                <wp:extent cx="514350" cy="368300"/>
                <wp:effectExtent l="0" t="0" r="0" b="0"/>
                <wp:wrapNone/>
                <wp:docPr id="146" name="Rectangle 146"/>
                <wp:cNvGraphicFramePr/>
                <a:graphic xmlns:a="http://schemas.openxmlformats.org/drawingml/2006/main">
                  <a:graphicData uri="http://schemas.microsoft.com/office/word/2010/wordprocessingShape">
                    <wps:wsp>
                      <wps:cNvSpPr/>
                      <wps:spPr>
                        <a:xfrm>
                          <a:off x="0" y="0"/>
                          <a:ext cx="514350" cy="368300"/>
                        </a:xfrm>
                        <a:prstGeom prst="rect">
                          <a:avLst/>
                        </a:prstGeom>
                        <a:noFill/>
                        <a:ln>
                          <a:noFill/>
                        </a:ln>
                      </wps:spPr>
                      <wps:txbx>
                        <w:txbxContent>
                          <w:p w:rsidR="00AD6A02" w:rsidRDefault="00AD6A02" w:rsidP="007D735D">
                            <w:pPr>
                              <w:spacing w:after="0"/>
                              <w:textDirection w:val="btLr"/>
                            </w:pPr>
                            <w:r>
                              <w:rPr>
                                <w:rFonts w:ascii="Calibri" w:eastAsia="Calibri" w:hAnsi="Calibri" w:cs="Calibri"/>
                                <w:b/>
                                <w:color w:val="000000"/>
                                <w:sz w:val="36"/>
                              </w:rPr>
                              <w:t>DT</w:t>
                            </w:r>
                          </w:p>
                        </w:txbxContent>
                      </wps:txbx>
                      <wps:bodyPr wrap="square" lIns="88900" tIns="38100" rIns="88900" bIns="38100" anchor="t" anchorCtr="0"/>
                    </wps:wsp>
                  </a:graphicData>
                </a:graphic>
                <wp14:sizeRelH relativeFrom="margin">
                  <wp14:pctWidth>0</wp14:pctWidth>
                </wp14:sizeRelH>
              </wp:anchor>
            </w:drawing>
          </mc:Choice>
          <mc:Fallback>
            <w:pict>
              <v:rect w14:anchorId="7B85DF80" id="Rectangle 146" o:spid="_x0000_s1068" style="position:absolute;left:0;text-align:left;margin-left:254.25pt;margin-top:187.6pt;width:40.5pt;height:29pt;z-index:252023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Yb4rgEAAFADAAAOAAAAZHJzL2Uyb0RvYy54bWysU8lu2zAQvQfoPxC815SXGIpgOYcGCQoU&#10;bZDlA2iKtAhw65Cx5L/vkF7iNLeiF3o2z7z3ZrS6Ha0hOwlRe9fS6aSiRDrhO+22LX19uf9aUxIT&#10;dx033smW7mWkt+svV6shNHLme286CQSbuNgMoaV9SqFhLIpeWh4nPkiHSeXB8oQubFkHfMDu1rBZ&#10;VS3Z4KEL4IWMEaN3hyRdl/5KSZF+KRVlIqaliC2VF8q7yS9br3izBR56LY4w+D+gsFw7HHpudccT&#10;J2+gP7WyWoCPXqWJ8JZ5pbSQhQOymVZ/sXnueZCFC4oTw1mm+P/aip+7RyC6w90tlpQ4bnFJTygb&#10;d1sjSQ6iREOIDVY+h0c4ehHNzHdUYPMvMiFjkXV/llWOiQgMXk8X82sUX2BqvqznVZGdvf85QEwP&#10;0luSjZYCji9i8t2PmHAglp5K8izn77UxZXPGfQhgYY6wjPeAMFtp3IyF4mJ2IrPx3R55D7j4lsbf&#10;bxwkJea7Q2Xr+gYBklSceT3NDlxmNpcZ7kTv8Z4SJQfzWyrXlVHn2bi2gv94YvkuLv1S9f4hrP8A&#10;AAD//wMAUEsDBBQABgAIAAAAIQDngRz04AAAAAsBAAAPAAAAZHJzL2Rvd25yZXYueG1sTI/BToNA&#10;EIbvJr7DZky82UUoisjQVBN7MT3Y+gALuwIpO4vsQtGndzzpcWa+/PP9xWaxvZjN6DtHCLerCISh&#10;2umOGoT348tNBsIHRVr1jgzCl/GwKS8vCpVrd6Y3Mx9CIziEfK4Q2hCGXEpft8Yqv3KDIb59uNGq&#10;wOPYSD2qM4fbXsZRdCet6og/tGowz62pT4fJIszfw/pp12l32n7ul+p12iXHziJeXy3bRxDBLOEP&#10;hl99VoeSnSo3kfaiR0ijLGUUIblPYxBMpNkDbyqEdZLEIMtC/u9Q/gAAAP//AwBQSwECLQAUAAYA&#10;CAAAACEAtoM4kv4AAADhAQAAEwAAAAAAAAAAAAAAAAAAAAAAW0NvbnRlbnRfVHlwZXNdLnhtbFBL&#10;AQItABQABgAIAAAAIQA4/SH/1gAAAJQBAAALAAAAAAAAAAAAAAAAAC8BAABfcmVscy8ucmVsc1BL&#10;AQItABQABgAIAAAAIQAs6Yb4rgEAAFADAAAOAAAAAAAAAAAAAAAAAC4CAABkcnMvZTJvRG9jLnht&#10;bFBLAQItABQABgAIAAAAIQDngRz04AAAAAsBAAAPAAAAAAAAAAAAAAAAAAgEAABkcnMvZG93bnJl&#10;di54bWxQSwUGAAAAAAQABADzAAAAFQUAAAAA&#10;" filled="f" stroked="f">
                <v:textbox inset="7pt,3pt,7pt,3pt">
                  <w:txbxContent>
                    <w:p w:rsidR="00AD6A02" w:rsidRDefault="00AD6A02" w:rsidP="007D735D">
                      <w:pPr>
                        <w:spacing w:after="0"/>
                        <w:textDirection w:val="btLr"/>
                      </w:pPr>
                      <w:r>
                        <w:rPr>
                          <w:rFonts w:ascii="Calibri" w:eastAsia="Calibri" w:hAnsi="Calibri" w:cs="Calibri"/>
                          <w:b/>
                          <w:color w:val="000000"/>
                          <w:sz w:val="36"/>
                        </w:rPr>
                        <w:t>DT</w:t>
                      </w:r>
                    </w:p>
                  </w:txbxContent>
                </v:textbox>
                <w10:wrap anchorx="margin"/>
              </v:rect>
            </w:pict>
          </mc:Fallback>
        </mc:AlternateContent>
      </w:r>
      <w:r>
        <w:rPr>
          <w:noProof/>
          <w:lang w:eastAsia="en-GB"/>
        </w:rPr>
        <mc:AlternateContent>
          <mc:Choice Requires="wps">
            <w:drawing>
              <wp:anchor distT="0" distB="0" distL="114300" distR="114300" simplePos="0" relativeHeight="251781120" behindDoc="0" locked="0" layoutInCell="1" hidden="0" allowOverlap="1" wp14:anchorId="0EB88F7B" wp14:editId="59651143">
                <wp:simplePos x="0" y="0"/>
                <wp:positionH relativeFrom="margin">
                  <wp:posOffset>828674</wp:posOffset>
                </wp:positionH>
                <wp:positionV relativeFrom="paragraph">
                  <wp:posOffset>182245</wp:posOffset>
                </wp:positionV>
                <wp:extent cx="676275" cy="368300"/>
                <wp:effectExtent l="0" t="0" r="0" b="0"/>
                <wp:wrapNone/>
                <wp:docPr id="270" name="Rectangle 270"/>
                <wp:cNvGraphicFramePr/>
                <a:graphic xmlns:a="http://schemas.openxmlformats.org/drawingml/2006/main">
                  <a:graphicData uri="http://schemas.microsoft.com/office/word/2010/wordprocessingShape">
                    <wps:wsp>
                      <wps:cNvSpPr/>
                      <wps:spPr>
                        <a:xfrm>
                          <a:off x="0" y="0"/>
                          <a:ext cx="676275"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DT</w:t>
                            </w:r>
                          </w:p>
                        </w:txbxContent>
                      </wps:txbx>
                      <wps:bodyPr wrap="square" lIns="88900" tIns="38100" rIns="88900" bIns="38100" anchor="t" anchorCtr="0"/>
                    </wps:wsp>
                  </a:graphicData>
                </a:graphic>
                <wp14:sizeRelH relativeFrom="margin">
                  <wp14:pctWidth>0</wp14:pctWidth>
                </wp14:sizeRelH>
              </wp:anchor>
            </w:drawing>
          </mc:Choice>
          <mc:Fallback>
            <w:pict>
              <v:rect w14:anchorId="0EB88F7B" id="Rectangle 270" o:spid="_x0000_s1069" style="position:absolute;left:0;text-align:left;margin-left:65.25pt;margin-top:14.35pt;width:53.25pt;height:29pt;z-index:251781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c/rwEAAFADAAAOAAAAZHJzL2Uyb0RvYy54bWysU9tuGjEQfY/Uf7D8XrxAC5sVCw+NElWq&#10;mqhpP8B4bdaSbx077PL3HRsCpH2L+mLmxsw5Z2ZXm9EaspcQtXctnU4qSqQTvtNu19JfP+8/1pTE&#10;xF3HjXeypQcZ6Wb94WY1hEbOfO9NJ4FgExebIbS0Tyk0jEXRS8vjxAfpMKk8WJ7QhR3rgA/Y3Ro2&#10;q6oFGzx0AbyQMWL07pik69JfKSnSo1JRJmJaithSeaG82/yy9Yo3O+Ch1+IEg78DheXa4dBzqzue&#10;OHkB/U8rqwX46FWaCG+ZV0oLWTggm2n1F5vnngdZuKA4MZxliv+vrfi+fwKiu5bOlqiP4xaX9ANl&#10;425nJMlBlGgIscHK5/AEJy+imfmOCmz+RSZkLLIezrLKMRGBwcVyMVt+pkRgar6o51XpyS5/DhDT&#10;g/SWZKOlgOOLmHz/LSYciKWvJXmW8/famLI5494EsDBHWMZ7RJitNG7HQvHT/JXM1ncH5D3g4lsa&#10;f79wkJSYrw6VretbBEhSceb1NDtwndleZ7gTvcd7SpQczS+pXFdGnWfj2gr+04nlu7j2S9XlQ1j/&#10;AQAA//8DAFBLAwQUAAYACAAAACEANf30Rd4AAAAJAQAADwAAAGRycy9kb3ducmV2LnhtbEyPwU6D&#10;QBCG7ya+w2ZMvNlF0EIoS1NN7MV4sPUBFnYKpOwssgtFn97xpMc/8+Wf7y+2i+3FjKPvHCm4X0Ug&#10;kGpnOmoUfBxf7jIQPmgyuneECr7Qw7a8vip0btyF3nE+hEZwCflcK2hDGHIpfd2i1X7lBiS+ndxo&#10;deA4NtKM+sLltpdxFK2l1R3xh1YP+NxifT5MVsH8PTw87TvjzrvPt6V6nfbJsbNK3d4suw2IgEv4&#10;g+FXn9WhZKfKTWS86Dkn0SOjCuIsBcFAnKQ8rlKQrVOQZSH/Lyh/AAAA//8DAFBLAQItABQABgAI&#10;AAAAIQC2gziS/gAAAOEBAAATAAAAAAAAAAAAAAAAAAAAAABbQ29udGVudF9UeXBlc10ueG1sUEsB&#10;Ai0AFAAGAAgAAAAhADj9If/WAAAAlAEAAAsAAAAAAAAAAAAAAAAALwEAAF9yZWxzLy5yZWxzUEsB&#10;Ai0AFAAGAAgAAAAhAJlqpz+vAQAAUAMAAA4AAAAAAAAAAAAAAAAALgIAAGRycy9lMm9Eb2MueG1s&#10;UEsBAi0AFAAGAAgAAAAhADX99EXeAAAACQEAAA8AAAAAAAAAAAAAAAAACQQAAGRycy9kb3ducmV2&#10;LnhtbFBLBQYAAAAABAAEAPMAAAAUBQ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DT</w:t>
                      </w:r>
                    </w:p>
                  </w:txbxContent>
                </v:textbox>
                <w10:wrap anchorx="margin"/>
              </v:rect>
            </w:pict>
          </mc:Fallback>
        </mc:AlternateContent>
      </w:r>
      <w:r w:rsidR="007D735D">
        <w:rPr>
          <w:noProof/>
          <w:lang w:eastAsia="en-GB"/>
        </w:rPr>
        <mc:AlternateContent>
          <mc:Choice Requires="wps">
            <w:drawing>
              <wp:anchor distT="0" distB="0" distL="114300" distR="114300" simplePos="0" relativeHeight="252021760" behindDoc="0" locked="0" layoutInCell="1" hidden="0" allowOverlap="1" wp14:anchorId="5D74F380" wp14:editId="6AAE6B0F">
                <wp:simplePos x="0" y="0"/>
                <wp:positionH relativeFrom="margin">
                  <wp:posOffset>1733549</wp:posOffset>
                </wp:positionH>
                <wp:positionV relativeFrom="paragraph">
                  <wp:posOffset>1441450</wp:posOffset>
                </wp:positionV>
                <wp:extent cx="657225" cy="45719"/>
                <wp:effectExtent l="38100" t="114300" r="0" b="126365"/>
                <wp:wrapNone/>
                <wp:docPr id="145" name="Freeform 145"/>
                <wp:cNvGraphicFramePr/>
                <a:graphic xmlns:a="http://schemas.openxmlformats.org/drawingml/2006/main">
                  <a:graphicData uri="http://schemas.microsoft.com/office/word/2010/wordprocessingShape">
                    <wps:wsp>
                      <wps:cNvSpPr/>
                      <wps:spPr>
                        <a:xfrm flipH="1">
                          <a:off x="0" y="0"/>
                          <a:ext cx="657225" cy="45719"/>
                        </a:xfrm>
                        <a:custGeom>
                          <a:avLst/>
                          <a:gdLst/>
                          <a:ahLst/>
                          <a:cxnLst/>
                          <a:rect l="0" t="0" r="0" b="0"/>
                          <a:pathLst>
                            <a:path w="602615" h="209550" extrusionOk="0">
                              <a:moveTo>
                                <a:pt x="0" y="0"/>
                              </a:moveTo>
                              <a:lnTo>
                                <a:pt x="602615" y="209550"/>
                              </a:lnTo>
                            </a:path>
                          </a:pathLst>
                        </a:custGeom>
                        <a:solidFill>
                          <a:srgbClr val="FFFFFF"/>
                        </a:solidFill>
                        <a:ln w="28575" cap="flat" cmpd="sng">
                          <a:solidFill>
                            <a:schemeClr val="tx1"/>
                          </a:solidFill>
                          <a:prstDash val="solid"/>
                          <a:miter/>
                          <a:headEnd type="none" w="med" len="med"/>
                          <a:tailEnd type="triangle" w="lg" len="lg"/>
                        </a:ln>
                      </wps:spPr>
                      <wps:bodyPr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w14:anchorId="3EB3EDB8" id="Freeform 145" o:spid="_x0000_s1026" style="position:absolute;margin-left:136.5pt;margin-top:113.5pt;width:51.75pt;height:3.6pt;flip:x;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261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9OVgIAAPsEAAAOAAAAZHJzL2Uyb0RvYy54bWysVMlu2zAQvRfoPxC817IFL7FhO4e4bgsU&#10;TYCkH0BTlESUIglybMt/3xnKi5IUPRTVQZghHx/nzcLlfdsYdlAhamdXfDQYcqasdIW21Yr/fNl+&#10;uuMsgrCFMM6qFT+pyO/XHz8sj36hclc7U6jAkMTGxdGveA3gF1kWZa0aEQfOK4ubpQuNAHRDlRVB&#10;HJG9MVk+HE6zowuFD06qGHF1023ydeIvSyXhsSyjAmZWHGOD9A/pv6N/tl6KRRWEr7U8hyH+IYpG&#10;aIuXXqk2AgTbB/2OqtEyuOhKGEjXZK4stVRJA6oZDd+oea6FV0kLJif6a5ri/6OVPw5PgekCazee&#10;cGZFg0XaBqUo5YzWMENHHxcIfPZP4exFNEluWyKqNNp/RYKUAJTE2pTf0zW/qgUmcXE6meU53iJx&#10;azyZjeZEnnUsxCb3Eb4o15AtDt8jdNUpLpaoL5Zs7cUMWOO/VtcLoHNESiY7YiDDfDrCQOoVz4fz&#10;yYS6toWwpy5+/EVxE7pxB/Xi0jl4owmDvu0a20dduFHjmbsT2aHwIAWRZF8Dw8W+9OiMLrbaGLo6&#10;hmr3YAI7COzgbfrOWXsFM5Z05XeTGeVX4CSVRgCajcfaRlslRa+OpBlTV25oR38i9iHCRsS6CyAR&#10;EAz1a1AhWbUSxWdbMDh5bB6Lc84pmEYVnBmFzwJZCQlCmxsSgha2Mh3aVGcwGpeEYZao9bpmI2vn&#10;ihO2q/lmcQTmozE1E/Sd0Hd2fUdYWTscfAmBs855gPQQ0G1EjhOWynJ+DWiE+35C3d6s9W8AAAD/&#10;/wMAUEsDBBQABgAIAAAAIQBxjvG/4AAAAAsBAAAPAAAAZHJzL2Rvd25yZXYueG1sTI/NTsMwEITv&#10;SLyDtUjcqNOENmmIU1WIHyFxofAAbrzEUeN1iJ02vD3LCW6zu6PZb6rt7HpxwjF0nhQsFwkIpMab&#10;jloFH++PNwWIEDUZ3XtCBd8YYFtfXlS6NP5Mb3jax1ZwCIVSK7AxDqWUobHodFj4AYlvn350OvI4&#10;ttKM+szhrpdpkqyl0x3xB6sHvLfYHPeTU/Agi3bavWzcc/G6HI5f1qye5o1S11fz7g5ExDn+meEX&#10;n9GhZqaDn8gE0StI84y7RBZpzoIdWb5egTjwJrtNQdaV/N+h/gEAAP//AwBQSwECLQAUAAYACAAA&#10;ACEAtoM4kv4AAADhAQAAEwAAAAAAAAAAAAAAAAAAAAAAW0NvbnRlbnRfVHlwZXNdLnhtbFBLAQIt&#10;ABQABgAIAAAAIQA4/SH/1gAAAJQBAAALAAAAAAAAAAAAAAAAAC8BAABfcmVscy8ucmVsc1BLAQIt&#10;ABQABgAIAAAAIQD8Gn9OVgIAAPsEAAAOAAAAAAAAAAAAAAAAAC4CAABkcnMvZTJvRG9jLnhtbFBL&#10;AQItABQABgAIAAAAIQBxjvG/4AAAAAsBAAAPAAAAAAAAAAAAAAAAALAEAABkcnMvZG93bnJldi54&#10;bWxQSwUGAAAAAAQABADzAAAAvQUAAAAA&#10;" path="m,l602615,209550e" strokecolor="black [3213]" strokeweight="2.25pt">
                <v:stroke endarrow="block" endarrowwidth="wide" endarrowlength="long" joinstyle="miter"/>
                <v:path arrowok="t" o:extrusionok="f" textboxrect="0,0,602615,209550"/>
                <w10:wrap anchorx="margin"/>
              </v:shape>
            </w:pict>
          </mc:Fallback>
        </mc:AlternateContent>
      </w:r>
      <w:r w:rsidR="007D735D">
        <w:rPr>
          <w:noProof/>
          <w:lang w:eastAsia="en-GB"/>
        </w:rPr>
        <mc:AlternateContent>
          <mc:Choice Requires="wps">
            <w:drawing>
              <wp:anchor distT="0" distB="0" distL="114300" distR="114300" simplePos="0" relativeHeight="251777024" behindDoc="0" locked="0" layoutInCell="1" hidden="0" allowOverlap="1" wp14:anchorId="5C6017AF" wp14:editId="6D79826B">
                <wp:simplePos x="0" y="0"/>
                <wp:positionH relativeFrom="margin">
                  <wp:posOffset>3721100</wp:posOffset>
                </wp:positionH>
                <wp:positionV relativeFrom="paragraph">
                  <wp:posOffset>222250</wp:posOffset>
                </wp:positionV>
                <wp:extent cx="304800" cy="368300"/>
                <wp:effectExtent l="0" t="0" r="0" b="0"/>
                <wp:wrapNone/>
                <wp:docPr id="191" name="Rectangle 191"/>
                <wp:cNvGraphicFramePr/>
                <a:graphic xmlns:a="http://schemas.openxmlformats.org/drawingml/2006/main">
                  <a:graphicData uri="http://schemas.microsoft.com/office/word/2010/wordprocessingShape">
                    <wps:wsp>
                      <wps:cNvSpPr/>
                      <wps:spPr>
                        <a:xfrm>
                          <a:off x="0" y="0"/>
                          <a:ext cx="3048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GT</w:t>
                            </w:r>
                          </w:p>
                        </w:txbxContent>
                      </wps:txbx>
                      <wps:bodyPr lIns="88900" tIns="38100" rIns="88900" bIns="38100" anchor="t" anchorCtr="0"/>
                    </wps:wsp>
                  </a:graphicData>
                </a:graphic>
              </wp:anchor>
            </w:drawing>
          </mc:Choice>
          <mc:Fallback>
            <w:pict>
              <v:rect w14:anchorId="5C6017AF" id="Rectangle 191" o:spid="_x0000_s1070" style="position:absolute;left:0;text-align:left;margin-left:293pt;margin-top:17.5pt;width:24pt;height:29pt;z-index:251777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ROowEAAEIDAAAOAAAAZHJzL2Uyb0RvYy54bWysUk1v2zAMvQ/YfxB0X+Q0QeEacXpY0WHA&#10;sBVr9wMYWYoFSKIgabHz70cpaZptt2EXml9+5Hvi5n52lh1UTAZ9z5eLhjPlJQ7G73v+4+XxQ8tZ&#10;yuAHsOhVz48q8fvt+3ebKXTqBke0g4qMQHzqptDzMefQCZHkqBykBQblqagxOsgUxr0YIkyE7qy4&#10;aZpbMWEcQkSpUqLsw6nItxVfayXzN62Tysz2nHbL1cZqd8WK7Qa6fYQwGnleA/5hCwfG09AL1ANk&#10;YD+j+QvKGRkxoc4LiU6g1kaqyoHYLJs/2DyPEFTlQuKkcJEp/T9Y+fXwFJkZ6O3ulpx5cPRI30k2&#10;8HurWEmSRFNIHXU+h6d4jhK5he+soytfYsLmKuvxIquaM5OUXDXrtiHxJZVWt+2KfEIRbz+HmPIn&#10;hY4Vp+eRxlcx4fAl5VPra0uZ5fHRWEt56Kz/LUGYJSPKvqcNi5fn3VwprtevZHY4HIm3/exJy7a9&#10;K+vlGqzaZQnidWV3XQEvR6QLypyd3I+53lPZs0yjh6rkzkdVLuE6rl1vp7/9BQAA//8DAFBLAwQU&#10;AAYACAAAACEAF++F4N8AAAAJAQAADwAAAGRycy9kb3ducmV2LnhtbEyPwU7DMBBE70j8g7VI3KgD&#10;aaOSZlMVJHpBHGj5ACfeJlZjO8ROGvh6lhOcdlczmn1TbGfbiYmGYLxDuF8kIMjVXhvXIHwcX+7W&#10;IEJUTqvOO0L4ogDb8vqqULn2F/dO0yE2gkNcyBVCG2OfSxnqlqwKC9+TY+3kB6sin0Mj9aAuHG47&#10;+ZAkmbTKOP7Qqp6eW6rPh9EiTN/98mlvtD/vPt/m6nXcp0djEW9v5t0GRKQ5/pnhF5/RoWSmyo9O&#10;B9EhrNYZd4kI6YonG7J0yUuF8JgmIMtC/m9Q/gAAAP//AwBQSwECLQAUAAYACAAAACEAtoM4kv4A&#10;AADhAQAAEwAAAAAAAAAAAAAAAAAAAAAAW0NvbnRlbnRfVHlwZXNdLnhtbFBLAQItABQABgAIAAAA&#10;IQA4/SH/1gAAAJQBAAALAAAAAAAAAAAAAAAAAC8BAABfcmVscy8ucmVsc1BLAQItABQABgAIAAAA&#10;IQAvLEROowEAAEIDAAAOAAAAAAAAAAAAAAAAAC4CAABkcnMvZTJvRG9jLnhtbFBLAQItABQABgAI&#10;AAAAIQAX74Xg3wAAAAkBAAAPAAAAAAAAAAAAAAAAAP0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GT</w:t>
                      </w:r>
                    </w:p>
                  </w:txbxContent>
                </v:textbox>
                <w10:wrap anchorx="margin"/>
              </v:rect>
            </w:pict>
          </mc:Fallback>
        </mc:AlternateContent>
      </w:r>
      <w:r w:rsidR="007D735D">
        <w:rPr>
          <w:noProof/>
          <w:lang w:eastAsia="en-GB"/>
        </w:rPr>
        <mc:AlternateContent>
          <mc:Choice Requires="wps">
            <w:drawing>
              <wp:anchor distT="0" distB="0" distL="114300" distR="114300" simplePos="0" relativeHeight="251779072" behindDoc="0" locked="0" layoutInCell="1" hidden="0" allowOverlap="1" wp14:anchorId="41C7B9AE" wp14:editId="262B22A7">
                <wp:simplePos x="0" y="0"/>
                <wp:positionH relativeFrom="margin">
                  <wp:posOffset>3406775</wp:posOffset>
                </wp:positionH>
                <wp:positionV relativeFrom="paragraph">
                  <wp:posOffset>711200</wp:posOffset>
                </wp:positionV>
                <wp:extent cx="495300" cy="63500"/>
                <wp:effectExtent l="0" t="114300" r="0" b="107950"/>
                <wp:wrapNone/>
                <wp:docPr id="110" name="Freeform 110"/>
                <wp:cNvGraphicFramePr/>
                <a:graphic xmlns:a="http://schemas.openxmlformats.org/drawingml/2006/main">
                  <a:graphicData uri="http://schemas.microsoft.com/office/word/2010/wordprocessingShape">
                    <wps:wsp>
                      <wps:cNvSpPr/>
                      <wps:spPr>
                        <a:xfrm rot="10800000">
                          <a:off x="0" y="0"/>
                          <a:ext cx="495300" cy="63500"/>
                        </a:xfrm>
                        <a:custGeom>
                          <a:avLst/>
                          <a:gdLst/>
                          <a:ahLst/>
                          <a:cxnLst/>
                          <a:rect l="0" t="0" r="0" b="0"/>
                          <a:pathLst>
                            <a:path w="469265" h="45720" extrusionOk="0">
                              <a:moveTo>
                                <a:pt x="0" y="0"/>
                              </a:moveTo>
                              <a:lnTo>
                                <a:pt x="469265" y="45720"/>
                              </a:lnTo>
                            </a:path>
                          </a:pathLst>
                        </a:custGeom>
                        <a:solidFill>
                          <a:srgbClr val="FFFFFF"/>
                        </a:solidFill>
                        <a:ln w="28575" cap="flat" cmpd="sng">
                          <a:solidFill>
                            <a:srgbClr val="00B0F0"/>
                          </a:solidFill>
                          <a:prstDash val="solid"/>
                          <a:miter/>
                          <a:headEnd type="none" w="med" len="med"/>
                          <a:tailEnd type="triangle" w="lg" len="lg"/>
                        </a:ln>
                      </wps:spPr>
                      <wps:bodyPr lIns="91425" tIns="91425" rIns="91425" bIns="91425" anchor="ctr" anchorCtr="0"/>
                    </wps:wsp>
                  </a:graphicData>
                </a:graphic>
              </wp:anchor>
            </w:drawing>
          </mc:Choice>
          <mc:Fallback>
            <w:pict>
              <v:shape w14:anchorId="4FFD7626" id="Freeform 110" o:spid="_x0000_s1026" style="position:absolute;margin-left:268.25pt;margin-top:56pt;width:39pt;height:5pt;rotation:180;z-index:251779072;visibility:visible;mso-wrap-style:square;mso-wrap-distance-left:9pt;mso-wrap-distance-top:0;mso-wrap-distance-right:9pt;mso-wrap-distance-bottom:0;mso-position-horizontal:absolute;mso-position-horizontal-relative:margin;mso-position-vertical:absolute;mso-position-vertical-relative:text;v-text-anchor:middle" coordsize="46926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dIYWQIAAP8EAAAOAAAAZHJzL2Uyb0RvYy54bWysVNuO2yAQfa/Uf0C8N3a8m2xiJVmpm6aq&#10;VHVX2u0HTDC2UTEgILe/7wzOdSv1oaofrBk4HObMhdnjvtNsK31Q1sz5cJBzJo2wlTLNnP98W32a&#10;cBYimAq0NXLODzLwx8XHD7OdK2VhW6sr6RmSmFDu3Jy3Mboyy4JoZQdhYJ00uFlb30FE1zdZ5WGH&#10;7J3OijwfZzvrK+etkCHg6rLf5IvEX9dSxOe6DjIyPecYW0x/n/5r+meLGZSNB9cqcQwD/iGKDpTB&#10;S89US4jANl79QdUp4W2wdRwI22W2rpWQSQOqGebv1Ly24GTSgskJ7pym8P9oxY/ti2eqwtoNMT8G&#10;OizSyktJKWe0hhnauVAi8NW9+KMX0CS5+xpR3mJah/kkpy9lAXWxfUry4ZxkuY9M4OL9dHSHMCZw&#10;a3w3QhM5s56KKMUmxK/SdmTD9nuIfYmqkwXtyRJ7czI9FvqvJXYQ6RyRksl2GMh4WoxHnLVojh4K&#10;6tx99Bvq5OdfFDaBO7uVbzYdi+8kYcyXXW2uUSdqlNhT9xJ7EJ6jEJLoc1i4eC08WK2qldKabg6+&#10;WT9pz7aATbxK3zFnNzBtSFUxGT2gKAE4TLWGiGbnsLzBNEnQzZEb5jz/nK9O1biBOR/iEkLbR5C2&#10;KADUr6KkloCylVB9MRWLB4cNZHDWOUXTyYozLfFpICshIyh9QUavwDS6R+vmCEbjlDFME7Vf33Bk&#10;rW11wJbV3wyOwXR4X6DaeO34a2d97YARrcXhF9Fz1jtPMT0GdBuR45SluhxfBBrjaz+hLu/W4jcA&#10;AAD//wMAUEsDBBQABgAIAAAAIQCdPxTq3gAAAAsBAAAPAAAAZHJzL2Rvd25yZXYueG1sTI/NTsMw&#10;EITvSLyDtUjcqJOQRhDiVAgJpHKgIs0DuPE2TvFPFDtteHuWExx3ZjT7TbVZrGFnnMLgnYB0lQBD&#10;13k1uF5Au3+9ewAWonRKGu9QwDcG2NTXV5Uslb+4Tzw3sWdU4kIpBegYx5Lz0Gm0Mqz8iI68o5+s&#10;jHROPVeTvFC5NTxLkoJbOTj6oOWILxq7r2a2At7Ulrendvduts1jDPn+Y8j1LMTtzfL8BCziEv/C&#10;8ItP6FAT08HPTgVmBKzvizVFyUgzGkWJIs1JOZCSkcLriv/fUP8AAAD//wMAUEsBAi0AFAAGAAgA&#10;AAAhALaDOJL+AAAA4QEAABMAAAAAAAAAAAAAAAAAAAAAAFtDb250ZW50X1R5cGVzXS54bWxQSwEC&#10;LQAUAAYACAAAACEAOP0h/9YAAACUAQAACwAAAAAAAAAAAAAAAAAvAQAAX3JlbHMvLnJlbHNQSwEC&#10;LQAUAAYACAAAACEALZ3SGFkCAAD/BAAADgAAAAAAAAAAAAAAAAAuAgAAZHJzL2Uyb0RvYy54bWxQ&#10;SwECLQAUAAYACAAAACEAnT8U6t4AAAALAQAADwAAAAAAAAAAAAAAAACzBAAAZHJzL2Rvd25yZXYu&#10;eG1sUEsFBgAAAAAEAAQA8wAAAL4FAAAAAA==&#10;" path="m,l469265,45720e" strokecolor="#00b0f0" strokeweight="2.25pt">
                <v:stroke endarrow="block" endarrowwidth="wide" endarrowlength="long" joinstyle="miter"/>
                <v:path arrowok="t" o:extrusionok="f" textboxrect="0,0,469265,45720"/>
                <w10:wrap anchorx="margin"/>
              </v:shape>
            </w:pict>
          </mc:Fallback>
        </mc:AlternateContent>
      </w:r>
      <w:r w:rsidR="0046399E">
        <w:rPr>
          <w:noProof/>
          <w:lang w:eastAsia="en-GB"/>
        </w:rPr>
        <mc:AlternateContent>
          <mc:Choice Requires="wps">
            <w:drawing>
              <wp:anchor distT="0" distB="0" distL="114300" distR="114300" simplePos="0" relativeHeight="251776000" behindDoc="0" locked="0" layoutInCell="1" hidden="0" allowOverlap="1" wp14:anchorId="720CA0BE" wp14:editId="697F86B7">
                <wp:simplePos x="0" y="0"/>
                <wp:positionH relativeFrom="margin">
                  <wp:posOffset>1050925</wp:posOffset>
                </wp:positionH>
                <wp:positionV relativeFrom="paragraph">
                  <wp:posOffset>1822450</wp:posOffset>
                </wp:positionV>
                <wp:extent cx="342900" cy="368300"/>
                <wp:effectExtent l="0" t="0" r="0" b="0"/>
                <wp:wrapNone/>
                <wp:docPr id="122" name="Rectangle 122"/>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720CA0BE" id="Rectangle 122" o:spid="_x0000_s1071" style="position:absolute;left:0;text-align:left;margin-left:82.75pt;margin-top:143.5pt;width:27pt;height:29pt;z-index:251776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GvogEAAEIDAAAOAAAAZHJzL2Uyb0RvYy54bWysUstO4zAU3SPxD5b31GkKKERNWQwCIY1m&#10;EDAfcOvYjSW/ZJsm/Xuu3VLKsBvNxrkP59xzju/ydjKabEWIytmOzmcVJcJy1yu76eif1/uLhpKY&#10;wPagnRUd3YlIb1fnZ8vRt6J2g9O9CARBbGxH39EhJd8yFvkgDMSZ88JiU7pgIGEaNqwPMCK60ayu&#10;qms2utD74LiIEat3+yZdFXwpBU+/pYwiEd1R5JbKGcq5zidbLaHdBPCD4gca8A8sDCiLQ49Qd5CA&#10;vAX1DcooHlx0Ms24M8xJqbgoGlDNvPpLzcsAXhQtaE70R5vi/4Plv7ZPgage366uKbFg8JGe0Taw&#10;Gy1ILqJFo48t3nzxT+GQRQyz3kkGk7+ohEzF1t3RVjElwrG4uKxvKjSfY2tx3SwwRhT2+bMPMT0I&#10;Z0gOOhpwfDETtj9j2l/9uJJnWXevtMY6tNp+KSBmrrDMd88wR2laT0Xi5dWHmLXrd6hbP1r0smkK&#10;vVSSRTPPXMNpZ33aAcsHhxuUKNmHP1LZp8wzT8OHKuIOS5U34TQvtz5Xf/UOAAD//wMAUEsDBBQA&#10;BgAIAAAAIQCQSiWN4AAAAAsBAAAPAAAAZHJzL2Rvd25yZXYueG1sTI/BTsMwEETvSPyDtUjcqNO0&#10;KW2IUxUkekE90PIBTrxNosbrEDtp4OtZTnCc2afZmWw72VaM2PvGkYL5LAKBVDrTUKXg4/T6sAbh&#10;gyajW0eo4As9bPPbm0ynxl3pHcdjqASHkE+1gjqELpXSlzVa7WeuQ+Lb2fVWB5Z9JU2vrxxuWxlH&#10;0Upa3RB/qHWHLzWWl+NgFYzf3fJ53xh32X0epuJt2C9OjVXq/m7aPYEIOIU/GH7rc3XIuVPhBjJe&#10;tKxXScKognj9yKOYiOcbdgoFi2USgcwz+X9D/gMAAP//AwBQSwECLQAUAAYACAAAACEAtoM4kv4A&#10;AADhAQAAEwAAAAAAAAAAAAAAAAAAAAAAW0NvbnRlbnRfVHlwZXNdLnhtbFBLAQItABQABgAIAAAA&#10;IQA4/SH/1gAAAJQBAAALAAAAAAAAAAAAAAAAAC8BAABfcmVscy8ucmVsc1BLAQItABQABgAIAAAA&#10;IQCBuuGvogEAAEIDAAAOAAAAAAAAAAAAAAAAAC4CAABkcnMvZTJvRG9jLnhtbFBLAQItABQABgAI&#10;AAAAIQCQSiWN4AAAAAsBAAAPAAAAAAAAAAAAAAAAAPw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761558">
        <w:rPr>
          <w:noProof/>
          <w:lang w:eastAsia="en-GB"/>
        </w:rPr>
        <mc:AlternateContent>
          <mc:Choice Requires="wps">
            <w:drawing>
              <wp:anchor distT="0" distB="0" distL="114300" distR="114300" simplePos="0" relativeHeight="251780096" behindDoc="0" locked="0" layoutInCell="1" hidden="0" allowOverlap="1" wp14:anchorId="5FDD1D5C" wp14:editId="40BC3135">
                <wp:simplePos x="0" y="0"/>
                <wp:positionH relativeFrom="margin">
                  <wp:posOffset>1870075</wp:posOffset>
                </wp:positionH>
                <wp:positionV relativeFrom="paragraph">
                  <wp:posOffset>596900</wp:posOffset>
                </wp:positionV>
                <wp:extent cx="622300" cy="228600"/>
                <wp:effectExtent l="0" t="0" r="0" b="0"/>
                <wp:wrapNone/>
                <wp:docPr id="174" name="Freeform 174"/>
                <wp:cNvGraphicFramePr/>
                <a:graphic xmlns:a="http://schemas.openxmlformats.org/drawingml/2006/main">
                  <a:graphicData uri="http://schemas.microsoft.com/office/word/2010/wordprocessingShape">
                    <wps:wsp>
                      <wps:cNvSpPr/>
                      <wps:spPr>
                        <a:xfrm flipH="1">
                          <a:off x="0" y="0"/>
                          <a:ext cx="622300" cy="228600"/>
                        </a:xfrm>
                        <a:custGeom>
                          <a:avLst/>
                          <a:gdLst/>
                          <a:ahLst/>
                          <a:cxnLst/>
                          <a:rect l="0" t="0" r="0" b="0"/>
                          <a:pathLst>
                            <a:path w="602615" h="209550" extrusionOk="0">
                              <a:moveTo>
                                <a:pt x="0" y="0"/>
                              </a:moveTo>
                              <a:lnTo>
                                <a:pt x="602615" y="209550"/>
                              </a:lnTo>
                            </a:path>
                          </a:pathLst>
                        </a:custGeom>
                        <a:solidFill>
                          <a:srgbClr val="FFFFFF"/>
                        </a:solidFill>
                        <a:ln w="28575" cap="flat" cmpd="sng">
                          <a:solidFill>
                            <a:srgbClr val="00B050"/>
                          </a:solidFill>
                          <a:prstDash val="solid"/>
                          <a:miter/>
                          <a:headEnd type="none" w="med" len="med"/>
                          <a:tailEnd type="triangle" w="lg" len="lg"/>
                        </a:ln>
                      </wps:spPr>
                      <wps:bodyPr lIns="91425" tIns="91425" rIns="91425" bIns="91425" anchor="ctr" anchorCtr="0"/>
                    </wps:wsp>
                  </a:graphicData>
                </a:graphic>
              </wp:anchor>
            </w:drawing>
          </mc:Choice>
          <mc:Fallback>
            <w:pict>
              <v:shape w14:anchorId="5C4C3A13" id="Freeform 174" o:spid="_x0000_s1026" style="position:absolute;margin-left:147.25pt;margin-top:47pt;width:49pt;height:18pt;flip:x;z-index:251780096;visibility:visible;mso-wrap-style:square;mso-wrap-distance-left:9pt;mso-wrap-distance-top:0;mso-wrap-distance-right:9pt;mso-wrap-distance-bottom:0;mso-position-horizontal:absolute;mso-position-horizontal-relative:margin;mso-position-vertical:absolute;mso-position-vertical-relative:text;v-text-anchor:middle" coordsize="60261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4ZsWgIAAP0EAAAOAAAAZHJzL2Uyb0RvYy54bWysVNuO2yAQfa/Uf0C8N3bcTTYbJVmpm6at&#10;VHVX2u0HEMA2KgYEbJz8fWcgF2cr9aGqH6wZOBzmzIXF/b7TZCd9UNYs6XhUUiINt0KZZkl/vmw+&#10;zCgJkRnBtDVySQ8y0PvV+3eL3s1lZVurhfQESEyY925J2xjdvCgCb2XHwsg6aWCztr5jEVzfFMKz&#10;Htg7XVRlOS1664XzlssQYHWdN+kq8de15PGxroOMRC8pxBbT36f/Fv/FasHmjWeuVfwYBvuHKDqm&#10;DFx6plqzyMirV39QdYp7G2wdR9x2ha1rxWXSAGrG5Rs1zy1zMmmB5AR3TlP4f7T8x+7JEyWgdrc3&#10;lBjWQZE2XkpMOcE1yFDvwhyAz+7JH70AJsrd14CqtXJfgSAlACSRfcrv4ZxfuY+Ew+K0qj6WUAUO&#10;W1U1m4INfEWmQTr+GuIXaTu02e57iLk84mSx9mTxvTmZHor81/I6FvEckqJJeoikrKbjCSUtBFLe&#10;TSbYtvvoX7GNH39h4Iju7E6+2HQuvhEFQV92tRmiTtwoMnNnkRkFBzGIJPscGCwOpQerldgorfHq&#10;4Jvtg/Zkx6CFN+k7Zu0Kpg3qqmaTW5DFGYxSrVkEs3NQ3GCapOjqyBVzWX4qIQ051CuY8yGuWWhz&#10;BGkLYZAAFaVPViuZ+GwEiQcH7WNg0ilG00lBiZbwMKCVkJEpfUFGr5hpdEbr5ggGI4ehDaQJmy+3&#10;G1pbKw7QsPqbgSG4G99UoDYOHT90tkOHGd5aGH0ePSXZeYjpKcDbkBxmLNXl+B7gEA/9hLq8Wqvf&#10;AAAA//8DAFBLAwQUAAYACAAAACEAxyUPJuAAAAAKAQAADwAAAGRycy9kb3ducmV2LnhtbEyPwU7D&#10;MAyG70i8Q2QkbixdV1Bbmk5jCCFOY2OatFvamLaicaom28rbY05wtP3p9/cXy8n24oyj7xwpmM8i&#10;EEi1Mx01CvYfL3cpCB80Gd07QgXf6GFZXl8VOjfuQls870IjOIR8rhW0IQy5lL5u0Wo/cwMS3z7d&#10;aHXgcWykGfWFw20v4yh6kFZ3xB9aPeC6xfprd7IKntJqoPD+ap7X6SGbJ9u342Z1VOr2Zlo9ggg4&#10;hT8YfvVZHUp2qtyJjBe9gjhL7hlVkCXciYFFFvOiYnIRRSDLQv6vUP4AAAD//wMAUEsBAi0AFAAG&#10;AAgAAAAhALaDOJL+AAAA4QEAABMAAAAAAAAAAAAAAAAAAAAAAFtDb250ZW50X1R5cGVzXS54bWxQ&#10;SwECLQAUAAYACAAAACEAOP0h/9YAAACUAQAACwAAAAAAAAAAAAAAAAAvAQAAX3JlbHMvLnJlbHNQ&#10;SwECLQAUAAYACAAAACEAIo+GbFoCAAD9BAAADgAAAAAAAAAAAAAAAAAuAgAAZHJzL2Uyb0RvYy54&#10;bWxQSwECLQAUAAYACAAAACEAxyUPJuAAAAAKAQAADwAAAAAAAAAAAAAAAAC0BAAAZHJzL2Rvd25y&#10;ZXYueG1sUEsFBgAAAAAEAAQA8wAAAMEFAAAAAA==&#10;" path="m,l602615,209550e" strokecolor="#00b050" strokeweight="2.25pt">
                <v:stroke endarrow="block" endarrowwidth="wide" endarrowlength="long" joinstyle="miter"/>
                <v:path arrowok="t" o:extrusionok="f" textboxrect="0,0,602615,209550"/>
                <w10:wrap anchorx="margin"/>
              </v:shape>
            </w:pict>
          </mc:Fallback>
        </mc:AlternateContent>
      </w:r>
      <w:r w:rsidR="00616C71">
        <w:rPr>
          <w:rFonts w:ascii="Times New Roman" w:eastAsia="Times New Roman" w:hAnsi="Times New Roman"/>
          <w:color w:val="000000"/>
        </w:rPr>
        <w:t xml:space="preserve"> </w:t>
      </w:r>
      <w:r w:rsidR="00616C71">
        <w:rPr>
          <w:noProof/>
          <w:lang w:eastAsia="en-GB"/>
        </w:rPr>
        <w:drawing>
          <wp:inline distT="0" distB="0" distL="0" distR="0" wp14:anchorId="3353F895" wp14:editId="377430FD">
            <wp:extent cx="3958108" cy="3167062"/>
            <wp:effectExtent l="0" t="0" r="0" b="0"/>
            <wp:docPr id="28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9"/>
                    <a:srcRect/>
                    <a:stretch>
                      <a:fillRect/>
                    </a:stretch>
                  </pic:blipFill>
                  <pic:spPr>
                    <a:xfrm>
                      <a:off x="0" y="0"/>
                      <a:ext cx="3958108" cy="3167062"/>
                    </a:xfrm>
                    <a:prstGeom prst="rect">
                      <a:avLst/>
                    </a:prstGeom>
                    <a:ln/>
                  </pic:spPr>
                </pic:pic>
              </a:graphicData>
            </a:graphic>
          </wp:inline>
        </w:drawing>
      </w:r>
      <w:r w:rsidR="00616C71">
        <w:rPr>
          <w:rFonts w:ascii="Times New Roman" w:eastAsia="Times New Roman" w:hAnsi="Times New Roman"/>
          <w:color w:val="000000"/>
        </w:rPr>
        <w:t xml:space="preserve">  </w:t>
      </w:r>
      <w:r w:rsidR="00616C71">
        <w:rPr>
          <w:noProof/>
          <w:lang w:eastAsia="en-GB"/>
        </w:rPr>
        <mc:AlternateContent>
          <mc:Choice Requires="wps">
            <w:drawing>
              <wp:anchor distT="0" distB="0" distL="114300" distR="114300" simplePos="0" relativeHeight="251774976" behindDoc="0" locked="0" layoutInCell="1" hidden="0" allowOverlap="1" wp14:anchorId="7F8830F9" wp14:editId="26CBC335">
                <wp:simplePos x="0" y="0"/>
                <wp:positionH relativeFrom="margin">
                  <wp:posOffset>2946400</wp:posOffset>
                </wp:positionH>
                <wp:positionV relativeFrom="paragraph">
                  <wp:posOffset>571500</wp:posOffset>
                </wp:positionV>
                <wp:extent cx="342900" cy="368300"/>
                <wp:effectExtent l="0" t="0" r="0" b="0"/>
                <wp:wrapNone/>
                <wp:docPr id="135" name="Rectangle 135"/>
                <wp:cNvGraphicFramePr/>
                <a:graphic xmlns:a="http://schemas.openxmlformats.org/drawingml/2006/main">
                  <a:graphicData uri="http://schemas.microsoft.com/office/word/2010/wordprocessingShape">
                    <wps:wsp>
                      <wps:cNvSpPr/>
                      <wps:spPr>
                        <a:xfrm>
                          <a:off x="5179312" y="3595532"/>
                          <a:ext cx="333374" cy="368934"/>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7F8830F9" id="Rectangle 135" o:spid="_x0000_s1072" style="position:absolute;left:0;text-align:left;margin-left:232pt;margin-top:45pt;width:27pt;height:29pt;z-index:251774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qgsgEAAE4DAAAOAAAAZHJzL2Uyb0RvYy54bWysU0tu2zAU3BfoHQjua0qW5ciC5SwSpChQ&#10;tEGSHoCmSIsAfyAZS759HykncZpdES/o98NwZvi0vZ60Qkfug7Smw+WiwIgbZntpDh3+83T3rcEo&#10;RGp6qqzhHT7xgK93X79sR9fypR2s6rlHAGJCO7oODzG6lpDABq5pWFjHDTSF9ZpGSP2B9J6OgK4V&#10;WRbFmozW985bxkOA6u3cxLuMLwRn8bcQgUekOgzcYj59PvfpJLstbQ+eukGyMw36Hyw0lQYufYW6&#10;pZGiZy8/QGnJvA1WxAWzmlghJONZA6gpi3/UPA7U8awFzAnu1abwebDs1/HeI9nD21U1RoZqeKQH&#10;sI2ag+IoFcGi0YUWJh/dvT9nAcKkdxJep39QgqYO1+XVpiqXGJ06XNWbuq6Ws8V8iojBQAW/qxVG&#10;LA2sm021Sn3yBuR8iN+51SgFHfZAJRtLjz9DnEdfRtK9xt5JpaBOW2XeFQAzVUjiPrNNUZz2U5a7&#10;Wr8I29v+BB6oHwZ8bZpNkfYkJ1VTpsRfdvaXHWrYYGGbIkZzeBPzbiWe6TZ4tCzuvGBpKy7zPPX2&#10;Gez+AgAA//8DAFBLAwQUAAYACAAAACEAby3Whd8AAAAKAQAADwAAAGRycy9kb3ducmV2LnhtbEyP&#10;zU7DMBCE70h9B2uRuFGnEKoS4lQFiV4Qh/48gBMvidV4ncZOGnh6lhM97ax2NPtNvp5cK0bsg/Wk&#10;YDFPQCBV3liqFRwP7/crECFqMrr1hAq+McC6mN3kOjP+Qjsc97EWHEIh0wqaGLtMylA16HSY+w6J&#10;b1++dzry2tfS9PrC4a6VD0mylE5b4g+N7vCtweq0H5yC8adLX7fW+NPm/DmVH8P28WCdUne30+YF&#10;RMQp/pvhD5/RoWCm0g9kgmgVpMuUu0QFzwlPNjwtVixKdqYsZJHL6wrFLwAAAP//AwBQSwECLQAU&#10;AAYACAAAACEAtoM4kv4AAADhAQAAEwAAAAAAAAAAAAAAAAAAAAAAW0NvbnRlbnRfVHlwZXNdLnht&#10;bFBLAQItABQABgAIAAAAIQA4/SH/1gAAAJQBAAALAAAAAAAAAAAAAAAAAC8BAABfcmVscy8ucmVs&#10;c1BLAQItABQABgAIAAAAIQDuvWqgsgEAAE4DAAAOAAAAAAAAAAAAAAAAAC4CAABkcnMvZTJvRG9j&#10;LnhtbFBLAQItABQABgAIAAAAIQBvLdaF3wAAAAoBAAAPAAAAAAAAAAAAAAAAAAwEAABkcnMvZG93&#10;bnJldi54bWxQSwUGAAAAAAQABADzAAAAGAU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78048" behindDoc="0" locked="0" layoutInCell="1" hidden="0" allowOverlap="1" wp14:anchorId="698D27A6" wp14:editId="6736F0FB">
                <wp:simplePos x="0" y="0"/>
                <wp:positionH relativeFrom="margin">
                  <wp:posOffset>622300</wp:posOffset>
                </wp:positionH>
                <wp:positionV relativeFrom="paragraph">
                  <wp:posOffset>1066800</wp:posOffset>
                </wp:positionV>
                <wp:extent cx="25400" cy="495300"/>
                <wp:effectExtent l="0" t="0" r="0" b="0"/>
                <wp:wrapNone/>
                <wp:docPr id="269" name="Freeform 269"/>
                <wp:cNvGraphicFramePr/>
                <a:graphic xmlns:a="http://schemas.openxmlformats.org/drawingml/2006/main">
                  <a:graphicData uri="http://schemas.microsoft.com/office/word/2010/wordprocessingShape">
                    <wps:wsp>
                      <wps:cNvSpPr/>
                      <wps:spPr>
                        <a:xfrm flipH="1">
                          <a:off x="5336475" y="3537112"/>
                          <a:ext cx="19049" cy="485774"/>
                        </a:xfrm>
                        <a:custGeom>
                          <a:avLst/>
                          <a:gdLst/>
                          <a:ahLst/>
                          <a:cxnLst/>
                          <a:rect l="0" t="0" r="0" b="0"/>
                          <a:pathLst>
                            <a:path w="19050" h="485775" extrusionOk="0">
                              <a:moveTo>
                                <a:pt x="0" y="0"/>
                              </a:moveTo>
                              <a:lnTo>
                                <a:pt x="19050" y="485775"/>
                              </a:lnTo>
                            </a:path>
                          </a:pathLst>
                        </a:custGeom>
                        <a:solidFill>
                          <a:srgbClr val="FFFFFF"/>
                        </a:solidFill>
                        <a:ln>
                          <a:noFill/>
                        </a:ln>
                      </wps:spPr>
                      <wps:bodyPr lIns="91425" tIns="91425" rIns="91425" bIns="91425" anchor="ctr" anchorCtr="0"/>
                    </wps:wsp>
                  </a:graphicData>
                </a:graphic>
              </wp:anchor>
            </w:drawing>
          </mc:Choice>
          <mc:Fallback>
            <w:pict>
              <v:shape w14:anchorId="738FAB6D" id="Freeform 269" o:spid="_x0000_s1026" style="position:absolute;margin-left:49pt;margin-top:84pt;width:2pt;height:39pt;flip:x;z-index:251778048;visibility:visible;mso-wrap-style:square;mso-wrap-distance-left:9pt;mso-wrap-distance-top:0;mso-wrap-distance-right:9pt;mso-wrap-distance-bottom:0;mso-position-horizontal:absolute;mso-position-horizontal-relative:margin;mso-position-vertical:absolute;mso-position-vertical-relative:text;v-text-anchor:middle" coordsize="1905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BYPEAIAAEQEAAAOAAAAZHJzL2Uyb0RvYy54bWysU8tu2zAQvBfoPxC813pYsmPDcg4J3BYo&#10;mgBJP4CmKIsoRRIkbdl/311KdpQW6KGoDsIuuTuc2cfm/twpchLOS6Mrms1SSoTmppb6UNEfr7tP&#10;d5T4wHTNlNGiohfh6f3244dNb9ciN61RtXAEQLRf97aibQh2nSSet6Jjfmas0HDZGNexAK47JLVj&#10;PaB3KsnTdJH0xtXWGS68h9PH4ZJuI37TCB6emsaLQFRFgVuIfxf/e/wn2w1bHxyzreQjDfYPLDom&#10;NTx6g3pkgZGjk39AdZI7400TZtx0iWkayUXUAGqy9Dc1Ly2zImqB4nh7K5P/f7D8++nZEVlXNF+s&#10;KNGsgybtnBBYcoJnUKHe+jUEvthnN3oeTJR7biCqUdJ+gebHAoAkcq5oOZ8vimVJyaWi83K+zLJ8&#10;qLU4B8IhIFulBTzI4b64K5fLAq+TARGR+dGHz8J0aLPTNx+GTtVXi7VXi5/11XTQ77922rKAeQiK&#10;JukjkRImox15AGWg6I440E8/cUQwuDMn8WpiWkB5kADE4/gA57dbpadRoBGhrxLLUeIQBHlIIYq+&#10;0YLDqXBvlKx3Uil82bvD/kE5cmIwy7v4jYDvwpTGYG0wbSgpniTYw6FraO1NfYG+q68aZmmVFTnI&#10;DlPHTZ391GGatwY2iAdHyeA8hLhR+BqCw6hGVeNa4S5M/Rj1tvzbXwAAAP//AwBQSwMEFAAGAAgA&#10;AAAhAEK8tsbdAAAACgEAAA8AAABkcnMvZG93bnJldi54bWxMj0FPwzAMhe9I/IfISNxYSjWVUZpO&#10;aBrSdmMb4uw1pq3WOFWTpd2/Jz3B7dl+ev5esZ5MJwINrrWs4HmRgCCurG65VvB1+nhagXAeWWNn&#10;mRTcyMG6vL8rMNd25AOFo69FDGGXo4LG+z6X0lUNGXQL2xPH248dDPo4DrXUA44x3HQyTZJMGmw5&#10;fmiwp01D1eV4NQp2++/DJmxDfeEXXgbcjrf97lOpx4fp/Q2Ep8n/mWHGj+hQRqazvbJ2olPwuopV&#10;fNxns5gNSRrFWUG6zBKQZSH/Vyh/AQAA//8DAFBLAQItABQABgAIAAAAIQC2gziS/gAAAOEBAAAT&#10;AAAAAAAAAAAAAAAAAAAAAABbQ29udGVudF9UeXBlc10ueG1sUEsBAi0AFAAGAAgAAAAhADj9If/W&#10;AAAAlAEAAAsAAAAAAAAAAAAAAAAALwEAAF9yZWxzLy5yZWxzUEsBAi0AFAAGAAgAAAAhAMxwFg8Q&#10;AgAARAQAAA4AAAAAAAAAAAAAAAAALgIAAGRycy9lMm9Eb2MueG1sUEsBAi0AFAAGAAgAAAAhAEK8&#10;tsbdAAAACgEAAA8AAAAAAAAAAAAAAAAAagQAAGRycy9kb3ducmV2LnhtbFBLBQYAAAAABAAEAPMA&#10;AAB0BQAAAAA=&#10;" path="m,l19050,485775e" stroked="f">
                <v:path arrowok="t" o:extrusionok="f" textboxrect="0,0,19050,485775"/>
                <w10:wrap anchorx="margin"/>
              </v:shape>
            </w:pict>
          </mc:Fallback>
        </mc:AlternateContent>
      </w:r>
    </w:p>
    <w:p w:rsidR="00616C71" w:rsidRDefault="00616C71" w:rsidP="00616C71">
      <w:pPr>
        <w:spacing w:after="160" w:line="259" w:lineRule="auto"/>
      </w:pPr>
    </w:p>
    <w:p w:rsidR="00616C71" w:rsidRDefault="00FE4F07" w:rsidP="00B702A5">
      <w:pPr>
        <w:numPr>
          <w:ilvl w:val="0"/>
          <w:numId w:val="20"/>
        </w:numPr>
        <w:pBdr>
          <w:top w:val="nil"/>
          <w:left w:val="nil"/>
          <w:bottom w:val="nil"/>
          <w:right w:val="nil"/>
          <w:between w:val="nil"/>
        </w:pBdr>
        <w:spacing w:after="160" w:line="259" w:lineRule="auto"/>
        <w:ind w:hanging="360"/>
        <w:contextualSpacing/>
        <w:jc w:val="left"/>
        <w:rPr>
          <w:sz w:val="20"/>
          <w:szCs w:val="20"/>
        </w:rPr>
      </w:pPr>
      <w:r>
        <w:rPr>
          <w:noProof/>
          <w:lang w:eastAsia="en-GB"/>
        </w:rPr>
        <w:lastRenderedPageBreak/>
        <mc:AlternateContent>
          <mc:Choice Requires="wps">
            <w:drawing>
              <wp:anchor distT="0" distB="0" distL="114300" distR="114300" simplePos="0" relativeHeight="251788288" behindDoc="0" locked="0" layoutInCell="1" hidden="0" allowOverlap="1" wp14:anchorId="392A5E11" wp14:editId="2967844D">
                <wp:simplePos x="0" y="0"/>
                <wp:positionH relativeFrom="margin">
                  <wp:posOffset>3342005</wp:posOffset>
                </wp:positionH>
                <wp:positionV relativeFrom="paragraph">
                  <wp:posOffset>1860550</wp:posOffset>
                </wp:positionV>
                <wp:extent cx="342900" cy="368300"/>
                <wp:effectExtent l="0" t="0" r="0" b="0"/>
                <wp:wrapNone/>
                <wp:docPr id="273" name="Rectangle 273"/>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392A5E11" id="Rectangle 273" o:spid="_x0000_s1073" style="position:absolute;left:0;text-align:left;margin-left:263.15pt;margin-top:146.5pt;width:27pt;height:29pt;z-index:251788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KowEAAEIDAAAOAAAAZHJzL2Uyb0RvYy54bWysUstu4yAU3Veaf0DsJzhx1bpWnC6m6qjS&#10;aKbq4wMIhhgJuAho7Pz9XEiapu2u6gbfBz73nMNdXk/WkK0MUYPr6HxWUSKdgF67TUefn25/NpTE&#10;xF3PDTjZ0Z2M9Hr142w5+lYuYADTy0AQxMV29B0dUvItY1EM0vI4Ay8dNhUEyxOmYcP6wEdEt4Yt&#10;quqCjRB6H0DIGLF6s2/SVcFXSor0T6koEzEdRW6pnKGc63yy1ZK3m8D9oMWBBv8CC8u1w6FHqBue&#10;OHkJ+hOU1SJABJVmAiwDpbSQRQOqmVcf1DwO3MuiBc2J/mhT/D5Y8Xd7H4juO7q4rClx3OIjPaBt&#10;3G2MJLmIFo0+tnjz0d+HQxYxzHonFWz+ohIyFVt3R1vllIjAYn2+uKrQfIGt+qKpMUYU9vazDzH9&#10;lmBJDjoacHwxk2//xLS/+nolz3Jwq43BOm+Ne1dAzFxhme+eYY7StJ6KxPPLVzFr6Heo29w59LJp&#10;Cr1UkrqZZ67htLM+7XAnBsANSpTsw1+p7FPmmafhQxVxh6XKm3Cal1tvq7/6DwAA//8DAFBLAwQU&#10;AAYACAAAACEAOOaWa+AAAAALAQAADwAAAGRycy9kb3ducmV2LnhtbEyPQU7DMBBF90jcwZpK7Kjd&#10;hFQljVMVJLpBLGg5gBMPidXYDrGTBk7PsKLLmXn6836xm23HJhyC8U7CaimAoau9Nq6R8HF6ud8A&#10;C1E5rTrvUMI3BtiVtzeFyrW/uHecjrFhFOJCriS0MfY556Fu0aqw9D06un36wapI49BwPagLhduO&#10;J0KsuVXG0YdW9fjcYn0+jlbC9NM/PB2M9uf919tcvY6H9GSslHeLeb8FFnGO/zD86ZM6lORU+dHp&#10;wDoJWbJOCZWQPKZUiohsI2hTSUizlQBeFvy6Q/kLAAD//wMAUEsBAi0AFAAGAAgAAAAhALaDOJL+&#10;AAAA4QEAABMAAAAAAAAAAAAAAAAAAAAAAFtDb250ZW50X1R5cGVzXS54bWxQSwECLQAUAAYACAAA&#10;ACEAOP0h/9YAAACUAQAACwAAAAAAAAAAAAAAAAAvAQAAX3JlbHMvLnJlbHNQSwECLQAUAAYACAAA&#10;ACEA3v01CqMBAABCAwAADgAAAAAAAAAAAAAAAAAuAgAAZHJzL2Uyb0RvYy54bWxQSwECLQAUAAYA&#10;CAAAACEAOOaWa+AAAAALAQAADwAAAAAAAAAAAAAAAAD9AwAAZHJzL2Rvd25yZXYueG1sUEsFBgAA&#10;AAAEAAQA8wAAAAoFA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T</w:t>
                      </w:r>
                    </w:p>
                  </w:txbxContent>
                </v:textbox>
                <w10:wrap anchorx="margin"/>
              </v:rect>
            </w:pict>
          </mc:Fallback>
        </mc:AlternateContent>
      </w:r>
      <w:r w:rsidRPr="00FE4F07">
        <w:rPr>
          <w:noProof/>
          <w:lang w:eastAsia="en-GB"/>
        </w:rPr>
        <mc:AlternateContent>
          <mc:Choice Requires="wps">
            <w:drawing>
              <wp:anchor distT="0" distB="0" distL="114300" distR="114300" simplePos="0" relativeHeight="252032000" behindDoc="0" locked="0" layoutInCell="1" hidden="0" allowOverlap="1" wp14:anchorId="0AF8F874" wp14:editId="0C601F29">
                <wp:simplePos x="0" y="0"/>
                <wp:positionH relativeFrom="margin">
                  <wp:posOffset>2876550</wp:posOffset>
                </wp:positionH>
                <wp:positionV relativeFrom="paragraph">
                  <wp:posOffset>739775</wp:posOffset>
                </wp:positionV>
                <wp:extent cx="279400" cy="368300"/>
                <wp:effectExtent l="0" t="0" r="0" b="0"/>
                <wp:wrapNone/>
                <wp:docPr id="353" name="Rectangle 353"/>
                <wp:cNvGraphicFramePr/>
                <a:graphic xmlns:a="http://schemas.openxmlformats.org/drawingml/2006/main">
                  <a:graphicData uri="http://schemas.microsoft.com/office/word/2010/wordprocessingShape">
                    <wps:wsp>
                      <wps:cNvSpPr/>
                      <wps:spPr>
                        <a:xfrm>
                          <a:off x="0" y="0"/>
                          <a:ext cx="279400" cy="368300"/>
                        </a:xfrm>
                        <a:prstGeom prst="rect">
                          <a:avLst/>
                        </a:prstGeom>
                        <a:noFill/>
                        <a:ln>
                          <a:noFill/>
                        </a:ln>
                      </wps:spPr>
                      <wps:txbx>
                        <w:txbxContent>
                          <w:p w:rsidR="00AD6A02" w:rsidRDefault="00AD6A02" w:rsidP="00FE4F07">
                            <w:pPr>
                              <w:spacing w:after="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0AF8F874" id="Rectangle 353" o:spid="_x0000_s1074" style="position:absolute;left:0;text-align:left;margin-left:226.5pt;margin-top:58.25pt;width:22pt;height:29pt;z-index:252032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KjNowEAAEIDAAAOAAAAZHJzL2Uyb0RvYy54bWysUttO4zAQfV+Jf7D8Tp02LBuipjyAWCGh&#10;XQTLB7iO3VjyTWNvk/49Y7eUsvuGeJnMLWfmHM/yerKGbCVE7V1H57OKEumE77XbdPTlz915Q0lM&#10;3PXceCc7upORXq/Ovi3H0MqFH7zpJRAEcbEdQ0eHlELLWBSDtDzOfJAOi8qD5QlD2LAe+Ijo1rBF&#10;VV2y0UMfwAsZI2Zv90W6KvhKSZF+KxVlIqajuFsqFopdZ8tWS95ugIdBi8Ma/BNbWK4dDj1C3fLE&#10;yV/Q/0FZLcBHr9JMeMu8UlrIwgHZzKt/2DwPPMjCBcWJ4ShT/DpY8Wv7CET3Ha2/15Q4bvGRnlA2&#10;7jZGkpxEicYQW+x8Do9wiCK6me+kwOYvMiFTkXV3lFVOiQhMLn5cXVQovsBSfdnU6CMKe/85QEw/&#10;pbckOx0FHF/E5NuHmPatby15lvN32hjM89a4DwnEzBmW991vmL00radC8aJ5I7P2/Q55m3uHWjbN&#10;VV4vlaBu5jmA08r6tMKdGDxeUKJk796kck95zzwNH6qQOxxVvoTTuHS9n/7qFQAA//8DAFBLAwQU&#10;AAYACAAAACEAK/U61d8AAAALAQAADwAAAGRycy9kb3ducmV2LnhtbEyPwU7DMBBE70j8g7VI3KhT&#10;mrQQ4lQFiV4QB1o+wImXxGq8DrGTBr6e5QTHnRnNvim2s+vEhEOwnhQsFwkIpNobS42C9+PzzR2I&#10;EDUZ3XlCBV8YYFteXhQ6N/5MbzgdYiO4hEKuFbQx9rmUoW7R6bDwPRJ7H35wOvI5NNIM+szlrpO3&#10;SbKWTlviD63u8anF+nQYnYLpu08f99b40+7zda5exv3qaJ1S11fz7gFExDn+heEXn9GhZKbKj2SC&#10;6BSk2Yq3RDaW6wwEJ9L7DSsVK5s0A1kW8v+G8gcAAP//AwBQSwECLQAUAAYACAAAACEAtoM4kv4A&#10;AADhAQAAEwAAAAAAAAAAAAAAAAAAAAAAW0NvbnRlbnRfVHlwZXNdLnhtbFBLAQItABQABgAIAAAA&#10;IQA4/SH/1gAAAJQBAAALAAAAAAAAAAAAAAAAAC8BAABfcmVscy8ucmVsc1BLAQItABQABgAIAAAA&#10;IQDJ2KjNowEAAEIDAAAOAAAAAAAAAAAAAAAAAC4CAABkcnMvZTJvRG9jLnhtbFBLAQItABQABgAI&#10;AAAAIQAr9TrV3wAAAAsBAAAPAAAAAAAAAAAAAAAAAP0DAABkcnMvZG93bnJldi54bWxQSwUGAAAA&#10;AAQABADzAAAACQUAAAAA&#10;" filled="f" stroked="f">
                <v:textbox inset="7pt,3pt,7pt,3pt">
                  <w:txbxContent>
                    <w:p w:rsidR="00AD6A02" w:rsidRDefault="00AD6A02" w:rsidP="00FE4F07">
                      <w:pPr>
                        <w:spacing w:after="0"/>
                        <w:textDirection w:val="btLr"/>
                      </w:pPr>
                      <w:r>
                        <w:rPr>
                          <w:rFonts w:ascii="Calibri" w:eastAsia="Calibri" w:hAnsi="Calibri" w:cs="Calibri"/>
                          <w:b/>
                          <w:color w:val="000000"/>
                          <w:sz w:val="36"/>
                        </w:rPr>
                        <w:t>T</w:t>
                      </w:r>
                    </w:p>
                  </w:txbxContent>
                </v:textbox>
                <w10:wrap anchorx="margin"/>
              </v:rect>
            </w:pict>
          </mc:Fallback>
        </mc:AlternateContent>
      </w:r>
      <w:r w:rsidRPr="00FE4F07">
        <w:rPr>
          <w:noProof/>
          <w:lang w:eastAsia="en-GB"/>
        </w:rPr>
        <mc:AlternateContent>
          <mc:Choice Requires="wps">
            <w:drawing>
              <wp:anchor distT="0" distB="0" distL="114300" distR="114300" simplePos="0" relativeHeight="252029952" behindDoc="0" locked="0" layoutInCell="1" hidden="0" allowOverlap="1" wp14:anchorId="0AF8F874" wp14:editId="0C601F29">
                <wp:simplePos x="0" y="0"/>
                <wp:positionH relativeFrom="margin">
                  <wp:posOffset>1724025</wp:posOffset>
                </wp:positionH>
                <wp:positionV relativeFrom="paragraph">
                  <wp:posOffset>152400</wp:posOffset>
                </wp:positionV>
                <wp:extent cx="279400" cy="368300"/>
                <wp:effectExtent l="0" t="0" r="0" b="0"/>
                <wp:wrapNone/>
                <wp:docPr id="352" name="Rectangle 352"/>
                <wp:cNvGraphicFramePr/>
                <a:graphic xmlns:a="http://schemas.openxmlformats.org/drawingml/2006/main">
                  <a:graphicData uri="http://schemas.microsoft.com/office/word/2010/wordprocessingShape">
                    <wps:wsp>
                      <wps:cNvSpPr/>
                      <wps:spPr>
                        <a:xfrm>
                          <a:off x="0" y="0"/>
                          <a:ext cx="279400" cy="368300"/>
                        </a:xfrm>
                        <a:prstGeom prst="rect">
                          <a:avLst/>
                        </a:prstGeom>
                        <a:noFill/>
                        <a:ln>
                          <a:noFill/>
                        </a:ln>
                      </wps:spPr>
                      <wps:txbx>
                        <w:txbxContent>
                          <w:p w:rsidR="00AD6A02" w:rsidRDefault="00AD6A02" w:rsidP="00FE4F07">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0AF8F874" id="Rectangle 352" o:spid="_x0000_s1075" style="position:absolute;left:0;text-align:left;margin-left:135.75pt;margin-top:12pt;width:22pt;height:29pt;z-index:252029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gOaowEAAEIDAAAOAAAAZHJzL2Uyb0RvYy54bWysUttO4zAQfUfaf7D8vnXaspBGTXkAgZBW&#10;gID9ANexG0u+aWya9O937JZSlrcVL5O55cyc41lejdaQrYSovWvpdFJRIp3wnXablv55vf1ZUxIT&#10;dx033smW7mSkV6sfZ8shNHLme286CQRBXGyG0NI+pdAwFkUvLY8TH6TDovJgecIQNqwDPiC6NWxW&#10;VRds8NAF8ELGiNmbfZGuCr5SUqRHpaJMxLQUd0vFQrHrbNlqyZsN8NBrcViD/8cWlmuHQ49QNzxx&#10;8gb6C5TVAnz0Kk2Et8wrpYUsHJDNtPqHzUvPgyxcUJwYjjLF74MVD9snILpr6fzXjBLHLT7SM8rG&#10;3cZIkpMo0RBig50v4QkOUUQ38x0V2PxFJmQssu6OssoxEYHJ2eXivELxBZbmF/UcfURhHz8HiOlO&#10;ekuy01LA8UVMvv0d0771vSXPcv5WG4N53hj3KYGYOcPyvvsNs5fG9Vgoni/eyax9t0Pe5t6hlnW9&#10;yOulEszraQ7gtLI+rXAneo8XlCjZu9ep3FPeM0/DhyrkDkeVL+E0Ll0fp7/6CwAA//8DAFBLAwQU&#10;AAYACAAAACEAH8PhZd8AAAAJAQAADwAAAGRycy9kb3ducmV2LnhtbEyPwU7DMBBE70j8g7VI3KiT&#10;tIUqxKkKEr0gDm35ACdeEqvxOsROGvh6lhPcdndGs2+K7ew6MeEQrCcF6SIBgVR7Y6lR8H56uduA&#10;CFGT0Z0nVPCFAbbl9VWhc+MvdMDpGBvBIRRyraCNsc+lDHWLToeF75FY+/CD05HXoZFm0BcOd53M&#10;kuReOm2JP7S6x+cW6/NxdAqm7371tLfGn3efb3P1Ou6XJ+uUur2Zd48gIs7xzwy/+IwOJTNVfiQT&#10;RKcge0jXbOVhxZ3YsEzXfKgUbLIEZFnI/w3KHwAAAP//AwBQSwECLQAUAAYACAAAACEAtoM4kv4A&#10;AADhAQAAEwAAAAAAAAAAAAAAAAAAAAAAW0NvbnRlbnRfVHlwZXNdLnhtbFBLAQItABQABgAIAAAA&#10;IQA4/SH/1gAAAJQBAAALAAAAAAAAAAAAAAAAAC8BAABfcmVscy8ucmVsc1BLAQItABQABgAIAAAA&#10;IQBm0gOaowEAAEIDAAAOAAAAAAAAAAAAAAAAAC4CAABkcnMvZTJvRG9jLnhtbFBLAQItABQABgAI&#10;AAAAIQAfw+Fl3wAAAAkBAAAPAAAAAAAAAAAAAAAAAP0DAABkcnMvZG93bnJldi54bWxQSwUGAAAA&#10;AAQABADzAAAACQUAAAAA&#10;" filled="f" stroked="f">
                <v:textbox inset="7pt,3pt,7pt,3pt">
                  <w:txbxContent>
                    <w:p w:rsidR="00AD6A02" w:rsidRDefault="00AD6A02" w:rsidP="00FE4F07">
                      <w:pPr>
                        <w:spacing w:after="0"/>
                        <w:textDirection w:val="btLr"/>
                      </w:pPr>
                      <w:r>
                        <w:rPr>
                          <w:rFonts w:ascii="Calibri" w:eastAsia="Calibri" w:hAnsi="Calibri" w:cs="Calibri"/>
                          <w:b/>
                          <w:color w:val="000000"/>
                          <w:sz w:val="36"/>
                        </w:rPr>
                        <w:t>G</w:t>
                      </w:r>
                    </w:p>
                  </w:txbxContent>
                </v:textbox>
                <w10:wrap anchorx="margin"/>
              </v:rect>
            </w:pict>
          </mc:Fallback>
        </mc:AlternateContent>
      </w:r>
      <w:r w:rsidR="00761558">
        <w:rPr>
          <w:noProof/>
          <w:lang w:eastAsia="en-GB"/>
        </w:rPr>
        <mc:AlternateContent>
          <mc:Choice Requires="wps">
            <w:drawing>
              <wp:anchor distT="0" distB="0" distL="114300" distR="114300" simplePos="0" relativeHeight="251835392" behindDoc="0" locked="0" layoutInCell="1" hidden="0" allowOverlap="1" wp14:anchorId="49F26DEE" wp14:editId="74700FCF">
                <wp:simplePos x="0" y="0"/>
                <wp:positionH relativeFrom="margin">
                  <wp:posOffset>1066800</wp:posOffset>
                </wp:positionH>
                <wp:positionV relativeFrom="paragraph">
                  <wp:posOffset>2419350</wp:posOffset>
                </wp:positionV>
                <wp:extent cx="508000" cy="228600"/>
                <wp:effectExtent l="0" t="57150" r="44450" b="38100"/>
                <wp:wrapNone/>
                <wp:docPr id="53" name="Freeform 53"/>
                <wp:cNvGraphicFramePr/>
                <a:graphic xmlns:a="http://schemas.openxmlformats.org/drawingml/2006/main">
                  <a:graphicData uri="http://schemas.microsoft.com/office/word/2010/wordprocessingShape">
                    <wps:wsp>
                      <wps:cNvSpPr/>
                      <wps:spPr>
                        <a:xfrm rot="10505638" flipH="1">
                          <a:off x="0" y="0"/>
                          <a:ext cx="508000" cy="228600"/>
                        </a:xfrm>
                        <a:custGeom>
                          <a:avLst/>
                          <a:gdLst/>
                          <a:ahLst/>
                          <a:cxnLst/>
                          <a:rect l="0" t="0" r="0" b="0"/>
                          <a:pathLst>
                            <a:path w="485775" h="200025" extrusionOk="0">
                              <a:moveTo>
                                <a:pt x="0" y="0"/>
                              </a:moveTo>
                              <a:lnTo>
                                <a:pt x="485775" y="200025"/>
                              </a:lnTo>
                            </a:path>
                          </a:pathLst>
                        </a:custGeom>
                        <a:solidFill>
                          <a:srgbClr val="FFFFFF"/>
                        </a:solidFill>
                        <a:ln w="28575" cap="flat" cmpd="sng">
                          <a:solidFill>
                            <a:sysClr val="windowText" lastClr="000000"/>
                          </a:solidFill>
                          <a:prstDash val="solid"/>
                          <a:miter/>
                          <a:headEnd type="none" w="med" len="med"/>
                          <a:tailEnd type="triangle" w="lg" len="lg"/>
                        </a:ln>
                      </wps:spPr>
                      <wps:bodyPr lIns="91425" tIns="91425" rIns="91425" bIns="91425" anchor="ctr" anchorCtr="0"/>
                    </wps:wsp>
                  </a:graphicData>
                </a:graphic>
              </wp:anchor>
            </w:drawing>
          </mc:Choice>
          <mc:Fallback>
            <w:pict>
              <v:shape w14:anchorId="59C470B3" id="Freeform 53" o:spid="_x0000_s1026" style="position:absolute;margin-left:84pt;margin-top:190.5pt;width:40pt;height:18pt;rotation:-11474958fd;flip:x;z-index:251835392;visibility:visible;mso-wrap-style:square;mso-wrap-distance-left:9pt;mso-wrap-distance-top:0;mso-wrap-distance-right:9pt;mso-wrap-distance-bottom:0;mso-position-horizontal:absolute;mso-position-horizontal-relative:margin;mso-position-vertical:absolute;mso-position-vertical-relative:text;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gtkagIAAB4FAAAOAAAAZHJzL2Uyb0RvYy54bWysVNFu2yAUfZ+0f0C8L3bSps2iOn1ol23S&#10;tFZq9wEEsI2GAQGJk7/fASep2017mOYH61y4HO45F7i53Xea7KQPypqKTiclJdJwK5RpKvrjef1h&#10;QUmIzAimrZEVPchAb1fv3930bilntrVaSE9AYsKydxVtY3TLogi8lR0LE+ukwWRtfcciQt8UwrMe&#10;7J0uZmV5VfTWC+ctlyFg9H6YpKvMX9eSx4e6DjISXVHUFvPf5/8m/YvVDVs2nrlW8WMZ7B+q6Jgy&#10;2PRMdc8iI1uvfqPqFPc22DpOuO0KW9eKy6wBaqblGzVPLXMya4E5wZ1tCv+Pln/fPXqiREXnF5QY&#10;1qFHay9lcpxgCP70LiyR9uQe/TEKgEnsvkaStzB1Ws7L+dUFml1r5b5gILsBfWSfzT6czZb7SDgG&#10;5+WiLNESjqnZbHEFDPpiYE3sfBviZ2m7hNnuW4hDr8QJsfaE+N6coEfH/9prx2Jal0gTJH1FLxfz&#10;6+s5JS0KQUkzQBTpt+lMP/xMhafszu7ks83r4htRKPplVptx1ok7iRy4B5FDFhamIrLsc2EYHEsP&#10;ViuxVlqnrYNvNnfakx3DeV7n7+jaqzRtkq4ZdEELZ7hXtWYRsHPodDBNVvRqSTiEMzHul7D9M0yg&#10;RLMQMQEX8ven3ZwP8Z6Fdqgqs6Y0mKKi9Bm1kolPRpB4cDhgBk8BTRV2UmAHiZcjoZwZmdIvmdEr&#10;Zho9ZOvmmAxwchHWpfM5nMiENlYccKL1V4Nb8nF6mboZx4EfB5txwAxvLZTy6CkZgruY34q0WyLH&#10;Jcy9Oj4Y6ZaP45z18qytfgEAAP//AwBQSwMEFAAGAAgAAAAhAGBuhhfgAAAACwEAAA8AAABkcnMv&#10;ZG93bnJldi54bWxMj8FOwzAQRO9I/IO1SFwq6qSNSghxqgqpIHFBBD7AjbeJRbwOsdOGv2d7gtvO&#10;7mj2TbmdXS9OOAbrSUG6TEAgNd5YahV8fuzvchAhajK694QKfjDAtrq+KnVh/Jne8VTHVnAIhUIr&#10;6GIcCilD06HTYekHJL4d/eh0ZDm20oz6zOGul6sk2UinLfGHTg/41GHzVU9OwcNLlr7G77V93rX7&#10;dlHb47Rwb0rd3sy7RxAR5/hnhgs+o0PFTAc/kQmiZ73JuUtUsM5THtixyi6bg4IsvU9AVqX836H6&#10;BQAA//8DAFBLAQItABQABgAIAAAAIQC2gziS/gAAAOEBAAATAAAAAAAAAAAAAAAAAAAAAABbQ29u&#10;dGVudF9UeXBlc10ueG1sUEsBAi0AFAAGAAgAAAAhADj9If/WAAAAlAEAAAsAAAAAAAAAAAAAAAAA&#10;LwEAAF9yZWxzLy5yZWxzUEsBAi0AFAAGAAgAAAAhAKZOC2RqAgAAHgUAAA4AAAAAAAAAAAAAAAAA&#10;LgIAAGRycy9lMm9Eb2MueG1sUEsBAi0AFAAGAAgAAAAhAGBuhhfgAAAACwEAAA8AAAAAAAAAAAAA&#10;AAAAxAQAAGRycy9kb3ducmV2LnhtbFBLBQYAAAAABAAEAPMAAADRBQAAAAA=&#10;" path="m,l485775,200025e" strokecolor="windowText" strokeweight="2.25pt">
                <v:stroke endarrow="block" endarrowwidth="wide" endarrowlength="long" joinstyle="miter"/>
                <v:path arrowok="t" o:extrusionok="f" textboxrect="0,0,485775,200025"/>
                <w10:wrap anchorx="margin"/>
              </v:shape>
            </w:pict>
          </mc:Fallback>
        </mc:AlternateContent>
      </w:r>
      <w:r w:rsidR="00761558">
        <w:rPr>
          <w:noProof/>
          <w:lang w:eastAsia="en-GB"/>
        </w:rPr>
        <mc:AlternateContent>
          <mc:Choice Requires="wps">
            <w:drawing>
              <wp:anchor distT="0" distB="0" distL="114300" distR="114300" simplePos="0" relativeHeight="251833344" behindDoc="0" locked="0" layoutInCell="1" hidden="0" allowOverlap="1" wp14:anchorId="3E7C1608" wp14:editId="3965F504">
                <wp:simplePos x="0" y="0"/>
                <wp:positionH relativeFrom="margin">
                  <wp:posOffset>3695700</wp:posOffset>
                </wp:positionH>
                <wp:positionV relativeFrom="paragraph">
                  <wp:posOffset>571500</wp:posOffset>
                </wp:positionV>
                <wp:extent cx="508000" cy="228600"/>
                <wp:effectExtent l="38100" t="19050" r="25400" b="57150"/>
                <wp:wrapNone/>
                <wp:docPr id="52" name="Freeform 52"/>
                <wp:cNvGraphicFramePr/>
                <a:graphic xmlns:a="http://schemas.openxmlformats.org/drawingml/2006/main">
                  <a:graphicData uri="http://schemas.microsoft.com/office/word/2010/wordprocessingShape">
                    <wps:wsp>
                      <wps:cNvSpPr/>
                      <wps:spPr>
                        <a:xfrm flipH="1">
                          <a:off x="0" y="0"/>
                          <a:ext cx="508000" cy="228600"/>
                        </a:xfrm>
                        <a:custGeom>
                          <a:avLst/>
                          <a:gdLst/>
                          <a:ahLst/>
                          <a:cxnLst/>
                          <a:rect l="0" t="0" r="0" b="0"/>
                          <a:pathLst>
                            <a:path w="485775" h="200025" extrusionOk="0">
                              <a:moveTo>
                                <a:pt x="0" y="0"/>
                              </a:moveTo>
                              <a:lnTo>
                                <a:pt x="485775" y="200025"/>
                              </a:lnTo>
                            </a:path>
                          </a:pathLst>
                        </a:custGeom>
                        <a:solidFill>
                          <a:srgbClr val="FFFFFF"/>
                        </a:solidFill>
                        <a:ln w="28575" cap="flat" cmpd="sng">
                          <a:solidFill>
                            <a:sysClr val="windowText" lastClr="000000"/>
                          </a:solidFill>
                          <a:prstDash val="solid"/>
                          <a:miter/>
                          <a:headEnd type="none" w="med" len="med"/>
                          <a:tailEnd type="triangle" w="lg" len="lg"/>
                        </a:ln>
                      </wps:spPr>
                      <wps:bodyPr lIns="91425" tIns="91425" rIns="91425" bIns="91425" anchor="ctr" anchorCtr="0"/>
                    </wps:wsp>
                  </a:graphicData>
                </a:graphic>
              </wp:anchor>
            </w:drawing>
          </mc:Choice>
          <mc:Fallback>
            <w:pict>
              <v:shape w14:anchorId="1E5B0695" id="Freeform 52" o:spid="_x0000_s1026" style="position:absolute;margin-left:291pt;margin-top:45pt;width:40pt;height:18pt;flip:x;z-index:251833344;visibility:visible;mso-wrap-style:square;mso-wrap-distance-left:9pt;mso-wrap-distance-top:0;mso-wrap-distance-right:9pt;mso-wrap-distance-bottom:0;mso-position-horizontal:absolute;mso-position-horizontal-relative:margin;mso-position-vertical:absolute;mso-position-vertical-relative:text;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NvXwIAAA8FAAAOAAAAZHJzL2Uyb0RvYy54bWysVF1v2yAUfZ+0/4B4X+1YTZtFdfrQLtuk&#10;aa3U7AcQwDYaBgQ0Tv79DjhJ3W7awzQ/WOfC5XDP/eDmdt9rspM+KGtqOrsoKZGGW6FMW9Mfm/WH&#10;BSUhMiOYtkbW9CADvV29f3czuKWsbGe1kJ6AxITl4GraxeiWRRF4J3sWLqyTBpuN9T2LMH1bCM8G&#10;sPe6qMryqhisF85bLkPA6v24SVeZv2kkjw9NE2QkuqaILea/z/9t+herG7ZsPXOd4scw2D9E0TNl&#10;cOmZ6p5FRp69+o2qV9zbYJt4wW1f2KZRXGYNUDMr36h56piTWQuSE9w5TeH/0fLvu0dPlKjpvKLE&#10;sB41WnspU8YJlpCfwYUl3J7coz9aATCJ3TdwarRyX1D6LB+CyD5n93DOrtxHwrE4LxdliRpwbFXV&#10;4goYfMVIk+j4c4ifpe0TZrtvIY7FESfEuhPie3OCHiX+a3Edi+lcIk2QDDW9XMyvr+eUdAgEIVWA&#10;CNI/pyZ++JkCT9693cmNzefiG1EI+mVXm6nXiTuJHLlHkaMXDqYgsuxzYFicSg9WK7FWWqerg2+3&#10;d9qTHUMDr/N3zNorN22Srgq6oIUzDFKjWQTsHUobTJsVvToSDuFMjIESdtggCZRoFiI2kIX8/ek2&#10;50O8Z6Ebo8qsyQ1JUVH6jDrJxCcjSDw4dJTB7NMUYS8FbpB4KhLKnpEp/eIZvWKm1aO3bo/OAKcs&#10;InWpIccWTGhrxQEtrL8ajMXH2WWqZpwafmpspwYzvLNQyqOnZDTuYn4c0m2JHFOXa3V8IdJYT+3s&#10;9fKOrX4BAAD//wMAUEsDBBQABgAIAAAAIQCV480q3QAAAAoBAAAPAAAAZHJzL2Rvd25yZXYueG1s&#10;TI/BTsMwEETvSPyDtUhcELWxREhDnAqBekTQgHp24yWOiO0odlv379me6Gm1O6PZN/Uqu5EdcI5D&#10;8AoeFgIY+i6YwfcKvr/W9yWwmLQ3egweFZwwwqq5vqp1ZcLRb/DQpp5RiI+VVmBTmirOY2fR6bgI&#10;E3rSfsLsdKJ17rmZ9ZHC3cilEAV3evD0weoJXy12v+3eKWj10yl/bt6l3N6Vbz1a6z7WWanbm/zy&#10;DCxhTv9mOOMTOjTEtAt7byIbFTyWkrokBUtBkwxFcT7syCkLAbyp+WWF5g8AAP//AwBQSwECLQAU&#10;AAYACAAAACEAtoM4kv4AAADhAQAAEwAAAAAAAAAAAAAAAAAAAAAAW0NvbnRlbnRfVHlwZXNdLnht&#10;bFBLAQItABQABgAIAAAAIQA4/SH/1gAAAJQBAAALAAAAAAAAAAAAAAAAAC8BAABfcmVscy8ucmVs&#10;c1BLAQItABQABgAIAAAAIQBZdcNvXwIAAA8FAAAOAAAAAAAAAAAAAAAAAC4CAABkcnMvZTJvRG9j&#10;LnhtbFBLAQItABQABgAIAAAAIQCV480q3QAAAAoBAAAPAAAAAAAAAAAAAAAAALkEAABkcnMvZG93&#10;bnJldi54bWxQSwUGAAAAAAQABADzAAAAwwUAAAAA&#10;" path="m,l485775,200025e" strokecolor="windowText" strokeweight="2.25pt">
                <v:stroke endarrow="block" endarrowwidth="wide" endarrowlength="long" joinstyle="miter"/>
                <v:path arrowok="t" o:extrusionok="f" textboxrect="0,0,485775,200025"/>
                <w10:wrap anchorx="margin"/>
              </v:shape>
            </w:pict>
          </mc:Fallback>
        </mc:AlternateContent>
      </w:r>
      <w:r w:rsidR="00616C71">
        <w:rPr>
          <w:noProof/>
          <w:lang w:eastAsia="en-GB"/>
        </w:rPr>
        <mc:AlternateContent>
          <mc:Choice Requires="wps">
            <w:drawing>
              <wp:anchor distT="0" distB="0" distL="114300" distR="114300" simplePos="0" relativeHeight="251782144" behindDoc="0" locked="0" layoutInCell="1" hidden="0" allowOverlap="1" wp14:anchorId="3EF962DC" wp14:editId="005254FD">
                <wp:simplePos x="0" y="0"/>
                <wp:positionH relativeFrom="margin">
                  <wp:posOffset>1536700</wp:posOffset>
                </wp:positionH>
                <wp:positionV relativeFrom="paragraph">
                  <wp:posOffset>1898650</wp:posOffset>
                </wp:positionV>
                <wp:extent cx="279400" cy="368300"/>
                <wp:effectExtent l="0" t="0" r="0" b="0"/>
                <wp:wrapNone/>
                <wp:docPr id="271" name="Rectangle 271"/>
                <wp:cNvGraphicFramePr/>
                <a:graphic xmlns:a="http://schemas.openxmlformats.org/drawingml/2006/main">
                  <a:graphicData uri="http://schemas.microsoft.com/office/word/2010/wordprocessingShape">
                    <wps:wsp>
                      <wps:cNvSpPr/>
                      <wps:spPr>
                        <a:xfrm>
                          <a:off x="0" y="0"/>
                          <a:ext cx="2794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3EF962DC" id="Rectangle 271" o:spid="_x0000_s1076" style="position:absolute;left:0;text-align:left;margin-left:121pt;margin-top:149.5pt;width:22pt;height:29pt;z-index:251782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zPpAEAAEIDAAAOAAAAZHJzL2Uyb0RvYy54bWysUtuO0zAQfUfiHyy/U6ct7GajpvvAahES&#10;ghULHzB17MaSbxqbJv17xm7pFnhDvEzmljNzjmdzPzvLDgqTCb7ny0XDmfIyDMbve/792+OblrOU&#10;wQ9gg1c9P6rE77evX22m2KlVGIMdFDIC8ambYs/HnGMnRJKjcpAWISpPRR3QQaYQ92JAmAjdWbFq&#10;mhsxBRwiBqlSouzDqci3FV9rJfMXrZPKzPacdsvVYrW7YsV2A90eIY5GnteAf9jCgfE09AL1ABnY&#10;DzR/QTkjMaSg80IGJ4LWRqrKgdgsmz/YPI8QVeVC4qR4kSn9P1j5+fCEzAw9X90uOfPg6JG+kmzg&#10;91axkiSJppg66nyOT3iOErmF76zRlS8xYXOV9XiRVc2ZSUqubu/eNiS+pNL6pl2TTyji5eeIKX9Q&#10;wbHi9BxpfBUTDp9SPrX+aimzfHg01lIeOut/SxBmyYiy72nD4uV5N1eK7+rgktqF4Ui87UdPWrbt&#10;XVkv12DdLkuA15XddQW8HANdUObs5L7P9Z7KngWaHqqSOx9VuYTruHa9nP72JwAAAP//AwBQSwME&#10;FAAGAAgAAAAhACQdvUrgAAAACwEAAA8AAABkcnMvZG93bnJldi54bWxMj8FOwzAQRO9I/IO1SNyo&#10;07SUNo1TFSR6QRxo+QAnXhKr8TrEThr4epYT3N5oR7Mz+W5yrRixD9aTgvksAYFUeWOpVvB+er5b&#10;gwhRk9GtJ1TwhQF2xfVVrjPjL/SG4zHWgkMoZFpBE2OXSRmqBp0OM98h8e3D905Hln0tTa8vHO5a&#10;mSbJSjptiT80usOnBqvzcXAKxu9u+Xiwxp/3n69T+TIcFifrlLq9mfZbEBGn+GeG3/pcHQruVPqB&#10;TBCtgnSZ8pbIsNkwsCNdrxhKBYv7hwRkkcv/G4ofAAAA//8DAFBLAQItABQABgAIAAAAIQC2gziS&#10;/gAAAOEBAAATAAAAAAAAAAAAAAAAAAAAAABbQ29udGVudF9UeXBlc10ueG1sUEsBAi0AFAAGAAgA&#10;AAAhADj9If/WAAAAlAEAAAsAAAAAAAAAAAAAAAAALwEAAF9yZWxzLy5yZWxzUEsBAi0AFAAGAAgA&#10;AAAhAMokzM+kAQAAQgMAAA4AAAAAAAAAAAAAAAAALgIAAGRycy9lMm9Eb2MueG1sUEsBAi0AFAAG&#10;AAgAAAAhACQdvUrgAAAACwEAAA8AAAAAAAAAAAAAAAAA/gMAAGRycy9kb3ducmV2LnhtbFBLBQYA&#10;AAAABAAEAPMAAAALBQ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w:drawing>
          <wp:inline distT="0" distB="0" distL="0" distR="0" wp14:anchorId="15541E4B" wp14:editId="571AECC0">
            <wp:extent cx="3959280" cy="3168000"/>
            <wp:effectExtent l="0" t="0" r="0" b="0"/>
            <wp:docPr id="28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0"/>
                    <a:srcRect/>
                    <a:stretch>
                      <a:fillRect/>
                    </a:stretch>
                  </pic:blipFill>
                  <pic:spPr>
                    <a:xfrm>
                      <a:off x="0" y="0"/>
                      <a:ext cx="3959280" cy="3168000"/>
                    </a:xfrm>
                    <a:prstGeom prst="rect">
                      <a:avLst/>
                    </a:prstGeom>
                    <a:ln/>
                  </pic:spPr>
                </pic:pic>
              </a:graphicData>
            </a:graphic>
          </wp:inline>
        </w:drawing>
      </w:r>
      <w:r w:rsidR="00616C71">
        <w:rPr>
          <w:rFonts w:ascii="Calibri" w:eastAsia="Calibri" w:hAnsi="Calibri" w:cs="Calibri"/>
          <w:color w:val="000000"/>
          <w:sz w:val="20"/>
          <w:szCs w:val="20"/>
        </w:rPr>
        <w:t xml:space="preserve"> </w:t>
      </w:r>
      <w:r w:rsidR="00616C71">
        <w:rPr>
          <w:noProof/>
          <w:lang w:eastAsia="en-GB"/>
        </w:rPr>
        <mc:AlternateContent>
          <mc:Choice Requires="wps">
            <w:drawing>
              <wp:anchor distT="0" distB="0" distL="114300" distR="114300" simplePos="0" relativeHeight="251783168" behindDoc="0" locked="0" layoutInCell="1" hidden="0" allowOverlap="1" wp14:anchorId="719310D3" wp14:editId="31F96138">
                <wp:simplePos x="0" y="0"/>
                <wp:positionH relativeFrom="margin">
                  <wp:posOffset>1117600</wp:posOffset>
                </wp:positionH>
                <wp:positionV relativeFrom="paragraph">
                  <wp:posOffset>127000</wp:posOffset>
                </wp:positionV>
                <wp:extent cx="482600" cy="381000"/>
                <wp:effectExtent l="0" t="0" r="0" b="0"/>
                <wp:wrapNone/>
                <wp:docPr id="156" name="Rectangle 156"/>
                <wp:cNvGraphicFramePr/>
                <a:graphic xmlns:a="http://schemas.openxmlformats.org/drawingml/2006/main">
                  <a:graphicData uri="http://schemas.microsoft.com/office/word/2010/wordprocessingShape">
                    <wps:wsp>
                      <wps:cNvSpPr/>
                      <wps:spPr>
                        <a:xfrm>
                          <a:off x="5105017" y="3594262"/>
                          <a:ext cx="481965" cy="371474"/>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719310D3" id="Rectangle 156" o:spid="_x0000_s1077" style="position:absolute;left:0;text-align:left;margin-left:88pt;margin-top:10pt;width:38pt;height:30pt;z-index:251783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PqWsgEAAE4DAAAOAAAAZHJzL2Uyb0RvYy54bWysU8tO4zAU3SPNP1jeT52Upk2jpixAICQE&#10;CGY+wHXsxpJfsj1N+vdcOwU6zG7ExrkvHZ9zfLO5GrVCB+6DtKbF5azAiBtmO2n2Lf796/ZnjVGI&#10;1HRUWcNbfOQBX21/XGwG1/C57a3quEcAYkIzuBb3MbqGkMB6rmmYWccNNIX1mkZI/Z50ng6ArhWZ&#10;F8WSDNZ3zlvGQ4DqzdTE24wvBGfxSYjAI1ItBm4xnz6fu3SS7YY2e09dL9mJBv0PFppKA5d+QN3Q&#10;SNEfL/+B0pJ5G6yIM2Y1sUJIxrMGUFMWX9S89tTxrAXMCe7DpvB9sOzx8OyR7ODtqiVGhmp4pBew&#10;jZq94igVwaLBhQYmX92zP2UBwqR3FF6nLyhBY4ursqiKcoXRscWX1XoxX84ni/kYEYOBRV2ulxVG&#10;LA2sysVqkfrkE8j5EO+41SgFLfZAJRtLDw8hTqPvI+leY2+lUlCnjTJ/FQAzVUjiPrFNURx3Y5Zb&#10;le/CdrY7ggfq3oCvdb0u0p7k5LIuU+LPO7vzDjWst7BNEaMpvI55txLPdBs8WhZ3WrC0Fed5nvr8&#10;DbZvAAAA//8DAFBLAwQUAAYACAAAACEAgfC1RNwAAAAJAQAADwAAAGRycy9kb3ducmV2LnhtbExP&#10;y07DMBC8I/EP1lbiRp0GKFUapypI9FJxoOUDnHibWI3XIXbSwNd3OcFtZ2c0j3wzuVaM2AfrScFi&#10;noBAqryxVCv4PL7dr0CEqMno1hMq+MYAm+L2JteZ8Rf6wPEQa8EmFDKtoImxy6QMVYNOh7nvkJg7&#10;+d7pyLCvpen1hc1dK9MkWUqnLXFCozt8bbA6HwanYPzpHl921vjz9ut9KvfD7uFonVJ3s2m7BhFx&#10;in9i+K3P1aHgTqUfyATRMn5e8paogGNAsCB9SvkoFaz4IYtc/l9QXAEAAP//AwBQSwECLQAUAAYA&#10;CAAAACEAtoM4kv4AAADhAQAAEwAAAAAAAAAAAAAAAAAAAAAAW0NvbnRlbnRfVHlwZXNdLnhtbFBL&#10;AQItABQABgAIAAAAIQA4/SH/1gAAAJQBAAALAAAAAAAAAAAAAAAAAC8BAABfcmVscy8ucmVsc1BL&#10;AQItABQABgAIAAAAIQABiPqWsgEAAE4DAAAOAAAAAAAAAAAAAAAAAC4CAABkcnMvZTJvRG9jLnht&#10;bFBLAQItABQABgAIAAAAIQCB8LVE3AAAAAkBAAAPAAAAAAAAAAAAAAAAAAwEAABkcnMvZG93bnJl&#10;di54bWxQSwUGAAAAAAQABADzAAAAFQU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84192" behindDoc="0" locked="0" layoutInCell="1" hidden="0" allowOverlap="1" wp14:anchorId="47137F3B" wp14:editId="5204C4C3">
                <wp:simplePos x="0" y="0"/>
                <wp:positionH relativeFrom="margin">
                  <wp:posOffset>2400300</wp:posOffset>
                </wp:positionH>
                <wp:positionV relativeFrom="paragraph">
                  <wp:posOffset>1447800</wp:posOffset>
                </wp:positionV>
                <wp:extent cx="228600" cy="330200"/>
                <wp:effectExtent l="0" t="0" r="0" b="0"/>
                <wp:wrapNone/>
                <wp:docPr id="200" name="Rectangle 200"/>
                <wp:cNvGraphicFramePr/>
                <a:graphic xmlns:a="http://schemas.openxmlformats.org/drawingml/2006/main">
                  <a:graphicData uri="http://schemas.microsoft.com/office/word/2010/wordprocessingShape">
                    <wps:wsp>
                      <wps:cNvSpPr/>
                      <wps:spPr>
                        <a:xfrm>
                          <a:off x="5232017" y="3618710"/>
                          <a:ext cx="227964" cy="32258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47137F3B" id="Rectangle 200" o:spid="_x0000_s1078" style="position:absolute;left:0;text-align:left;margin-left:189pt;margin-top:114pt;width:18pt;height:26pt;z-index:251784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5wrwEAAE4DAAAOAAAAZHJzL2Uyb0RvYy54bWysU9tO4zAQfUfiHyy/UzcpbUNUlwcQaKXV&#10;gpblA1zHbiz5Jts06d/v2C1Q4A3x4sxNM+ecmayuR6PRToSonKW4mkwxEpa7Ttktxc//7i4ajGJi&#10;tmPaWUHxXkR8vT4/Ww2+FbXrne5EQNDExnbwFPcp+ZaQyHthWJw4LywkpQuGJXDDlnSBDdDdaFJP&#10;pwsyuND54LiIEaK3hyRel/5SCp4epIwiIU0xYEvlDeXd5JesV6zdBuZ7xY8w2DdQGKYsDH1rdcsS&#10;Qy9BfWllFA8uOpkm3BnipFRcFA7Appp+YvPUMy8KFxAn+jeZ4s+15X92jwGpjmJQEyPLDCzpL8jG&#10;7FYLlIMg0eBjC5VP/jEcvQhm5jvKYPIXmKCR4nk9Ax5LjPYUzxZVs6yOEosxIQ4Fdb28WlxixHNB&#10;Xc+bkifvjXyI6V44g7JBcQAoRVi2+x0TDIfS15I817o7pXXZorYfAlCYIyRjP6DNVho3Y6E7r1+J&#10;bVy3Bw30Lwu6Ns1V1iEVZ9ZU2Qmnmc1phlneO7imhNHBvEnltjLOPA2WVhAfDyxfxalfqt5/g/V/&#10;AAAA//8DAFBLAwQUAAYACAAAACEABoHTUd8AAAALAQAADwAAAGRycy9kb3ducmV2LnhtbEyPwU7D&#10;MBBE70j8g7VI3KjTNIIoxKkKEr0gDrR8gBMvidV4HWInDXw92xPcZndHs2/K7eJ6MeMYrCcF61UC&#10;AqnxxlKr4OP4cpeDCFGT0b0nVPCNAbbV9VWpC+PP9I7zIbaCQygUWkEX41BIGZoOnQ4rPyDx7dOP&#10;Tkcex1aaUZ853PUyTZJ76bQl/tDpAZ87bE6HySmYf4bsaW+NP+2+3pb6ddpvjtYpdXuz7B5BRFzi&#10;nxku+IwOFTPVfiITRK9g85Bzl6ggTS+CHdk6Y1HzJk8SkFUp/3eofgEAAP//AwBQSwECLQAUAAYA&#10;CAAAACEAtoM4kv4AAADhAQAAEwAAAAAAAAAAAAAAAAAAAAAAW0NvbnRlbnRfVHlwZXNdLnhtbFBL&#10;AQItABQABgAIAAAAIQA4/SH/1gAAAJQBAAALAAAAAAAAAAAAAAAAAC8BAABfcmVscy8ucmVsc1BL&#10;AQItABQABgAIAAAAIQDDwV5wrwEAAE4DAAAOAAAAAAAAAAAAAAAAAC4CAABkcnMvZTJvRG9jLnht&#10;bFBLAQItABQABgAIAAAAIQAGgdNR3wAAAAsBAAAPAAAAAAAAAAAAAAAAAAkEAABkcnMvZG93bnJl&#10;di54bWxQSwUGAAAAAAQABADzAAAAFQU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T</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85216" behindDoc="0" locked="0" layoutInCell="1" hidden="0" allowOverlap="1" wp14:anchorId="1BFD4DE0" wp14:editId="5FA14677">
                <wp:simplePos x="0" y="0"/>
                <wp:positionH relativeFrom="margin">
                  <wp:posOffset>2895600</wp:posOffset>
                </wp:positionH>
                <wp:positionV relativeFrom="paragraph">
                  <wp:posOffset>1270000</wp:posOffset>
                </wp:positionV>
                <wp:extent cx="228600" cy="292100"/>
                <wp:effectExtent l="0" t="0" r="0" b="0"/>
                <wp:wrapNone/>
                <wp:docPr id="272" name="Rectangle 272"/>
                <wp:cNvGraphicFramePr/>
                <a:graphic xmlns:a="http://schemas.openxmlformats.org/drawingml/2006/main">
                  <a:graphicData uri="http://schemas.microsoft.com/office/word/2010/wordprocessingShape">
                    <wps:wsp>
                      <wps:cNvSpPr/>
                      <wps:spPr>
                        <a:xfrm>
                          <a:off x="5232017" y="3637760"/>
                          <a:ext cx="227964" cy="28448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1BFD4DE0" id="Rectangle 272" o:spid="_x0000_s1079" style="position:absolute;left:0;text-align:left;margin-left:228pt;margin-top:100pt;width:18pt;height:23pt;z-index:251785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9j0sgEAAE4DAAAOAAAAZHJzL2Uyb0RvYy54bWysU8tu2zAQvBfoPxC815Qlx1IE0zk0SFGg&#10;SIMk/QCaIi0CfIFkLfnvs6SdxG1uRS/UvrA7M7va3MxGo4MIUTlL8XJRYSQsd4Oye4p/Pd996TCK&#10;idmBaWcFxUcR8c3286fN5HtRu9HpQQQETWzsJ0/xmJLvCYl8FIbFhfPCQlK6YFgCN+zJENgE3Y0m&#10;dVWtyeTC4IPjIkaI3p6SeFv6Syl4+illFAlpigFbKm8o7y6/ZLth/T4wPyp+hsH+AYVhysLQt1a3&#10;LDH0O6gPrYziwUUn04I7Q5yUiovCAdgsq7/YPI3Mi8IFxIn+Tab4/9ry+8NDQGqguG5rjCwzsKRH&#10;kI3ZvRYoB0GiycceKp/8Qzh7EczMd5bB5C8wQTPFV3UDPFqMjhQ366Zt12eJxZwQh4K6bq/XK4w4&#10;FNTdatWVPHlv5ENM34QzKBsUB4BShGWHHzHBcCh9LclzrbtTWpctavtHAApzhGTsJ7TZSvNuLnSv&#10;mldiOzccQQP93YKuXXdd5TspTtMtsxMuM7vLDLN8dHBNCaOT+TWV28o48zRYWkF8PrB8FZd+qXr/&#10;DbYvAAAA//8DAFBLAwQUAAYACAAAACEAtEDbUd0AAAALAQAADwAAAGRycy9kb3ducmV2LnhtbExP&#10;y07DMBC8I/EP1iJxow5tWtEQpyqV6AVxoOUDnHibWI3XIXbSwNeznMptdmc0j3wzuVaM2AfrScHj&#10;LAGBVHljqVbweXx9eAIRoiajW0+o4BsDbIrbm1xnxl/oA8dDrAWbUMi0gibGLpMyVA06HWa+Q2Lu&#10;5HunI599LU2vL2zuWjlPkpV02hInNLrDXYPV+TA4BeNPl77srfHn7df7VL4N+8XROqXu76btM4iI&#10;U7yK4a8+V4eCO5V+IBNEqyBdrnhLVMAxDFiRrucMSv6kTMkil/83FL8AAAD//wMAUEsBAi0AFAAG&#10;AAgAAAAhALaDOJL+AAAA4QEAABMAAAAAAAAAAAAAAAAAAAAAAFtDb250ZW50X1R5cGVzXS54bWxQ&#10;SwECLQAUAAYACAAAACEAOP0h/9YAAACUAQAACwAAAAAAAAAAAAAAAAAvAQAAX3JlbHMvLnJlbHNQ&#10;SwECLQAUAAYACAAAACEAGJ/Y9LIBAABOAwAADgAAAAAAAAAAAAAAAAAuAgAAZHJzL2Uyb0RvYy54&#10;bWxQSwECLQAUAAYACAAAACEAtEDbUd0AAAALAQAADwAAAAAAAAAAAAAAAAAMBAAAZHJzL2Rvd25y&#10;ZXYueG1sUEsFBgAAAAAEAAQA8wAAABYFA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T</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86240" behindDoc="0" locked="0" layoutInCell="1" hidden="0" allowOverlap="1" wp14:anchorId="491936FF" wp14:editId="675FA076">
                <wp:simplePos x="0" y="0"/>
                <wp:positionH relativeFrom="margin">
                  <wp:posOffset>1612900</wp:posOffset>
                </wp:positionH>
                <wp:positionV relativeFrom="paragraph">
                  <wp:posOffset>279400</wp:posOffset>
                </wp:positionV>
                <wp:extent cx="495300" cy="127000"/>
                <wp:effectExtent l="0" t="0" r="0" b="0"/>
                <wp:wrapNone/>
                <wp:docPr id="231" name="Freeform 231"/>
                <wp:cNvGraphicFramePr/>
                <a:graphic xmlns:a="http://schemas.openxmlformats.org/drawingml/2006/main">
                  <a:graphicData uri="http://schemas.microsoft.com/office/word/2010/wordprocessingShape">
                    <wps:wsp>
                      <wps:cNvSpPr/>
                      <wps:spPr>
                        <a:xfrm rot="10800000">
                          <a:off x="5097079" y="3718087"/>
                          <a:ext cx="497839" cy="123824"/>
                        </a:xfrm>
                        <a:custGeom>
                          <a:avLst/>
                          <a:gdLst/>
                          <a:ahLst/>
                          <a:cxnLst/>
                          <a:rect l="0" t="0" r="0" b="0"/>
                          <a:pathLst>
                            <a:path w="497840" h="123825" extrusionOk="0">
                              <a:moveTo>
                                <a:pt x="0" y="0"/>
                              </a:moveTo>
                              <a:lnTo>
                                <a:pt x="497840" y="123825"/>
                              </a:lnTo>
                            </a:path>
                          </a:pathLst>
                        </a:custGeom>
                        <a:solidFill>
                          <a:srgbClr val="FFFFFF"/>
                        </a:solidFill>
                        <a:ln>
                          <a:noFill/>
                        </a:ln>
                      </wps:spPr>
                      <wps:bodyPr lIns="91425" tIns="91425" rIns="91425" bIns="91425" anchor="ctr" anchorCtr="0"/>
                    </wps:wsp>
                  </a:graphicData>
                </a:graphic>
              </wp:anchor>
            </w:drawing>
          </mc:Choice>
          <mc:Fallback>
            <w:pict>
              <v:shape w14:anchorId="75B1CD9D" id="Freeform 231" o:spid="_x0000_s1026" style="position:absolute;margin-left:127pt;margin-top:22pt;width:39pt;height:10pt;rotation:180;z-index:251786240;visibility:visible;mso-wrap-style:square;mso-wrap-distance-left:9pt;mso-wrap-distance-top:0;mso-wrap-distance-right:9pt;mso-wrap-distance-bottom:0;mso-position-horizontal:absolute;mso-position-horizontal-relative:margin;mso-position-vertical:absolute;mso-position-vertical-relative:text;v-text-anchor:middle" coordsize="49784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JT+FAIAAEwEAAAOAAAAZHJzL2Uyb0RvYy54bWysVE1v2zAMvQ/YfxB0X/yRZHGMOD20yDBg&#10;WAu0/QGKLMfGZEmQFNv59yNlJ/U2YIeiPgik9PjER1Le3Q2tJJ2wrtGqoMkipkQorstGnQr6+nL4&#10;klHiPFMlk1qJgl6Eo3f7z592vclFqmstS2EJkCiX96agtfcmjyLHa9Eyt9BGKDistG2ZB9eeotKy&#10;HthbGaVx/DXqtS2N1Vw4B7sP4yHdB/6qEtw/VpUTnsiCQm4+rDasR1yj/Y7lJ8tM3fApDfaOLFrW&#10;KLj0RvXAPCNn2/xD1Tbcaqcrv+C6jXRVNVwEDaAmif9S81wzI4IWKI4ztzK5j6PlP7snS5qyoOky&#10;oUSxFpp0sEJgyQnuQYV643IAPpsnO3kOTJQ7VICyGsqaxFmMX6gC6CJDQdfxdhNvtpRcCrrcJFmc&#10;bcaCi8ETDoDVdpMt4ZwDIEmXWbrC82jkRX5+dv6b0C3arPvh/Niv8mqx+mrxQV1NC13/b78N8xiH&#10;pGiSfsxkBQNST4msYY4Hb88414+/cFIQ3epOvOgQ51EgBEDmYYog6bdTqeYoVIncV5HrSeSIgkBM&#10;Isi+JQabc+lOy6Y8NFLi1c6ejvfSko7BTB/CNxH+AZMKwUpj2FhU3Imwl2P30Drq8gL9l98VzNQ2&#10;WaWg288dO3eOc4cpXmt4SdxbSkbn3oeXhbchOYxsUDU9L3wTcz+g3n4C+98AAAD//wMAUEsDBBQA&#10;BgAIAAAAIQDvSmRx3wAAAAkBAAAPAAAAZHJzL2Rvd25yZXYueG1sTI9PS8NAEMXvgt9hGcGL2I1p&#10;DSFmUlTwoEghVcx1mt1mg9ndkN228ds7Pelp/j3e/F65nu0gjnoKvXcId4sEhHatV73rED4/Xm5z&#10;ECGSUzR4pxF+dIB1dXlRUqH8ydX6uI2dYBMXCkIwMY6FlKE12lJY+FE7vu39ZCnyOHVSTXRiczvI&#10;NEkyaal3/MHQqJ+Nbr+3B4vQUH3ztPl6N9k+b5r0LZ9f202NeH01Pz6AiHqOf2I44zM6VMy08wen&#10;ghgQ0vsVZ4kIq3NlwXKZcrNDyHghq1L+T1D9AgAA//8DAFBLAQItABQABgAIAAAAIQC2gziS/gAA&#10;AOEBAAATAAAAAAAAAAAAAAAAAAAAAABbQ29udGVudF9UeXBlc10ueG1sUEsBAi0AFAAGAAgAAAAh&#10;ADj9If/WAAAAlAEAAAsAAAAAAAAAAAAAAAAALwEAAF9yZWxzLy5yZWxzUEsBAi0AFAAGAAgAAAAh&#10;ADoolP4UAgAATAQAAA4AAAAAAAAAAAAAAAAALgIAAGRycy9lMm9Eb2MueG1sUEsBAi0AFAAGAAgA&#10;AAAhAO9KZHHfAAAACQEAAA8AAAAAAAAAAAAAAAAAbgQAAGRycy9kb3ducmV2LnhtbFBLBQYAAAAA&#10;BAAEAPMAAAB6BQAAAAA=&#10;" path="m,l497840,123825e" stroked="f">
                <v:path arrowok="t" o:extrusionok="f" textboxrect="0,0,497840,123825"/>
                <w10:wrap anchorx="margin"/>
              </v:shape>
            </w:pict>
          </mc:Fallback>
        </mc:AlternateContent>
      </w:r>
      <w:r w:rsidR="00616C71">
        <w:rPr>
          <w:noProof/>
          <w:lang w:eastAsia="en-GB"/>
        </w:rPr>
        <mc:AlternateContent>
          <mc:Choice Requires="wps">
            <w:drawing>
              <wp:anchor distT="0" distB="0" distL="114300" distR="114300" simplePos="0" relativeHeight="251787264" behindDoc="0" locked="0" layoutInCell="1" hidden="0" allowOverlap="1" wp14:anchorId="5A9BC82D" wp14:editId="255B431C">
                <wp:simplePos x="0" y="0"/>
                <wp:positionH relativeFrom="margin">
                  <wp:posOffset>2362200</wp:posOffset>
                </wp:positionH>
                <wp:positionV relativeFrom="paragraph">
                  <wp:posOffset>901700</wp:posOffset>
                </wp:positionV>
                <wp:extent cx="495300" cy="203200"/>
                <wp:effectExtent l="0" t="0" r="0" b="0"/>
                <wp:wrapNone/>
                <wp:docPr id="171" name="Freeform 171"/>
                <wp:cNvGraphicFramePr/>
                <a:graphic xmlns:a="http://schemas.openxmlformats.org/drawingml/2006/main">
                  <a:graphicData uri="http://schemas.microsoft.com/office/word/2010/wordprocessingShape">
                    <wps:wsp>
                      <wps:cNvSpPr/>
                      <wps:spPr>
                        <a:xfrm flipH="1">
                          <a:off x="5103112" y="3679987"/>
                          <a:ext cx="485774" cy="200024"/>
                        </a:xfrm>
                        <a:custGeom>
                          <a:avLst/>
                          <a:gdLst/>
                          <a:ahLst/>
                          <a:cxnLst/>
                          <a:rect l="0" t="0" r="0" b="0"/>
                          <a:pathLst>
                            <a:path w="485775" h="200025" extrusionOk="0">
                              <a:moveTo>
                                <a:pt x="0" y="0"/>
                              </a:moveTo>
                              <a:lnTo>
                                <a:pt x="485775" y="200025"/>
                              </a:lnTo>
                            </a:path>
                          </a:pathLst>
                        </a:custGeom>
                        <a:solidFill>
                          <a:srgbClr val="FFFFFF"/>
                        </a:solidFill>
                        <a:ln>
                          <a:noFill/>
                        </a:ln>
                      </wps:spPr>
                      <wps:bodyPr lIns="91425" tIns="91425" rIns="91425" bIns="91425" anchor="ctr" anchorCtr="0"/>
                    </wps:wsp>
                  </a:graphicData>
                </a:graphic>
              </wp:anchor>
            </w:drawing>
          </mc:Choice>
          <mc:Fallback>
            <w:pict>
              <v:shape w14:anchorId="628FD1F0" id="Freeform 171" o:spid="_x0000_s1026" style="position:absolute;margin-left:186pt;margin-top:71pt;width:39pt;height:16pt;flip:x;z-index:251787264;visibility:visible;mso-wrap-style:square;mso-wrap-distance-left:9pt;mso-wrap-distance-top:0;mso-wrap-distance-right:9pt;mso-wrap-distance-bottom:0;mso-position-horizontal:absolute;mso-position-horizontal-relative:margin;mso-position-vertical:absolute;mso-position-vertical-relative:text;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3MGDwIAAEcEAAAOAAAAZHJzL2Uyb0RvYy54bWysU8tu2zAQvBfoPxC813rEjm3Bcg4J3BYo&#10;mgBJP4CmKIsoRRIkLdl/311KdpQW6CGIDsIuORzO7C43d6dWkU44L40uaTZLKRGam0rqQ0l/vey+&#10;rCjxgemKKaNFSc/C07vt50+b3hYiN41RlXAESLQvelvSJgRbJInnjWiZnxkrNGzWxrUsQOoOSeVY&#10;D+ytSvI0vU164yrrDBfew+rDsEm3kb+uBQ+Pde1FIKqkoC3Ev4v/Pf6T7YYVB8dsI/kog71DRcuk&#10;hkuvVA8sMHJ08h+qVnJnvKnDjJs2MXUtuYgewE2W/uXmuWFWRC9QHG+vZfIfR8t/dk+OyAp6t8wo&#10;0ayFJu2cEFhygmtQod76AoDP9smNmYcQ7Z5qQNVK2m9AEAsAlsippIssvcmynJJzSW9ul+v1ajnU&#10;WpwC4QCYrxbL5ZwSDgBoZJrPcT8ZKJGaH334KkyLMet++DC0qrpErLlE/KQvoYOG/7fVlgU8h6QY&#10;kn5UsqCkGYVACCLdEUf68TcOCaJb04kXE88FNAjDBMrjAIHo112lp6joEggvJhejyQEFB1FEtH0V&#10;BotT694oWe2kUni1d4f9vXKkYzDOu/iNhG9gSiNYGzw2FBVXEmzj0DiM9qY6Q+vVdw3jtM7mOcgM&#10;08RNk/00YZo3Bh4RD46SIbkP8VHhbUgO0xpdjS8Ln8M0j6jX97/9AwAA//8DAFBLAwQUAAYACAAA&#10;ACEAfjXqLeEAAAALAQAADwAAAGRycy9kb3ducmV2LnhtbExPy07DMBC8I/EP1iJxozZNoCjEqRAP&#10;IaSC2oIE3Nx4m4TG6yh22/D3bE/0NrMzmp3Jp4NrxQ770HjScDlSIJBKbxuqNHy8P13cgAjRkDWt&#10;J9TwiwGmxelJbjLr97TA3TJWgkMoZEZDHWOXSRnKGp0JI98hsbb2vTORaV9J25s9h7tWjpW6ls40&#10;xB9q0+F9jeVmuXUays1rmD3Pf+ziMUm+Prv1y8Ob/db6/Gy4uwURcYj/ZjjU5+pQcKeV35INotWQ&#10;TMa8JbKQHgA70ivFYMWXSapAFrk83lD8AQAA//8DAFBLAQItABQABgAIAAAAIQC2gziS/gAAAOEB&#10;AAATAAAAAAAAAAAAAAAAAAAAAABbQ29udGVudF9UeXBlc10ueG1sUEsBAi0AFAAGAAgAAAAhADj9&#10;If/WAAAAlAEAAAsAAAAAAAAAAAAAAAAALwEAAF9yZWxzLy5yZWxzUEsBAi0AFAAGAAgAAAAhAPJP&#10;cwYPAgAARwQAAA4AAAAAAAAAAAAAAAAALgIAAGRycy9lMm9Eb2MueG1sUEsBAi0AFAAGAAgAAAAh&#10;AH416i3hAAAACwEAAA8AAAAAAAAAAAAAAAAAaQQAAGRycy9kb3ducmV2LnhtbFBLBQYAAAAABAAE&#10;APMAAAB3BQAAAAA=&#10;" path="m,l485775,200025e" stroked="f">
                <v:path arrowok="t" o:extrusionok="f" textboxrect="0,0,485775,200025"/>
                <w10:wrap anchorx="margin"/>
              </v:shape>
            </w:pict>
          </mc:Fallback>
        </mc:AlternateContent>
      </w:r>
    </w:p>
    <w:p w:rsidR="00616C71" w:rsidRDefault="00616C71" w:rsidP="00616C71">
      <w:pPr>
        <w:spacing w:after="160" w:line="259" w:lineRule="auto"/>
      </w:pPr>
    </w:p>
    <w:p w:rsidR="00616C71" w:rsidRDefault="00616C71" w:rsidP="00616C71">
      <w:pPr>
        <w:spacing w:after="160" w:line="259" w:lineRule="auto"/>
      </w:pPr>
    </w:p>
    <w:p w:rsidR="009B053D" w:rsidRDefault="007D735D" w:rsidP="00B702A5">
      <w:pPr>
        <w:numPr>
          <w:ilvl w:val="0"/>
          <w:numId w:val="20"/>
        </w:numPr>
        <w:pBdr>
          <w:top w:val="nil"/>
          <w:left w:val="nil"/>
          <w:bottom w:val="nil"/>
          <w:right w:val="nil"/>
          <w:between w:val="nil"/>
        </w:pBdr>
        <w:spacing w:after="0" w:line="259" w:lineRule="auto"/>
        <w:ind w:hanging="360"/>
        <w:contextualSpacing/>
        <w:jc w:val="left"/>
        <w:rPr>
          <w:sz w:val="20"/>
          <w:szCs w:val="20"/>
        </w:rPr>
      </w:pPr>
      <w:r>
        <w:rPr>
          <w:noProof/>
          <w:lang w:eastAsia="en-GB"/>
        </w:rPr>
        <mc:AlternateContent>
          <mc:Choice Requires="wps">
            <w:drawing>
              <wp:anchor distT="0" distB="0" distL="114300" distR="114300" simplePos="0" relativeHeight="252025856" behindDoc="0" locked="0" layoutInCell="1" hidden="0" allowOverlap="1" wp14:anchorId="1D7B65C4" wp14:editId="21FBC22F">
                <wp:simplePos x="0" y="0"/>
                <wp:positionH relativeFrom="margin">
                  <wp:posOffset>1351915</wp:posOffset>
                </wp:positionH>
                <wp:positionV relativeFrom="paragraph">
                  <wp:posOffset>1960880</wp:posOffset>
                </wp:positionV>
                <wp:extent cx="45719" cy="466725"/>
                <wp:effectExtent l="57150" t="38100" r="50165" b="28575"/>
                <wp:wrapNone/>
                <wp:docPr id="150" name="Freeform 150"/>
                <wp:cNvGraphicFramePr/>
                <a:graphic xmlns:a="http://schemas.openxmlformats.org/drawingml/2006/main">
                  <a:graphicData uri="http://schemas.microsoft.com/office/word/2010/wordprocessingShape">
                    <wps:wsp>
                      <wps:cNvSpPr/>
                      <wps:spPr>
                        <a:xfrm flipV="1">
                          <a:off x="0" y="0"/>
                          <a:ext cx="45719" cy="466725"/>
                        </a:xfrm>
                        <a:custGeom>
                          <a:avLst/>
                          <a:gdLst/>
                          <a:ahLst/>
                          <a:cxnLst/>
                          <a:rect l="0" t="0" r="0" b="0"/>
                          <a:pathLst>
                            <a:path w="485775" h="200025" extrusionOk="0">
                              <a:moveTo>
                                <a:pt x="0" y="0"/>
                              </a:moveTo>
                              <a:lnTo>
                                <a:pt x="485775" y="200025"/>
                              </a:lnTo>
                            </a:path>
                          </a:pathLst>
                        </a:custGeom>
                        <a:solidFill>
                          <a:srgbClr val="FFFFFF"/>
                        </a:solidFill>
                        <a:ln w="28575" cap="flat" cmpd="sng">
                          <a:solidFill>
                            <a:schemeClr val="tx1"/>
                          </a:solidFill>
                          <a:prstDash val="solid"/>
                          <a:miter/>
                          <a:headEnd type="none" w="med" len="med"/>
                          <a:tailEnd type="triangle" w="lg" len="lg"/>
                        </a:ln>
                      </wps:spPr>
                      <wps:bodyPr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w14:anchorId="35932A84" id="Freeform 150" o:spid="_x0000_s1026" style="position:absolute;margin-left:106.45pt;margin-top:154.4pt;width:3.6pt;height:36.75pt;flip:y;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anVAIAAPsEAAAOAAAAZHJzL2Uyb0RvYy54bWysVMlu2zAQvRfoPxC817INL4lhOYe4LgoU&#10;TYAkvdMkJRHlBpK27L/vDCU7Slr0UFQHYYZ8fJw3C9d3J6PJUYaonC3pZDSmRFruhLJ1SV+ed59u&#10;KImJWcG0s7KkZxnp3ebjh3XrV3LqGqeFDARIbFy1vqRNSn5VFJE30rA4cl5a2KxcMCyBG+pCBNYC&#10;u9HFdDxeFK0LwgfHZYywuu026SbzV5Xk6aGqokxElxRiS/kf8n+P/2KzZqs6MN8o3ofB/iEKw5SF&#10;S69UW5YYOQT1G5VRPLjoqjTizhSuqhSXWQOomYzfqXlqmJdZCyQn+mua4v+j5d+Pj4EoAbWbQ34s&#10;M1CkXZASU05wDTLU+rgC4JN/DL0XwUS5pwpQlVb+BxDkBIAkcsr5PV/zK0+JcFiczZeTW0o47MwW&#10;i+V0juRFx4Js/BDTF+kM2uz4LaauOuJiseZi8ZO9mAFq/NfqepbwHJKiSVq4/Wa+XM4paUoKTTSG&#10;QAjEGA7YxQ8/MW5EG3eUzy6fS+80QdCvu9oOURduENlzdyI7FBzEILLsa2CwOJQenVZip7TGq2Oo&#10;9/c6kCODDt7lr8/aG5i2qGsKukALZzBJlWYJTOOhttHWWdGbI3nG5JU7nSZ/IvYhpi2LTRdAJkAY&#10;6FdJhmw1konPVpB09tA8FuacYjBGCkq0hGcBrYxMTOlXZAqK2Vp3aF33YDAuCYMsYet1zYbW3okz&#10;tKv+amEEbiczLFwaOmHo7IcOs7xxMPg8BUo65z7lhwBvQ3KYsFyW/jXAER76GfX6Zm1+AQAA//8D&#10;AFBLAwQUAAYACAAAACEAM1XdNd8AAAALAQAADwAAAGRycy9kb3ducmV2LnhtbEyPwU7DMAyG70i8&#10;Q2QkbixpNrGuNJ0Q0nZEYkyCY5aGplriVE22lrfHnOBo+9Pv76+3c/DsasfUR1RQLAQwiya2PXYK&#10;ju+7hxJYyhpb7SNaBd82wba5val11cYJ3+z1kDtGIZgqrcDlPFScJ+Ns0GkRB4t0+4pj0JnGsePt&#10;qCcKD55LIR550D3SB6cH++KsOR8uQcFmff5I3hxXu1e5//TGhWm92it1fzc/PwHLds5/MPzqkzo0&#10;5HSKF2wT8wpkITeEKliKkjoQIaUogJ1oU8ol8Kbm/zs0PwAAAP//AwBQSwECLQAUAAYACAAAACEA&#10;toM4kv4AAADhAQAAEwAAAAAAAAAAAAAAAAAAAAAAW0NvbnRlbnRfVHlwZXNdLnhtbFBLAQItABQA&#10;BgAIAAAAIQA4/SH/1gAAAJQBAAALAAAAAAAAAAAAAAAAAC8BAABfcmVscy8ucmVsc1BLAQItABQA&#10;BgAIAAAAIQBf8wanVAIAAPsEAAAOAAAAAAAAAAAAAAAAAC4CAABkcnMvZTJvRG9jLnhtbFBLAQIt&#10;ABQABgAIAAAAIQAzVd013wAAAAsBAAAPAAAAAAAAAAAAAAAAAK4EAABkcnMvZG93bnJldi54bWxQ&#10;SwUGAAAAAAQABADzAAAAugUAAAAA&#10;" path="m,l485775,200025e" strokecolor="black [3213]" strokeweight="2.25pt">
                <v:stroke endarrow="block" endarrowwidth="wide" endarrowlength="long" joinstyle="miter"/>
                <v:path arrowok="t" o:extrusionok="f" textboxrect="0,0,485775,200025"/>
                <w10:wrap anchorx="margin"/>
              </v:shape>
            </w:pict>
          </mc:Fallback>
        </mc:AlternateContent>
      </w:r>
      <w:r w:rsidR="00D60F76">
        <w:rPr>
          <w:noProof/>
          <w:lang w:eastAsia="en-GB"/>
        </w:rPr>
        <mc:AlternateContent>
          <mc:Choice Requires="wps">
            <w:drawing>
              <wp:anchor distT="0" distB="0" distL="114300" distR="114300" simplePos="0" relativeHeight="251794432" behindDoc="0" locked="0" layoutInCell="1" hidden="0" allowOverlap="1" wp14:anchorId="44DCA843" wp14:editId="602FF385">
                <wp:simplePos x="0" y="0"/>
                <wp:positionH relativeFrom="margin">
                  <wp:posOffset>1190625</wp:posOffset>
                </wp:positionH>
                <wp:positionV relativeFrom="paragraph">
                  <wp:posOffset>151765</wp:posOffset>
                </wp:positionV>
                <wp:extent cx="495300" cy="368300"/>
                <wp:effectExtent l="0" t="0" r="0" b="0"/>
                <wp:wrapNone/>
                <wp:docPr id="218" name="Rectangle 218"/>
                <wp:cNvGraphicFramePr/>
                <a:graphic xmlns:a="http://schemas.openxmlformats.org/drawingml/2006/main">
                  <a:graphicData uri="http://schemas.microsoft.com/office/word/2010/wordprocessingShape">
                    <wps:wsp>
                      <wps:cNvSpPr/>
                      <wps:spPr>
                        <a:xfrm>
                          <a:off x="0" y="0"/>
                          <a:ext cx="4953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DT</w:t>
                            </w:r>
                          </w:p>
                        </w:txbxContent>
                      </wps:txbx>
                      <wps:bodyPr wrap="square" lIns="88900" tIns="38100" rIns="88900" bIns="38100" anchor="t" anchorCtr="0"/>
                    </wps:wsp>
                  </a:graphicData>
                </a:graphic>
                <wp14:sizeRelH relativeFrom="margin">
                  <wp14:pctWidth>0</wp14:pctWidth>
                </wp14:sizeRelH>
              </wp:anchor>
            </w:drawing>
          </mc:Choice>
          <mc:Fallback>
            <w:pict>
              <v:rect w14:anchorId="44DCA843" id="Rectangle 218" o:spid="_x0000_s1080" style="position:absolute;left:0;text-align:left;margin-left:93.75pt;margin-top:11.95pt;width:39pt;height:29pt;z-index:251794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2lxrgEAAFADAAAOAAAAZHJzL2Uyb0RvYy54bWysU8tu2zAQvBfoPxC815TtJFAEyzk0SFCg&#10;aIM6/YA1RVkE+OqSseS/75J2HKe9Fb3Q+/LszuxqdTdZw/YKo/au5fNZxZly0nfa7Vr+8/nhU81Z&#10;TOA6MN6plh9U5Hfrjx9WY2jUwg/edAoZgbjYjKHlQ0qhESLKQVmIMx+Uo2Tv0UIiF3eiQxgJ3Rqx&#10;qKobMXrsAnqpYqTo/THJ1wW/75VM3/s+qsRMy2m2VF4s7za/Yr2CZocQBi1PY8A/TGFBO2p6hrqH&#10;BOwF9V9QVkv00fdpJr0Vvu+1VIUDsZlXf7DZDBBU4ULixHCWKf4/WPlt/4RMdy1fzGlVDiwt6QfJ&#10;Bm5nFMtBkmgMsaHKTXjCkxfJzHynHm3+JSZsKrIezrKqKTFJwavb62VF4ktKLW/qbBOKePtzwJge&#10;lbcsGy1Hal/EhP3XmI6lryW5l/MP2hiKQ2PcuwBh5ojI8x4nzFaatlOheH31SmbruwPxHmnxLY+/&#10;XgAVZ+aLI2Xr+jYPm4qzrOfZwcvM9jIDTg6e7ilxdjQ/p3Jdeercm9ZWqJ5OLN/FpV+q3j6E9W8A&#10;AAD//wMAUEsDBBQABgAIAAAAIQD+AVEj3wAAAAkBAAAPAAAAZHJzL2Rvd25yZXYueG1sTI/BTsMw&#10;DIbvSLxDZCRuLF3HRtc1nQYSu6Ad2HiAtPHaao1TmrQrPD3mBMff/vT7c7adbCtG7H3jSMF8FoFA&#10;Kp1pqFLwcXp9SED4oMno1hEq+EIP2/z2JtOpcVd6x/EYKsEl5FOtoA6hS6X0ZY1W+5nrkHh3dr3V&#10;gWNfSdPrK5fbVsZRtJJWN8QXat3hS43l5ThYBeN39/i8b4y77D4PU/E27Benxip1fzftNiACTuEP&#10;hl99VoecnQo3kPGi5Zw8LRlVEC/WIBiIV0seFAqS+Rpknsn/H+Q/AAAA//8DAFBLAQItABQABgAI&#10;AAAAIQC2gziS/gAAAOEBAAATAAAAAAAAAAAAAAAAAAAAAABbQ29udGVudF9UeXBlc10ueG1sUEsB&#10;Ai0AFAAGAAgAAAAhADj9If/WAAAAlAEAAAsAAAAAAAAAAAAAAAAALwEAAF9yZWxzLy5yZWxzUEsB&#10;Ai0AFAAGAAgAAAAhAFmvaXGuAQAAUAMAAA4AAAAAAAAAAAAAAAAALgIAAGRycy9lMm9Eb2MueG1s&#10;UEsBAi0AFAAGAAgAAAAhAP4BUSPfAAAACQEAAA8AAAAAAAAAAAAAAAAACAQAAGRycy9kb3ducmV2&#10;LnhtbFBLBQYAAAAABAAEAPMAAAAUBQ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DT</w:t>
                      </w:r>
                    </w:p>
                  </w:txbxContent>
                </v:textbox>
                <w10:wrap anchorx="margin"/>
              </v:rect>
            </w:pict>
          </mc:Fallback>
        </mc:AlternateContent>
      </w:r>
      <w:r w:rsidR="00D60F76" w:rsidRPr="00D60F76">
        <w:rPr>
          <w:noProof/>
          <w:lang w:eastAsia="en-GB"/>
        </w:rPr>
        <mc:AlternateContent>
          <mc:Choice Requires="wps">
            <w:drawing>
              <wp:anchor distT="0" distB="0" distL="114300" distR="114300" simplePos="0" relativeHeight="252016640" behindDoc="0" locked="0" layoutInCell="1" hidden="0" allowOverlap="1" wp14:anchorId="290DF8D2" wp14:editId="180F670F">
                <wp:simplePos x="0" y="0"/>
                <wp:positionH relativeFrom="margin">
                  <wp:posOffset>2457450</wp:posOffset>
                </wp:positionH>
                <wp:positionV relativeFrom="paragraph">
                  <wp:posOffset>2047875</wp:posOffset>
                </wp:positionV>
                <wp:extent cx="495300" cy="368300"/>
                <wp:effectExtent l="0" t="0" r="0" b="0"/>
                <wp:wrapNone/>
                <wp:docPr id="114" name="Rectangle 114"/>
                <wp:cNvGraphicFramePr/>
                <a:graphic xmlns:a="http://schemas.openxmlformats.org/drawingml/2006/main">
                  <a:graphicData uri="http://schemas.microsoft.com/office/word/2010/wordprocessingShape">
                    <wps:wsp>
                      <wps:cNvSpPr/>
                      <wps:spPr>
                        <a:xfrm>
                          <a:off x="0" y="0"/>
                          <a:ext cx="495300" cy="368300"/>
                        </a:xfrm>
                        <a:prstGeom prst="rect">
                          <a:avLst/>
                        </a:prstGeom>
                        <a:noFill/>
                        <a:ln>
                          <a:noFill/>
                        </a:ln>
                      </wps:spPr>
                      <wps:txbx>
                        <w:txbxContent>
                          <w:p w:rsidR="00AD6A02" w:rsidRDefault="00AD6A02" w:rsidP="00D60F76">
                            <w:pPr>
                              <w:spacing w:after="0"/>
                              <w:textDirection w:val="btLr"/>
                            </w:pPr>
                            <w:r>
                              <w:rPr>
                                <w:rFonts w:ascii="Calibri" w:eastAsia="Calibri" w:hAnsi="Calibri" w:cs="Calibri"/>
                                <w:b/>
                                <w:color w:val="000000"/>
                                <w:sz w:val="36"/>
                              </w:rPr>
                              <w:t>G</w:t>
                            </w:r>
                          </w:p>
                        </w:txbxContent>
                      </wps:txbx>
                      <wps:bodyPr wrap="square" lIns="88900" tIns="38100" rIns="88900" bIns="38100" anchor="t" anchorCtr="0"/>
                    </wps:wsp>
                  </a:graphicData>
                </a:graphic>
                <wp14:sizeRelH relativeFrom="margin">
                  <wp14:pctWidth>0</wp14:pctWidth>
                </wp14:sizeRelH>
              </wp:anchor>
            </w:drawing>
          </mc:Choice>
          <mc:Fallback>
            <w:pict>
              <v:rect w14:anchorId="290DF8D2" id="Rectangle 114" o:spid="_x0000_s1081" style="position:absolute;left:0;text-align:left;margin-left:193.5pt;margin-top:161.25pt;width:39pt;height:29pt;z-index:252016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s4frgEAAFADAAAOAAAAZHJzL2Uyb0RvYy54bWysU8tu2zAQvBfoPxC815LjOFAEyzk0SFCg&#10;aIM6/YA1RVoE+OqSseS/75J2HKe9Fb3Q+/LszuxqdTdZw/YSo/au4/NZzZl0wvfa7Tr+8/nhU8NZ&#10;TOB6MN7Jjh9k5Hfrjx9WY2jllR+86SUyAnGxHUPHh5RCW1VRDNJCnPkgHSWVRwuJXNxVPcJI6NZU&#10;V3V9U40e+4BeyBgpen9M8nXBV0qK9F2pKBMzHafZUnmxvNv8VusVtDuEMGhxGgP+YQoL2lHTM9Q9&#10;JGAvqP+Cslqgj16lmfC28kppIQsHYjOv/2CzGSDIwoXEieEsU/x/sOLb/gmZ7ml382vOHFha0g+S&#10;DdzOSJaDJNEYYkuVm/CEJy+SmflOCm3+JSZsKrIezrLKKTFBwevb5aIm8QWlFjdNtgmlevtzwJge&#10;pbcsGx1Hal/EhP3XmI6lryW5l/MP2hiKQ2vcuwBh5kiV5z1OmK00badCcbl8JbP1/YF4j7T4jsdf&#10;L4CSM/PFkbJNc5uHTcVZNPPs4GVme5kBJwZP95Q4O5qfU7muPHXuTWsrVE8nlu/i0i9Vbx/C+jcA&#10;AAD//wMAUEsDBBQABgAIAAAAIQDxS20m4AAAAAsBAAAPAAAAZHJzL2Rvd25yZXYueG1sTI/BTsMw&#10;EETvSPyDtUjcqEPalCrEqQoSvSAOtHyAEy+J1XgdYicNfD3bE9x2d0azb4rt7Dox4RCsJwX3iwQE&#10;Uu2NpUbBx/HlbgMiRE1Gd55QwTcG2JbXV4XOjT/TO06H2AgOoZBrBW2MfS5lqFt0Oix8j8Tapx+c&#10;jrwOjTSDPnO462SaJGvptCX+0Ooen1usT4fRKZh++tXT3hp/2n29zdXruF8erVPq9mbePYKIOMc/&#10;M1zwGR1KZqr8SCaITsFy88BdIg9pmoFgx2qd8aW6SEkGsizk/w7lLwAAAP//AwBQSwECLQAUAAYA&#10;CAAAACEAtoM4kv4AAADhAQAAEwAAAAAAAAAAAAAAAAAAAAAAW0NvbnRlbnRfVHlwZXNdLnhtbFBL&#10;AQItABQABgAIAAAAIQA4/SH/1gAAAJQBAAALAAAAAAAAAAAAAAAAAC8BAABfcmVscy8ucmVsc1BL&#10;AQItABQABgAIAAAAIQAqMs4frgEAAFADAAAOAAAAAAAAAAAAAAAAAC4CAABkcnMvZTJvRG9jLnht&#10;bFBLAQItABQABgAIAAAAIQDxS20m4AAAAAsBAAAPAAAAAAAAAAAAAAAAAAgEAABkcnMvZG93bnJl&#10;di54bWxQSwUGAAAAAAQABADzAAAAFQUAAAAA&#10;" filled="f" stroked="f">
                <v:textbox inset="7pt,3pt,7pt,3pt">
                  <w:txbxContent>
                    <w:p w:rsidR="00AD6A02" w:rsidRDefault="00AD6A02" w:rsidP="00D60F76">
                      <w:pPr>
                        <w:spacing w:after="0"/>
                        <w:textDirection w:val="btLr"/>
                      </w:pPr>
                      <w:r>
                        <w:rPr>
                          <w:rFonts w:ascii="Calibri" w:eastAsia="Calibri" w:hAnsi="Calibri" w:cs="Calibri"/>
                          <w:b/>
                          <w:color w:val="000000"/>
                          <w:sz w:val="36"/>
                        </w:rPr>
                        <w:t>G</w:t>
                      </w:r>
                    </w:p>
                  </w:txbxContent>
                </v:textbox>
                <w10:wrap anchorx="margin"/>
              </v:rect>
            </w:pict>
          </mc:Fallback>
        </mc:AlternateContent>
      </w:r>
      <w:r w:rsidR="00D60F76" w:rsidRPr="00D60F76">
        <w:rPr>
          <w:noProof/>
          <w:lang w:eastAsia="en-GB"/>
        </w:rPr>
        <mc:AlternateContent>
          <mc:Choice Requires="wps">
            <w:drawing>
              <wp:anchor distT="0" distB="0" distL="114300" distR="114300" simplePos="0" relativeHeight="252014592" behindDoc="0" locked="0" layoutInCell="1" hidden="0" allowOverlap="1" wp14:anchorId="290DF8D2" wp14:editId="180F670F">
                <wp:simplePos x="0" y="0"/>
                <wp:positionH relativeFrom="margin">
                  <wp:posOffset>1343025</wp:posOffset>
                </wp:positionH>
                <wp:positionV relativeFrom="paragraph">
                  <wp:posOffset>1181100</wp:posOffset>
                </wp:positionV>
                <wp:extent cx="495300" cy="368300"/>
                <wp:effectExtent l="0" t="0" r="0" b="0"/>
                <wp:wrapNone/>
                <wp:docPr id="313" name="Rectangle 313"/>
                <wp:cNvGraphicFramePr/>
                <a:graphic xmlns:a="http://schemas.openxmlformats.org/drawingml/2006/main">
                  <a:graphicData uri="http://schemas.microsoft.com/office/word/2010/wordprocessingShape">
                    <wps:wsp>
                      <wps:cNvSpPr/>
                      <wps:spPr>
                        <a:xfrm>
                          <a:off x="0" y="0"/>
                          <a:ext cx="495300" cy="368300"/>
                        </a:xfrm>
                        <a:prstGeom prst="rect">
                          <a:avLst/>
                        </a:prstGeom>
                        <a:noFill/>
                        <a:ln>
                          <a:noFill/>
                        </a:ln>
                      </wps:spPr>
                      <wps:txbx>
                        <w:txbxContent>
                          <w:p w:rsidR="00AD6A02" w:rsidRDefault="00AD6A02" w:rsidP="00D60F76">
                            <w:pPr>
                              <w:spacing w:after="0"/>
                              <w:textDirection w:val="btLr"/>
                            </w:pPr>
                            <w:r>
                              <w:rPr>
                                <w:rFonts w:ascii="Calibri" w:eastAsia="Calibri" w:hAnsi="Calibri" w:cs="Calibri"/>
                                <w:b/>
                                <w:color w:val="000000"/>
                                <w:sz w:val="36"/>
                              </w:rPr>
                              <w:t>G</w:t>
                            </w:r>
                          </w:p>
                        </w:txbxContent>
                      </wps:txbx>
                      <wps:bodyPr wrap="square" lIns="88900" tIns="38100" rIns="88900" bIns="38100" anchor="t" anchorCtr="0"/>
                    </wps:wsp>
                  </a:graphicData>
                </a:graphic>
                <wp14:sizeRelH relativeFrom="margin">
                  <wp14:pctWidth>0</wp14:pctWidth>
                </wp14:sizeRelH>
              </wp:anchor>
            </w:drawing>
          </mc:Choice>
          <mc:Fallback>
            <w:pict>
              <v:rect w14:anchorId="290DF8D2" id="Rectangle 313" o:spid="_x0000_s1082" style="position:absolute;left:0;text-align:left;margin-left:105.75pt;margin-top:93pt;width:39pt;height:29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URrgEAAFADAAAOAAAAZHJzL2Uyb0RvYy54bWysU8tu2zAQvBfoPxC815KjxlAEyzk0SFGg&#10;aIOm/YA1RVoE+OqSseS/75J2HLe5Bb1Q+9LsznC5vp2tYXuJUXvX8+Wi5kw64Qftdj3/9fP+Q8tZ&#10;TOAGMN7Jnh9k5Leb9+/WU+jklR+9GSQyAnGxm0LPx5RCV1VRjNJCXPggHSWVRwuJXNxVA8JE6NZU&#10;V3W9qiaPQ0AvZIwUvTsm+abgKyVF+q5UlImZntNsqZxYzm0+q80auh1CGLU4jQFvmMKCdtT0DHUH&#10;CdgT6ldQVgv00au0EN5WXiktZOFAbJb1P2weRwiycCFxYjjLFP8frPi2f0Cmh543y4YzB5Yu6QfJ&#10;Bm5nJMtBkmgKsaPKx/CAJy+SmfnOCm3+EhM2F1kPZ1nlnJig4Meb66Ym8QWlmlWbbUKpXn4OGNNn&#10;6S3LRs+R2hcxYf81pmPpc0nu5fy9Nobi0Bn3V4Awc6TK8x4nzFaat3OheL16JrP1w4F4T3TxPY+/&#10;nwAlZ+aLI2Xb9iYPm4rTtMvs4GVme5kBJ0ZP+5Q4O5qfUtmuPHXuTddWqJ5WLO/FpV+qXh7C5g8A&#10;AAD//wMAUEsDBBQABgAIAAAAIQDAf1HY3wAAAAsBAAAPAAAAZHJzL2Rvd25yZXYueG1sTI9BT4NA&#10;EIXvJv6HzZh4swuIDVKWpprYi/Fg6w9Y2CmQsrPILhT99Y4nvc3Me3nzvWK72F7MOPrOkYJ4FYFA&#10;qp3pqFHwcXy5y0D4oMno3hEq+EIP2/L6qtC5cRd6x/kQGsEh5HOtoA1hyKX0dYtW+5UbkFg7udHq&#10;wOvYSDPqC4fbXiZRtJZWd8QfWj3gc4v1+TBZBfP3kD7tO+POu8+3pXqd9vfHzip1e7PsNiACLuHP&#10;DL/4jA4lM1VuIuNFryCJ4we2spCtuRQ7kuyRLxUPaRqBLAv5v0P5AwAA//8DAFBLAQItABQABgAI&#10;AAAAIQC2gziS/gAAAOEBAAATAAAAAAAAAAAAAAAAAAAAAABbQ29udGVudF9UeXBlc10ueG1sUEsB&#10;Ai0AFAAGAAgAAAAhADj9If/WAAAAlAEAAAsAAAAAAAAAAAAAAAAALwEAAF9yZWxzLy5yZWxzUEsB&#10;Ai0AFAAGAAgAAAAhAL9CdRGuAQAAUAMAAA4AAAAAAAAAAAAAAAAALgIAAGRycy9lMm9Eb2MueG1s&#10;UEsBAi0AFAAGAAgAAAAhAMB/UdjfAAAACwEAAA8AAAAAAAAAAAAAAAAACAQAAGRycy9kb3ducmV2&#10;LnhtbFBLBQYAAAAABAAEAPMAAAAUBQAAAAA=&#10;" filled="f" stroked="f">
                <v:textbox inset="7pt,3pt,7pt,3pt">
                  <w:txbxContent>
                    <w:p w:rsidR="00AD6A02" w:rsidRDefault="00AD6A02" w:rsidP="00D60F76">
                      <w:pPr>
                        <w:spacing w:after="0"/>
                        <w:textDirection w:val="btLr"/>
                      </w:pPr>
                      <w:r>
                        <w:rPr>
                          <w:rFonts w:ascii="Calibri" w:eastAsia="Calibri" w:hAnsi="Calibri" w:cs="Calibri"/>
                          <w:b/>
                          <w:color w:val="000000"/>
                          <w:sz w:val="36"/>
                        </w:rPr>
                        <w:t>G</w:t>
                      </w:r>
                    </w:p>
                  </w:txbxContent>
                </v:textbox>
                <w10:wrap anchorx="margin"/>
              </v:rect>
            </w:pict>
          </mc:Fallback>
        </mc:AlternateContent>
      </w:r>
      <w:r w:rsidR="00761558">
        <w:rPr>
          <w:noProof/>
          <w:lang w:eastAsia="en-GB"/>
        </w:rPr>
        <mc:AlternateContent>
          <mc:Choice Requires="wps">
            <w:drawing>
              <wp:anchor distT="0" distB="0" distL="114300" distR="114300" simplePos="0" relativeHeight="251790336" behindDoc="0" locked="0" layoutInCell="1" hidden="0" allowOverlap="1" wp14:anchorId="4E1111A4" wp14:editId="7FDEA128">
                <wp:simplePos x="0" y="0"/>
                <wp:positionH relativeFrom="margin">
                  <wp:posOffset>1374775</wp:posOffset>
                </wp:positionH>
                <wp:positionV relativeFrom="paragraph">
                  <wp:posOffset>600075</wp:posOffset>
                </wp:positionV>
                <wp:extent cx="508000" cy="228600"/>
                <wp:effectExtent l="38100" t="19050" r="25400" b="57150"/>
                <wp:wrapNone/>
                <wp:docPr id="226" name="Freeform 226"/>
                <wp:cNvGraphicFramePr/>
                <a:graphic xmlns:a="http://schemas.openxmlformats.org/drawingml/2006/main">
                  <a:graphicData uri="http://schemas.microsoft.com/office/word/2010/wordprocessingShape">
                    <wps:wsp>
                      <wps:cNvSpPr/>
                      <wps:spPr>
                        <a:xfrm flipH="1">
                          <a:off x="0" y="0"/>
                          <a:ext cx="508000" cy="228600"/>
                        </a:xfrm>
                        <a:custGeom>
                          <a:avLst/>
                          <a:gdLst/>
                          <a:ahLst/>
                          <a:cxnLst/>
                          <a:rect l="0" t="0" r="0" b="0"/>
                          <a:pathLst>
                            <a:path w="485775" h="200025" extrusionOk="0">
                              <a:moveTo>
                                <a:pt x="0" y="0"/>
                              </a:moveTo>
                              <a:lnTo>
                                <a:pt x="485775" y="200025"/>
                              </a:lnTo>
                            </a:path>
                          </a:pathLst>
                        </a:custGeom>
                        <a:solidFill>
                          <a:srgbClr val="FFFFFF"/>
                        </a:solidFill>
                        <a:ln w="28575" cap="flat" cmpd="sng">
                          <a:solidFill>
                            <a:schemeClr val="accent1"/>
                          </a:solidFill>
                          <a:prstDash val="solid"/>
                          <a:miter/>
                          <a:headEnd type="none" w="med" len="med"/>
                          <a:tailEnd type="triangle" w="lg" len="lg"/>
                        </a:ln>
                      </wps:spPr>
                      <wps:bodyPr lIns="91425" tIns="91425" rIns="91425" bIns="91425" anchor="ctr" anchorCtr="0"/>
                    </wps:wsp>
                  </a:graphicData>
                </a:graphic>
              </wp:anchor>
            </w:drawing>
          </mc:Choice>
          <mc:Fallback>
            <w:pict>
              <v:shape w14:anchorId="583CE90E" id="Freeform 226" o:spid="_x0000_s1026" style="position:absolute;margin-left:108.25pt;margin-top:47.25pt;width:40pt;height:18pt;flip:x;z-index:251790336;visibility:visible;mso-wrap-style:square;mso-wrap-distance-left:9pt;mso-wrap-distance-top:0;mso-wrap-distance-right:9pt;mso-wrap-distance-bottom:0;mso-position-horizontal:absolute;mso-position-horizontal-relative:margin;mso-position-vertical:absolute;mso-position-vertical-relative:text;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J90VwIAAAAFAAAOAAAAZHJzL2Uyb0RvYy54bWysVMtu2zAQvBfoPxC815KFOHENyznEdVug&#10;aAIk/YA1RUlEKZIgacv+++5Sfihp0UNRHYRZcjnc2QeX94dOs730QVlT8ukk50waYStlmpL/eNl8&#10;mHMWIpgKtDWy5EcZ+P3q/btl7xaysK3VlfQMSUxY9K7kbYxukWVBtLKDMLFOGtysre8goumbrPLQ&#10;I3unsyLPb7Pe+sp5K2QIuLoeNvkq8de1FPGxroOMTJccY4vp79N/S/9stYRF48G1SpzCgH+IogNl&#10;8NIL1RoisJ1Xv1F1SngbbB0nwnaZrWslZNKAaqb5GzXPLTiZtGBygrukKfw/WvF9/+SZqkpeFLec&#10;GeiwSBsvJaWc0RpmqHdhgY7P7smfrICQ5B5q9Kq1cl+w+CkBKIkdUn6Pl/zKQ2QCF2f5PM+xCgK3&#10;imJ+ixj5soGG6MQuxM/SdoRh/y3EoTzVGUF7RuJgztBjkf9aXgeRzhEpQdaX/GY+u7ubcdZiIBhS&#10;gRCD9Dtq48efFDh5d3YvX2w6F9+IwqCvu9qMvc7cJHLgHkQOXniQgkiyL4Hh4lh6sFpVG6U1XR18&#10;s33Qnu0BW3iTvlPWXrlpQ7oK1IVaBOAo1Roiws5hcYNpkqJXR9KQyQs3CCFNnP6J3PkQ1xDaIYhE&#10;Qm6YAxWlT6iVUH0yFYtHhx1kcNg5BdTJijMt8W0glDwjKH31jF6BafTgrZuTM4Jz0jBT1H9DxxHa&#10;2uqIPau/GpyDj9MbKl4cG35sbMcGGNFanH4RPWeD8RDTa0C3ETmOWSrN6UmgOR7byev6cK1+AQAA&#10;//8DAFBLAwQUAAYACAAAACEAz92+Id8AAAAKAQAADwAAAGRycy9kb3ducmV2LnhtbEyPz07DMAyH&#10;70i8Q2QkLoilK+xPS9OJDXFA4kLZA2SNaUsbp2rSrrw93glOlu1PP3/OdrPtxISDbxwpWC4iEEil&#10;Mw1VCo6fr/dbED5oMrpzhAp+0MMuv77KdGrcmT5wKkIlOIR8qhXUIfSplL6s0Wq/cD0S777cYHXg&#10;dqikGfSZw20n4yhaS6sb4gu17vFQY9kWo1XQvtHL5m4/tkYm31G/L6bN4V0qdXszPz+BCDiHPxgu&#10;+qwOOTud3EjGi05BvFyvGFWQPHJlIE4ugxOTD9EKZJ7J/y/kvwAAAP//AwBQSwECLQAUAAYACAAA&#10;ACEAtoM4kv4AAADhAQAAEwAAAAAAAAAAAAAAAAAAAAAAW0NvbnRlbnRfVHlwZXNdLnhtbFBLAQIt&#10;ABQABgAIAAAAIQA4/SH/1gAAAJQBAAALAAAAAAAAAAAAAAAAAC8BAABfcmVscy8ucmVsc1BLAQIt&#10;ABQABgAIAAAAIQBdSJ90VwIAAAAFAAAOAAAAAAAAAAAAAAAAAC4CAABkcnMvZTJvRG9jLnhtbFBL&#10;AQItABQABgAIAAAAIQDP3b4h3wAAAAoBAAAPAAAAAAAAAAAAAAAAALEEAABkcnMvZG93bnJldi54&#10;bWxQSwUGAAAAAAQABADzAAAAvQUAAAAA&#10;" path="m,l485775,200025e" strokecolor="#5b9bd5 [3204]" strokeweight="2.25pt">
                <v:stroke endarrow="block" endarrowwidth="wide" endarrowlength="long" joinstyle="miter"/>
                <v:path arrowok="t" o:extrusionok="f" textboxrect="0,0,485775,200025"/>
                <w10:wrap anchorx="margin"/>
              </v:shape>
            </w:pict>
          </mc:Fallback>
        </mc:AlternateContent>
      </w:r>
      <w:r w:rsidR="00D6350D">
        <w:rPr>
          <w:noProof/>
          <w:lang w:eastAsia="en-GB"/>
        </w:rPr>
        <mc:AlternateContent>
          <mc:Choice Requires="wps">
            <w:drawing>
              <wp:anchor distT="0" distB="0" distL="114300" distR="114300" simplePos="0" relativeHeight="251795456" behindDoc="0" locked="0" layoutInCell="1" hidden="0" allowOverlap="1" wp14:anchorId="2A9E25B6" wp14:editId="10197C47">
                <wp:simplePos x="0" y="0"/>
                <wp:positionH relativeFrom="margin">
                  <wp:posOffset>2964814</wp:posOffset>
                </wp:positionH>
                <wp:positionV relativeFrom="paragraph">
                  <wp:posOffset>944245</wp:posOffset>
                </wp:positionV>
                <wp:extent cx="673100" cy="45719"/>
                <wp:effectExtent l="0" t="171450" r="0" b="145415"/>
                <wp:wrapNone/>
                <wp:docPr id="157" name="Freeform 157"/>
                <wp:cNvGraphicFramePr/>
                <a:graphic xmlns:a="http://schemas.openxmlformats.org/drawingml/2006/main">
                  <a:graphicData uri="http://schemas.microsoft.com/office/word/2010/wordprocessingShape">
                    <wps:wsp>
                      <wps:cNvSpPr/>
                      <wps:spPr>
                        <a:xfrm rot="9109285" flipH="1" flipV="1">
                          <a:off x="0" y="0"/>
                          <a:ext cx="673100" cy="45719"/>
                        </a:xfrm>
                        <a:custGeom>
                          <a:avLst/>
                          <a:gdLst/>
                          <a:ahLst/>
                          <a:cxnLst/>
                          <a:rect l="0" t="0" r="0" b="0"/>
                          <a:pathLst>
                            <a:path w="647700" h="66675" extrusionOk="0">
                              <a:moveTo>
                                <a:pt x="0" y="0"/>
                              </a:moveTo>
                              <a:lnTo>
                                <a:pt x="647700" y="66675"/>
                              </a:lnTo>
                            </a:path>
                          </a:pathLst>
                        </a:custGeom>
                        <a:solidFill>
                          <a:srgbClr val="FFFFFF"/>
                        </a:solidFill>
                        <a:ln w="28575" cap="flat" cmpd="sng">
                          <a:solidFill>
                            <a:srgbClr val="00B050"/>
                          </a:solidFill>
                          <a:prstDash val="solid"/>
                          <a:miter/>
                          <a:headEnd type="none" w="med" len="med"/>
                          <a:tailEnd type="triangle" w="lg" len="lg"/>
                        </a:ln>
                      </wps:spPr>
                      <wps:bodyPr lIns="91425" tIns="91425" rIns="91425" bIns="91425" anchor="ctr" anchorCtr="0"/>
                    </wps:wsp>
                  </a:graphicData>
                </a:graphic>
                <wp14:sizeRelV relativeFrom="margin">
                  <wp14:pctHeight>0</wp14:pctHeight>
                </wp14:sizeRelV>
              </wp:anchor>
            </w:drawing>
          </mc:Choice>
          <mc:Fallback>
            <w:pict>
              <v:shape w14:anchorId="5470F5A6" id="Freeform 157" o:spid="_x0000_s1026" style="position:absolute;margin-left:233.45pt;margin-top:74.35pt;width:53pt;height:3.6pt;rotation:9949768fd;flip:x y;z-index:251795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coordsize="647700,6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cUMZQIAABIFAAAOAAAAZHJzL2Uyb0RvYy54bWysVMlu2zAQvRfoPxC815JdL7FhO0Djui1Q&#10;JAGS9j6mKIkoRRIkvf19Zygvcgr0UFQHYYYcPr43C+f3h0aznfRBWbPg/V7OmTTCFspUC/7jdf3h&#10;jrMQwRSgrZELfpSB3y/fv5vv3UwObG11IT1DEBNme7fgdYxulmVB1LKB0LNOGtwsrW8gouurrPCw&#10;R/RGZ4M8H2d76wvnrZAh4Oqq3eTLhF+WUsSnsgwyMr3gyC2mv0//Df2z5RxmlQdXK3GiAf/AogFl&#10;8NIL1AoisK1Xf0A1SngbbBl7wjaZLUslZNKAavr5GzUvNTiZtGBygrukKfw/WPG4e/ZMFVi70YQz&#10;Aw0Wae2lpJQzWsMM7V2YYeCLe/YnL6BJcg8lRnmLaZ328+ngbsRZqZX7inCt9ZMsikSp7JDyfrzk&#10;XR4iE7g4nnzs51gdgVvD0aQ/pUuzFp3Oim2IX6RtyIbd9xDbqhVnC+qzJQ7mbHqs/V+r7iDSOQIl&#10;k+2RyHAyISI1muPxBNUgRb+l5n76RbQpuLE7+WrTsfhGEnK+7mrTjTpDo8QWupXYBuE5opBEX2jh&#10;Yld4sFoVa6U13Rx8tXnQnu0A+3qdvlPObsK0IVVYFpIiAOer1BDRbBxWPJgqCbo5coOc55/yURoS&#10;JHMT5nyIKwh1yyBtEQHUr6KkLoFZLaH4bAoWjw57yuD4c2LTyIIzLfG1ICtFRlD6Ghm9AlPpNlpX&#10;p2A0zhnDNFFHtj1I1sYWR+xi/c3gZEz7wwGqjV3Hd51N1wEjaovvgYies9Z5iOl9oNsIHAcv1eX0&#10;SNBkd/0UdX3Klr8BAAD//wMAUEsDBBQABgAIAAAAIQAtiAla3wAAAAsBAAAPAAAAZHJzL2Rvd25y&#10;ZXYueG1sTI/BboMwEETvlfoP1lbqrTGJgCQEE7WReuihjUr6AQY2gILXCJtA/r7bU3PcmdHM23Q/&#10;m05ccXCtJQXLRQACqbRVS7WCn9P7ywaE85oq3VlCBTd0sM8eH1KdVHaib7zmvhZcQi7RChrv+0RK&#10;VzZotFvYHom9sx2M9nwOtawGPXG56eQqCGJpdEu80OgeDw2Wl3w0vHvsP78+CrMM6XSrp/P4lh8P&#10;s1LPT/PrDoTH2f+H4Q+f0SFjpsKOVDnRKQjjeMtRNsLNGgQnovWKlYKVKNqCzFJ5/0P2CwAA//8D&#10;AFBLAQItABQABgAIAAAAIQC2gziS/gAAAOEBAAATAAAAAAAAAAAAAAAAAAAAAABbQ29udGVudF9U&#10;eXBlc10ueG1sUEsBAi0AFAAGAAgAAAAhADj9If/WAAAAlAEAAAsAAAAAAAAAAAAAAAAALwEAAF9y&#10;ZWxzLy5yZWxzUEsBAi0AFAAGAAgAAAAhAIrpxQxlAgAAEgUAAA4AAAAAAAAAAAAAAAAALgIAAGRy&#10;cy9lMm9Eb2MueG1sUEsBAi0AFAAGAAgAAAAhAC2ICVrfAAAACwEAAA8AAAAAAAAAAAAAAAAAvwQA&#10;AGRycy9kb3ducmV2LnhtbFBLBQYAAAAABAAEAPMAAADLBQAAAAA=&#10;" path="m,l647700,66675e" strokecolor="#00b050" strokeweight="2.25pt">
                <v:stroke endarrow="block" endarrowwidth="wide" endarrowlength="long" joinstyle="miter"/>
                <v:path arrowok="t" o:extrusionok="f" textboxrect="0,0,647700,66675"/>
                <w10:wrap anchorx="margin"/>
              </v:shape>
            </w:pict>
          </mc:Fallback>
        </mc:AlternateContent>
      </w:r>
      <w:r w:rsidR="00616C71">
        <w:rPr>
          <w:noProof/>
          <w:lang w:eastAsia="en-GB"/>
        </w:rPr>
        <w:drawing>
          <wp:inline distT="0" distB="0" distL="0" distR="0" wp14:anchorId="034B3473" wp14:editId="7727D546">
            <wp:extent cx="3959279" cy="3168000"/>
            <wp:effectExtent l="0" t="0" r="0" b="0"/>
            <wp:docPr id="28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1"/>
                    <a:srcRect/>
                    <a:stretch>
                      <a:fillRect/>
                    </a:stretch>
                  </pic:blipFill>
                  <pic:spPr>
                    <a:xfrm>
                      <a:off x="0" y="0"/>
                      <a:ext cx="3959279" cy="3168000"/>
                    </a:xfrm>
                    <a:prstGeom prst="rect">
                      <a:avLst/>
                    </a:prstGeom>
                    <a:ln/>
                  </pic:spPr>
                </pic:pic>
              </a:graphicData>
            </a:graphic>
          </wp:inline>
        </w:drawing>
      </w:r>
    </w:p>
    <w:p w:rsidR="009B053D" w:rsidRDefault="009B053D" w:rsidP="009B053D">
      <w:pPr>
        <w:pBdr>
          <w:top w:val="nil"/>
          <w:left w:val="nil"/>
          <w:bottom w:val="nil"/>
          <w:right w:val="nil"/>
          <w:between w:val="nil"/>
        </w:pBdr>
        <w:spacing w:after="0" w:line="259" w:lineRule="auto"/>
        <w:contextualSpacing/>
        <w:jc w:val="left"/>
        <w:rPr>
          <w:sz w:val="20"/>
          <w:szCs w:val="20"/>
        </w:rPr>
      </w:pPr>
    </w:p>
    <w:p w:rsidR="00616C71" w:rsidRDefault="00616C71" w:rsidP="009B053D">
      <w:pPr>
        <w:pBdr>
          <w:top w:val="nil"/>
          <w:left w:val="nil"/>
          <w:bottom w:val="nil"/>
          <w:right w:val="nil"/>
          <w:between w:val="nil"/>
        </w:pBdr>
        <w:spacing w:after="0" w:line="259" w:lineRule="auto"/>
        <w:contextualSpacing/>
        <w:jc w:val="left"/>
        <w:rPr>
          <w:sz w:val="20"/>
          <w:szCs w:val="20"/>
        </w:rPr>
      </w:pPr>
      <w:r>
        <w:rPr>
          <w:noProof/>
          <w:lang w:eastAsia="en-GB"/>
        </w:rPr>
        <mc:AlternateContent>
          <mc:Choice Requires="wps">
            <w:drawing>
              <wp:anchor distT="0" distB="0" distL="114300" distR="114300" simplePos="0" relativeHeight="251789312" behindDoc="0" locked="0" layoutInCell="1" hidden="0" allowOverlap="1" wp14:anchorId="4E2DD2CC" wp14:editId="4EFCA9F6">
                <wp:simplePos x="0" y="0"/>
                <wp:positionH relativeFrom="margin">
                  <wp:posOffset>889000</wp:posOffset>
                </wp:positionH>
                <wp:positionV relativeFrom="paragraph">
                  <wp:posOffset>596900</wp:posOffset>
                </wp:positionV>
                <wp:extent cx="495300" cy="203200"/>
                <wp:effectExtent l="0" t="0" r="0" b="0"/>
                <wp:wrapNone/>
                <wp:docPr id="201" name="Freeform 201"/>
                <wp:cNvGraphicFramePr/>
                <a:graphic xmlns:a="http://schemas.openxmlformats.org/drawingml/2006/main">
                  <a:graphicData uri="http://schemas.microsoft.com/office/word/2010/wordprocessingShape">
                    <wps:wsp>
                      <wps:cNvSpPr/>
                      <wps:spPr>
                        <a:xfrm flipH="1">
                          <a:off x="5103112" y="3679987"/>
                          <a:ext cx="485774" cy="200024"/>
                        </a:xfrm>
                        <a:custGeom>
                          <a:avLst/>
                          <a:gdLst/>
                          <a:ahLst/>
                          <a:cxnLst/>
                          <a:rect l="0" t="0" r="0" b="0"/>
                          <a:pathLst>
                            <a:path w="485775" h="200025" extrusionOk="0">
                              <a:moveTo>
                                <a:pt x="0" y="0"/>
                              </a:moveTo>
                              <a:lnTo>
                                <a:pt x="485775" y="200025"/>
                              </a:lnTo>
                            </a:path>
                          </a:pathLst>
                        </a:custGeom>
                        <a:solidFill>
                          <a:srgbClr val="FFFFFF"/>
                        </a:solidFill>
                        <a:ln>
                          <a:noFill/>
                        </a:ln>
                      </wps:spPr>
                      <wps:bodyPr lIns="91425" tIns="91425" rIns="91425" bIns="91425" anchor="ctr" anchorCtr="0"/>
                    </wps:wsp>
                  </a:graphicData>
                </a:graphic>
              </wp:anchor>
            </w:drawing>
          </mc:Choice>
          <mc:Fallback>
            <w:pict>
              <v:shape w14:anchorId="59C14680" id="Freeform 201" o:spid="_x0000_s1026" style="position:absolute;margin-left:70pt;margin-top:47pt;width:39pt;height:16pt;flip:x;z-index:251789312;visibility:visible;mso-wrap-style:square;mso-wrap-distance-left:9pt;mso-wrap-distance-top:0;mso-wrap-distance-right:9pt;mso-wrap-distance-bottom:0;mso-position-horizontal:absolute;mso-position-horizontal-relative:margin;mso-position-vertical:absolute;mso-position-vertical-relative:text;v-text-anchor:middle" coordsize="485775,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ODHDwIAAEcEAAAOAAAAZHJzL2Uyb0RvYy54bWysU8tu2zAQvBfoPxC813rEjm3Bcg4J3BYo&#10;mgBJP4CmKIsoRRIkLdl/311KdpQW6CGIDsIuORzO7C43d6dWkU44L40uaTZLKRGam0rqQ0l/vey+&#10;rCjxgemKKaNFSc/C07vt50+b3hYiN41RlXAESLQvelvSJgRbJInnjWiZnxkrNGzWxrUsQOoOSeVY&#10;D+ytSvI0vU164yrrDBfew+rDsEm3kb+uBQ+Pde1FIKqkoC3Ev4v/Pf6T7YYVB8dsI/kog71DRcuk&#10;hkuvVA8sMHJ08h+qVnJnvKnDjJs2MXUtuYgewE2W/uXmuWFWRC9QHG+vZfIfR8t/dk+OyKqkcD8l&#10;mrXQpJ0TAktOcA0q1FtfAPDZPrkx8xCi3VMNqFpJ+w2aHwsAlsippIssvcmynJJzSW9ul+v1ajnU&#10;WpwC4QCYrxbL5ZwSDgBoZJrPcT8ZKJGaH334KkyLMet++DC0qrpErLlE/KQvoYOG/7fVlgU8h6QY&#10;kn5UsqCkGYVACCLdEUf68TcOCaJb04kXE88FNAjDBMrjAIHo112lp6joEggvJhejyQEFB1FEtH0V&#10;BotT694oWe2kUni1d4f9vXKkYzDOu/iNhG9gSiNYGzw2FBVXEmzj0DiM9qY6Q+vVdw3jtM7mOcgM&#10;08RNk/00YZo3Bh4RD46SIbkP8VHhbUgO0xpdjS8Ln8M0j6jX97/9AwAA//8DAFBLAwQUAAYACAAA&#10;ACEAmv2Nh+EAAAAKAQAADwAAAGRycy9kb3ducmV2LnhtbExPXU/CQBB8N/E/XJbEN7mjEIK1V2L8&#10;iCERI2iivB29pa309preAfXfuzzp085kJrMz2bx3jThiF2pPGkZDBQKp8LamUsPH+9P1DESIhqxp&#10;PKGGHwwwzy8vMpNaf6IVHtexFBxCITUaqhjbVMpQVOhMGPoWibWd75yJTLtS2s6cONw1MlFqKp2p&#10;iT9UpsX7Cov9+uA0FPtleHl++7arx/H467PdLR5e7Ubrq0F/dwsiYh//zHCuz9Uh505bfyAbRMN8&#10;onhL1HAz4cuGZDRjsGUlmSqQeSb/T8h/AQAA//8DAFBLAQItABQABgAIAAAAIQC2gziS/gAAAOEB&#10;AAATAAAAAAAAAAAAAAAAAAAAAABbQ29udGVudF9UeXBlc10ueG1sUEsBAi0AFAAGAAgAAAAhADj9&#10;If/WAAAAlAEAAAsAAAAAAAAAAAAAAAAALwEAAF9yZWxzLy5yZWxzUEsBAi0AFAAGAAgAAAAhAJNA&#10;4McPAgAARwQAAA4AAAAAAAAAAAAAAAAALgIAAGRycy9lMm9Eb2MueG1sUEsBAi0AFAAGAAgAAAAh&#10;AJr9jYfhAAAACgEAAA8AAAAAAAAAAAAAAAAAaQQAAGRycy9kb3ducmV2LnhtbFBLBQYAAAAABAAE&#10;APMAAAB3BQAAAAA=&#10;" path="m,l485775,200025e" stroked="f">
                <v:path arrowok="t" o:extrusionok="f" textboxrect="0,0,485775,200025"/>
                <w10:wrap anchorx="margin"/>
              </v:shape>
            </w:pict>
          </mc:Fallback>
        </mc:AlternateContent>
      </w:r>
      <w:r>
        <w:rPr>
          <w:noProof/>
          <w:lang w:eastAsia="en-GB"/>
        </w:rPr>
        <mc:AlternateContent>
          <mc:Choice Requires="wps">
            <w:drawing>
              <wp:anchor distT="0" distB="0" distL="114300" distR="114300" simplePos="0" relativeHeight="251791360" behindDoc="0" locked="0" layoutInCell="1" hidden="0" allowOverlap="1" wp14:anchorId="1AD980E8" wp14:editId="2533040C">
                <wp:simplePos x="0" y="0"/>
                <wp:positionH relativeFrom="margin">
                  <wp:posOffset>495300</wp:posOffset>
                </wp:positionH>
                <wp:positionV relativeFrom="paragraph">
                  <wp:posOffset>1371600</wp:posOffset>
                </wp:positionV>
                <wp:extent cx="381000" cy="368300"/>
                <wp:effectExtent l="0" t="0" r="0" b="0"/>
                <wp:wrapNone/>
                <wp:docPr id="234" name="Rectangle 234"/>
                <wp:cNvGraphicFramePr/>
                <a:graphic xmlns:a="http://schemas.openxmlformats.org/drawingml/2006/main">
                  <a:graphicData uri="http://schemas.microsoft.com/office/word/2010/wordprocessingShape">
                    <wps:wsp>
                      <wps:cNvSpPr/>
                      <wps:spPr>
                        <a:xfrm>
                          <a:off x="5155500" y="3595532"/>
                          <a:ext cx="381000" cy="368934"/>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1AD980E8" id="Rectangle 234" o:spid="_x0000_s1083" style="position:absolute;margin-left:39pt;margin-top:108pt;width:30pt;height:29pt;z-index:251791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LkxrgEAAE4DAAAOAAAAZHJzL2Uyb0RvYy54bWysU8tO4zAU3SPNP1jeT522BNKoLgsQaKQR&#10;IGA+wHXsxpJfsk2T/v1cOwXKsBuxcXwfOvec45v11Wg02osQlbMUz2cVRsJy1ym7o/jPy+3PBqOY&#10;mO2YdlZQfBARX21+nK0H34qF653uREAAYmM7eIr7lHxLSOS9MCzOnBcWitIFwxKEYUe6wAZAN5os&#10;quqCDC50PjguYoTszVTEm4IvpeDpQcooEtIUA7dUzlDObT7JZs3aXWC+V/xIg/0HC8OUhaHvUDcs&#10;MfQa1Bcoo3hw0ck0484QJ6XiomgANfPqHzXPPfOiaAFzon+3KX4fLL/fPwakOooXy3OMLDPwSE9g&#10;G7M7LVBOgkWDjy10PvvHcIwiXLPeUQaTv6AEjRTX87quKzD6QPGyXtX1cjFZLMaEODQsm3mV6zw3&#10;XDSrCZ98APkQ051wBuULxQGoFGPZ/ndMMBxa31ryXOtuldblFbX9lIDGnCGZ+8Q239K4HYvc+vJN&#10;2NZ1B/BA/7Lga9OsMr1UgkIWo3Ba2Z5WmOW9g21KGE3X61R2K/PM0+DRCuPjguWtOI1L18dvsPkL&#10;AAD//wMAUEsDBBQABgAIAAAAIQCWsest3wAAAAoBAAAPAAAAZHJzL2Rvd25yZXYueG1sTI/NTsMw&#10;EITvSH0Haytxo05/1FYhTlWQ6AVxoOUBnHhJrMbrEDtp4OnZnOC2Ozua/SY7jK4RA3bBelKwXCQg&#10;kEpvLFUKPi4vD3sQIWoyuvGECr4xwCGf3WU6Nf5G7zicYyU4hEKqFdQxtqmUoazR6bDwLRLfPn3n&#10;dOS1q6Tp9I3DXSNXSbKVTlviD7Vu8bnG8nrunYLhp908nazx1+PX21i89qf1xTql7ufj8RFExDH+&#10;mWHCZ3TImanwPZkgGgW7PVeJClbLLQ+TYT0pBSu7TQIyz+T/CvkvAAAA//8DAFBLAQItABQABgAI&#10;AAAAIQC2gziS/gAAAOEBAAATAAAAAAAAAAAAAAAAAAAAAABbQ29udGVudF9UeXBlc10ueG1sUEsB&#10;Ai0AFAAGAAgAAAAhADj9If/WAAAAlAEAAAsAAAAAAAAAAAAAAAAALwEAAF9yZWxzLy5yZWxzUEsB&#10;Ai0AFAAGAAgAAAAhAPQsuTGuAQAATgMAAA4AAAAAAAAAAAAAAAAALgIAAGRycy9lMm9Eb2MueG1s&#10;UEsBAi0AFAAGAAgAAAAhAJax6y3fAAAACgEAAA8AAAAAAAAAAAAAAAAACAQAAGRycy9kb3ducmV2&#10;LnhtbFBLBQYAAAAABAAEAPMAAAAUBQ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G</w:t>
                      </w:r>
                    </w:p>
                  </w:txbxContent>
                </v:textbox>
                <w10:wrap anchorx="margin"/>
              </v:rect>
            </w:pict>
          </mc:Fallback>
        </mc:AlternateContent>
      </w:r>
      <w:r>
        <w:rPr>
          <w:noProof/>
          <w:lang w:eastAsia="en-GB"/>
        </w:rPr>
        <mc:AlternateContent>
          <mc:Choice Requires="wps">
            <w:drawing>
              <wp:anchor distT="0" distB="0" distL="114300" distR="114300" simplePos="0" relativeHeight="251792384" behindDoc="0" locked="0" layoutInCell="1" hidden="0" allowOverlap="1" wp14:anchorId="312F09F1" wp14:editId="749D2443">
                <wp:simplePos x="0" y="0"/>
                <wp:positionH relativeFrom="margin">
                  <wp:posOffset>1816100</wp:posOffset>
                </wp:positionH>
                <wp:positionV relativeFrom="paragraph">
                  <wp:posOffset>1828800</wp:posOffset>
                </wp:positionV>
                <wp:extent cx="381000" cy="368300"/>
                <wp:effectExtent l="0" t="0" r="0" b="0"/>
                <wp:wrapNone/>
                <wp:docPr id="138" name="Rectangle 138"/>
                <wp:cNvGraphicFramePr/>
                <a:graphic xmlns:a="http://schemas.openxmlformats.org/drawingml/2006/main">
                  <a:graphicData uri="http://schemas.microsoft.com/office/word/2010/wordprocessingShape">
                    <wps:wsp>
                      <wps:cNvSpPr/>
                      <wps:spPr>
                        <a:xfrm>
                          <a:off x="5155500" y="3595532"/>
                          <a:ext cx="381000" cy="368934"/>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312F09F1" id="Rectangle 138" o:spid="_x0000_s1084" style="position:absolute;margin-left:143pt;margin-top:2in;width:30pt;height:29pt;z-index:251792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3JrQEAAE4DAAAOAAAAZHJzL2Uyb0RvYy54bWysU8uO0zAU3SPxD5b31GlDRmnUdBaMBiEh&#10;GDHwAa5jN5b80rVp0r/n2imdDuwQG+e+dHzOuc7ufraGnCRE7V1P16uKEumEH7Q79vTH98d3LSUx&#10;cTdw453s6VlGer9/+2Y3hU5u/OjNIIEgiIvdFHo6phQ6xqIYpeVx5YN02FQeLE+YwpENwCdEt4Zt&#10;quqOTR6GAF7IGLH6sDTpvuArJUX6qlSUiZieIrdUTijnIZ9sv+PdEXgYtbjQ4P/AwnLt8NIr1ANP&#10;nPwE/ReU1QJ89CqthLfMK6WFLBpQzbr6Q83zyIMsWtCcGK42xf8HK76cnoDoAXdX46oct7ikb2gb&#10;d0cjSS6iRVOIHU4+hye4ZBHDrHdWYPMXlZC5p826aZoKjT73tG62TVNvFovlnIjAgbpdV7kv8sBd&#10;u63f5z57AQoQ00fpLclBTwGpFGP56XNMy+jvkXyv84/aGKzzzrhXBcTMFZa5L2xzlObDXOQ2V2EH&#10;P5zRA/PJoa9tu830UkkKWUrgtnO47XAnRo+vKVGyhB9SeVuZZ74Nl1bEXR5YfhW3eZl6+Q32vwAA&#10;AP//AwBQSwMEFAAGAAgAAAAhAEPRvwrcAAAACwEAAA8AAABkcnMvZG93bnJldi54bWxMj81OwzAQ&#10;hO9IvIO1lbhRpz+qohCnKkj0gjjQ8gBOvCRW43WInTTw9GwkJLjN7o5mv8n3k2vFiH2wnhSslgkI&#10;pMobS7WC9/PzfQoiRE1Gt55QwRcG2Be3N7nOjL/SG46nWAsOoZBpBU2MXSZlqBp0Oix9h8S3D987&#10;HXnsa2l6feVw18p1kuyk05b4Q6M7fGqwupwGp2D87raPR2v85fD5OpUvw3Fztk6pu8V0eAARcYp/&#10;ZpjxGR0KZir9QCaIVsE63XGXOIuUBTs223lT/gpZ5PJ/h+IHAAD//wMAUEsBAi0AFAAGAAgAAAAh&#10;ALaDOJL+AAAA4QEAABMAAAAAAAAAAAAAAAAAAAAAAFtDb250ZW50X1R5cGVzXS54bWxQSwECLQAU&#10;AAYACAAAACEAOP0h/9YAAACUAQAACwAAAAAAAAAAAAAAAAAvAQAAX3JlbHMvLnJlbHNQSwECLQAU&#10;AAYACAAAACEALGhdya0BAABOAwAADgAAAAAAAAAAAAAAAAAuAgAAZHJzL2Uyb0RvYy54bWxQSwEC&#10;LQAUAAYACAAAACEAQ9G/CtwAAAALAQAADwAAAAAAAAAAAAAAAAAHBAAAZHJzL2Rvd25yZXYueG1s&#10;UEsFBgAAAAAEAAQA8wAAABAFA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G</w:t>
                      </w:r>
                    </w:p>
                  </w:txbxContent>
                </v:textbox>
                <w10:wrap anchorx="margin"/>
              </v:rect>
            </w:pict>
          </mc:Fallback>
        </mc:AlternateContent>
      </w:r>
      <w:r>
        <w:rPr>
          <w:noProof/>
          <w:lang w:eastAsia="en-GB"/>
        </w:rPr>
        <mc:AlternateContent>
          <mc:Choice Requires="wps">
            <w:drawing>
              <wp:anchor distT="0" distB="0" distL="114300" distR="114300" simplePos="0" relativeHeight="251793408" behindDoc="0" locked="0" layoutInCell="1" hidden="0" allowOverlap="1" wp14:anchorId="4B8503A4" wp14:editId="48E99A98">
                <wp:simplePos x="0" y="0"/>
                <wp:positionH relativeFrom="margin">
                  <wp:posOffset>2743200</wp:posOffset>
                </wp:positionH>
                <wp:positionV relativeFrom="paragraph">
                  <wp:posOffset>1028700</wp:posOffset>
                </wp:positionV>
                <wp:extent cx="228600" cy="330200"/>
                <wp:effectExtent l="0" t="0" r="0" b="0"/>
                <wp:wrapNone/>
                <wp:docPr id="120" name="Rectangle 120"/>
                <wp:cNvGraphicFramePr/>
                <a:graphic xmlns:a="http://schemas.openxmlformats.org/drawingml/2006/main">
                  <a:graphicData uri="http://schemas.microsoft.com/office/word/2010/wordprocessingShape">
                    <wps:wsp>
                      <wps:cNvSpPr/>
                      <wps:spPr>
                        <a:xfrm>
                          <a:off x="2480244" y="3618710"/>
                          <a:ext cx="227964" cy="32258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4B8503A4" id="Rectangle 120" o:spid="_x0000_s1085" style="position:absolute;margin-left:3in;margin-top:81pt;width:18pt;height:26pt;z-index:251793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BqasAEAAE4DAAAOAAAAZHJzL2Uyb0RvYy54bWysU8tu2zAQvBfoPxC815QUx5EFyzkkSFGg&#10;aIOk/QCaIi0CJJcgWUv++y5pJ3HbW5ELtS/szsyuNrezNeQgQ9TgelovKkqkEzBot+/pzx8Pn1pK&#10;YuJu4Aac7OlRRnq7/fhhM/lONjCCGWQg2MTFbvI9HVPyHWNRjNLyuAAvHSYVBMsTumHPhsAn7G4N&#10;a6pqxSYIgw8gZIwYvT8l6bb0V0qK9F2pKBMxPUVsqbyhvLv8su2Gd/vA/ajFGQb/DxSWa4dDX1vd&#10;88TJr6D/aWW1CBBBpYUAy0ApLWThgGzq6i82zyP3snBBcaJ/lSm+X1vx7fAYiB5wdw3q47jFJT2h&#10;bNztjSQ5iBJNPnZY+ewfw9mLaGa+swo2f5EJmXvaLNuqWS4pOfb0alW3N/VZYjknInJBc7NeYV7k&#10;gqa5bkuevTXyIabPEizJRk8DQinC8sPXmHA4lr6U5LkOHrQxZYvG/RHAwhxhGfsJbbbSvJsL3ev1&#10;C7EdDEfUwHxxqGvbrqt8J8W5auvshMvM7jLDnRgBrylRcjLvUrmtjDNPw6UVxOcDy1dx6Zeqt99g&#10;+xsAAP//AwBQSwMEFAAGAAgAAAAhAGlCG5bfAAAACwEAAA8AAABkcnMvZG93bnJldi54bWxMj8FO&#10;wzAQRO9I/IO1SNyo0zSKqhCnKkj0gjjQ8gFOvCRW43WInTTw9WxPcJvVjGbflLvF9WLGMVhPCtar&#10;BARS442lVsHH6eVhCyJETUb3nlDBNwbYVbc3pS6Mv9A7zsfYCi6hUGgFXYxDIWVoOnQ6rPyAxN6n&#10;H52OfI6tNKO+cLnrZZokuXTaEn/o9IDPHTbn4+QUzD9D9nSwxp/3X29L/TodNifrlLq/W/aPICIu&#10;8S8MV3xGh4qZaj+RCaJXkG1S3hLZyK+CE1m+ZVErSNdZArIq5f8N1S8AAAD//wMAUEsBAi0AFAAG&#10;AAgAAAAhALaDOJL+AAAA4QEAABMAAAAAAAAAAAAAAAAAAAAAAFtDb250ZW50X1R5cGVzXS54bWxQ&#10;SwECLQAUAAYACAAAACEAOP0h/9YAAACUAQAACwAAAAAAAAAAAAAAAAAvAQAAX3JlbHMvLnJlbHNQ&#10;SwECLQAUAAYACAAAACEAEOQamrABAABOAwAADgAAAAAAAAAAAAAAAAAuAgAAZHJzL2Uyb0RvYy54&#10;bWxQSwECLQAUAAYACAAAACEAaUIblt8AAAALAQAADwAAAAAAAAAAAAAAAAAKBAAAZHJzL2Rvd25y&#10;ZXYueG1sUEsFBgAAAAAEAAQA8wAAABYFAAAAAA==&#10;" filled="f" stroked="f">
                <v:textbox inset="7pt,3pt,7pt,3pt">
                  <w:txbxContent>
                    <w:p w:rsidR="00AD6A02" w:rsidRDefault="00AD6A02" w:rsidP="00616C71">
                      <w:pPr>
                        <w:spacing w:after="0"/>
                        <w:ind w:firstLine="720"/>
                        <w:textDirection w:val="btLr"/>
                      </w:pPr>
                      <w:r>
                        <w:rPr>
                          <w:rFonts w:ascii="Calibri" w:eastAsia="Calibri" w:hAnsi="Calibri" w:cs="Calibri"/>
                          <w:b/>
                          <w:color w:val="000000"/>
                          <w:sz w:val="36"/>
                        </w:rPr>
                        <w:t>T</w:t>
                      </w:r>
                    </w:p>
                  </w:txbxContent>
                </v:textbox>
                <w10:wrap anchorx="margin"/>
              </v:rect>
            </w:pict>
          </mc:Fallback>
        </mc:AlternateContent>
      </w:r>
    </w:p>
    <w:p w:rsidR="00616C71" w:rsidRDefault="00D60F76" w:rsidP="00B702A5">
      <w:pPr>
        <w:numPr>
          <w:ilvl w:val="0"/>
          <w:numId w:val="20"/>
        </w:numPr>
        <w:pBdr>
          <w:top w:val="nil"/>
          <w:left w:val="nil"/>
          <w:bottom w:val="nil"/>
          <w:right w:val="nil"/>
          <w:between w:val="nil"/>
        </w:pBdr>
        <w:spacing w:after="160" w:line="259" w:lineRule="auto"/>
        <w:ind w:hanging="360"/>
        <w:contextualSpacing/>
        <w:jc w:val="left"/>
        <w:rPr>
          <w:sz w:val="20"/>
          <w:szCs w:val="20"/>
        </w:rPr>
      </w:pPr>
      <w:r w:rsidRPr="00D60F76">
        <w:rPr>
          <w:noProof/>
          <w:lang w:eastAsia="en-GB"/>
        </w:rPr>
        <w:lastRenderedPageBreak/>
        <mc:AlternateContent>
          <mc:Choice Requires="wps">
            <w:drawing>
              <wp:anchor distT="0" distB="0" distL="114300" distR="114300" simplePos="0" relativeHeight="252012544" behindDoc="0" locked="0" layoutInCell="1" hidden="0" allowOverlap="1" wp14:anchorId="461B58F4" wp14:editId="22305E5C">
                <wp:simplePos x="0" y="0"/>
                <wp:positionH relativeFrom="margin">
                  <wp:posOffset>438150</wp:posOffset>
                </wp:positionH>
                <wp:positionV relativeFrom="paragraph">
                  <wp:posOffset>2666365</wp:posOffset>
                </wp:positionV>
                <wp:extent cx="241300" cy="368300"/>
                <wp:effectExtent l="0" t="0" r="0" b="0"/>
                <wp:wrapNone/>
                <wp:docPr id="312" name="Rectangle 312"/>
                <wp:cNvGraphicFramePr/>
                <a:graphic xmlns:a="http://schemas.openxmlformats.org/drawingml/2006/main">
                  <a:graphicData uri="http://schemas.microsoft.com/office/word/2010/wordprocessingShape">
                    <wps:wsp>
                      <wps:cNvSpPr/>
                      <wps:spPr>
                        <a:xfrm>
                          <a:off x="0" y="0"/>
                          <a:ext cx="241300" cy="368300"/>
                        </a:xfrm>
                        <a:prstGeom prst="rect">
                          <a:avLst/>
                        </a:prstGeom>
                        <a:noFill/>
                        <a:ln>
                          <a:noFill/>
                        </a:ln>
                      </wps:spPr>
                      <wps:txbx>
                        <w:txbxContent>
                          <w:p w:rsidR="00AD6A02" w:rsidRDefault="00AD6A02" w:rsidP="00D60F76">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461B58F4" id="Rectangle 312" o:spid="_x0000_s1086" style="position:absolute;left:0;text-align:left;margin-left:34.5pt;margin-top:209.95pt;width:19pt;height:29pt;z-index:252012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bpogEAAEIDAAAOAAAAZHJzL2Uyb0RvYy54bWysUttO4zAQfUfiHyy/UyftqgpRUx5AICTE&#10;omX5ANexG0u+aWya9O937HZLd3lDvEzmljNzjmd1M1lDdhKi9q6j9ayiRDrhe+22HX37fX/VUBIT&#10;dz033smO7mWkN+vLi9UYWjn3gze9BIIgLrZj6OiQUmgZi2KQlseZD9JhUXmwPGEIW9YDHxHdGjav&#10;qiUbPfQBvJAxYvbuUKTrgq+UFOmnUlEmYjqKu6ViodhNtmy94u0WeBi0OK7Bv7CF5drh0BPUHU+c&#10;vIP+BGW1AB+9SjPhLfNKaSELB2RTV/+xeR14kIULihPDSab4fbDiefcCRPcdXdRzShy3+Ei/UDbu&#10;tkaSnESJxhBb7HwNL3CMIrqZ76TA5i8yIVORdX+SVU6JCEzOf9SLCsUXWFosm+wjCvv4OUBMD9Jb&#10;kp2OAo4vYvLdU0yH1r8teZbz99oYzPPWuH8SiJkzLO972DB7adpMheKyDM6pje/3yNs8OtSyaa7z&#10;eqkEi6bOAZxXNucV7sTg8YISJQf3NpV7yntmaHyoQu54VPkSzuPS9XH66z8AAAD//wMAUEsDBBQA&#10;BgAIAAAAIQB06TXK3wAAAAoBAAAPAAAAZHJzL2Rvd25yZXYueG1sTI/BTsMwEETvSPyDtUjcqFOo&#10;GhLiVAWJXhAHWj7AiZfEarwOsZMGvp7tiR53djTzptjMrhMTDsF6UrBcJCCQam8sNQo+D693jyBC&#10;1GR05wkV/GCATXl9Vejc+BN94LSPjeAQCrlW0MbY51KGukWnw8L3SPz78oPTkc+hkWbQJw53nbxP&#10;krV02hI3tLrHlxbr4350CqbffvW8s8Yft9/vc/U27h4O1il1ezNvn0BEnOO/Gc74jA4lM1V+JBNE&#10;p2Cd8ZSoYLXMMhBnQ5KyUrGSphnIspCXE8o/AAAA//8DAFBLAQItABQABgAIAAAAIQC2gziS/gAA&#10;AOEBAAATAAAAAAAAAAAAAAAAAAAAAABbQ29udGVudF9UeXBlc10ueG1sUEsBAi0AFAAGAAgAAAAh&#10;ADj9If/WAAAAlAEAAAsAAAAAAAAAAAAAAAAALwEAAF9yZWxzLy5yZWxzUEsBAi0AFAAGAAgAAAAh&#10;AFBshumiAQAAQgMAAA4AAAAAAAAAAAAAAAAALgIAAGRycy9lMm9Eb2MueG1sUEsBAi0AFAAGAAgA&#10;AAAhAHTpNcrfAAAACgEAAA8AAAAAAAAAAAAAAAAA/AMAAGRycy9kb3ducmV2LnhtbFBLBQYAAAAA&#10;BAAEAPMAAAAIBQAAAAA=&#10;" filled="f" stroked="f">
                <v:textbox inset="7pt,3pt,7pt,3pt">
                  <w:txbxContent>
                    <w:p w:rsidR="00AD6A02" w:rsidRDefault="00AD6A02" w:rsidP="00D60F76">
                      <w:pPr>
                        <w:spacing w:after="0"/>
                        <w:textDirection w:val="btLr"/>
                      </w:pPr>
                      <w:r>
                        <w:rPr>
                          <w:rFonts w:ascii="Calibri" w:eastAsia="Calibri" w:hAnsi="Calibri" w:cs="Calibri"/>
                          <w:b/>
                          <w:color w:val="000000"/>
                          <w:sz w:val="36"/>
                        </w:rPr>
                        <w:t>G</w:t>
                      </w:r>
                    </w:p>
                  </w:txbxContent>
                </v:textbox>
                <w10:wrap anchorx="margin"/>
              </v:rect>
            </w:pict>
          </mc:Fallback>
        </mc:AlternateContent>
      </w:r>
      <w:r>
        <w:rPr>
          <w:noProof/>
          <w:lang w:eastAsia="en-GB"/>
        </w:rPr>
        <mc:AlternateContent>
          <mc:Choice Requires="wps">
            <w:drawing>
              <wp:anchor distT="0" distB="0" distL="114300" distR="114300" simplePos="0" relativeHeight="251799552" behindDoc="0" locked="0" layoutInCell="1" hidden="0" allowOverlap="1" wp14:anchorId="1592C180" wp14:editId="3A16075E">
                <wp:simplePos x="0" y="0"/>
                <wp:positionH relativeFrom="margin">
                  <wp:posOffset>749300</wp:posOffset>
                </wp:positionH>
                <wp:positionV relativeFrom="paragraph">
                  <wp:posOffset>1222375</wp:posOffset>
                </wp:positionV>
                <wp:extent cx="241300" cy="368300"/>
                <wp:effectExtent l="0" t="0" r="0" b="0"/>
                <wp:wrapNone/>
                <wp:docPr id="148" name="Rectangle 148"/>
                <wp:cNvGraphicFramePr/>
                <a:graphic xmlns:a="http://schemas.openxmlformats.org/drawingml/2006/main">
                  <a:graphicData uri="http://schemas.microsoft.com/office/word/2010/wordprocessingShape">
                    <wps:wsp>
                      <wps:cNvSpPr/>
                      <wps:spPr>
                        <a:xfrm>
                          <a:off x="0" y="0"/>
                          <a:ext cx="2413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T</w:t>
                            </w:r>
                          </w:p>
                        </w:txbxContent>
                      </wps:txbx>
                      <wps:bodyPr lIns="88900" tIns="38100" rIns="88900" bIns="38100" anchor="t" anchorCtr="0"/>
                    </wps:wsp>
                  </a:graphicData>
                </a:graphic>
              </wp:anchor>
            </w:drawing>
          </mc:Choice>
          <mc:Fallback>
            <w:pict>
              <v:rect w14:anchorId="1592C180" id="Rectangle 148" o:spid="_x0000_s1087" style="position:absolute;left:0;text-align:left;margin-left:59pt;margin-top:96.25pt;width:19pt;height:29pt;z-index:251799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ujoQEAAEIDAAAOAAAAZHJzL2Uyb0RvYy54bWysUttO4zAQfV+Jf7D8vnXSoiobNeVhEQgJ&#10;sWiBD5g6dmPJN9mmSf+esVtKgbfVvjhzy5k5Z2Z1NRlNdiJE5WxH61lFibDc9cpuO/ryfPOzoSQm&#10;sD1oZ0VH9yLSq/XFj9XoWzF3g9O9CARBbGxH39EhJd8yFvkgDMSZ88JiUrpgIKEbtqwPMCK60Wxe&#10;VUs2utD74LiIEaPXhyRdF3wpBU9/pIwiEd1RnC2VN5R3k1+2XkG7DeAHxY9jwD9MYUBZbHqCuoYE&#10;5DWob1BG8eCik2nGnWFOSsVF4YBs6uoLm6cBvChcUJzoTzLF/wfLH3aPgaged3eJq7JgcEl/UTaw&#10;Wy1IDqJEo48tVj75x3D0IpqZ7ySDyV9kQqYi6/4kq5gS4RicX9aLCsXnmFosm2wjCvv42YeYboUz&#10;JBsdDdi+iAm7+5gOpe8luZd1N0prjEOr7acAYuYIy/MeJsxWmjZTobis38lsXL9H3vrOopZN8yuP&#10;l4qzaOrshPPM5jwDlg8OLyhRcjB/p3JPec7cDRdVyB2PKl/CuV+qPk5//QYAAP//AwBQSwMEFAAG&#10;AAgAAAAhAPZ4R/TfAAAACwEAAA8AAABkcnMvZG93bnJldi54bWxMj8FOwzAQRO9I/IO1SNyo00Cq&#10;EuJUBYleEAdaPsCJl8RqvA6xkwa+nu2J3nZ2R7Nvis3sOjHhEKwnBctFAgKp9sZSo+Dz8Hq3BhGi&#10;JqM7T6jgBwNsyuurQufGn+gDp31sBIdQyLWCNsY+lzLULTodFr5H4tuXH5yOLIdGmkGfONx1Mk2S&#10;lXTaEn9odY8vLdbH/egUTL/9w/POGn/cfr/P1du4uz9Yp9Ttzbx9AhFxjv9mOOMzOpTMVPmRTBAd&#10;6+Wau0QeHtMMxNmRrXhTKUizJANZFvKyQ/kHAAD//wMAUEsBAi0AFAAGAAgAAAAhALaDOJL+AAAA&#10;4QEAABMAAAAAAAAAAAAAAAAAAAAAAFtDb250ZW50X1R5cGVzXS54bWxQSwECLQAUAAYACAAAACEA&#10;OP0h/9YAAACUAQAACwAAAAAAAAAAAAAAAAAvAQAAX3JlbHMvLnJlbHNQSwECLQAUAAYACAAAACEA&#10;nTwro6EBAABCAwAADgAAAAAAAAAAAAAAAAAuAgAAZHJzL2Uyb0RvYy54bWxQSwECLQAUAAYACAAA&#10;ACEA9nhH9N8AAAALAQAADwAAAAAAAAAAAAAAAAD7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T</w:t>
                      </w:r>
                    </w:p>
                  </w:txbxContent>
                </v:textbox>
                <w10:wrap anchorx="margin"/>
              </v:rect>
            </w:pict>
          </mc:Fallback>
        </mc:AlternateContent>
      </w:r>
      <w:r w:rsidR="00E25AE4">
        <w:rPr>
          <w:noProof/>
          <w:lang w:eastAsia="en-GB"/>
        </w:rPr>
        <mc:AlternateContent>
          <mc:Choice Requires="wps">
            <w:drawing>
              <wp:anchor distT="0" distB="0" distL="114300" distR="114300" simplePos="0" relativeHeight="251839488" behindDoc="0" locked="0" layoutInCell="1" hidden="0" allowOverlap="1" wp14:anchorId="3339DD24" wp14:editId="4DE56DEB">
                <wp:simplePos x="0" y="0"/>
                <wp:positionH relativeFrom="margin">
                  <wp:posOffset>2200275</wp:posOffset>
                </wp:positionH>
                <wp:positionV relativeFrom="paragraph">
                  <wp:posOffset>228599</wp:posOffset>
                </wp:positionV>
                <wp:extent cx="609600" cy="266700"/>
                <wp:effectExtent l="76200" t="0" r="0" b="0"/>
                <wp:wrapNone/>
                <wp:docPr id="55" name="Freeform 55"/>
                <wp:cNvGraphicFramePr/>
                <a:graphic xmlns:a="http://schemas.openxmlformats.org/drawingml/2006/main">
                  <a:graphicData uri="http://schemas.microsoft.com/office/word/2010/wordprocessingShape">
                    <wps:wsp>
                      <wps:cNvSpPr/>
                      <wps:spPr>
                        <a:xfrm rot="9298986">
                          <a:off x="0" y="0"/>
                          <a:ext cx="609600" cy="266700"/>
                        </a:xfrm>
                        <a:custGeom>
                          <a:avLst/>
                          <a:gdLst/>
                          <a:ahLst/>
                          <a:cxnLst/>
                          <a:rect l="0" t="0" r="0" b="0"/>
                          <a:pathLst>
                            <a:path w="590550" h="245109" extrusionOk="0">
                              <a:moveTo>
                                <a:pt x="0" y="0"/>
                              </a:moveTo>
                              <a:lnTo>
                                <a:pt x="590550" y="245109"/>
                              </a:lnTo>
                            </a:path>
                          </a:pathLst>
                        </a:custGeom>
                        <a:solidFill>
                          <a:srgbClr val="FFFFFF"/>
                        </a:solidFill>
                        <a:ln w="28575" cap="flat" cmpd="sng">
                          <a:solidFill>
                            <a:schemeClr val="tx1"/>
                          </a:solidFill>
                          <a:prstDash val="solid"/>
                          <a:miter/>
                          <a:headEnd type="none" w="med" len="med"/>
                          <a:tailEnd type="triangle" w="lg" len="lg"/>
                        </a:ln>
                      </wps:spPr>
                      <wps:bodyPr lIns="91425" tIns="91425" rIns="91425" bIns="91425" anchor="ctr" anchorCtr="0"/>
                    </wps:wsp>
                  </a:graphicData>
                </a:graphic>
              </wp:anchor>
            </w:drawing>
          </mc:Choice>
          <mc:Fallback>
            <w:pict>
              <v:shape w14:anchorId="047F5F52" id="Freeform 55" o:spid="_x0000_s1026" style="position:absolute;margin-left:173.25pt;margin-top:18pt;width:48pt;height:21pt;rotation:10156972fd;z-index:251839488;visibility:visible;mso-wrap-style:square;mso-wrap-distance-left:9pt;mso-wrap-distance-top:0;mso-wrap-distance-right:9pt;mso-wrap-distance-bottom:0;mso-position-horizontal:absolute;mso-position-horizontal-relative:margin;mso-position-vertical:absolute;mso-position-vertical-relative:text;v-text-anchor:middle" coordsize="590550,245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pCWgIAAP4EAAAOAAAAZHJzL2Uyb0RvYy54bWysVNuO2yAQfa/Uf0C8N3astTeO4uzDpqkq&#10;Vd2VdvsBBGMbFQOCSeL8fQeci3db9aGqH6wZOBzmzIXVw9ArchDOS6MrOp+llAjNTS11W9Efr9tP&#10;C0o8MF0zZbSo6El4+rD++GF1tEuRmc6oWjiCJNovj7aiHYBdJonnneiZnxkrNG42xvUM0HVtUjt2&#10;RPZeJVmaFsnRuNo6w4X3uLoZN+k68jeN4PDUNF4AURXF2CD+Xfzvwj9Zr9iydcx2kp/DYP8QRc+k&#10;xkuvVBsGjOyd/I2ql9wZbxqYcdMnpmkkF1EDqpmn79S8dMyKqAWT4+01Tf7/0fLvh2dHZF3RPKdE&#10;sx5rtHVChIwTXML8HK1fIuzFPruz59EMYocGQc5gUsusXJSLIqYARZEhZvh0zbAYgHBcLNKySLEO&#10;HLeyorhHGzmTkSpQ8r2HL8L0wWaHbx7GAtUXi3UXiw/6Yjos818LbBmEc4E0mOSIcss0zzGSDgO5&#10;y+dpiY07gNuHRn76GQIP6N4cxKuJ5+CdKAz6tqv0FHXhDiJH7lHkiMKDIYgo+xoYLk6le6NkvZVK&#10;hau9a3ePypEDwybexu+ctTcwpYOubJHfYyU5w2FqFAM0e4vl9bqNit4ciWMmrtwwzP9EbJ2HDfPd&#10;GEAkCDDUL0G4aHWC1Z91TeBksYE0jjoNwfSipkQJfBmCFZHApLohwUmmWzWiVXsGo3FJGGYp9N/Y&#10;ccHamfqEHau+apyCcn6XoViYOm7q7KYO07wzOPscHCWj8wjxLQi3BXIcsliW84MQpnjqR9Tt2Vr/&#10;AgAA//8DAFBLAwQUAAYACAAAACEAkZuQKuAAAAAJAQAADwAAAGRycy9kb3ducmV2LnhtbEyPQU/D&#10;MAyF70j8h8hI3FjKVrpRmk5oiBObNtZxz1rTVDRO1aRb4dfPnOBm+z09fy9bjrYVJ+x940jB/SQC&#10;gVS6qqFawaF4vVuA8EFTpVtHqOAbPSzz66tMp5U70zue9qEWHEI+1QpMCF0qpS8NWu0nrkNi7dP1&#10;Vgde+1pWvT5zuG3lNIoSaXVD/MHoDlcGy6/9YBX8zOx6M7zUzdt2s9ut1qb42D4WSt3ejM9PIAKO&#10;4c8Mv/iMDjkzHd1AlRetglmcPLCVh4Q7sSGOp3w4KpgvIpB5Jv83yC8AAAD//wMAUEsBAi0AFAAG&#10;AAgAAAAhALaDOJL+AAAA4QEAABMAAAAAAAAAAAAAAAAAAAAAAFtDb250ZW50X1R5cGVzXS54bWxQ&#10;SwECLQAUAAYACAAAACEAOP0h/9YAAACUAQAACwAAAAAAAAAAAAAAAAAvAQAAX3JlbHMvLnJlbHNQ&#10;SwECLQAUAAYACAAAACEA7LSqQloCAAD+BAAADgAAAAAAAAAAAAAAAAAuAgAAZHJzL2Uyb0RvYy54&#10;bWxQSwECLQAUAAYACAAAACEAkZuQKuAAAAAJAQAADwAAAAAAAAAAAAAAAAC0BAAAZHJzL2Rvd25y&#10;ZXYueG1sUEsFBgAAAAAEAAQA8wAAAMEFAAAAAA==&#10;" path="m,l590550,245109e" strokecolor="black [3213]" strokeweight="2.25pt">
                <v:stroke endarrow="block" endarrowwidth="wide" endarrowlength="long" joinstyle="miter"/>
                <v:path arrowok="t" o:extrusionok="f" textboxrect="0,0,590550,245109"/>
                <w10:wrap anchorx="margin"/>
              </v:shape>
            </w:pict>
          </mc:Fallback>
        </mc:AlternateContent>
      </w:r>
      <w:r w:rsidR="00D6350D">
        <w:rPr>
          <w:noProof/>
          <w:lang w:eastAsia="en-GB"/>
        </w:rPr>
        <mc:AlternateContent>
          <mc:Choice Requires="wps">
            <w:drawing>
              <wp:anchor distT="0" distB="0" distL="114300" distR="114300" simplePos="0" relativeHeight="251796480" behindDoc="0" locked="0" layoutInCell="1" hidden="0" allowOverlap="1" wp14:anchorId="0795006D" wp14:editId="7A3E07DF">
                <wp:simplePos x="0" y="0"/>
                <wp:positionH relativeFrom="margin">
                  <wp:posOffset>2403475</wp:posOffset>
                </wp:positionH>
                <wp:positionV relativeFrom="paragraph">
                  <wp:posOffset>1098550</wp:posOffset>
                </wp:positionV>
                <wp:extent cx="241300" cy="368300"/>
                <wp:effectExtent l="0" t="0" r="0" b="0"/>
                <wp:wrapNone/>
                <wp:docPr id="127" name="Rectangle 127"/>
                <wp:cNvGraphicFramePr/>
                <a:graphic xmlns:a="http://schemas.openxmlformats.org/drawingml/2006/main">
                  <a:graphicData uri="http://schemas.microsoft.com/office/word/2010/wordprocessingShape">
                    <wps:wsp>
                      <wps:cNvSpPr/>
                      <wps:spPr>
                        <a:xfrm>
                          <a:off x="0" y="0"/>
                          <a:ext cx="2413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0795006D" id="Rectangle 127" o:spid="_x0000_s1088" style="position:absolute;left:0;text-align:left;margin-left:189.25pt;margin-top:86.5pt;width:19pt;height:29pt;z-index:251796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pIogEAAEIDAAAOAAAAZHJzL2Uyb0RvYy54bWysUstu2zAQvBfoPxC815TlwFEEyzk0SBEg&#10;aII6/YA1RVoE+ALJWPLfd0k7jpPeil5W+9LsznBXt5PRZC9CVM52dD6rKBGWu17ZXUd/v9x/ayiJ&#10;CWwP2lnR0YOI9Hb99ctq9K2o3eB0LwJBEBvb0Xd0SMm3jEU+CANx5rywWJQuGEgYhh3rA4yIbjSr&#10;q2rJRhd6HxwXMWL27lik64IvpeDpScooEtEdxd1SsaHYbbZsvYJ2F8APip/WgH/YwoCyOPQMdQcJ&#10;yGtQf0EZxYOLTqYZd4Y5KRUXhQOymVef2GwG8KJwQXGiP8sU/x8s/7l/DkT1+Hb1NSUWDD7SL5QN&#10;7E4LkpMo0ehji50b/xxOUUQ3851kMPmLTMhUZD2cZRVTIhyT9dV8UaH4HEuLZZN9RGHvP/sQ0w/h&#10;DMlORwOOL2LC/jGmY+tbS55l3b3SGvPQavshgZg5w/K+xw2zl6btVCgu6zcyW9cfkLd+sKhl09zk&#10;9VIJFs08B+Gysr2sgOWDwwtKlBzd76ncU94zT8OHKuROR5Uv4TIuXe+nv/4DAAD//wMAUEsDBBQA&#10;BgAIAAAAIQBfEEKP4AAAAAsBAAAPAAAAZHJzL2Rvd25yZXYueG1sTI/BTsMwEETvSPyDtUjcqJOm&#10;tFWIUxUkekEcaPkAJ14Sq/E6xE4a+HqWExx35ml2ptjNrhMTDsF6UpAuEhBItTeWGgXvp+e7LYgQ&#10;NRndeUIFXxhgV15fFTo3/kJvOB1jIziEQq4VtDH2uZShbtHpsPA9EnsffnA68jk00gz6wuGuk8sk&#10;WUunLfGHVvf41GJ9Po5OwfTdrx4P1vjz/vN1rl7GQ3ayTqnbm3n/ACLiHP9g+K3P1aHkTpUfyQTR&#10;Kcg223tG2dhkPIqJVbpmpVKwzNIEZFnI/xvKHwAAAP//AwBQSwECLQAUAAYACAAAACEAtoM4kv4A&#10;AADhAQAAEwAAAAAAAAAAAAAAAAAAAAAAW0NvbnRlbnRfVHlwZXNdLnhtbFBLAQItABQABgAIAAAA&#10;IQA4/SH/1gAAAJQBAAALAAAAAAAAAAAAAAAAAC8BAABfcmVscy8ucmVsc1BLAQItABQABgAIAAAA&#10;IQCz5upIogEAAEIDAAAOAAAAAAAAAAAAAAAAAC4CAABkcnMvZTJvRG9jLnhtbFBLAQItABQABgAI&#10;AAAAIQBfEEKP4AAAAAsBAAAPAAAAAAAAAAAAAAAAAPw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w:drawing>
          <wp:inline distT="0" distB="0" distL="0" distR="0" wp14:anchorId="3CC17C5F" wp14:editId="65CD1469">
            <wp:extent cx="3959279" cy="3168000"/>
            <wp:effectExtent l="0" t="0" r="0" b="0"/>
            <wp:docPr id="28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2"/>
                    <a:srcRect/>
                    <a:stretch>
                      <a:fillRect/>
                    </a:stretch>
                  </pic:blipFill>
                  <pic:spPr>
                    <a:xfrm>
                      <a:off x="0" y="0"/>
                      <a:ext cx="3959279" cy="3168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797504" behindDoc="0" locked="0" layoutInCell="1" hidden="0" allowOverlap="1" wp14:anchorId="38C0F1A5" wp14:editId="5D0315B1">
                <wp:simplePos x="0" y="0"/>
                <wp:positionH relativeFrom="margin">
                  <wp:posOffset>127000</wp:posOffset>
                </wp:positionH>
                <wp:positionV relativeFrom="paragraph">
                  <wp:posOffset>1104900</wp:posOffset>
                </wp:positionV>
                <wp:extent cx="228600" cy="330200"/>
                <wp:effectExtent l="0" t="0" r="0" b="0"/>
                <wp:wrapNone/>
                <wp:docPr id="128" name="Rectangle 128"/>
                <wp:cNvGraphicFramePr/>
                <a:graphic xmlns:a="http://schemas.openxmlformats.org/drawingml/2006/main">
                  <a:graphicData uri="http://schemas.microsoft.com/office/word/2010/wordprocessingShape">
                    <wps:wsp>
                      <wps:cNvSpPr/>
                      <wps:spPr>
                        <a:xfrm>
                          <a:off x="5232017" y="3618710"/>
                          <a:ext cx="227964" cy="32258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color w:val="000000"/>
                                <w:sz w:val="36"/>
                              </w:rPr>
                              <w:t>T</w:t>
                            </w:r>
                          </w:p>
                        </w:txbxContent>
                      </wps:txbx>
                      <wps:bodyPr lIns="88900" tIns="38100" rIns="88900" bIns="38100" anchor="t" anchorCtr="0"/>
                    </wps:wsp>
                  </a:graphicData>
                </a:graphic>
              </wp:anchor>
            </w:drawing>
          </mc:Choice>
          <mc:Fallback>
            <w:pict>
              <v:rect w14:anchorId="38C0F1A5" id="Rectangle 128" o:spid="_x0000_s1089" style="position:absolute;left:0;text-align:left;margin-left:10pt;margin-top:87pt;width:18pt;height:26pt;z-index:251797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QssQEAAE4DAAAOAAAAZHJzL2Uyb0RvYy54bWysU8tu2zAQvBfoPxC815TkxlYEyzk0SBEg&#10;SIOm/QCaIi0CJJcgWUv++yxpJ3HbW9ELtS/szsyuNjezNeQgQ9TgelovKkqkEzBot+/pzx93n1pK&#10;YuJu4Aac7OlRRnqz/fhhM/lONjCCGWQg2MTFbvI9HVPyHWNRjNLyuAAvHSYVBMsTumHPhsAn7G4N&#10;a6pqxSYIgw8gZIwYvT0l6bb0V0qK9E2pKBMxPUVsqbyhvLv8su2Gd/vA/ajFGQb/BxSWa4dD31rd&#10;8sTJr6D/amW1CBBBpYUAy0ApLWThgGzq6g82zyP3snBBcaJ/kyn+v7bi8fAUiB5wdw2uynGLS/qO&#10;snG3N5LkIEo0+dhh5bN/Cmcvopn5zirY/EUmZO7pVbNEHmtKjj1drup2XZ8llnMiAguaZn29+kyJ&#10;yAVNc9WWPHtv5ENMXyVYko2eBoRShOWHh5hwOJa+luS5Du60MWWLxv0WwMIcYRn7CW220rybC93V&#10;8pXYDoYjamDuHerattdVvpPiLNs6O+Eys7vMcCdGwGtKlJzML6ncVsaZp+HSCuLzgeWruPRL1ftv&#10;sH0BAAD//wMAUEsDBBQABgAIAAAAIQCJMXNR2wAAAAkBAAAPAAAAZHJzL2Rvd25yZXYueG1sTE9B&#10;TsMwELwj8QdrkbhRh1IKCnGqgkQviAMtD9jES2I1XofYSQOvZznBaWd3RjOzxWb2nZpoiC6wgetF&#10;Boq4DtZxY+D98Hx1DyomZItdYDLwRRE25flZgbkNJ36jaZ8aJSYcczTQptTnWse6JY9xEXpi4T7C&#10;4DHJOjTaDngSc9/pZZattUfHktBiT08t1cf96A1M3/3qcedsOG4/X+fqZdzdHJw35vJi3j6ASjSn&#10;PzH81pfqUEqnKoxso+oMiLso5X63EiCC27XMSoilAF0W+v8H5Q8AAAD//wMAUEsBAi0AFAAGAAgA&#10;AAAhALaDOJL+AAAA4QEAABMAAAAAAAAAAAAAAAAAAAAAAFtDb250ZW50X1R5cGVzXS54bWxQSwEC&#10;LQAUAAYACAAAACEAOP0h/9YAAACUAQAACwAAAAAAAAAAAAAAAAAvAQAAX3JlbHMvLnJlbHNQSwEC&#10;LQAUAAYACAAAACEAM2zkLLEBAABOAwAADgAAAAAAAAAAAAAAAAAuAgAAZHJzL2Uyb0RvYy54bWxQ&#10;SwECLQAUAAYACAAAACEAiTFzUdsAAAAJAQAADwAAAAAAAAAAAAAAAAALBAAAZHJzL2Rvd25yZXYu&#10;eG1sUEsFBgAAAAAEAAQA8wAAABMFAAAAAA==&#10;" filled="f" stroked="f">
                <v:textbox inset="7pt,3pt,7pt,3pt">
                  <w:txbxContent>
                    <w:p w:rsidR="00AD6A02" w:rsidRDefault="00AD6A02" w:rsidP="00616C71">
                      <w:pPr>
                        <w:spacing w:after="0"/>
                        <w:ind w:firstLine="720"/>
                        <w:textDirection w:val="btLr"/>
                      </w:pPr>
                      <w:r>
                        <w:rPr>
                          <w:rFonts w:ascii="Calibri" w:eastAsia="Calibri" w:hAnsi="Calibri" w:cs="Calibri"/>
                          <w:color w:val="000000"/>
                          <w:sz w:val="36"/>
                        </w:rPr>
                        <w:t>T</w:t>
                      </w:r>
                    </w:p>
                  </w:txbxContent>
                </v:textbox>
                <w10:wrap anchorx="margin"/>
              </v:rect>
            </w:pict>
          </mc:Fallback>
        </mc:AlternateContent>
      </w:r>
      <w:r w:rsidR="00616C71">
        <w:rPr>
          <w:noProof/>
          <w:lang w:eastAsia="en-GB"/>
        </w:rPr>
        <mc:AlternateContent>
          <mc:Choice Requires="wps">
            <w:drawing>
              <wp:anchor distT="0" distB="0" distL="114300" distR="114300" simplePos="0" relativeHeight="251798528" behindDoc="0" locked="0" layoutInCell="1" hidden="0" allowOverlap="1" wp14:anchorId="5A63FD78" wp14:editId="48FFBA16">
                <wp:simplePos x="0" y="0"/>
                <wp:positionH relativeFrom="margin">
                  <wp:posOffset>2273300</wp:posOffset>
                </wp:positionH>
                <wp:positionV relativeFrom="paragraph">
                  <wp:posOffset>431800</wp:posOffset>
                </wp:positionV>
                <wp:extent cx="127000" cy="482600"/>
                <wp:effectExtent l="0" t="0" r="0" b="0"/>
                <wp:wrapNone/>
                <wp:docPr id="184" name="Freeform 184"/>
                <wp:cNvGraphicFramePr/>
                <a:graphic xmlns:a="http://schemas.openxmlformats.org/drawingml/2006/main">
                  <a:graphicData uri="http://schemas.microsoft.com/office/word/2010/wordprocessingShape">
                    <wps:wsp>
                      <wps:cNvSpPr/>
                      <wps:spPr>
                        <a:xfrm flipH="1">
                          <a:off x="5284087" y="3541875"/>
                          <a:ext cx="123824" cy="476249"/>
                        </a:xfrm>
                        <a:custGeom>
                          <a:avLst/>
                          <a:gdLst/>
                          <a:ahLst/>
                          <a:cxnLst/>
                          <a:rect l="0" t="0" r="0" b="0"/>
                          <a:pathLst>
                            <a:path w="123825" h="476250" extrusionOk="0">
                              <a:moveTo>
                                <a:pt x="0" y="0"/>
                              </a:moveTo>
                              <a:lnTo>
                                <a:pt x="123825" y="476250"/>
                              </a:lnTo>
                            </a:path>
                          </a:pathLst>
                        </a:custGeom>
                        <a:solidFill>
                          <a:srgbClr val="FFFFFF"/>
                        </a:solidFill>
                        <a:ln>
                          <a:noFill/>
                        </a:ln>
                      </wps:spPr>
                      <wps:bodyPr lIns="91425" tIns="91425" rIns="91425" bIns="91425" anchor="ctr" anchorCtr="0"/>
                    </wps:wsp>
                  </a:graphicData>
                </a:graphic>
              </wp:anchor>
            </w:drawing>
          </mc:Choice>
          <mc:Fallback>
            <w:pict>
              <v:shape w14:anchorId="3C4E2103" id="Freeform 184" o:spid="_x0000_s1026" style="position:absolute;margin-left:179pt;margin-top:34pt;width:10pt;height:38pt;flip:x;z-index:251798528;visibility:visible;mso-wrap-style:square;mso-wrap-distance-left:9pt;mso-wrap-distance-top:0;mso-wrap-distance-right:9pt;mso-wrap-distance-bottom:0;mso-position-horizontal:absolute;mso-position-horizontal-relative:margin;mso-position-vertical:absolute;mso-position-vertical-relative:text;v-text-anchor:middle" coordsize="123825,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JYcEAIAAEcEAAAOAAAAZHJzL2Uyb0RvYy54bWysU8tu2zAQvBfoPxC817IVKVYMyzkkcFug&#10;aAIk/QCaoiyiFEmQtCT/fXcp2VFaoIeiOgi75HB2Zx/b+6FVpBPOS6NLulosKRGam0rqY0l/vO4/&#10;FZT4wHTFlNGipGfh6f3u44dtbzciNY1RlXAESLTf9LakTQh2kySeN6JlfmGs0HBZG9eyAK47JpVj&#10;PbC3KkmXy9ukN66yznDhPZw+jpd0F/nrWvDwVNdeBKJKCrmF+Hfxf8B/stuyzdEx20g+pcH+IYuW&#10;SQ1Br1SPLDBycvIPqlZyZ7ypw4KbNjF1LbmIGkDNavmbmpeGWRG1QHG8vZbJ/z9a/r17dkRW0Lsi&#10;o0SzFpq0d0JgyQmeQYV66zcAfLHPbvI8mCh3qAFVK2m/AEEsAEgiQ0nztMiWxZqSc0lv8mxVrPOx&#10;1mIIhANgld4UKUTkAMjWt2l2h/fJSInU/OTDZ2FatFn3zYexVdXFYs3F4oO+mA4a/tdWWxbwHZKi&#10;Sfopk5ySZkwkxxEegjvhSD/9xCFBdGs68Wriu4ACAQWZxwGCpN9ulZ6jokrgnkQC9yhyRMFDTCLK&#10;viYGh3Pp3ihZ7aVSGNq74+FBOdIxGOd9/CbCdzClEawNPrvEgyDYxrFxaB1MdYbWq68axululaWQ&#10;Zpg7bu4c5g7TvDGwRDw4SkbnIcSlwmhIDtMaVU2bhesw9yPqbf93vwAAAP//AwBQSwMEFAAGAAgA&#10;AAAhAA4Kt57hAAAACgEAAA8AAABkcnMvZG93bnJldi54bWxMj0tPwzAQhO9I/AdrkbhRhya0VYhT&#10;IR5SDzxEiwRHN94mofE6st02/Hs2JzjtrmY0+02xHGwnjuhD60jB9SQBgVQ501Kt4GPzdLUAEaIm&#10;oztHqOAHAyzL87NC58ad6B2P61gLDqGQawVNjH0uZagatDpMXI/E2s55qyOfvpbG6xOH205Ok2Qm&#10;rW6JPzS6x/sGq/36YBW8fX5NN8+rVYjZ6/z7xT/sd2n6qNTlxXB3CyLiEP/MMOIzOpTMtHUHMkF0&#10;CtKbBXeJCmbjZEM6H5ctO7MsAVkW8n+F8hcAAP//AwBQSwECLQAUAAYACAAAACEAtoM4kv4AAADh&#10;AQAAEwAAAAAAAAAAAAAAAAAAAAAAW0NvbnRlbnRfVHlwZXNdLnhtbFBLAQItABQABgAIAAAAIQA4&#10;/SH/1gAAAJQBAAALAAAAAAAAAAAAAAAAAC8BAABfcmVscy8ucmVsc1BLAQItABQABgAIAAAAIQC9&#10;1JYcEAIAAEcEAAAOAAAAAAAAAAAAAAAAAC4CAABkcnMvZTJvRG9jLnhtbFBLAQItABQABgAIAAAA&#10;IQAOCree4QAAAAoBAAAPAAAAAAAAAAAAAAAAAGoEAABkcnMvZG93bnJldi54bWxQSwUGAAAAAAQA&#10;BADzAAAAeAUAAAAA&#10;" path="m,l123825,476250e" stroked="f">
                <v:path arrowok="t" o:extrusionok="f" textboxrect="0,0,123825,476250"/>
                <w10:wrap anchorx="margin"/>
              </v:shape>
            </w:pict>
          </mc:Fallback>
        </mc:AlternateContent>
      </w:r>
    </w:p>
    <w:p w:rsidR="00616C71" w:rsidRDefault="00616C71" w:rsidP="00616C71">
      <w:pPr>
        <w:spacing w:after="160" w:line="259" w:lineRule="auto"/>
      </w:pPr>
    </w:p>
    <w:p w:rsidR="00D6350D" w:rsidRDefault="007D735D" w:rsidP="00B702A5">
      <w:pPr>
        <w:numPr>
          <w:ilvl w:val="0"/>
          <w:numId w:val="20"/>
        </w:numPr>
        <w:pBdr>
          <w:top w:val="nil"/>
          <w:left w:val="nil"/>
          <w:bottom w:val="nil"/>
          <w:right w:val="nil"/>
          <w:between w:val="nil"/>
        </w:pBdr>
        <w:spacing w:after="160" w:line="259" w:lineRule="auto"/>
        <w:ind w:hanging="360"/>
        <w:contextualSpacing/>
        <w:jc w:val="left"/>
        <w:rPr>
          <w:sz w:val="20"/>
          <w:szCs w:val="20"/>
        </w:rPr>
      </w:pPr>
      <w:r>
        <w:rPr>
          <w:noProof/>
          <w:lang w:eastAsia="en-GB"/>
        </w:rPr>
        <mc:AlternateContent>
          <mc:Choice Requires="wps">
            <w:drawing>
              <wp:anchor distT="0" distB="0" distL="114300" distR="114300" simplePos="0" relativeHeight="252027904" behindDoc="0" locked="0" layoutInCell="1" hidden="0" allowOverlap="1" wp14:anchorId="2E0B6EA6" wp14:editId="07A0AF53">
                <wp:simplePos x="0" y="0"/>
                <wp:positionH relativeFrom="margin">
                  <wp:posOffset>671829</wp:posOffset>
                </wp:positionH>
                <wp:positionV relativeFrom="paragraph">
                  <wp:posOffset>1894841</wp:posOffset>
                </wp:positionV>
                <wp:extent cx="474265" cy="155284"/>
                <wp:effectExtent l="0" t="95250" r="21590" b="73660"/>
                <wp:wrapNone/>
                <wp:docPr id="158" name="Freeform 158"/>
                <wp:cNvGraphicFramePr/>
                <a:graphic xmlns:a="http://schemas.openxmlformats.org/drawingml/2006/main">
                  <a:graphicData uri="http://schemas.microsoft.com/office/word/2010/wordprocessingShape">
                    <wps:wsp>
                      <wps:cNvSpPr/>
                      <wps:spPr>
                        <a:xfrm rot="10050715" flipH="1">
                          <a:off x="0" y="0"/>
                          <a:ext cx="474265" cy="155284"/>
                        </a:xfrm>
                        <a:custGeom>
                          <a:avLst/>
                          <a:gdLst/>
                          <a:ahLst/>
                          <a:cxnLst/>
                          <a:rect l="0" t="0" r="0" b="0"/>
                          <a:pathLst>
                            <a:path w="590550" h="245109" extrusionOk="0">
                              <a:moveTo>
                                <a:pt x="0" y="0"/>
                              </a:moveTo>
                              <a:lnTo>
                                <a:pt x="590550" y="245109"/>
                              </a:lnTo>
                            </a:path>
                          </a:pathLst>
                        </a:custGeom>
                        <a:solidFill>
                          <a:srgbClr val="FFFFFF"/>
                        </a:solidFill>
                        <a:ln w="28575" cap="flat" cmpd="sng">
                          <a:solidFill>
                            <a:schemeClr val="tx1"/>
                          </a:solidFill>
                          <a:prstDash val="solid"/>
                          <a:miter/>
                          <a:headEnd type="none" w="med" len="med"/>
                          <a:tailEnd type="triangle" w="lg" len="lg"/>
                        </a:ln>
                      </wps:spPr>
                      <wps:bodyPr lIns="91425" tIns="91425" rIns="91425" bIns="91425" anchor="ctr" anchorCtr="0"/>
                    </wps:wsp>
                  </a:graphicData>
                </a:graphic>
                <wp14:sizeRelH relativeFrom="margin">
                  <wp14:pctWidth>0</wp14:pctWidth>
                </wp14:sizeRelH>
                <wp14:sizeRelV relativeFrom="margin">
                  <wp14:pctHeight>0</wp14:pctHeight>
                </wp14:sizeRelV>
              </wp:anchor>
            </w:drawing>
          </mc:Choice>
          <mc:Fallback>
            <w:pict>
              <v:shape w14:anchorId="44F0C0AC" id="Freeform 158" o:spid="_x0000_s1026" style="position:absolute;margin-left:52.9pt;margin-top:149.2pt;width:37.35pt;height:12.25pt;rotation:-10978061fd;flip:x;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0550,245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pmYgIAAAsFAAAOAAAAZHJzL2Uyb0RvYy54bWysVMlu2zAQvRfoPxC8N1pgZTEi55DUbYGi&#10;CZD0A2iKkohSJEGObfnvO0N5S1L0UFQHYYZ8fJw3C2/vxsGwjQpRO1vz4iLnTFnpGm27mv98WX66&#10;5iyCsI0wzqqa71Tkd4uPH263fq5K1zvTqMCQxMb51te8B/DzLIuyV4OIF84ri5utC4MAdEOXNUFs&#10;kX0wWZnnl9nWhcYHJ1WMuPowbfJF4m9bJeGxbaMCZmqOsUH6h/Rf0T9b3Ip5F4TvtdyHIf4hikFo&#10;i5ceqR4ECLYO+h3VoGVw0bVwId2QubbVUiUNqKbI36h57oVXSQsmJ/pjmuL/o5U/Nk+B6QZrV2Gp&#10;rBiwSMugFKWc0RpmaOvjHIHP/insvYgmyR1bRAWHaS3yvMqvioqz1mj/FRdSPlAhG1O6d8d0qxGY&#10;xMXZ1ay8xAMSt4qqKq9ndFk2sRK7XEf4otxAtth8jzBVqzlYoj9YcrQHM2DN/1ptL4DOESmZbFvz&#10;6iavKmyPvublrCryG+ziEcKauvrxFwVO6MFt1ItL5+CNKAz6tGvsOerAjSL33JPICYUHKYgk+xgY&#10;Lp5Lj87oZqmNoatj6Fb3JrCNwI5epm+ftVcwY0lXeV1dUYIFTlZrBKA5eKx1tF1S9OpImjl15Iax&#10;+BOxDxEeROynABIBwVC/BhWS1SvRfLYNg53HZrI495yCGVTDmVH4TJCVkCC0OSEhaGE7M6FNtwej&#10;cUgYZolacWo+slau2WH7mm8WR+KmmJUoFs6dcO6szh1hZe/wIZAQOJuce0gPA91G5DhxqSz714FG&#10;+txPqNMbtvgNAAD//wMAUEsDBBQABgAIAAAAIQDnHNTI4QAAAAsBAAAPAAAAZHJzL2Rvd25yZXYu&#10;eG1sTI9RS8MwFIXfBf9DuIIv4hKjW7vadMhkMPBB7MTnrLk2xeamNNnW/XuzJ308nMM53ylXk+vZ&#10;EcfQeVLwMBPAkBpvOmoVfO429zmwEDUZ3XtCBWcMsKqur0pdGH+iDzzWsWWphEKhFdgYh4Lz0Fh0&#10;Osz8gJS8bz86HZMcW25GfUrlrudSiAV3uqO0YPWAa4vNT31wCt4273d1u5Pn9XaRvXZfU7b1NlPq&#10;9mZ6eQYWcYp/YbjgJ3SoEtPeH8gE1ict5gk9KpDL/AnYJZGLObC9gkcpl8Crkv//UP0CAAD//wMA&#10;UEsBAi0AFAAGAAgAAAAhALaDOJL+AAAA4QEAABMAAAAAAAAAAAAAAAAAAAAAAFtDb250ZW50X1R5&#10;cGVzXS54bWxQSwECLQAUAAYACAAAACEAOP0h/9YAAACUAQAACwAAAAAAAAAAAAAAAAAvAQAAX3Jl&#10;bHMvLnJlbHNQSwECLQAUAAYACAAAACEAk2zKZmICAAALBQAADgAAAAAAAAAAAAAAAAAuAgAAZHJz&#10;L2Uyb0RvYy54bWxQSwECLQAUAAYACAAAACEA5xzUyOEAAAALAQAADwAAAAAAAAAAAAAAAAC8BAAA&#10;ZHJzL2Rvd25yZXYueG1sUEsFBgAAAAAEAAQA8wAAAMoFAAAAAA==&#10;" path="m,l590550,245109e" strokecolor="black [3213]" strokeweight="2.25pt">
                <v:stroke endarrow="block" endarrowwidth="wide" endarrowlength="long" joinstyle="miter"/>
                <v:path arrowok="t" o:extrusionok="f" textboxrect="0,0,590550,245109"/>
                <w10:wrap anchorx="margin"/>
              </v:shape>
            </w:pict>
          </mc:Fallback>
        </mc:AlternateContent>
      </w:r>
      <w:r w:rsidR="00D60F76" w:rsidRPr="00D60F76">
        <w:rPr>
          <w:noProof/>
          <w:lang w:eastAsia="en-GB"/>
        </w:rPr>
        <mc:AlternateContent>
          <mc:Choice Requires="wps">
            <w:drawing>
              <wp:anchor distT="0" distB="0" distL="114300" distR="114300" simplePos="0" relativeHeight="252010496" behindDoc="0" locked="0" layoutInCell="1" hidden="0" allowOverlap="1" wp14:anchorId="00466429" wp14:editId="277D3A29">
                <wp:simplePos x="0" y="0"/>
                <wp:positionH relativeFrom="margin">
                  <wp:posOffset>1581150</wp:posOffset>
                </wp:positionH>
                <wp:positionV relativeFrom="paragraph">
                  <wp:posOffset>1352550</wp:posOffset>
                </wp:positionV>
                <wp:extent cx="850900" cy="368300"/>
                <wp:effectExtent l="0" t="0" r="0" b="0"/>
                <wp:wrapNone/>
                <wp:docPr id="310" name="Rectangle 310"/>
                <wp:cNvGraphicFramePr/>
                <a:graphic xmlns:a="http://schemas.openxmlformats.org/drawingml/2006/main">
                  <a:graphicData uri="http://schemas.microsoft.com/office/word/2010/wordprocessingShape">
                    <wps:wsp>
                      <wps:cNvSpPr/>
                      <wps:spPr>
                        <a:xfrm>
                          <a:off x="0" y="0"/>
                          <a:ext cx="850900" cy="368300"/>
                        </a:xfrm>
                        <a:prstGeom prst="rect">
                          <a:avLst/>
                        </a:prstGeom>
                        <a:noFill/>
                        <a:ln>
                          <a:noFill/>
                        </a:ln>
                      </wps:spPr>
                      <wps:txbx>
                        <w:txbxContent>
                          <w:p w:rsidR="00AD6A02" w:rsidRDefault="00AD6A02" w:rsidP="00D60F76">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00466429" id="Rectangle 310" o:spid="_x0000_s1090" style="position:absolute;left:0;text-align:left;margin-left:124.5pt;margin-top:106.5pt;width:67pt;height:29pt;z-index:252010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RUogEAAEIDAAAOAAAAZHJzL2Uyb0RvYy54bWysUtuO0zAQfUfiHyy/U6dbqELUdB9YLUJC&#10;sGLhA6aO3VjyTWPTpH/P2O12C7yt9sWZi3PmnOPZ3M7OsoPCZILv+XLRcKa8DIPx+57/+nn/ruUs&#10;ZfAD2OBVz48q8dvt2zebKXbqJozBDgoZgfjUTbHnY86xEyLJUTlIixCVp6YO6CBTinsxIEyE7qy4&#10;aZq1mAIOEYNUKVH17tTk24qvtZL5u9ZJZWZ7TtxyPbGeu3KK7Qa6PUIcjTzTgBewcGA8Db1A3UEG&#10;9hvNf1DOSAwp6LyQwYmgtZGqaiA1y+YfNY8jRFW1kDkpXmxKrwcrvx0ekJmh56sl+ePB0SP9INvA&#10;761ipUgWTTF1dPMxPuA5SxQWvbNGV76khM3V1uPFVjVnJqnYfmg+NgQuqbVatyuKCUU8/xwx5c8q&#10;OFaCniONr2bC4WvKp6tPV8osH+6NtVSHzvq/CoRZKqLwPTEsUZ53c5W4fv8kZheGI+m2Xzx52baV&#10;Xq7Jql0Wrnjd2V13wMsx0AZlzk7hp1z3qfAs0+ihqrjzUpVNuM7rrefV3/4BAAD//wMAUEsDBBQA&#10;BgAIAAAAIQD1rIcv3wAAAAsBAAAPAAAAZHJzL2Rvd25yZXYueG1sTI/BTsMwEETvSPyDtUjcqJOm&#10;ghLiVAWJXhCHtnyAEy+J1XgdYicNfD3bE9xmd0ezb4rN7Dox4RCsJwXpIgGBVHtjqVHwcXy9W4MI&#10;UZPRnSdU8I0BNuX1VaFz48+0x+kQG8EhFHKtoI2xz6UMdYtOh4Xvkfj26QenI49DI82gzxzuOrlM&#10;knvptCX+0OoeX1qsT4fRKZh++tXzzhp/2n69z9XbuMuO1il1ezNvn0BEnOOfGS74jA4lM1V+JBNE&#10;p2C5euQukUWasWBHtr6IijcPaQKyLOT/DuUvAAAA//8DAFBLAQItABQABgAIAAAAIQC2gziS/gAA&#10;AOEBAAATAAAAAAAAAAAAAAAAAAAAAABbQ29udGVudF9UeXBlc10ueG1sUEsBAi0AFAAGAAgAAAAh&#10;ADj9If/WAAAAlAEAAAsAAAAAAAAAAAAAAAAALwEAAF9yZWxzLy5yZWxzUEsBAi0AFAAGAAgAAAAh&#10;ABAJhFSiAQAAQgMAAA4AAAAAAAAAAAAAAAAALgIAAGRycy9lMm9Eb2MueG1sUEsBAi0AFAAGAAgA&#10;AAAhAPWshy/fAAAACwEAAA8AAAAAAAAAAAAAAAAA/AMAAGRycy9kb3ducmV2LnhtbFBLBQYAAAAA&#10;BAAEAPMAAAAIBQAAAAA=&#10;" filled="f" stroked="f">
                <v:textbox inset="7pt,3pt,7pt,3pt">
                  <w:txbxContent>
                    <w:p w:rsidR="00AD6A02" w:rsidRDefault="00AD6A02" w:rsidP="00D60F76">
                      <w:pPr>
                        <w:spacing w:after="0"/>
                        <w:textDirection w:val="btLr"/>
                      </w:pPr>
                      <w:r>
                        <w:rPr>
                          <w:rFonts w:ascii="Calibri" w:eastAsia="Calibri" w:hAnsi="Calibri" w:cs="Calibri"/>
                          <w:b/>
                          <w:color w:val="000000"/>
                          <w:sz w:val="36"/>
                        </w:rPr>
                        <w:t>G</w:t>
                      </w:r>
                    </w:p>
                  </w:txbxContent>
                </v:textbox>
                <w10:wrap anchorx="margin"/>
              </v:rect>
            </w:pict>
          </mc:Fallback>
        </mc:AlternateContent>
      </w:r>
      <w:r w:rsidR="00E25AE4">
        <w:rPr>
          <w:noProof/>
          <w:lang w:eastAsia="en-GB"/>
        </w:rPr>
        <mc:AlternateContent>
          <mc:Choice Requires="wps">
            <w:drawing>
              <wp:anchor distT="0" distB="0" distL="114300" distR="114300" simplePos="0" relativeHeight="251837440" behindDoc="0" locked="0" layoutInCell="1" hidden="0" allowOverlap="1" wp14:anchorId="3339DD24" wp14:editId="4DE56DEB">
                <wp:simplePos x="0" y="0"/>
                <wp:positionH relativeFrom="margin">
                  <wp:posOffset>1571625</wp:posOffset>
                </wp:positionH>
                <wp:positionV relativeFrom="paragraph">
                  <wp:posOffset>690245</wp:posOffset>
                </wp:positionV>
                <wp:extent cx="609600" cy="266700"/>
                <wp:effectExtent l="57150" t="19050" r="38100" b="0"/>
                <wp:wrapNone/>
                <wp:docPr id="54" name="Freeform 54"/>
                <wp:cNvGraphicFramePr/>
                <a:graphic xmlns:a="http://schemas.openxmlformats.org/drawingml/2006/main">
                  <a:graphicData uri="http://schemas.microsoft.com/office/word/2010/wordprocessingShape">
                    <wps:wsp>
                      <wps:cNvSpPr/>
                      <wps:spPr>
                        <a:xfrm rot="10050715">
                          <a:off x="0" y="0"/>
                          <a:ext cx="609600" cy="266700"/>
                        </a:xfrm>
                        <a:custGeom>
                          <a:avLst/>
                          <a:gdLst/>
                          <a:ahLst/>
                          <a:cxnLst/>
                          <a:rect l="0" t="0" r="0" b="0"/>
                          <a:pathLst>
                            <a:path w="590550" h="245109" extrusionOk="0">
                              <a:moveTo>
                                <a:pt x="0" y="0"/>
                              </a:moveTo>
                              <a:lnTo>
                                <a:pt x="590550" y="245109"/>
                              </a:lnTo>
                            </a:path>
                          </a:pathLst>
                        </a:custGeom>
                        <a:solidFill>
                          <a:srgbClr val="FFFFFF"/>
                        </a:solidFill>
                        <a:ln w="28575" cap="flat" cmpd="sng">
                          <a:solidFill>
                            <a:schemeClr val="accent1"/>
                          </a:solidFill>
                          <a:prstDash val="solid"/>
                          <a:miter/>
                          <a:headEnd type="none" w="med" len="med"/>
                          <a:tailEnd type="triangle" w="lg" len="lg"/>
                        </a:ln>
                      </wps:spPr>
                      <wps:bodyPr lIns="91425" tIns="91425" rIns="91425" bIns="91425" anchor="ctr" anchorCtr="0"/>
                    </wps:wsp>
                  </a:graphicData>
                </a:graphic>
              </wp:anchor>
            </w:drawing>
          </mc:Choice>
          <mc:Fallback>
            <w:pict>
              <v:shape w14:anchorId="5F969A9C" id="Freeform 54" o:spid="_x0000_s1026" style="position:absolute;margin-left:123.75pt;margin-top:54.35pt;width:48pt;height:21pt;rotation:10978061fd;z-index:251837440;visibility:visible;mso-wrap-style:square;mso-wrap-distance-left:9pt;mso-wrap-distance-top:0;mso-wrap-distance-right:9pt;mso-wrap-distance-bottom:0;mso-position-horizontal:absolute;mso-position-horizontal-relative:margin;mso-position-vertical:absolute;mso-position-vertical-relative:text;v-text-anchor:middle" coordsize="590550,245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5OXQIAAAMFAAAOAAAAZHJzL2Uyb0RvYy54bWysVNtu2zAMfR+wfxD0vtgO4rQJ4vShWYYB&#10;w1qg3QcwsmwLkyVBYm5/P0rOrd2wh2F+MEiJOuI5JLV4OPSa7aQPypqKF6OcM2mErZVpK/7jdf3p&#10;nrOAYGrQ1siKH2XgD8uPHxZ7N5dj21ldS88IxIT53lW8Q3TzLAuikz2EkXXS0GZjfQ9Irm+z2sOe&#10;0HudjfN8mu2tr523QoZAq6thky8TftNIgU9NEyQyXXHKDdPfp/8m/rPlAuatB9cpcUoD/iGLHpSh&#10;Sy9QK0BgW69+g+qV8DbYBkfC9pltGiVk4kBsivwdm5cOnExcSJzgLjKF/wcrvu+ePVN1xcsJZwZ6&#10;qtHaSxkVZ7RE+uxdmFPYi3v2Jy+QGckeGgrylkQt8rzM74oyaUCs2CFJfLxILA/IBC1O89k0p0II&#10;2hpPp3dkE2g2YEVMsQ34Rdo+2rD7FnCoUH22oDtb4mDOpqc6/7XCDjCei6DRZHviO8vLkjLpKJFJ&#10;WeQz6twD+m3s5KefMfEY3dudfLXpHL4jRUlfd7W5jTpjR5ID9kByiKKDMYlE+5IYLd5SD1areq20&#10;jlcH324etWc7oC5ep++k2pswbSKv8X15V5LAQNPUaEAye0f1DaZNjN4cSXMmL9gghDRY/Anc+YAr&#10;CN2QRAKJYaSBQumT1UmoP5ua4dFRFxmadx4T6mXNmZb0PEQrRSIofY1Er8C0eojW7SmYjLNopFRs&#10;wqHtorWx9ZHaVn81NAqzYjImwnjr+Ftnc+uAEZ2lB0Cg52xwHjE9CPG2CE6TlkpzehXiKN/6Ker6&#10;di1/AQAA//8DAFBLAwQUAAYACAAAACEAQL/C3uAAAAALAQAADwAAAGRycy9kb3ducmV2LnhtbEyP&#10;S0/DMBCE70j8B2uRuFGHPpIqjVNVSL1xgBShcnPibRLqR7DdJvx7lhMcd+bT7EyxnYxmV/Shd1bA&#10;4ywBhrZxqretgLfD/mENLERpldTOooBvDLAtb28KmSs32le8VrFlFGJDLgV0MQ4556Hp0MgwcwNa&#10;8k7OGxnp9C1XXo4UbjSfJ0nKjewtfejkgE8dNufqYgQ818eXL9y3H+Mx/dz5TL+f08oIcX837TbA&#10;Ik7xD4bf+lQdSupUu4tVgWkB82W2IpSMZJ0BI2KxXJBSk7JKMuBlwf9vKH8AAAD//wMAUEsBAi0A&#10;FAAGAAgAAAAhALaDOJL+AAAA4QEAABMAAAAAAAAAAAAAAAAAAAAAAFtDb250ZW50X1R5cGVzXS54&#10;bWxQSwECLQAUAAYACAAAACEAOP0h/9YAAACUAQAACwAAAAAAAAAAAAAAAAAvAQAAX3JlbHMvLnJl&#10;bHNQSwECLQAUAAYACAAAACEAJiTuTl0CAAADBQAADgAAAAAAAAAAAAAAAAAuAgAAZHJzL2Uyb0Rv&#10;Yy54bWxQSwECLQAUAAYACAAAACEAQL/C3uAAAAALAQAADwAAAAAAAAAAAAAAAAC3BAAAZHJzL2Rv&#10;d25yZXYueG1sUEsFBgAAAAAEAAQA8wAAAMQFAAAAAA==&#10;" path="m,l590550,245109e" strokecolor="#5b9bd5 [3204]" strokeweight="2.25pt">
                <v:stroke endarrow="block" endarrowwidth="wide" endarrowlength="long" joinstyle="miter"/>
                <v:path arrowok="t" o:extrusionok="f" textboxrect="0,0,590550,245109"/>
                <w10:wrap anchorx="margin"/>
              </v:shape>
            </w:pict>
          </mc:Fallback>
        </mc:AlternateContent>
      </w:r>
      <w:r w:rsidR="00D6350D">
        <w:rPr>
          <w:noProof/>
          <w:lang w:eastAsia="en-GB"/>
        </w:rPr>
        <mc:AlternateContent>
          <mc:Choice Requires="wps">
            <w:drawing>
              <wp:anchor distT="0" distB="0" distL="114300" distR="114300" simplePos="0" relativeHeight="251804672" behindDoc="0" locked="0" layoutInCell="1" hidden="0" allowOverlap="1" wp14:anchorId="45C614D1" wp14:editId="5B1965A6">
                <wp:simplePos x="0" y="0"/>
                <wp:positionH relativeFrom="margin">
                  <wp:posOffset>2513822</wp:posOffset>
                </wp:positionH>
                <wp:positionV relativeFrom="paragraph">
                  <wp:posOffset>2378075</wp:posOffset>
                </wp:positionV>
                <wp:extent cx="609600" cy="266700"/>
                <wp:effectExtent l="76200" t="0" r="0" b="0"/>
                <wp:wrapNone/>
                <wp:docPr id="163" name="Freeform 163"/>
                <wp:cNvGraphicFramePr/>
                <a:graphic xmlns:a="http://schemas.openxmlformats.org/drawingml/2006/main">
                  <a:graphicData uri="http://schemas.microsoft.com/office/word/2010/wordprocessingShape">
                    <wps:wsp>
                      <wps:cNvSpPr/>
                      <wps:spPr>
                        <a:xfrm rot="9298986">
                          <a:off x="0" y="0"/>
                          <a:ext cx="609600" cy="266700"/>
                        </a:xfrm>
                        <a:custGeom>
                          <a:avLst/>
                          <a:gdLst/>
                          <a:ahLst/>
                          <a:cxnLst/>
                          <a:rect l="0" t="0" r="0" b="0"/>
                          <a:pathLst>
                            <a:path w="590550" h="245109" extrusionOk="0">
                              <a:moveTo>
                                <a:pt x="0" y="0"/>
                              </a:moveTo>
                              <a:lnTo>
                                <a:pt x="590550" y="245109"/>
                              </a:lnTo>
                            </a:path>
                          </a:pathLst>
                        </a:custGeom>
                        <a:solidFill>
                          <a:srgbClr val="FFFFFF"/>
                        </a:solidFill>
                        <a:ln w="28575" cap="flat" cmpd="sng">
                          <a:solidFill>
                            <a:srgbClr val="00B050"/>
                          </a:solidFill>
                          <a:prstDash val="solid"/>
                          <a:miter/>
                          <a:headEnd type="none" w="med" len="med"/>
                          <a:tailEnd type="triangle" w="lg" len="lg"/>
                        </a:ln>
                      </wps:spPr>
                      <wps:bodyPr lIns="91425" tIns="91425" rIns="91425" bIns="91425" anchor="ctr" anchorCtr="0"/>
                    </wps:wsp>
                  </a:graphicData>
                </a:graphic>
              </wp:anchor>
            </w:drawing>
          </mc:Choice>
          <mc:Fallback>
            <w:pict>
              <v:shape w14:anchorId="1E7B0559" id="Freeform 163" o:spid="_x0000_s1026" style="position:absolute;margin-left:197.95pt;margin-top:187.25pt;width:48pt;height:21pt;rotation:10156972fd;z-index:251804672;visibility:visible;mso-wrap-style:square;mso-wrap-distance-left:9pt;mso-wrap-distance-top:0;mso-wrap-distance-right:9pt;mso-wrap-distance-bottom:0;mso-position-horizontal:absolute;mso-position-horizontal-relative:margin;mso-position-vertical:absolute;mso-position-vertical-relative:text;v-text-anchor:middle" coordsize="590550,245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GoXwIAAAEFAAAOAAAAZHJzL2Uyb0RvYy54bWysVNuO2yAQfa/Uf0C8N3bctTeO4qzUTVNV&#10;qror7fYDCMY2KgYEJHb+vgPk4mylfajqB2sGDoc5c2H1MPYCHZixXMkKz2cpRkxSVXPZVvjX6/bT&#10;AiPriKyJUJJV+Mgsflh//LAa9JJlqlOiZgYBibTLQVe4c04vk8TSjvXEzpRmEjYbZXriwDVtUhsy&#10;AHsvkixNi2RQptZGUWYtrG7iJl4H/qZh1D01jWUOiQpDbC78Tfjv/D9Zr8iyNUR3nJ7CIP8QRU+4&#10;hEsvVBviCNob/hdVz6lRVjVuRlWfqKbhlAUNoGaevlHz0hHNghZIjtWXNNn/R0t/Hp4N4jXUrviM&#10;kSQ9FGlrGPMpR34NMjRouwTgi342J8+C6eWODaCMgrSWWbkoF0VIAshCY8jx8ZJjNjpEYbFIyyKF&#10;SlDYyoriHmzgTCKVp6R7674x1XubHH5YF0tUny3SnS06yrNpoNDvllgT5895Um+iocJ5meY5RNJB&#10;IHf5PC2hdUdn9r6Vn377wD26Vwf2qsI590YUBH3dFXKKOnN7kZE7iowoOOiDCLIvgcHiVLpVgtdb&#10;LoS/2pp29ygMOhBo4234Tlm7gQnpdWWL/D6HBBMYp0YQB2avocBWtkHRzZEb5jT9kkJGYqg3MG2s&#10;2xDbxQjClodBArhjJlgdI/VXWSN31NBCEqYd+2h6VmMkGDwO3gpIR7i4Ip3hRLYiokV7AoMRwxAS&#10;0uQbMLact3aqPkLTiu8SBqGc32Wg1k0dM3V2U4dI2ikYf+oMRtF5dOE58Ld5cpizUJfTm+AHeeoH&#10;1PXlWv8BAAD//wMAUEsDBBQABgAIAAAAIQAYUR303gAAAAsBAAAPAAAAZHJzL2Rvd25yZXYueG1s&#10;TI/NTsMwEITvSLyDtUjcqJO2KSSNUyEEVyoaHsCJt3GIf6LYbdO3ZznR2+zOaPbbcjdbw844hd47&#10;AekiAYau9ap3nYDv+uPpBViI0ilpvEMBVwywq+7vSlkof3FfeD7EjlGJC4UUoGMcC85Dq9HKsPAj&#10;OvKOfrIy0jh1XE3yQuXW8GWSbLiVvaMLWo74prEdDicroBnq6/xj6vflam80H3Kl9p9RiMeH+XUL&#10;LOIc/8Pwh0/oUBFT409OBWYErPIspyiJ53UGjBLrPKVNQyLdZMCrkt/+UP0CAAD//wMAUEsBAi0A&#10;FAAGAAgAAAAhALaDOJL+AAAA4QEAABMAAAAAAAAAAAAAAAAAAAAAAFtDb250ZW50X1R5cGVzXS54&#10;bWxQSwECLQAUAAYACAAAACEAOP0h/9YAAACUAQAACwAAAAAAAAAAAAAAAAAvAQAAX3JlbHMvLnJl&#10;bHNQSwECLQAUAAYACAAAACEArU3hqF8CAAABBQAADgAAAAAAAAAAAAAAAAAuAgAAZHJzL2Uyb0Rv&#10;Yy54bWxQSwECLQAUAAYACAAAACEAGFEd9N4AAAALAQAADwAAAAAAAAAAAAAAAAC5BAAAZHJzL2Rv&#10;d25yZXYueG1sUEsFBgAAAAAEAAQA8wAAAMQFAAAAAA==&#10;" path="m,l590550,245109e" strokecolor="#00b050" strokeweight="2.25pt">
                <v:stroke endarrow="block" endarrowwidth="wide" endarrowlength="long" joinstyle="miter"/>
                <v:path arrowok="t" o:extrusionok="f" textboxrect="0,0,590550,245109"/>
                <w10:wrap anchorx="margin"/>
              </v:shape>
            </w:pict>
          </mc:Fallback>
        </mc:AlternateContent>
      </w:r>
      <w:r w:rsidR="00D6350D">
        <w:rPr>
          <w:noProof/>
          <w:lang w:eastAsia="en-GB"/>
        </w:rPr>
        <mc:AlternateContent>
          <mc:Choice Requires="wps">
            <w:drawing>
              <wp:anchor distT="0" distB="0" distL="114300" distR="114300" simplePos="0" relativeHeight="251803648" behindDoc="0" locked="0" layoutInCell="1" hidden="0" allowOverlap="1" wp14:anchorId="1FBC7A26" wp14:editId="1CA6CAFD">
                <wp:simplePos x="0" y="0"/>
                <wp:positionH relativeFrom="margin">
                  <wp:posOffset>2489200</wp:posOffset>
                </wp:positionH>
                <wp:positionV relativeFrom="paragraph">
                  <wp:posOffset>467995</wp:posOffset>
                </wp:positionV>
                <wp:extent cx="542925" cy="304800"/>
                <wp:effectExtent l="0" t="0" r="0" b="0"/>
                <wp:wrapNone/>
                <wp:docPr id="95" name="Rectangle 95"/>
                <wp:cNvGraphicFramePr/>
                <a:graphic xmlns:a="http://schemas.openxmlformats.org/drawingml/2006/main">
                  <a:graphicData uri="http://schemas.microsoft.com/office/word/2010/wordprocessingShape">
                    <wps:wsp>
                      <wps:cNvSpPr/>
                      <wps:spPr>
                        <a:xfrm>
                          <a:off x="0" y="0"/>
                          <a:ext cx="542925" cy="3048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DT</w:t>
                            </w: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1FBC7A26" id="Rectangle 95" o:spid="_x0000_s1091" style="position:absolute;left:0;text-align:left;margin-left:196pt;margin-top:36.85pt;width:42.75pt;height:24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M/twEAAGgDAAAOAAAAZHJzL2Uyb0RvYy54bWysU8lu2zAQvRfoPxC8x5SdBbJgOSgSpChQ&#10;tEGWD6Ap0iLArUPakv++Q8px3PYW9ELP5pn33oxWt6M1ZC8hau9aOp9VlEgnfKfdtqWvLw8XNSUx&#10;cddx451s6UFGerv+/Gk1hEYufO9NJ4FgExebIbS0Tyk0jEXRS8vjzAfpMKk8WJ7QhS3rgA/Y3Rq2&#10;qKobNnjoAnghY8To/ZSk69JfKSnST6WiTMS0FLGl8kJ5N/ll6xVvtsBDr8URBv8ACsu1w6GnVvc8&#10;cbID/U8rqwX46FWaCW+ZV0oLWTggm3n1F5vnngdZuKA4MZxkiv+vrfixfwSiu5Yurylx3OKOnlA1&#10;7rZGEoyhQEOIDdY9h0c4ehHNzHZUYPMv8iBjEfVwElWOiQgMXl8tlgvsLTB1WV3VVRGdvf85QExf&#10;pbckGy0FnF6k5PvvMeFALH0rybOcf9DGlL0Z90cAC3OEZbwTwmylcTMWgjcnMhvfHZD1gGtvafy1&#10;4yApMd8c6lrXSwRIUnEu63l24DyzOc9wJ3qP15Qomcy7VG5rgvVll7zShUIGMk094sN1FmbH08v3&#10;cu6XqvcPZP0bAAD//wMAUEsDBBQABgAIAAAAIQDqkLdS4AAAAAoBAAAPAAAAZHJzL2Rvd25yZXYu&#10;eG1sTI9BTsMwEEX3SNzBGiR21GlScBviVAWJblAXtBzAiYfEamyH2EkDp2dYwXI0T/+/X2xn27EJ&#10;h2C8k7BcJMDQ1V4b10h4P73crYGFqJxWnXco4QsDbMvrq0Ll2l/cG07H2DAKcSFXEtoY+5zzULdo&#10;VVj4Hh39PvxgVaRzaLge1IXCbcfTJHngVhlHDa3q8bnF+nwcrYTpu1897Y32593nYa5ex312MlbK&#10;25t59wgs4hz/YPjVJ3Uoyanyo9OBdRKyTUpbogSRCWAErIS4B1YRmS4F8LLg/yeUPwAAAP//AwBQ&#10;SwECLQAUAAYACAAAACEAtoM4kv4AAADhAQAAEwAAAAAAAAAAAAAAAAAAAAAAW0NvbnRlbnRfVHlw&#10;ZXNdLnhtbFBLAQItABQABgAIAAAAIQA4/SH/1gAAAJQBAAALAAAAAAAAAAAAAAAAAC8BAABfcmVs&#10;cy8ucmVsc1BLAQItABQABgAIAAAAIQCgGrM/twEAAGgDAAAOAAAAAAAAAAAAAAAAAC4CAABkcnMv&#10;ZTJvRG9jLnhtbFBLAQItABQABgAIAAAAIQDqkLdS4AAAAAoBAAAPAAAAAAAAAAAAAAAAABEEAABk&#10;cnMvZG93bnJldi54bWxQSwUGAAAAAAQABADzAAAAHgU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DT</w:t>
                      </w:r>
                    </w:p>
                  </w:txbxContent>
                </v:textbox>
                <w10:wrap anchorx="margin"/>
              </v:rect>
            </w:pict>
          </mc:Fallback>
        </mc:AlternateContent>
      </w:r>
      <w:r w:rsidR="00D6350D">
        <w:rPr>
          <w:noProof/>
          <w:lang w:eastAsia="en-GB"/>
        </w:rPr>
        <mc:AlternateContent>
          <mc:Choice Requires="wps">
            <w:drawing>
              <wp:anchor distT="0" distB="0" distL="114300" distR="114300" simplePos="0" relativeHeight="251801600" behindDoc="0" locked="0" layoutInCell="1" hidden="0" allowOverlap="1" wp14:anchorId="2DE849DD" wp14:editId="43667029">
                <wp:simplePos x="0" y="0"/>
                <wp:positionH relativeFrom="margin">
                  <wp:posOffset>3038475</wp:posOffset>
                </wp:positionH>
                <wp:positionV relativeFrom="paragraph">
                  <wp:posOffset>1069975</wp:posOffset>
                </wp:positionV>
                <wp:extent cx="850900" cy="368300"/>
                <wp:effectExtent l="0" t="0" r="0" b="0"/>
                <wp:wrapNone/>
                <wp:docPr id="170" name="Rectangle 170"/>
                <wp:cNvGraphicFramePr/>
                <a:graphic xmlns:a="http://schemas.openxmlformats.org/drawingml/2006/main">
                  <a:graphicData uri="http://schemas.microsoft.com/office/word/2010/wordprocessingShape">
                    <wps:wsp>
                      <wps:cNvSpPr/>
                      <wps:spPr>
                        <a:xfrm>
                          <a:off x="0" y="0"/>
                          <a:ext cx="850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36"/>
                              </w:rPr>
                              <w:t>G</w:t>
                            </w:r>
                          </w:p>
                        </w:txbxContent>
                      </wps:txbx>
                      <wps:bodyPr lIns="88900" tIns="38100" rIns="88900" bIns="38100" anchor="t" anchorCtr="0"/>
                    </wps:wsp>
                  </a:graphicData>
                </a:graphic>
              </wp:anchor>
            </w:drawing>
          </mc:Choice>
          <mc:Fallback>
            <w:pict>
              <v:rect w14:anchorId="2DE849DD" id="Rectangle 170" o:spid="_x0000_s1092" style="position:absolute;left:0;text-align:left;margin-left:239.25pt;margin-top:84.25pt;width:67pt;height:29pt;z-index:251801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y73ogEAAEIDAAAOAAAAZHJzL2Uyb0RvYy54bWysUk2P0zAQvSPxHyzfqdOtKCFqugdWi5AQ&#10;rFj4Aa5jN5ZsjzU2TfrvGbvdboHbai/OfDhv3nueze3sHTtoTBZCz5eLhjMdFAw27Hv+6+f9u5az&#10;lGUYpIOge37Uid9u377ZTLHTNzCCGzQyAgmpm2LPx5xjJ0RSo/YyLSDqQE0D6GWmFPdiQDkRunfi&#10;pmnWYgIcIoLSKVH17tTk24pvjFb5uzFJZ+Z6TtxyPbGeu3KK7UZ2e5RxtOpMQ76AhZc20NAL1J3M&#10;kv1G+x+UtwohgckLBV6AMVbpqoHULJt/1DyOMuqqhcxJ8WJTej1Y9e3wgMwO9HYfyJ8gPT3SD7JN&#10;hr3TrBTJoimmjm4+xgc8Z4nConc26MuXlLC52nq82KrnzBQV2/fNx4bAFbVW63ZFMaGI558jpvxZ&#10;g2cl6DnS+GqmPHxN+XT16UqZFeDeOkd12bnwV4EwS0UUvieGJcrzbq4S1+snMTsYjqTbfQnkZdtW&#10;erkmq3ZZuOJ1Z3fdkUGNQBuUOTuFn3Ldp8KzTKOHquLOS1U24Tqvt55Xf/sHAAD//wMAUEsDBBQA&#10;BgAIAAAAIQCYej7F3wAAAAsBAAAPAAAAZHJzL2Rvd25yZXYueG1sTI/BTsMwEETvSPyDtUjcqNPQ&#10;hirEqQoSvSAOtHyAEy+J1XgdYicNfD3bE9xmNU+zM8V2dp2YcAjWk4LlIgGBVHtjqVHwcXy524AI&#10;UZPRnSdU8I0BtuX1VaFz48/0jtMhNoJDKORaQRtjn0sZ6hadDgvfI7H36QenI59DI82gzxzuOpkm&#10;SSadtsQfWt3jc4v16TA6BdNPv3raW+NPu6+3uXod9/dH65S6vZl3jyAizvEPhkt9rg4ld6r8SCaI&#10;TsHqYbNmlI3sIpjIlimLSkGaZmuQZSH/byh/AQAA//8DAFBLAQItABQABgAIAAAAIQC2gziS/gAA&#10;AOEBAAATAAAAAAAAAAAAAAAAAAAAAABbQ29udGVudF9UeXBlc10ueG1sUEsBAi0AFAAGAAgAAAAh&#10;ADj9If/WAAAAlAEAAAsAAAAAAAAAAAAAAAAALwEAAF9yZWxzLy5yZWxzUEsBAi0AFAAGAAgAAAAh&#10;ALB/LveiAQAAQgMAAA4AAAAAAAAAAAAAAAAALgIAAGRycy9lMm9Eb2MueG1sUEsBAi0AFAAGAAgA&#10;AAAhAJh6PsXfAAAACwEAAA8AAAAAAAAAAAAAAAAA/AMAAGRycy9kb3ducmV2LnhtbFBLBQYAAAAA&#10;BAAEAPMAAAAIBQAAAAA=&#10;" filled="f" stroked="f">
                <v:textbox inset="7pt,3pt,7pt,3pt">
                  <w:txbxContent>
                    <w:p w:rsidR="00AD6A02" w:rsidRDefault="00AD6A02" w:rsidP="00616C71">
                      <w:pPr>
                        <w:spacing w:after="0"/>
                        <w:textDirection w:val="btLr"/>
                      </w:pPr>
                      <w:r>
                        <w:rPr>
                          <w:rFonts w:ascii="Calibri" w:eastAsia="Calibri" w:hAnsi="Calibri" w:cs="Calibri"/>
                          <w:b/>
                          <w:color w:val="000000"/>
                          <w:sz w:val="36"/>
                        </w:rPr>
                        <w:t>G</w:t>
                      </w:r>
                    </w:p>
                  </w:txbxContent>
                </v:textbox>
                <w10:wrap anchorx="margin"/>
              </v:rect>
            </w:pict>
          </mc:Fallback>
        </mc:AlternateContent>
      </w:r>
      <w:r w:rsidR="00616C71">
        <w:rPr>
          <w:noProof/>
          <w:lang w:eastAsia="en-GB"/>
        </w:rPr>
        <w:drawing>
          <wp:inline distT="0" distB="0" distL="0" distR="0" wp14:anchorId="7A258001" wp14:editId="0BACA4EC">
            <wp:extent cx="3959279" cy="3168000"/>
            <wp:effectExtent l="0" t="0" r="0" b="0"/>
            <wp:docPr id="28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3"/>
                    <a:srcRect/>
                    <a:stretch>
                      <a:fillRect/>
                    </a:stretch>
                  </pic:blipFill>
                  <pic:spPr>
                    <a:xfrm>
                      <a:off x="0" y="0"/>
                      <a:ext cx="3959279" cy="3168000"/>
                    </a:xfrm>
                    <a:prstGeom prst="rect">
                      <a:avLst/>
                    </a:prstGeom>
                    <a:ln/>
                  </pic:spPr>
                </pic:pic>
              </a:graphicData>
            </a:graphic>
          </wp:inline>
        </w:drawing>
      </w:r>
    </w:p>
    <w:p w:rsidR="00616C71" w:rsidRDefault="00616C71" w:rsidP="00D6350D">
      <w:pPr>
        <w:pBdr>
          <w:top w:val="nil"/>
          <w:left w:val="nil"/>
          <w:bottom w:val="nil"/>
          <w:right w:val="nil"/>
          <w:between w:val="nil"/>
        </w:pBdr>
        <w:spacing w:after="160" w:line="259" w:lineRule="auto"/>
        <w:contextualSpacing/>
        <w:jc w:val="left"/>
        <w:rPr>
          <w:sz w:val="20"/>
          <w:szCs w:val="20"/>
        </w:rPr>
      </w:pPr>
      <w:r>
        <w:rPr>
          <w:noProof/>
          <w:lang w:eastAsia="en-GB"/>
        </w:rPr>
        <mc:AlternateContent>
          <mc:Choice Requires="wps">
            <w:drawing>
              <wp:anchor distT="0" distB="0" distL="114300" distR="114300" simplePos="0" relativeHeight="251805696" behindDoc="0" locked="0" layoutInCell="1" hidden="0" allowOverlap="1" wp14:anchorId="785D7555" wp14:editId="346B2A87">
                <wp:simplePos x="0" y="0"/>
                <wp:positionH relativeFrom="margin">
                  <wp:posOffset>2768600</wp:posOffset>
                </wp:positionH>
                <wp:positionV relativeFrom="paragraph">
                  <wp:posOffset>1816100</wp:posOffset>
                </wp:positionV>
                <wp:extent cx="914400" cy="50800"/>
                <wp:effectExtent l="0" t="0" r="0" b="0"/>
                <wp:wrapNone/>
                <wp:docPr id="178" name="Freeform 178"/>
                <wp:cNvGraphicFramePr/>
                <a:graphic xmlns:a="http://schemas.openxmlformats.org/drawingml/2006/main">
                  <a:graphicData uri="http://schemas.microsoft.com/office/word/2010/wordprocessingShape">
                    <wps:wsp>
                      <wps:cNvSpPr/>
                      <wps:spPr>
                        <a:xfrm rot="10800000">
                          <a:off x="4888800" y="3757140"/>
                          <a:ext cx="914399" cy="45719"/>
                        </a:xfrm>
                        <a:custGeom>
                          <a:avLst/>
                          <a:gdLst/>
                          <a:ahLst/>
                          <a:cxnLst/>
                          <a:rect l="0" t="0" r="0" b="0"/>
                          <a:pathLst>
                            <a:path w="914400" h="45720" extrusionOk="0">
                              <a:moveTo>
                                <a:pt x="0" y="0"/>
                              </a:moveTo>
                              <a:lnTo>
                                <a:pt x="914400" y="45720"/>
                              </a:lnTo>
                            </a:path>
                          </a:pathLst>
                        </a:custGeom>
                        <a:solidFill>
                          <a:srgbClr val="FFFFFF"/>
                        </a:solidFill>
                        <a:ln>
                          <a:noFill/>
                        </a:ln>
                      </wps:spPr>
                      <wps:bodyPr lIns="91425" tIns="91425" rIns="91425" bIns="91425" anchor="ctr" anchorCtr="0"/>
                    </wps:wsp>
                  </a:graphicData>
                </a:graphic>
              </wp:anchor>
            </w:drawing>
          </mc:Choice>
          <mc:Fallback>
            <w:pict>
              <v:shape w14:anchorId="67E6D72A" id="Freeform 178" o:spid="_x0000_s1026" style="position:absolute;margin-left:218pt;margin-top:143pt;width:1in;height:4pt;rotation:180;z-index:251805696;visibility:visible;mso-wrap-style:square;mso-wrap-distance-left:9pt;mso-wrap-distance-top:0;mso-wrap-distance-right:9pt;mso-wrap-distance-bottom:0;mso-position-horizontal:absolute;mso-position-horizontal-relative:margin;mso-position-vertical:absolute;mso-position-vertical-relative:text;v-text-anchor:middle" coordsize="91440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wBDQIAAEkEAAAOAAAAZHJzL2Uyb0RvYy54bWysVE1v2zAMvQ/YfxB0X+yk6fKBOD20yDBg&#10;WAu0/QGKLMfGZFGglNj59yPlpPU2YIdhPgikRD2+R1Le3PWtFSeDoQFXyOkkl8I4DWXjDoV8fdl9&#10;WkoRonKlsuBMIc8myLvtxw+bzq/NDGqwpUFBIC6sO1/IOka/zrKga9OqMAFvHB1WgK2K5OIhK1F1&#10;hN7abJbnn7MOsPQI2oRAuw/Dodwm/KoyOj5WVTBR2EISt5hWTOue12y7UesDKl83+kJD/QOLVjWO&#10;kr5BPaioxBGbP6DaRiMEqOJEQ5tBVTXaJA2kZpr/pua5Vt4kLVSc4N/KFP4frP5+ekLRlNS7BbXK&#10;qZaatENjuOSC96hCnQ9rCnz2T3jxApkst68oCoHKOs2XOX+pCqRL9IWcL+mjLXEu5M3idjGdXwpu&#10;+ig0Baym85vVSgpNAXM6X3G2bIBleH0M8YuBlm11+hbi0K7yaqn6auneXU2kpv+13V5FvsegbIou&#10;EZkz0TrxmPEU9xGPPNWPP3hOOLiFk3mBdC2yvEFYkkSc30+tG0eRxgQ9SCToQeIQRPeYQhL9Ros2&#10;x8ID2KbcNdZy5oCH/b1FcVI00Lv0XQB/CbOOgx3wtWs+SsKNHFrH1h7KMzXffnU0UERzdksPZOzg&#10;2NmPHeV0DfSMdEQpBuc+pmfF2Ric5jWpurwtfhBjP0W9/wG2PwEAAP//AwBQSwMEFAAGAAgAAAAh&#10;ALwh5PvgAAAACwEAAA8AAABkcnMvZG93bnJldi54bWxMjzFPwzAQhXck/oN1SGzUpjQhhDgVQkJi&#10;YKCBDt3c+IitxnaI3Tb991ynsr27e3r3vWo5uZ4dcIw2eAn3MwEMfRu09Z2E76+3uwJYTMpr1QeP&#10;Ek4YYVlfX1Wq1OHoV3hoUscoxMdSSTApDSXnsTXoVJyFAT3dfsLoVKJx7Lge1ZHCXc/nQuTcKevp&#10;g1EDvhpsd83eSXi3H/gbbJfrx+ZkdptVln2uMylvb6aXZ2AJp3Qxwxmf0KEmpm3Yex1ZL2HxkFOX&#10;JGFenAU5skKQ2NLmaSGA1xX/36H+AwAA//8DAFBLAQItABQABgAIAAAAIQC2gziS/gAAAOEBAAAT&#10;AAAAAAAAAAAAAAAAAAAAAABbQ29udGVudF9UeXBlc10ueG1sUEsBAi0AFAAGAAgAAAAhADj9If/W&#10;AAAAlAEAAAsAAAAAAAAAAAAAAAAALwEAAF9yZWxzLy5yZWxzUEsBAi0AFAAGAAgAAAAhAGskvAEN&#10;AgAASQQAAA4AAAAAAAAAAAAAAAAALgIAAGRycy9lMm9Eb2MueG1sUEsBAi0AFAAGAAgAAAAhALwh&#10;5PvgAAAACwEAAA8AAAAAAAAAAAAAAAAAZwQAAGRycy9kb3ducmV2LnhtbFBLBQYAAAAABAAEAPMA&#10;AAB0BQAAAAA=&#10;" path="m,l914400,45720e" stroked="f">
                <v:path arrowok="t" o:extrusionok="f" textboxrect="0,0,914400,45720"/>
                <w10:wrap anchorx="margin"/>
              </v:shape>
            </w:pict>
          </mc:Fallback>
        </mc:AlternateContent>
      </w:r>
      <w:r>
        <w:rPr>
          <w:noProof/>
          <w:lang w:eastAsia="en-GB"/>
        </w:rPr>
        <mc:AlternateContent>
          <mc:Choice Requires="wps">
            <w:drawing>
              <wp:anchor distT="0" distB="0" distL="114300" distR="114300" simplePos="0" relativeHeight="251806720" behindDoc="0" locked="0" layoutInCell="1" hidden="0" allowOverlap="1" wp14:anchorId="0E4B3F35" wp14:editId="77C496A3">
                <wp:simplePos x="0" y="0"/>
                <wp:positionH relativeFrom="margin">
                  <wp:posOffset>2806700</wp:posOffset>
                </wp:positionH>
                <wp:positionV relativeFrom="paragraph">
                  <wp:posOffset>2425700</wp:posOffset>
                </wp:positionV>
                <wp:extent cx="508000" cy="330200"/>
                <wp:effectExtent l="0" t="0" r="0" b="0"/>
                <wp:wrapNone/>
                <wp:docPr id="212" name="Rectangle 212"/>
                <wp:cNvGraphicFramePr/>
                <a:graphic xmlns:a="http://schemas.openxmlformats.org/drawingml/2006/main">
                  <a:graphicData uri="http://schemas.microsoft.com/office/word/2010/wordprocessingShape">
                    <wps:wsp>
                      <wps:cNvSpPr/>
                      <wps:spPr>
                        <a:xfrm>
                          <a:off x="5093587" y="3618710"/>
                          <a:ext cx="504824" cy="322580"/>
                        </a:xfrm>
                        <a:prstGeom prst="rect">
                          <a:avLst/>
                        </a:prstGeom>
                        <a:noFill/>
                        <a:ln>
                          <a:noFill/>
                        </a:ln>
                      </wps:spPr>
                      <wps:txbx>
                        <w:txbxContent>
                          <w:p w:rsidR="00AD6A02" w:rsidRDefault="00AD6A02" w:rsidP="00616C71">
                            <w:pPr>
                              <w:spacing w:after="0"/>
                              <w:ind w:firstLine="720"/>
                              <w:textDirection w:val="btLr"/>
                            </w:pPr>
                            <w:r>
                              <w:rPr>
                                <w:rFonts w:ascii="Calibri" w:eastAsia="Calibri" w:hAnsi="Calibri" w:cs="Calibri"/>
                                <w:color w:val="000000"/>
                                <w:sz w:val="36"/>
                              </w:rPr>
                              <w:t>DT</w:t>
                            </w:r>
                          </w:p>
                        </w:txbxContent>
                      </wps:txbx>
                      <wps:bodyPr lIns="88900" tIns="38100" rIns="88900" bIns="38100" anchor="t" anchorCtr="0"/>
                    </wps:wsp>
                  </a:graphicData>
                </a:graphic>
              </wp:anchor>
            </w:drawing>
          </mc:Choice>
          <mc:Fallback>
            <w:pict>
              <v:rect w14:anchorId="0E4B3F35" id="Rectangle 212" o:spid="_x0000_s1093" style="position:absolute;margin-left:221pt;margin-top:191pt;width:40pt;height:26pt;z-index:251806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pdsAEAAE4DAAAOAAAAZHJzL2Uyb0RvYy54bWysU8tu2zAQvBfIPxC8x5Tk2FYE0zkkSFCg&#10;aIOk/QCaIi0CfIFkLfnvu6Qdx01vRS7UvrA7M7ta301Go70IUTlLcT2rMBKWu17ZHcW/fj5etxjF&#10;xGzPtLOC4oOI+G5z9WU9+k40bnC6FwFBExu70VM8pOQ7QiIfhGFx5rywkJQuGJbADTvSBzZCd6NJ&#10;U1VLMrrQ++C4iBGiD8ck3pT+UgqefkgZRUKaYsCWyhvKu80v2axZtwvMD4qfYLD/QGGYsjD03OqB&#10;JYZ+B/VPK6N4cNHJNOPOECel4qJwADZ19YHN68C8KFxAnOjPMsXPa8u/758DUj3FTd1gZJmBJb2A&#10;bMzutEA5CBKNPnZQ+eqfw8mLYGa+kwwmf4EJmiheVLfzRbvC6EDxfFm3q/oksZgS4qXgpm1uMOK5&#10;oGkWbcmT90Y+xPQknEHZoDgAlCIs23+LCYZD6VtJnmvdo9K6bFHbvwJQmCMkYz+izVaatlOhu1y9&#10;Edu6/gAa6K8WdG3b2yrfSXHmbZ2dcJnZXmaY5YODa0oYHc37VG4r48zTYGkF8enA8lVc+qXq/TfY&#10;/AEAAP//AwBQSwMEFAAGAAgAAAAhAGjG6MfeAAAACwEAAA8AAABkcnMvZG93bnJldi54bWxMj0FP&#10;g0AQhe8m/ofNNPFmlwKaBlmaamIvxoOtP2BhRyBlZ5FdKPrrHU729ibv5c338t1sOzHh4FtHCjbr&#10;CARS5UxLtYLP0+v9FoQPmozuHKGCH/SwK25vcp0Zd6EPnI6hFlxCPtMKmhD6TEpfNWi1X7seib0v&#10;N1gd+BxqaQZ94XLbyTiKHqXVLfGHRvf40mB1Po5WwfTbp8+H1rjz/vt9Lt/GQ3JqrVJ3q3n/BCLg&#10;HP7DsOAzOhTMVLqRjBedgjSNeUtQkGwXwYmHeBElW0kagSxyeb2h+AMAAP//AwBQSwECLQAUAAYA&#10;CAAAACEAtoM4kv4AAADhAQAAEwAAAAAAAAAAAAAAAAAAAAAAW0NvbnRlbnRfVHlwZXNdLnhtbFBL&#10;AQItABQABgAIAAAAIQA4/SH/1gAAAJQBAAALAAAAAAAAAAAAAAAAAC8BAABfcmVscy8ucmVsc1BL&#10;AQItABQABgAIAAAAIQC9HSpdsAEAAE4DAAAOAAAAAAAAAAAAAAAAAC4CAABkcnMvZTJvRG9jLnht&#10;bFBLAQItABQABgAIAAAAIQBoxujH3gAAAAsBAAAPAAAAAAAAAAAAAAAAAAoEAABkcnMvZG93bnJl&#10;di54bWxQSwUGAAAAAAQABADzAAAAFQUAAAAA&#10;" filled="f" stroked="f">
                <v:textbox inset="7pt,3pt,7pt,3pt">
                  <w:txbxContent>
                    <w:p w:rsidR="00AD6A02" w:rsidRDefault="00AD6A02" w:rsidP="00616C71">
                      <w:pPr>
                        <w:spacing w:after="0"/>
                        <w:ind w:firstLine="720"/>
                        <w:textDirection w:val="btLr"/>
                      </w:pPr>
                      <w:r>
                        <w:rPr>
                          <w:rFonts w:ascii="Calibri" w:eastAsia="Calibri" w:hAnsi="Calibri" w:cs="Calibri"/>
                          <w:color w:val="000000"/>
                          <w:sz w:val="36"/>
                        </w:rPr>
                        <w:t>DT</w:t>
                      </w:r>
                    </w:p>
                  </w:txbxContent>
                </v:textbox>
                <w10:wrap anchorx="margin"/>
              </v:rect>
            </w:pict>
          </mc:Fallback>
        </mc:AlternateContent>
      </w:r>
    </w:p>
    <w:p w:rsidR="00616C71" w:rsidRDefault="003F7BBD" w:rsidP="003C38F0">
      <w:pPr>
        <w:pStyle w:val="LegText"/>
        <w:ind w:left="720"/>
        <w:rPr>
          <w:rFonts w:ascii="Calibri" w:eastAsia="Calibri" w:hAnsi="Calibri" w:cs="Calibri"/>
        </w:rPr>
      </w:pPr>
      <w:bookmarkStart w:id="362" w:name="_Toc504640609"/>
      <w:r>
        <w:rPr>
          <w:rStyle w:val="SubtitleChar"/>
        </w:rPr>
        <w:t>Figure 4.2. Picro</w:t>
      </w:r>
      <w:r w:rsidR="00616C71" w:rsidRPr="00D6350D">
        <w:rPr>
          <w:rStyle w:val="SubtitleChar"/>
        </w:rPr>
        <w:t>sir</w:t>
      </w:r>
      <w:r w:rsidR="00D6350D" w:rsidRPr="00D6350D">
        <w:rPr>
          <w:rStyle w:val="SubtitleChar"/>
        </w:rPr>
        <w:t>i</w:t>
      </w:r>
      <w:r w:rsidR="00616C71" w:rsidRPr="00D6350D">
        <w:rPr>
          <w:rStyle w:val="SubtitleChar"/>
        </w:rPr>
        <w:t>us red staining of rat kidneys.</w:t>
      </w:r>
      <w:bookmarkEnd w:id="362"/>
      <w:r w:rsidR="00616C71" w:rsidRPr="00D6350D">
        <w:rPr>
          <w:rStyle w:val="SubtitleChar"/>
        </w:rPr>
        <w:t xml:space="preserve"> </w:t>
      </w:r>
      <w:r w:rsidR="00616C71" w:rsidRPr="00837CAF">
        <w:t>Yellow bar = 50µm</w:t>
      </w:r>
      <w:r w:rsidR="00D6350D" w:rsidRPr="00837CAF">
        <w:t>.</w:t>
      </w:r>
      <w:r w:rsidR="00837CAF">
        <w:t xml:space="preserve">   </w:t>
      </w:r>
      <w:r w:rsidR="00D6350D" w:rsidRPr="00837CAF">
        <w:t xml:space="preserve"> a) </w:t>
      </w:r>
      <w:r w:rsidR="00616C71" w:rsidRPr="00837CAF">
        <w:t xml:space="preserve">This is the image </w:t>
      </w:r>
      <w:r w:rsidRPr="00837CAF">
        <w:t>of the control</w:t>
      </w:r>
      <w:r w:rsidR="00761558" w:rsidRPr="00837CAF">
        <w:t xml:space="preserve"> kidney of diseased group</w:t>
      </w:r>
      <w:r w:rsidRPr="00837CAF">
        <w:t xml:space="preserve"> showing</w:t>
      </w:r>
      <w:r w:rsidR="00616C71" w:rsidRPr="00837CAF">
        <w:t xml:space="preserve"> glomeruli (G) and numerous tubules (T). The tubular a</w:t>
      </w:r>
      <w:r w:rsidRPr="00837CAF">
        <w:t>nd glomerular</w:t>
      </w:r>
      <w:r w:rsidR="00616C71" w:rsidRPr="00837CAF">
        <w:t xml:space="preserve"> mem</w:t>
      </w:r>
      <w:r w:rsidR="00174ACB" w:rsidRPr="00837CAF">
        <w:t>branes are thin (black arrows).</w:t>
      </w:r>
      <w:r w:rsidR="00616C71" w:rsidRPr="00837CAF">
        <w:t xml:space="preserve"> The Bowman’s capsule is also thin. </w:t>
      </w:r>
      <w:r w:rsidR="00174ACB" w:rsidRPr="00837CAF">
        <w:t>b) This is the image of the diseased</w:t>
      </w:r>
      <w:r w:rsidR="00616C71" w:rsidRPr="00837CAF">
        <w:t xml:space="preserve"> kidney of </w:t>
      </w:r>
      <w:r w:rsidR="00174ACB" w:rsidRPr="00837CAF">
        <w:t xml:space="preserve">the </w:t>
      </w:r>
      <w:r w:rsidR="00761558" w:rsidRPr="00837CAF">
        <w:t>diseased group</w:t>
      </w:r>
      <w:r w:rsidR="00616C71" w:rsidRPr="00837CAF">
        <w:t xml:space="preserve"> s</w:t>
      </w:r>
      <w:r w:rsidR="00174ACB" w:rsidRPr="00837CAF">
        <w:t>howing enlarged</w:t>
      </w:r>
      <w:r w:rsidR="00616C71" w:rsidRPr="00837CAF">
        <w:t xml:space="preserve"> glomeruli (G) and dilated tubules (DT). The glomeruli showed increased am</w:t>
      </w:r>
      <w:r w:rsidR="00174ACB" w:rsidRPr="00837CAF">
        <w:t>ount of collagen fibres</w:t>
      </w:r>
      <w:r w:rsidR="00616C71" w:rsidRPr="00837CAF">
        <w:t xml:space="preserve"> which are stained in red with expansion of the mesan</w:t>
      </w:r>
      <w:r w:rsidR="00174ACB" w:rsidRPr="00837CAF">
        <w:t>gium within the glomeruli (blue</w:t>
      </w:r>
      <w:r w:rsidR="00616C71" w:rsidRPr="00837CAF">
        <w:t xml:space="preserve"> arrow)</w:t>
      </w:r>
      <w:r w:rsidR="00174ACB" w:rsidRPr="00837CAF">
        <w:t>.</w:t>
      </w:r>
      <w:r w:rsidR="00616C71" w:rsidRPr="00837CAF">
        <w:t xml:space="preserve"> There is also evidence of interstitial fibrosis (green arrow). c</w:t>
      </w:r>
      <w:r w:rsidR="00174ACB" w:rsidRPr="00837CAF">
        <w:t>) This is the image of the control</w:t>
      </w:r>
      <w:r w:rsidR="00616C71" w:rsidRPr="00837CAF">
        <w:t xml:space="preserve"> kidney of t</w:t>
      </w:r>
      <w:r w:rsidR="00174ACB" w:rsidRPr="00837CAF">
        <w:t>he prophylaxis group showing</w:t>
      </w:r>
      <w:r w:rsidR="00616C71" w:rsidRPr="00837CAF">
        <w:t xml:space="preserve"> glomeruli (G) and numerous tubules (T). The tubular and glomerular capillary basement membranes are thin (black arrows). </w:t>
      </w:r>
      <w:r w:rsidR="00174ACB" w:rsidRPr="00837CAF">
        <w:t xml:space="preserve">d) This is the image </w:t>
      </w:r>
      <w:r w:rsidR="00174ACB" w:rsidRPr="00837CAF">
        <w:lastRenderedPageBreak/>
        <w:t>of the diseased</w:t>
      </w:r>
      <w:r w:rsidR="00616C71" w:rsidRPr="00837CAF">
        <w:t xml:space="preserve"> kidney of the proph</w:t>
      </w:r>
      <w:r w:rsidR="00174ACB" w:rsidRPr="00837CAF">
        <w:t>ylaxis</w:t>
      </w:r>
      <w:r w:rsidR="00174ACB">
        <w:t xml:space="preserve"> group showing enlarged</w:t>
      </w:r>
      <w:r w:rsidR="00616C71">
        <w:t xml:space="preserve"> glomeruli (G) and dilated tubules (</w:t>
      </w:r>
      <w:r w:rsidR="00174ACB">
        <w:t>D</w:t>
      </w:r>
      <w:r w:rsidR="00616C71">
        <w:t>T). The glomeruli showed increased am</w:t>
      </w:r>
      <w:r w:rsidR="00174ACB">
        <w:t>ount of collagen fibres</w:t>
      </w:r>
      <w:r w:rsidR="00616C71">
        <w:t xml:space="preserve"> which are stained in red with expansion of the mesan</w:t>
      </w:r>
      <w:r w:rsidR="00174ACB">
        <w:t>gium within the glomeruli (blue</w:t>
      </w:r>
      <w:r w:rsidR="00616C71">
        <w:t xml:space="preserve"> arrow) there is also inte</w:t>
      </w:r>
      <w:r w:rsidR="00174ACB">
        <w:t>rstitial fibrosis (green arrow)</w:t>
      </w:r>
      <w:r w:rsidR="00616C71">
        <w:t>. e</w:t>
      </w:r>
      <w:r w:rsidR="00174ACB">
        <w:t>) This is the image of the control</w:t>
      </w:r>
      <w:r w:rsidR="00616C71">
        <w:t xml:space="preserve"> kidney of the treatment group showing the glomerulus (G) and numerous tubules (T). The tubular a</w:t>
      </w:r>
      <w:r w:rsidR="00174ACB">
        <w:t>nd glomerular</w:t>
      </w:r>
      <w:r w:rsidR="00616C71">
        <w:t xml:space="preserve"> memb</w:t>
      </w:r>
      <w:r w:rsidR="001022D4">
        <w:t>ranes are thin (black arrows). f</w:t>
      </w:r>
      <w:r w:rsidR="00616C71">
        <w:t>) This is th</w:t>
      </w:r>
      <w:r w:rsidR="00174ACB">
        <w:t>e image of the diseased</w:t>
      </w:r>
      <w:r w:rsidR="00616C71">
        <w:t xml:space="preserve"> kidney of</w:t>
      </w:r>
      <w:r w:rsidR="001022D4">
        <w:t xml:space="preserve"> the treatment group showing</w:t>
      </w:r>
      <w:r w:rsidR="00616C71">
        <w:t xml:space="preserve"> dilated glomeruli (G) and dilated tubules (DT). The glomeruli showed increased am</w:t>
      </w:r>
      <w:r w:rsidR="001022D4">
        <w:t>ount of collagen fibres</w:t>
      </w:r>
      <w:r w:rsidR="00616C71">
        <w:t xml:space="preserve"> which are stained in red with expansion of the mesangium within the glomeruli (b</w:t>
      </w:r>
      <w:r w:rsidR="001022D4">
        <w:t>lue</w:t>
      </w:r>
      <w:r w:rsidR="00616C71">
        <w:t xml:space="preserve"> arrow). </w:t>
      </w:r>
      <w:r w:rsidR="00616C71">
        <w:rPr>
          <w:rFonts w:ascii="Calibri" w:eastAsia="Calibri" w:hAnsi="Calibri" w:cs="Calibri"/>
        </w:rPr>
        <w:t xml:space="preserve"> </w:t>
      </w:r>
    </w:p>
    <w:p w:rsidR="00D6350D" w:rsidRPr="00D6350D" w:rsidRDefault="00D6350D" w:rsidP="00D6350D">
      <w:pPr>
        <w:pStyle w:val="LegText"/>
        <w:rPr>
          <w:rFonts w:eastAsia="Calibri"/>
          <w:sz w:val="24"/>
          <w:szCs w:val="24"/>
        </w:rPr>
      </w:pPr>
    </w:p>
    <w:p w:rsidR="00616C71" w:rsidRPr="00F829BC" w:rsidRDefault="00F829BC" w:rsidP="003C38F0">
      <w:pPr>
        <w:pStyle w:val="Heading3"/>
        <w:ind w:firstLine="720"/>
      </w:pPr>
      <w:bookmarkStart w:id="363" w:name="_Toc506232394"/>
      <w:r w:rsidRPr="00F829BC">
        <w:t>4</w:t>
      </w:r>
      <w:r w:rsidR="00616C71" w:rsidRPr="00F829BC">
        <w:t xml:space="preserve">.3 </w:t>
      </w:r>
      <w:r w:rsidR="001022D4">
        <w:t>Multiphase image analysis of p</w:t>
      </w:r>
      <w:r w:rsidR="00616C71" w:rsidRPr="00F829BC">
        <w:t>icrosirius red stain</w:t>
      </w:r>
      <w:bookmarkEnd w:id="363"/>
    </w:p>
    <w:p w:rsidR="00616C71" w:rsidRDefault="00616C71" w:rsidP="003C38F0">
      <w:pPr>
        <w:ind w:left="720"/>
      </w:pPr>
      <w:r>
        <w:t>Analysis of scarring was done on picrosirius red stained paraf</w:t>
      </w:r>
      <w:r w:rsidR="007E5650">
        <w:t>fin embedded slides (Section 2.6</w:t>
      </w:r>
      <w:r>
        <w:t>.2) with multip</w:t>
      </w:r>
      <w:r w:rsidR="007E5650">
        <w:t>hase image analysis (Section 2.6.3</w:t>
      </w:r>
      <w:r>
        <w:t xml:space="preserve">). Scarring was manifest in all the groups with evidence of both glomerulosclerosis and tubulointerstitial fibrosis at the end of the study. Tubular dilatation, flattened tubular epithelium and thickening of tubular basement membrane were also observed in all the three groups as evidence of tubulointerstitial fibrosis. Glomerulosclerosis was evidenced by the thickening of the glomerular basement membrane and glomerular mesangium (Fig 4.2).  </w:t>
      </w:r>
    </w:p>
    <w:p w:rsidR="00616C71" w:rsidRDefault="00616C71" w:rsidP="003C38F0">
      <w:pPr>
        <w:ind w:left="720"/>
      </w:pPr>
      <w:r>
        <w:t>Glomerulosclerosis was visible in all the three groups with a p value &lt; 0.0001 between the control kidney and the three groups (Fig 4.3)</w:t>
      </w:r>
      <w:r w:rsidR="001022D4">
        <w:t>.</w:t>
      </w:r>
      <w:r>
        <w:t xml:space="preserve"> </w:t>
      </w:r>
      <w:r w:rsidR="001022D4">
        <w:t>H</w:t>
      </w:r>
      <w:r>
        <w:t xml:space="preserve">owever, there was significantly less scarring in the prophylaxis group versus the diseased and treatment groups. There was more scarring in the diseased group </w:t>
      </w:r>
      <w:r w:rsidR="001022D4">
        <w:t>(</w:t>
      </w:r>
      <w:r>
        <w:t>32.5%</w:t>
      </w:r>
      <w:r w:rsidR="001022D4">
        <w:t>)</w:t>
      </w:r>
      <w:r>
        <w:t xml:space="preserve"> compared to the treatment group </w:t>
      </w:r>
      <w:r w:rsidR="001022D4">
        <w:t>(</w:t>
      </w:r>
      <w:r>
        <w:t>28.9%</w:t>
      </w:r>
      <w:r w:rsidR="001022D4">
        <w:t>)</w:t>
      </w:r>
      <w:r>
        <w:t xml:space="preserve"> although this was not statistically significant (Fig 4.3).</w:t>
      </w:r>
    </w:p>
    <w:p w:rsidR="00616C71" w:rsidRDefault="00616C71" w:rsidP="00616C71">
      <w:pPr>
        <w:spacing w:after="160" w:line="259" w:lineRule="auto"/>
        <w:rPr>
          <w:b/>
        </w:rPr>
      </w:pPr>
    </w:p>
    <w:p w:rsidR="00616C71" w:rsidRDefault="00616C71" w:rsidP="00616C71">
      <w:pPr>
        <w:spacing w:after="160" w:line="259" w:lineRule="auto"/>
        <w:rPr>
          <w:b/>
        </w:rPr>
      </w:pPr>
    </w:p>
    <w:p w:rsidR="00616C71" w:rsidRDefault="00616C71" w:rsidP="00616C71">
      <w:pPr>
        <w:spacing w:after="160" w:line="259" w:lineRule="auto"/>
      </w:pPr>
    </w:p>
    <w:p w:rsidR="00616C71" w:rsidRDefault="00616C71" w:rsidP="00616C71">
      <w:pPr>
        <w:spacing w:after="160" w:line="259" w:lineRule="auto"/>
      </w:pPr>
    </w:p>
    <w:p w:rsidR="00616C71" w:rsidRDefault="00616C71" w:rsidP="00616C71">
      <w:pPr>
        <w:spacing w:after="160" w:line="259" w:lineRule="auto"/>
      </w:pPr>
    </w:p>
    <w:p w:rsidR="00616C71" w:rsidRDefault="00616C71" w:rsidP="00616C71">
      <w:pPr>
        <w:spacing w:after="160" w:line="259" w:lineRule="auto"/>
      </w:pPr>
    </w:p>
    <w:p w:rsidR="00616C71" w:rsidRDefault="00616C71" w:rsidP="00616C71">
      <w:pPr>
        <w:spacing w:after="160" w:line="259" w:lineRule="auto"/>
      </w:pPr>
    </w:p>
    <w:p w:rsidR="00616C71" w:rsidRDefault="00616C71" w:rsidP="00616C71">
      <w:pPr>
        <w:spacing w:after="160" w:line="259" w:lineRule="auto"/>
      </w:pPr>
    </w:p>
    <w:p w:rsidR="00402360" w:rsidRDefault="00402360" w:rsidP="00616C71">
      <w:pPr>
        <w:spacing w:after="160" w:line="259" w:lineRule="auto"/>
      </w:pPr>
      <w:r>
        <w:rPr>
          <w:noProof/>
          <w:lang w:eastAsia="en-GB"/>
        </w:rPr>
        <w:lastRenderedPageBreak/>
        <mc:AlternateContent>
          <mc:Choice Requires="wps">
            <w:drawing>
              <wp:anchor distT="0" distB="0" distL="114300" distR="114300" simplePos="0" relativeHeight="251831296" behindDoc="0" locked="0" layoutInCell="1" allowOverlap="1" wp14:anchorId="35B7E7F0" wp14:editId="6B49BCC6">
                <wp:simplePos x="0" y="0"/>
                <wp:positionH relativeFrom="column">
                  <wp:posOffset>2686050</wp:posOffset>
                </wp:positionH>
                <wp:positionV relativeFrom="paragraph">
                  <wp:posOffset>114300</wp:posOffset>
                </wp:positionV>
                <wp:extent cx="123825" cy="1228725"/>
                <wp:effectExtent l="0" t="76200" r="28575" b="28575"/>
                <wp:wrapNone/>
                <wp:docPr id="51" name="Right Brace 1"/>
                <wp:cNvGraphicFramePr/>
                <a:graphic xmlns:a="http://schemas.openxmlformats.org/drawingml/2006/main">
                  <a:graphicData uri="http://schemas.microsoft.com/office/word/2010/wordprocessingShape">
                    <wps:wsp>
                      <wps:cNvSpPr/>
                      <wps:spPr>
                        <a:xfrm rot="16200000" flipV="1">
                          <a:off x="0" y="0"/>
                          <a:ext cx="123825" cy="1228725"/>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C879C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 o:spid="_x0000_s1026" type="#_x0000_t88" style="position:absolute;margin-left:211.5pt;margin-top:9pt;width:9.75pt;height:96.75pt;rotation:90;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iCYMQIAAG8EAAAOAAAAZHJzL2Uyb0RvYy54bWysVE2P0zAQvSPxHyzfaZpULVHVdAVblQuC&#10;Fbtwn3XsxMhf2G7T/nvGTra07A2Rg+UZ22/mvZnJ5u6kFTlyH6Q1DS1nc0q4YbaVpmvo96f9u5qS&#10;EMG0oKzhDT3zQO+2b99sBrfmle2tarknCGLCenAN7WN066IIrOcawsw6bvBQWK8houm7ovUwILpW&#10;RTWfr4rB+tZ5y3gI6N2Nh3Sb8YXgLH4VIvBIVEMxt5hXn9fntBbbDaw7D66XbEoD/iELDdJg0AvU&#10;DiKQg5evoLRk3gYr4oxZXVghJOOZA7Ip53+xeezB8cwFxQnuIlP4f7Dsy/HBE9k2dFlSYkBjjb7J&#10;ro/kowfGSZkUGlxY48VH9+AnK+A20T0Jr4m3KGu5wnLgR4lQ0v1AR9YDGZJTlvt8kZufImHoLKtF&#10;XS0pYXhUVlX9Hg3EL0bYBO98iJ+41SRtGupTYjmvjA3HzyFm0dspc2h/IguhFdbwCIrUi8ViKvHV&#10;ler6yrKqq9UUdgLEBF4CJ/RglWz3UqlsnMO98gTBG4pt2NqBEgUhorOh+/xNYDfPlCFDQ1eLJerD&#10;APtcKIi41Q6VD6ajBFSHA8Siz9RuHodXMZ9Qwqu4Wfjcy5j6zdPEYwehHxPOR6MeWkacOyV1Q+ux&#10;bqPyyiSWPE8OqpucqfpjvdPu2bZn7JgBRwYz/3UAzynxUd3bccLAsN6iFi9MjP1wiFbIC9QIMOFi&#10;V+eCTxOYxubazrf+/Ce2vwEAAP//AwBQSwMEFAAGAAgAAAAhAO4w5F3gAAAACwEAAA8AAABkcnMv&#10;ZG93bnJldi54bWxMj0FPwzAMhe9I/IfISNxYQrcOVppO0xAcEBJiIHH1mtBUNE7VpF3595gT3Gy/&#10;p+fvldvZd2KyQ2wDabheKBCW6mBaajS8vz1c3YKICclgF8hq+LYRttX5WYmFCSd6tdMhNYJDKBao&#10;waXUF1LG2lmPcRF6S6x9hsFj4nVopBnwxOG+k5lSa+mxJf7gsLd7Z+uvw+g1KJpuVs8jbkzzsms/&#10;zD0+7t2T1pcX8+4ORLJz+jPDLz6jQ8VMxzCSiaLTsFyuuUtiQeU8sCPPNjmII1+yVQ6yKuX/DtUP&#10;AAAA//8DAFBLAQItABQABgAIAAAAIQC2gziS/gAAAOEBAAATAAAAAAAAAAAAAAAAAAAAAABbQ29u&#10;dGVudF9UeXBlc10ueG1sUEsBAi0AFAAGAAgAAAAhADj9If/WAAAAlAEAAAsAAAAAAAAAAAAAAAAA&#10;LwEAAF9yZWxzLy5yZWxzUEsBAi0AFAAGAAgAAAAhANtiIJgxAgAAbwQAAA4AAAAAAAAAAAAAAAAA&#10;LgIAAGRycy9lMm9Eb2MueG1sUEsBAi0AFAAGAAgAAAAhAO4w5F3gAAAACwEAAA8AAAAAAAAAAAAA&#10;AAAAiwQAAGRycy9kb3ducmV2LnhtbFBLBQYAAAAABAAEAPMAAACYBQAAAAA=&#10;" adj="181,11410" filled="t" fillcolor="window" strokecolor="windowText" strokeweight=".5pt">
                <v:stroke joinstyle="miter"/>
              </v:shape>
            </w:pict>
          </mc:Fallback>
        </mc:AlternateContent>
      </w:r>
    </w:p>
    <w:p w:rsidR="00616C71" w:rsidRDefault="00402360" w:rsidP="00616C71">
      <w:pPr>
        <w:spacing w:after="160" w:line="259" w:lineRule="auto"/>
      </w:pPr>
      <w:r>
        <w:rPr>
          <w:noProof/>
          <w:lang w:eastAsia="en-GB"/>
        </w:rPr>
        <mc:AlternateContent>
          <mc:Choice Requires="wps">
            <w:drawing>
              <wp:anchor distT="0" distB="0" distL="114300" distR="114300" simplePos="0" relativeHeight="251807744" behindDoc="0" locked="0" layoutInCell="1" hidden="0" allowOverlap="1" wp14:anchorId="4BD3E8DF" wp14:editId="1B997E04">
                <wp:simplePos x="0" y="0"/>
                <wp:positionH relativeFrom="margin">
                  <wp:posOffset>2511425</wp:posOffset>
                </wp:positionH>
                <wp:positionV relativeFrom="paragraph">
                  <wp:posOffset>54610</wp:posOffset>
                </wp:positionV>
                <wp:extent cx="495300" cy="266700"/>
                <wp:effectExtent l="0" t="0" r="0" b="0"/>
                <wp:wrapNone/>
                <wp:docPr id="210" name="Rectangle 210"/>
                <wp:cNvGraphicFramePr/>
                <a:graphic xmlns:a="http://schemas.openxmlformats.org/drawingml/2006/main">
                  <a:graphicData uri="http://schemas.microsoft.com/office/word/2010/wordprocessingShape">
                    <wps:wsp>
                      <wps:cNvSpPr/>
                      <wps:spPr>
                        <a:xfrm>
                          <a:off x="0" y="0"/>
                          <a:ext cx="495300" cy="266700"/>
                        </a:xfrm>
                        <a:prstGeom prst="rect">
                          <a:avLst/>
                        </a:prstGeom>
                        <a:noFill/>
                        <a:ln>
                          <a:noFill/>
                        </a:ln>
                      </wps:spPr>
                      <wps:txbx>
                        <w:txbxContent>
                          <w:p w:rsidR="00AD6A02" w:rsidRDefault="00AD6A02" w:rsidP="00616C71">
                            <w:pPr>
                              <w:spacing w:after="0"/>
                              <w:textDirection w:val="btLr"/>
                            </w:pPr>
                            <w:r>
                              <w:rPr>
                                <w:rFonts w:ascii="Calibri" w:eastAsia="Calibri" w:hAnsi="Calibri" w:cs="Calibri"/>
                                <w:color w:val="000000"/>
                              </w:rPr>
                              <w:t>NS</w:t>
                            </w:r>
                          </w:p>
                        </w:txbxContent>
                      </wps:txbx>
                      <wps:bodyPr lIns="88900" tIns="38100" rIns="88900" bIns="38100" anchor="t" anchorCtr="0"/>
                    </wps:wsp>
                  </a:graphicData>
                </a:graphic>
              </wp:anchor>
            </w:drawing>
          </mc:Choice>
          <mc:Fallback>
            <w:pict>
              <v:rect w14:anchorId="4BD3E8DF" id="Rectangle 210" o:spid="_x0000_s1094" style="position:absolute;left:0;text-align:left;margin-left:197.75pt;margin-top:4.3pt;width:39pt;height:21pt;z-index:251807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ZuowEAAEIDAAAOAAAAZHJzL2Uyb0RvYy54bWysUtuO0zAQfUfiHyy/U6ddKNmo6T6wWoSE&#10;YMXCB0wdu7Hkm8amSf+esdvtFnhDvEzmljNzjmdzNzvLDgqTCb7ny0XDmfIyDMbve/7j+8OblrOU&#10;wQ9gg1c9P6rE77avX22m2KlVGIMdFDIC8ambYs/HnGMnRJKjcpAWISpPRR3QQaYQ92JAmAjdWbFq&#10;mrWYAg4Rg1QpUfb+VOTbiq+1kvmr1kllZntOu+VqsdpdsWK7gW6PEEcjz2vAP2zhwHgaeoG6hwzs&#10;J5q/oJyRGFLQeSGDE0FrI1XlQGyWzR9snkaIqnIhcVK8yJT+H6z8cnhEZoaer5akjwdHj/SNZAO/&#10;t4qVJEk0xdRR51N8xHOUyC18Z42ufIkJm6usx4usas5MUvLt7bubhsAllVbr9XvyCUW8/Bwx5Y8q&#10;OFacniONr2LC4XPKp9bnljLLhwdjLeWhs/63BGGWjCj7njYsXp53c6W4bp/J7MJwJN72kyct2/a2&#10;rJdrcNMuS4DXld11BbwcA11Q5uzkfsj1nsqeZRo9VCV3PqpyCddx7Xo5/e0vAAAA//8DAFBLAwQU&#10;AAYACAAAACEAIHSOo94AAAAIAQAADwAAAGRycy9kb3ducmV2LnhtbEyPQU+DQBSE7yb+h80z8WYX&#10;pWCLPJpqYi+mB1t/wMJugZR9i+xC0V/v86THyUxmvsk3s+3EZAbfOkK4X0QgDFVOt1QjfBxf71Yg&#10;fFCkVefIIHwZD5vi+ipXmXYXejfTIdSCS8hnCqEJoc+k9FVjrPIL1xti7+QGqwLLoZZ6UBcut518&#10;iKJUWtUSLzSqNy+Nqc6H0SJM3/3yeddqd95+7ufybdzFx9Yi3t7M2ycQwczhLwy/+IwOBTOVbiTt&#10;RYcQr5OEowirFAT7y8eYdYmQRCnIIpf/DxQ/AAAA//8DAFBLAQItABQABgAIAAAAIQC2gziS/gAA&#10;AOEBAAATAAAAAAAAAAAAAAAAAAAAAABbQ29udGVudF9UeXBlc10ueG1sUEsBAi0AFAAGAAgAAAAh&#10;ADj9If/WAAAAlAEAAAsAAAAAAAAAAAAAAAAALwEAAF9yZWxzLy5yZWxzUEsBAi0AFAAGAAgAAAAh&#10;AGyzJm6jAQAAQgMAAA4AAAAAAAAAAAAAAAAALgIAAGRycy9lMm9Eb2MueG1sUEsBAi0AFAAGAAgA&#10;AAAhACB0jqPeAAAACAEAAA8AAAAAAAAAAAAAAAAA/QMAAGRycy9kb3ducmV2LnhtbFBLBQYAAAAA&#10;BAAEAPMAAAAIBQAAAAA=&#10;" filled="f" stroked="f">
                <v:textbox inset="7pt,3pt,7pt,3pt">
                  <w:txbxContent>
                    <w:p w:rsidR="00AD6A02" w:rsidRDefault="00AD6A02" w:rsidP="00616C71">
                      <w:pPr>
                        <w:spacing w:after="0"/>
                        <w:textDirection w:val="btLr"/>
                      </w:pPr>
                      <w:r>
                        <w:rPr>
                          <w:rFonts w:ascii="Calibri" w:eastAsia="Calibri" w:hAnsi="Calibri" w:cs="Calibri"/>
                          <w:color w:val="000000"/>
                        </w:rPr>
                        <w:t>NS</w:t>
                      </w:r>
                    </w:p>
                  </w:txbxContent>
                </v:textbox>
                <w10:wrap anchorx="margin"/>
              </v:rect>
            </w:pict>
          </mc:Fallback>
        </mc:AlternateContent>
      </w:r>
    </w:p>
    <w:p w:rsidR="001022D4" w:rsidRDefault="00402360" w:rsidP="001022D4">
      <w:pPr>
        <w:spacing w:after="160" w:line="259" w:lineRule="auto"/>
        <w:ind w:firstLine="720"/>
      </w:pPr>
      <w:r>
        <w:rPr>
          <w:noProof/>
          <w:lang w:eastAsia="en-GB"/>
        </w:rPr>
        <mc:AlternateContent>
          <mc:Choice Requires="wps">
            <w:drawing>
              <wp:anchor distT="0" distB="0" distL="114300" distR="114300" simplePos="0" relativeHeight="251808768" behindDoc="0" locked="0" layoutInCell="1" hidden="0" allowOverlap="1" wp14:anchorId="18DF43B7" wp14:editId="48356FC3">
                <wp:simplePos x="0" y="0"/>
                <wp:positionH relativeFrom="margin">
                  <wp:posOffset>3041650</wp:posOffset>
                </wp:positionH>
                <wp:positionV relativeFrom="paragraph">
                  <wp:posOffset>1874520</wp:posOffset>
                </wp:positionV>
                <wp:extent cx="342900" cy="368300"/>
                <wp:effectExtent l="0" t="0" r="0" b="0"/>
                <wp:wrapNone/>
                <wp:docPr id="193" name="Rectangle 193"/>
                <wp:cNvGraphicFramePr/>
                <a:graphic xmlns:a="http://schemas.openxmlformats.org/drawingml/2006/main">
                  <a:graphicData uri="http://schemas.microsoft.com/office/word/2010/wordprocessingShape">
                    <wps:wsp>
                      <wps:cNvSpPr/>
                      <wps:spPr>
                        <a:xfrm>
                          <a:off x="0" y="0"/>
                          <a:ext cx="3429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color w:val="000000"/>
                              </w:rPr>
                              <w:t>**</w:t>
                            </w:r>
                          </w:p>
                        </w:txbxContent>
                      </wps:txbx>
                      <wps:bodyPr lIns="88900" tIns="38100" rIns="88900" bIns="38100" anchor="t" anchorCtr="0"/>
                    </wps:wsp>
                  </a:graphicData>
                </a:graphic>
              </wp:anchor>
            </w:drawing>
          </mc:Choice>
          <mc:Fallback>
            <w:pict>
              <v:rect w14:anchorId="18DF43B7" id="Rectangle 193" o:spid="_x0000_s1095" style="position:absolute;left:0;text-align:left;margin-left:239.5pt;margin-top:147.6pt;width:27pt;height:29pt;z-index:251808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4gVowEAAEIDAAAOAAAAZHJzL2Uyb0RvYy54bWysUk1v4yAQvVfa/4C4NzhxFTlWnB5adVVp&#10;ta3a7g8gGGIkYBCwsfPvO5A0zXZvq73g+cBv3nvM+nayhuxliBpcR+ezihLpBPTa7Tr66+3huqEk&#10;Ju56bsDJjh5kpLebb1fr0bdyAQOYXgaCIC62o+/okJJvGYtikJbHGXjpsKkgWJ4wDTvWBz4iujVs&#10;UVVLNkLofQAhY8Tq/bFJNwVfKSnSk1JRJmI6itxSOUM5t/lkmzVvd4H7QYsTDf4PLCzXDoeeoe55&#10;4uR30H9BWS0CRFBpJsAyUEoLWTSgmnn1Rc3rwL0sWtCc6M82xf8HK37unwPRPb7dqqbEcYuP9IK2&#10;cbczkuQiWjT62OLNV/8cTlnEMOudVLD5i0rIVGw9nG2VUyICi/XNYlWh+QJb9bKpMUYU9vmzDzF9&#10;l2BJDjoacHwxk+9/xHS8+nElz3LwoI3BOm+N+6OAmLnCMt8jwxylaTsVicvVh5gt9AfUbR4detk0&#10;hV4qSd3MM9dw2dledrgTA+AGJUqO4V0q+5R55mn4UEXcaanyJlzm5dbn6m/eAQAA//8DAFBLAwQU&#10;AAYACAAAACEAfFTss+EAAAALAQAADwAAAGRycy9kb3ducmV2LnhtbEyPwU7DMBBE70j8g7VI3KhD&#10;3EAbsqkKEr2gHmj5ACd2E6uxHWInDXw9ywmOszOafVNsZtuxSQ/BeIdwv0iAaVd7ZVyD8HF8vVsB&#10;C1E6JTvvNMKXDrApr68KmSt/ce96OsSGUYkLuURoY+xzzkPdaivDwvfakXfyg5WR5NBwNcgLlduO&#10;p0nywK00jj60stcvra7Ph9EiTN/98nlnlD9vP/dz9TbuxNFYxNubefsELOo5/oXhF5/QoSSmyo9O&#10;BdYhLB/XtCUipOssBUaJTAi6VAgiEynwsuD/N5Q/AAAA//8DAFBLAQItABQABgAIAAAAIQC2gziS&#10;/gAAAOEBAAATAAAAAAAAAAAAAAAAAAAAAABbQ29udGVudF9UeXBlc10ueG1sUEsBAi0AFAAGAAgA&#10;AAAhADj9If/WAAAAlAEAAAsAAAAAAAAAAAAAAAAALwEAAF9yZWxzLy5yZWxzUEsBAi0AFAAGAAgA&#10;AAAhAAHviBWjAQAAQgMAAA4AAAAAAAAAAAAAAAAALgIAAGRycy9lMm9Eb2MueG1sUEsBAi0AFAAG&#10;AAgAAAAhAHxU7LPhAAAACwEAAA8AAAAAAAAAAAAAAAAA/QMAAGRycy9kb3ducmV2LnhtbFBLBQYA&#10;AAAABAAEAPMAAAALBQAAAAA=&#10;" filled="f" stroked="f">
                <v:textbox inset="7pt,3pt,7pt,3pt">
                  <w:txbxContent>
                    <w:p w:rsidR="00AD6A02" w:rsidRDefault="00AD6A02" w:rsidP="00616C71">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1809792" behindDoc="0" locked="0" layoutInCell="1" hidden="0" allowOverlap="1" wp14:anchorId="450D7317" wp14:editId="30051EBC">
                <wp:simplePos x="0" y="0"/>
                <wp:positionH relativeFrom="margin">
                  <wp:posOffset>2225675</wp:posOffset>
                </wp:positionH>
                <wp:positionV relativeFrom="paragraph">
                  <wp:posOffset>191770</wp:posOffset>
                </wp:positionV>
                <wp:extent cx="876300" cy="368300"/>
                <wp:effectExtent l="0" t="0" r="0" b="0"/>
                <wp:wrapNone/>
                <wp:docPr id="141" name="Rectangle 141"/>
                <wp:cNvGraphicFramePr/>
                <a:graphic xmlns:a="http://schemas.openxmlformats.org/drawingml/2006/main">
                  <a:graphicData uri="http://schemas.microsoft.com/office/word/2010/wordprocessingShape">
                    <wps:wsp>
                      <wps:cNvSpPr/>
                      <wps:spPr>
                        <a:xfrm>
                          <a:off x="0" y="0"/>
                          <a:ext cx="876300" cy="368300"/>
                        </a:xfrm>
                        <a:prstGeom prst="rect">
                          <a:avLst/>
                        </a:prstGeom>
                        <a:noFill/>
                        <a:ln>
                          <a:noFill/>
                        </a:ln>
                      </wps:spPr>
                      <wps:txbx>
                        <w:txbxContent>
                          <w:p w:rsidR="00AD6A02" w:rsidRDefault="00AD6A02" w:rsidP="00616C71">
                            <w:pPr>
                              <w:spacing w:after="0"/>
                              <w:textDirection w:val="btLr"/>
                            </w:pPr>
                            <w:r>
                              <w:rPr>
                                <w:rFonts w:ascii="Calibri" w:eastAsia="Calibri" w:hAnsi="Calibri" w:cs="Calibri"/>
                                <w:color w:val="000000"/>
                              </w:rPr>
                              <w:t>***</w:t>
                            </w:r>
                          </w:p>
                        </w:txbxContent>
                      </wps:txbx>
                      <wps:bodyPr lIns="88900" tIns="38100" rIns="88900" bIns="38100" anchor="t" anchorCtr="0"/>
                    </wps:wsp>
                  </a:graphicData>
                </a:graphic>
              </wp:anchor>
            </w:drawing>
          </mc:Choice>
          <mc:Fallback>
            <w:pict>
              <v:rect w14:anchorId="450D7317" id="Rectangle 141" o:spid="_x0000_s1096" style="position:absolute;left:0;text-align:left;margin-left:175.25pt;margin-top:15.1pt;width:69pt;height:29pt;z-index:251809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8q7ogEAAEIDAAAOAAAAZHJzL2Uyb0RvYy54bWysUtuO0zAQfUfiHyy/U6db1A1R031gtQgJ&#10;wYqFD5g6dmPJN41Nk/49Y7d0C7yt9mUyt5yZczybu9lZdlCYTPA9Xy4azpSXYTB+3/OfPx7etZyl&#10;DH4AG7zq+VElfrd9+2YzxU7dhDHYQSEjEJ+6KfZ8zDl2QiQ5KgdpEaLyVNQBHWQKcS8GhInQnRU3&#10;TbMWU8AhYpAqJcren4p8W/G1VjJ/0zqpzGzPabdcLVa7K1ZsN9DtEeJo5HkNeMEWDoynoReoe8jA&#10;fqH5D8oZiSEFnRcyOBG0NlJVDsRm2fzD5mmEqCoXEifFi0zp9WDl18MjMjPQ271fcubB0SN9J9nA&#10;761iJUkSTTF11PkUH/EcJXIL31mjK19iwuYq6/Eiq5ozk5Rsb9erhsSXVFqt2+ITinj+OWLKn1Rw&#10;rDg9RxpfxYTDl5RPrX9ayiwfHoy1lIfO+r8ShFkyoux72rB4ed7NleJtHVxSuzAcibf97EnLtv1Q&#10;1ss1WLXLEuB1ZXddAS/HQBeUOTu5H3O9p7JngaaHquTOR1Uu4TquXc+nv/0NAAD//wMAUEsDBBQA&#10;BgAIAAAAIQDWIUMT3gAAAAkBAAAPAAAAZHJzL2Rvd25yZXYueG1sTI9NTsMwEEb3SNzBmkrsqN20&#10;RVaIUxUkukEsaDmAE5vEajwOsZMGTs+worv5efrmTbGbfccmO0QXUMFqKYBZrINx2Cj4OL3cS2Ax&#10;aTS6C2gVfNsIu/L2ptC5CRd8t9MxNYxCMOZaQZtSn3Me69Z6HZeht0i7zzB4nagdGm4GfaFw3/FM&#10;iAfutUO60OrePre2Ph9Hr2D66TdPB2fCef/1Nlev42F9cl6pu8W8fwSW7Jz+YfjTJ3UoyakKI5rI&#10;OgXrrdgSSoXIgBGwkZIGlQIpM+Blwa8/KH8BAAD//wMAUEsBAi0AFAAGAAgAAAAhALaDOJL+AAAA&#10;4QEAABMAAAAAAAAAAAAAAAAAAAAAAFtDb250ZW50X1R5cGVzXS54bWxQSwECLQAUAAYACAAAACEA&#10;OP0h/9YAAACUAQAACwAAAAAAAAAAAAAAAAAvAQAAX3JlbHMvLnJlbHNQSwECLQAUAAYACAAAACEA&#10;lEvKu6IBAABCAwAADgAAAAAAAAAAAAAAAAAuAgAAZHJzL2Uyb0RvYy54bWxQSwECLQAUAAYACAAA&#10;ACEA1iFDE94AAAAJAQAADwAAAAAAAAAAAAAAAAD8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1829248" behindDoc="0" locked="0" layoutInCell="1" allowOverlap="1" wp14:anchorId="35B7E7F0" wp14:editId="6B49BCC6">
                <wp:simplePos x="0" y="0"/>
                <wp:positionH relativeFrom="column">
                  <wp:posOffset>3142933</wp:posOffset>
                </wp:positionH>
                <wp:positionV relativeFrom="paragraph">
                  <wp:posOffset>1503999</wp:posOffset>
                </wp:positionV>
                <wp:extent cx="100015" cy="642940"/>
                <wp:effectExtent l="0" t="4762" r="9842" b="86043"/>
                <wp:wrapNone/>
                <wp:docPr id="50" name="Right Brace 1"/>
                <wp:cNvGraphicFramePr/>
                <a:graphic xmlns:a="http://schemas.openxmlformats.org/drawingml/2006/main">
                  <a:graphicData uri="http://schemas.microsoft.com/office/word/2010/wordprocessingShape">
                    <wps:wsp>
                      <wps:cNvSpPr/>
                      <wps:spPr>
                        <a:xfrm rot="5400000" flipV="1">
                          <a:off x="0" y="0"/>
                          <a:ext cx="100015" cy="64294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57707B2" id="Right Brace 1" o:spid="_x0000_s1026" type="#_x0000_t88" style="position:absolute;margin-left:247.5pt;margin-top:118.45pt;width:7.9pt;height:50.65pt;rotation:-90;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n7DLgIAAG0EAAAOAAAAZHJzL2Uyb0RvYy54bWysVE2P0zAQvSPxHyzfaZq0XZWq6Qq2KhcE&#10;K3bhPuvYiZG/sN2m/feMnbS07A2RgzW2x2/mvZnJ+v6oFTlwH6Q1NS0nU0q4YbaRpq3p9+fduyUl&#10;IYJpQFnDa3rigd5v3r5Z927FK9tZ1XBPEMSEVe9q2sXoVkURWMc1hIl13OClsF5DxK1vi8ZDj+ha&#10;FdV0elf01jfOW8ZDwNPtcEk3GV8IzuJXIQKPRNUUc4t59Xl9SWuxWcOq9eA6ycY04B+y0CANBr1A&#10;bSEC2Xv5CkpL5m2wIk6Y1YUVQjKeOSCbcvoXm6cOHM9cUJzgLjKF/wfLvhwePZFNTRcojwGNNfom&#10;2y6Sjx4YJ2VSqHdhhY5P7tGPu4BmonsUXhNvUdbFfJo+SoSS7ge2QpYDCZJjVvt0UZsfI2F4WKJ7&#10;uaCE4dXdvHo/z9UoBtAE7nyIn7jVJBk19SmtnFWGhsPnELPkzZg3ND9LjK8VVvAAiixns9lY4CuX&#10;6tplUS2ru+SDYUdAtM6BE3qwSjY7qVTenMKD8gTBa4pN2NieEgUh4mFNd/kbwW6eKUN65DhLEjPA&#10;LhcKIpraoe7BtJSAanF8WPSZ2s3j8CrmMyp4FTfrftbu5mnisYXQDQnnq0EPLSNOnZK6psv8fMxa&#10;mcSS57lBdZMuqfZDtZP1YpsT9kuPA4OZ/9qD55T4qB7sMF9gWGdRizMTYz/soxXyAjUAjLjY01n5&#10;cf7S0Fzvs9efv8TmNwAAAP//AwBQSwMEFAAGAAgAAAAhAIitLRPjAAAACwEAAA8AAABkcnMvZG93&#10;bnJldi54bWxMj8FOwzAMhu9IvENkJG4spRDGStNpQuKAhqZuYxLcssa0FU1SNVkbeHrMCY62P/3+&#10;/nwZTcdGHHzrrITrWQIMbeV0a2sJr/unq3tgPiirVecsSvhCD8vi/CxXmXaT3eK4CzWjEOszJaEJ&#10;oc8491WDRvmZ69HS7cMNRgUah5rrQU0UbjqeJskdN6q19KFRPT42WH3uTkaC28QxWUfRTuX3y/pQ&#10;vpeHt+eVlJcXcfUALGAMfzD86pM6FOR0dCerPesk3Io0JVRCOl/MgREhxI0AdqTNQgjgRc7/dyh+&#10;AAAA//8DAFBLAQItABQABgAIAAAAIQC2gziS/gAAAOEBAAATAAAAAAAAAAAAAAAAAAAAAABbQ29u&#10;dGVudF9UeXBlc10ueG1sUEsBAi0AFAAGAAgAAAAhADj9If/WAAAAlAEAAAsAAAAAAAAAAAAAAAAA&#10;LwEAAF9yZWxzLy5yZWxzUEsBAi0AFAAGAAgAAAAhAN9afsMuAgAAbQQAAA4AAAAAAAAAAAAAAAAA&#10;LgIAAGRycy9lMm9Eb2MueG1sUEsBAi0AFAAGAAgAAAAhAIitLRPjAAAACwEAAA8AAAAAAAAAAAAA&#10;AAAAiAQAAGRycy9kb3ducmV2LnhtbFBLBQYAAAAABAAEAPMAAACYBQAAAAA=&#10;" adj="280,11410" filled="t" fillcolor="window" strokecolor="windowText" strokeweight=".5pt">
                <v:stroke joinstyle="miter"/>
              </v:shape>
            </w:pict>
          </mc:Fallback>
        </mc:AlternateContent>
      </w:r>
      <w:r>
        <w:rPr>
          <w:noProof/>
          <w:lang w:eastAsia="en-GB"/>
        </w:rPr>
        <mc:AlternateContent>
          <mc:Choice Requires="wps">
            <w:drawing>
              <wp:anchor distT="0" distB="0" distL="114300" distR="114300" simplePos="0" relativeHeight="251827200" behindDoc="0" locked="0" layoutInCell="1" allowOverlap="1" wp14:anchorId="56763A4B" wp14:editId="10A72724">
                <wp:simplePos x="0" y="0"/>
                <wp:positionH relativeFrom="column">
                  <wp:posOffset>2394903</wp:posOffset>
                </wp:positionH>
                <wp:positionV relativeFrom="paragraph">
                  <wp:posOffset>146367</wp:posOffset>
                </wp:positionV>
                <wp:extent cx="95250" cy="600075"/>
                <wp:effectExtent l="0" t="80963" r="14288" b="14287"/>
                <wp:wrapNone/>
                <wp:docPr id="49" name="Right Brace 1"/>
                <wp:cNvGraphicFramePr/>
                <a:graphic xmlns:a="http://schemas.openxmlformats.org/drawingml/2006/main">
                  <a:graphicData uri="http://schemas.microsoft.com/office/word/2010/wordprocessingShape">
                    <wps:wsp>
                      <wps:cNvSpPr/>
                      <wps:spPr>
                        <a:xfrm rot="16200000" flipV="1">
                          <a:off x="0" y="0"/>
                          <a:ext cx="95250" cy="600075"/>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FD758F1" id="Right Brace 1" o:spid="_x0000_s1026" type="#_x0000_t88" style="position:absolute;margin-left:188.6pt;margin-top:11.5pt;width:7.5pt;height:47.25pt;rotation:90;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Y7aLgIAAG0EAAAOAAAAZHJzL2Uyb0RvYy54bWysVE2P0zAQvSPxHyzfaZqUlm7VdAVblQuC&#10;1e7CfdaxEyN/YbtN++8ZO9nSsjdEDpa/5s17bzxZ3x61Igfug7SmpuVkSgk3zDbStDX9/rR7t6Qk&#10;RDANKGt4TU880NvN2zfr3q14ZTurGu4Jgpiw6l1NuxjdqigC67iGMLGOGzwU1muIuPRt0XjoEV2r&#10;oppOF0VvfeO8ZTwE3N0Oh3ST8YXgLH4TIvBIVE2RW8yjz+NzGovNGlatB9dJNtKAf2ChQRpMeoba&#10;QgSy9/IVlJbM22BFnDCrCyuEZDxrQDXl9C81jx04nrWgOcGdbQr/D5Z9Pdx7Ipuavr+hxIDGGj3I&#10;tovkkwfGSZkc6l1Y4cVHd+/HVcBpknsUXhNv0dZygeXAjxKhpPuBG9kPVEiO2e7T2W5+jITh5s28&#10;muN9hicLjPwwT7mKATSBOx/iZ241SZOa+kQrs8rIcPgSYra8GXlD87PE9FphBQ+gyHI2m40FvrhS&#10;XV6ZV8tqMaYdAZHAS+KEHqySzU4qlRencKc8QfCa4iNsbE+JghBxs6a7/I1gV2HKkB41zrJawFcu&#10;FEQUrh36HkxLCagW24dFn6VdBYdXOZ/QwIu82fb8kpH6VWjSsYXQDYTz0eCHlhG7Tkld02UOH1kr&#10;k1Ty3DfobipHqv1Q7TR7ts0J30uPDYPMf+3Bc0p8VHd26C8wrLPoxYsSYz/uoxXyDDUAjLj4pnPB&#10;x/5LTXO5zrf+/CU2vwEAAP//AwBQSwMEFAAGAAgAAAAhAAuxFPfhAAAACQEAAA8AAABkcnMvZG93&#10;bnJldi54bWxMj01Pg0AQhu8m/ofNmHizC4WUigyNH6lRDyStHjxO2RGI7C5hlxb99a4nPU7myfs+&#10;b7GZdS+OPLrOGoR4EYFgU1vVmQbh7XV7tQbhPBlFvTWM8MUONuX5WUG5siez4+PeNyKEGJcTQuv9&#10;kEvp6pY1uYUd2ITfhx01+XCOjVQjnUK47uUyilZSU2dCQ0sD37dcf+4njfCYPuyI7p6zqYqr9+/4&#10;pXraVox4eTHf3oDwPPs/GH71gzqUwelgJ6Oc6BGSJEsDirBahgkBSJP4GsQBIcvWIMtC/l9Q/gAA&#10;AP//AwBQSwECLQAUAAYACAAAACEAtoM4kv4AAADhAQAAEwAAAAAAAAAAAAAAAAAAAAAAW0NvbnRl&#10;bnRfVHlwZXNdLnhtbFBLAQItABQABgAIAAAAIQA4/SH/1gAAAJQBAAALAAAAAAAAAAAAAAAAAC8B&#10;AABfcmVscy8ucmVsc1BLAQItABQABgAIAAAAIQDAOY7aLgIAAG0EAAAOAAAAAAAAAAAAAAAAAC4C&#10;AABkcnMvZTJvRG9jLnhtbFBLAQItABQABgAIAAAAIQALsRT34QAAAAkBAAAPAAAAAAAAAAAAAAAA&#10;AIgEAABkcnMvZG93bnJldi54bWxQSwUGAAAAAAQABADzAAAAlgUAAAAA&#10;" adj="286,11410" filled="t" fillcolor="window" strokecolor="windowText" strokeweight=".5pt">
                <v:stroke joinstyle="miter"/>
              </v:shape>
            </w:pict>
          </mc:Fallback>
        </mc:AlternateContent>
      </w:r>
      <w:r w:rsidR="00425FD9">
        <w:object w:dxaOrig="10927" w:dyaOrig="4416">
          <v:shape id="_x0000_i1047" type="#_x0000_t75" style="width:438.75pt;height:174pt" o:ole="">
            <v:imagedata r:id="rId114" o:title=""/>
          </v:shape>
          <o:OLEObject Type="Embed" ProgID="Prism7.Document" ShapeID="_x0000_i1047" DrawAspect="Content" ObjectID="_1583750217" r:id="rId115"/>
        </w:object>
      </w:r>
    </w:p>
    <w:p w:rsidR="001022D4" w:rsidRDefault="001022D4" w:rsidP="001022D4">
      <w:pPr>
        <w:spacing w:after="160" w:line="259" w:lineRule="auto"/>
        <w:ind w:firstLine="720"/>
      </w:pPr>
    </w:p>
    <w:p w:rsidR="001022D4" w:rsidRDefault="001022D4" w:rsidP="007B3EEB">
      <w:pPr>
        <w:pStyle w:val="Subtitle"/>
      </w:pPr>
      <w:bookmarkStart w:id="364" w:name="_Toc504640610"/>
      <w:r>
        <w:t>Figure 4.3 Summary of picrosirius red semi- automated analysis</w:t>
      </w:r>
      <w:r>
        <w:rPr>
          <w:color w:val="191B0E"/>
        </w:rPr>
        <w:t>.</w:t>
      </w:r>
      <w:bookmarkEnd w:id="364"/>
      <w:r>
        <w:rPr>
          <w:color w:val="191B0E"/>
        </w:rPr>
        <w:t xml:space="preserve"> </w:t>
      </w:r>
    </w:p>
    <w:p w:rsidR="00616C71" w:rsidRDefault="00402360" w:rsidP="00751518">
      <w:pPr>
        <w:pStyle w:val="LegText"/>
        <w:ind w:left="720"/>
      </w:pPr>
      <w:r>
        <w:t>The graph i</w:t>
      </w:r>
      <w:r w:rsidR="001022D4">
        <w:t xml:space="preserve">s </w:t>
      </w:r>
      <w:r>
        <w:t xml:space="preserve">the </w:t>
      </w:r>
      <w:r w:rsidR="001022D4">
        <w:t xml:space="preserve">analysis of picrosirius red slides. </w:t>
      </w:r>
      <w:r w:rsidR="009B2F27">
        <w:t>Each data point is</w:t>
      </w:r>
      <w:r w:rsidR="001022D4">
        <w:t xml:space="preserve"> mean of ten different views per kidney by</w:t>
      </w:r>
      <w:r w:rsidR="004F044F">
        <w:t xml:space="preserve"> each of</w:t>
      </w:r>
      <w:r w:rsidR="001022D4">
        <w:t xml:space="preserve"> two blinded </w:t>
      </w:r>
      <w:r w:rsidR="001022D4" w:rsidRPr="00402360">
        <w:t>reviewers. Followed by Tukey's multiple</w:t>
      </w:r>
      <w:r w:rsidR="001022D4">
        <w:t xml:space="preserve"> comparisons test </w:t>
      </w:r>
      <w:r w:rsidR="004F044F">
        <w:t xml:space="preserve">which </w:t>
      </w:r>
      <w:r w:rsidR="001022D4">
        <w:t xml:space="preserve">showed significant difference between the diseased group and prophylaxis group P &lt;0.0001, prophylaxis and treatment was </w:t>
      </w:r>
      <w:r w:rsidR="004F044F">
        <w:t>P&lt;</w:t>
      </w:r>
      <w:r w:rsidR="001022D4">
        <w:t>0.001 while there was no significant difference between diseased and t</w:t>
      </w:r>
      <w:r w:rsidR="004F044F">
        <w:t>reatment group. There w</w:t>
      </w:r>
      <w:r w:rsidR="001022D4">
        <w:t>as a P&lt;0.0000</w:t>
      </w:r>
      <w:r w:rsidR="004F044F">
        <w:t>1 significance between the control</w:t>
      </w:r>
      <w:r w:rsidR="001022D4">
        <w:t xml:space="preserve"> kidney</w:t>
      </w:r>
      <w:r w:rsidR="004F044F">
        <w:t>s</w:t>
      </w:r>
      <w:r w:rsidR="001022D4">
        <w:t xml:space="preserve"> and the </w:t>
      </w:r>
      <w:r w:rsidR="004F044F">
        <w:t xml:space="preserve">diseased </w:t>
      </w:r>
      <w:r w:rsidR="00751518">
        <w:t>kidneys of all the groups.</w:t>
      </w:r>
    </w:p>
    <w:p w:rsidR="00616C71" w:rsidRDefault="00616C71" w:rsidP="00616C71">
      <w:pPr>
        <w:spacing w:after="160" w:line="259" w:lineRule="auto"/>
      </w:pPr>
    </w:p>
    <w:p w:rsidR="00616C71" w:rsidRPr="00F829BC" w:rsidRDefault="00616C71" w:rsidP="00195B89">
      <w:pPr>
        <w:pStyle w:val="Heading3"/>
        <w:ind w:firstLine="720"/>
      </w:pPr>
      <w:bookmarkStart w:id="365" w:name="_Toc506232395"/>
      <w:r w:rsidRPr="00F829BC">
        <w:t>4.4 Massons’s trichrome</w:t>
      </w:r>
      <w:bookmarkEnd w:id="365"/>
    </w:p>
    <w:p w:rsidR="00616C71" w:rsidRDefault="00616C71" w:rsidP="00195B89">
      <w:pPr>
        <w:ind w:left="720"/>
      </w:pPr>
      <w:r>
        <w:t xml:space="preserve">In the diagnosis of renal pathology, the correlation of carefully studied routine cell and tissue stains such as haematoxylin and eosin, periodic acid Schiff and periodic acid-silver methenamine, under light microscopy and Masson’s trichrome stain is able to give considerable information (Cohen, 1976). Masson’s trichrome uses three different dyes which selectively stain muscle, collagen fibres and red blood cells. </w:t>
      </w:r>
    </w:p>
    <w:p w:rsidR="00616C71" w:rsidRDefault="00616C71" w:rsidP="00195B89">
      <w:pPr>
        <w:ind w:left="720"/>
      </w:pPr>
      <w:r>
        <w:t xml:space="preserve">Well-fixed, properly prepared, thinly sectioned (5µm), carefully stained renal slides, with </w:t>
      </w:r>
      <w:r w:rsidR="007E5650">
        <w:t>uniform consistency (Section 2.6.4</w:t>
      </w:r>
      <w:r>
        <w:t xml:space="preserve">) gave distinct images. The </w:t>
      </w:r>
      <w:r w:rsidR="00F5645D">
        <w:t xml:space="preserve">control </w:t>
      </w:r>
      <w:r>
        <w:t>kidneys removed at the beginning of the study showed no signs suggestive of tubular, glomerular or interstitial scarring (Fig 4.4a, c</w:t>
      </w:r>
      <w:r w:rsidR="00F5645D">
        <w:t xml:space="preserve"> and e). Examination of the diseased</w:t>
      </w:r>
      <w:r>
        <w:t xml:space="preserve"> kidneys (removed at the end of eight months study), showed a similar trend across the three groups where there were signs of tubular, glomerular and interstitial </w:t>
      </w:r>
      <w:r>
        <w:lastRenderedPageBreak/>
        <w:t>scarring. The most severe changes were observed in the diseased group (Fig 4.4b) where the slides showed moderate tubular dilatation, tubular degeneration and regeneration, tubular basement membrane thickening, glomerular basement membrane thickening with mild interstitial fibrosis. The treatment group exhibited, moderate tubular degeneration/regeneration, tubular dilation with modera</w:t>
      </w:r>
      <w:r w:rsidR="00F5645D">
        <w:t>te interstitial fibrosis. (Fig 4</w:t>
      </w:r>
      <w:r>
        <w:t>.3f). Unlike the diseased and treatment group the prophylaxis group (Fig 4.4d) demonstrated mild interstitial fibrosis, mild tubular degeneration/regeneration with mild glomerular fibrosis which was suggestive of mild scarring and less fibrosis when compared to the other groups.</w:t>
      </w:r>
    </w:p>
    <w:p w:rsidR="00616C71" w:rsidRDefault="00616C71" w:rsidP="00616C71">
      <w:pPr>
        <w:spacing w:after="160"/>
        <w:rPr>
          <w:rFonts w:ascii="Times New Roman" w:eastAsia="Times New Roman" w:hAnsi="Times New Roman"/>
        </w:rPr>
      </w:pPr>
    </w:p>
    <w:p w:rsidR="00616C71" w:rsidRDefault="00616C71" w:rsidP="00616C71">
      <w:pPr>
        <w:spacing w:after="160"/>
        <w:rPr>
          <w:rFonts w:ascii="Times New Roman" w:eastAsia="Times New Roman" w:hAnsi="Times New Roman"/>
        </w:rPr>
      </w:pPr>
    </w:p>
    <w:p w:rsidR="00616C71" w:rsidRDefault="00616C71" w:rsidP="00616C71">
      <w:pPr>
        <w:spacing w:after="160"/>
      </w:pPr>
    </w:p>
    <w:p w:rsidR="00616C71" w:rsidRDefault="00616C71" w:rsidP="00616C71">
      <w:pPr>
        <w:spacing w:after="160"/>
      </w:pPr>
    </w:p>
    <w:p w:rsidR="00616C71" w:rsidRDefault="00616C71" w:rsidP="00616C71">
      <w:pPr>
        <w:spacing w:after="160"/>
      </w:pPr>
    </w:p>
    <w:p w:rsidR="00616C71" w:rsidRDefault="00616C71" w:rsidP="00616C71">
      <w:pPr>
        <w:spacing w:after="160"/>
      </w:pPr>
    </w:p>
    <w:p w:rsidR="00616C71" w:rsidRDefault="00616C71" w:rsidP="00616C71">
      <w:pPr>
        <w:spacing w:after="160"/>
      </w:pPr>
    </w:p>
    <w:p w:rsidR="00616C71" w:rsidRDefault="00616C71" w:rsidP="00616C71">
      <w:pPr>
        <w:spacing w:after="160"/>
      </w:pPr>
    </w:p>
    <w:p w:rsidR="00616C71" w:rsidRDefault="002E1FF3"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Pr>
          <w:noProof/>
          <w:lang w:eastAsia="en-GB"/>
        </w:rPr>
        <w:lastRenderedPageBreak/>
        <mc:AlternateContent>
          <mc:Choice Requires="wps">
            <w:drawing>
              <wp:anchor distT="0" distB="0" distL="114300" distR="114300" simplePos="0" relativeHeight="251812864" behindDoc="0" locked="0" layoutInCell="1" hidden="0" allowOverlap="1" wp14:anchorId="244DD513" wp14:editId="58F3F279">
                <wp:simplePos x="0" y="0"/>
                <wp:positionH relativeFrom="margin">
                  <wp:posOffset>3473450</wp:posOffset>
                </wp:positionH>
                <wp:positionV relativeFrom="paragraph">
                  <wp:posOffset>1371600</wp:posOffset>
                </wp:positionV>
                <wp:extent cx="304800" cy="330200"/>
                <wp:effectExtent l="0" t="0" r="0" b="0"/>
                <wp:wrapNone/>
                <wp:docPr id="116" name="Rectangle 116"/>
                <wp:cNvGraphicFramePr/>
                <a:graphic xmlns:a="http://schemas.openxmlformats.org/drawingml/2006/main">
                  <a:graphicData uri="http://schemas.microsoft.com/office/word/2010/wordprocessingShape">
                    <wps:wsp>
                      <wps:cNvSpPr/>
                      <wps:spPr>
                        <a:xfrm>
                          <a:off x="0" y="0"/>
                          <a:ext cx="3048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T</w:t>
                            </w:r>
                          </w:p>
                        </w:txbxContent>
                      </wps:txbx>
                      <wps:bodyPr lIns="88900" tIns="38100" rIns="88900" bIns="38100" anchor="t" anchorCtr="0"/>
                    </wps:wsp>
                  </a:graphicData>
                </a:graphic>
              </wp:anchor>
            </w:drawing>
          </mc:Choice>
          <mc:Fallback>
            <w:pict>
              <v:rect w14:anchorId="244DD513" id="Rectangle 116" o:spid="_x0000_s1097" style="position:absolute;left:0;text-align:left;margin-left:273.5pt;margin-top:108pt;width:24pt;height:26pt;z-index:251812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QpowEAAEIDAAAOAAAAZHJzL2Uyb0RvYy54bWysUk2P0zAQvSPxHyzfqZMtWkLUdA+sFiEh&#10;WLHwA1zHbizZHmtsmvTfM3a73QI3xMWZr7yZ92Y2d4t37KAxWQgDb1cNZzooGG3YD/zH94c3HWcp&#10;yzBKB0EP/KgTv9u+frWZY69vYAI3amQEElI/x4FPOcdeiKQm7WVaQdSBkgbQy0wu7sWIciZ078RN&#10;09yKGXCMCEqnRNH7U5JvK74xWuWvxiSdmRs4zZbri/XdlVdsN7Lfo4yTVecx5D9M4aUN1PQCdS+z&#10;ZD/R/gXlrUJIYPJKgRdgjFW6ciA2bfMHm6dJRl25kDgpXmRK/w9WfTk8IrMj7a695SxIT0v6RrLJ&#10;sHealSBJNMfUU+VTfMSzl8gsfBeDvnyJCVuqrMeLrHrJTFFw3bztGhJfUWq9bmhtBVO8/Bwx5Y8a&#10;PCvGwJHaVzHl4XPKp9LnktIrwIN1juKyd+G3AGGWiCjzniYsVl52S6X4rn0ms4PxSLzdp0Badt37&#10;Ml6uzrpri4PXmd11RgY1AV1Q5uxkfsj1nsqcpRstqpI7H1W5hGu/Vr2c/vYXAAAA//8DAFBLAwQU&#10;AAYACAAAACEADyivXuAAAAALAQAADwAAAGRycy9kb3ducmV2LnhtbEyPwU7DMBBE70j8g7VI3KjT&#10;0oQS4lQFiV4QB1o+wImXxGq8DrGTBr6e5QS32d3R7JtiO7tOTDgE60nBcpGAQKq9sdQoeD8+32xA&#10;hKjJ6M4TKvjCANvy8qLQufFnesPpEBvBIRRyraCNsc+lDHWLToeF75H49uEHpyOPQyPNoM8c7jq5&#10;SpJMOm2JP7S6x6cW69NhdAqm7379uLfGn3afr3P1Mu5vj9YpdX017x5ARJzjnxl+8RkdSmaq/Egm&#10;iE5Bur7jLlHBapmxYEd6n7KoeJNtEpBlIf93KH8AAAD//wMAUEsBAi0AFAAGAAgAAAAhALaDOJL+&#10;AAAA4QEAABMAAAAAAAAAAAAAAAAAAAAAAFtDb250ZW50X1R5cGVzXS54bWxQSwECLQAUAAYACAAA&#10;ACEAOP0h/9YAAACUAQAACwAAAAAAAAAAAAAAAAAvAQAAX3JlbHMvLnJlbHNQSwECLQAUAAYACAAA&#10;ACEAUo50KaMBAABCAwAADgAAAAAAAAAAAAAAAAAuAgAAZHJzL2Uyb0RvYy54bWxQSwECLQAUAAYA&#10;CAAAACEADyivXuAAAAALAQAADwAAAAAAAAAAAAAAAAD9AwAAZHJzL2Rvd25yZXYueG1sUEsFBgAA&#10;AAAEAAQA8wAAAAo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T</w:t>
                      </w:r>
                    </w:p>
                  </w:txbxContent>
                </v:textbox>
                <w10:wrap anchorx="margin"/>
              </v:rect>
            </w:pict>
          </mc:Fallback>
        </mc:AlternateContent>
      </w:r>
      <w:r>
        <w:rPr>
          <w:noProof/>
          <w:lang w:eastAsia="en-GB"/>
        </w:rPr>
        <mc:AlternateContent>
          <mc:Choice Requires="wps">
            <w:drawing>
              <wp:anchor distT="0" distB="0" distL="114300" distR="114300" simplePos="0" relativeHeight="251813888" behindDoc="0" locked="0" layoutInCell="1" hidden="0" allowOverlap="1" wp14:anchorId="21A9EB1E" wp14:editId="0EADAB9A">
                <wp:simplePos x="0" y="0"/>
                <wp:positionH relativeFrom="margin">
                  <wp:posOffset>2260600</wp:posOffset>
                </wp:positionH>
                <wp:positionV relativeFrom="paragraph">
                  <wp:posOffset>1676400</wp:posOffset>
                </wp:positionV>
                <wp:extent cx="355600" cy="330200"/>
                <wp:effectExtent l="0" t="0" r="0" b="0"/>
                <wp:wrapNone/>
                <wp:docPr id="180" name="Rectangle 180"/>
                <wp:cNvGraphicFramePr/>
                <a:graphic xmlns:a="http://schemas.openxmlformats.org/drawingml/2006/main">
                  <a:graphicData uri="http://schemas.microsoft.com/office/word/2010/wordprocessingShape">
                    <wps:wsp>
                      <wps:cNvSpPr/>
                      <wps:spPr>
                        <a:xfrm>
                          <a:off x="0" y="0"/>
                          <a:ext cx="3556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21A9EB1E" id="Rectangle 180" o:spid="_x0000_s1098" style="position:absolute;left:0;text-align:left;margin-left:178pt;margin-top:132pt;width:28pt;height:26pt;z-index:251813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glWogEAAEIDAAAOAAAAZHJzL2Uyb0RvYy54bWysUtuO0zAQfUfiHyy/U6etdglR031gtQgJ&#10;wYpdPmDq2I0l3zQ2Tfr3jN1ut8Ab4sWZW87MOTObu9lZdlCYTPA9Xy4azpSXYTB+3/Mfzw/vWs5S&#10;Bj+ADV71/KgSv9u+fbOZYqdWYQx2UMgIxKduij0fc46dEEmOykFahKg8JXVAB5lc3IsBYSJ0Z8Wq&#10;aW7FFHCIGKRKiaL3pyTfVnytlczftE4qM9tzmi3XF+u7K6/YbqDbI8TRyPMY8A9TODCeml6g7iED&#10;+4nmLyhnJIYUdF7I4ETQ2khVORCbZfMHm6cRoqpcSJwULzKl/wcrvx4ekZmBdteSPh4cLek7yQZ+&#10;bxUrQZJoiqmjyqf4iGcvkVn4zhpd+RITNldZjxdZ1ZyZpOD65ua2IXBJqfW6obUVTPH6c8SUP6ng&#10;WDF6jtS+igmHLymfSl9KSi8fHoy1FIfO+t8ChFkiosx7mrBYed7NleL71QuZXRiOxNt+9qRl234o&#10;4+XqrNtlcfA6s7vOgJdjoAvKnJ3Mj7neU5mzdKNFVXLnoyqXcO3XqtfT3/4CAAD//wMAUEsDBBQA&#10;BgAIAAAAIQBXvjvO3gAAAAsBAAAPAAAAZHJzL2Rvd25yZXYueG1sTI9BT4NAEIXvJv0Pm2nizS5Q&#10;JAZZmmpiL8aDrT9gYUcgZWeRXSj66x1P9vYm38ub94rdYnsx4+g7RwriTQQCqXamo0bBx+nl7gGE&#10;D5qM7h2hgm/0sCtXN4XOjbvQO87H0AgOIZ9rBW0IQy6lr1u02m/cgMTs041WBz7HRppRXzjc9jKJ&#10;okxa3RF/aPWAzy3W5+NkFcw/Q/p06Iw777/elup1OmxPnVXqdr3sH0EEXMK/Gf7qc3UouVPlJjJe&#10;9Aq29xlvCQqSLGXBjjROWFSMYkayLOT1hvIXAAD//wMAUEsBAi0AFAAGAAgAAAAhALaDOJL+AAAA&#10;4QEAABMAAAAAAAAAAAAAAAAAAAAAAFtDb250ZW50X1R5cGVzXS54bWxQSwECLQAUAAYACAAAACEA&#10;OP0h/9YAAACUAQAACwAAAAAAAAAAAAAAAAAvAQAAX3JlbHMvLnJlbHNQSwECLQAUAAYACAAAACEA&#10;QgYJVqIBAABCAwAADgAAAAAAAAAAAAAAAAAuAgAAZHJzL2Uyb0RvYy54bWxQSwECLQAUAAYACAAA&#10;ACEAV747zt4AAAALAQAADwAAAAAAAAAAAAAAAAD8AwAAZHJzL2Rvd25yZXYueG1sUEsFBgAAAAAE&#10;AAQA8wAAAAc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r w:rsidRPr="001160AB">
        <w:rPr>
          <w:noProof/>
          <w:lang w:eastAsia="en-GB"/>
        </w:rPr>
        <w:drawing>
          <wp:inline distT="0" distB="0" distL="0" distR="0" wp14:anchorId="21C394C7" wp14:editId="672F4E90">
            <wp:extent cx="3959860" cy="2962275"/>
            <wp:effectExtent l="0" t="0" r="2540" b="9525"/>
            <wp:docPr id="257" name="Picture 257" descr="C:\Users\UOS\Desktop\Histology Images\Massons, Picro and H&amp;E\rat 13 sta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esktop\Histology Images\Massons, Picro and H&amp;E\rat 13 start.tif"/>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256"/>
                    <a:stretch/>
                  </pic:blipFill>
                  <pic:spPr bwMode="auto">
                    <a:xfrm>
                      <a:off x="0" y="0"/>
                      <a:ext cx="3960000" cy="2962380"/>
                    </a:xfrm>
                    <a:prstGeom prst="rect">
                      <a:avLst/>
                    </a:prstGeom>
                    <a:noFill/>
                    <a:ln>
                      <a:noFill/>
                    </a:ln>
                    <a:extLst>
                      <a:ext uri="{53640926-AAD7-44D8-BBD7-CCE9431645EC}">
                        <a14:shadowObscured xmlns:a14="http://schemas.microsoft.com/office/drawing/2010/main"/>
                      </a:ext>
                    </a:extLst>
                  </pic:spPr>
                </pic:pic>
              </a:graphicData>
            </a:graphic>
          </wp:inline>
        </w:drawing>
      </w:r>
      <w:r w:rsidR="00616C71">
        <w:rPr>
          <w:noProof/>
          <w:lang w:eastAsia="en-GB"/>
        </w:rPr>
        <w:drawing>
          <wp:inline distT="0" distB="0" distL="0" distR="0" wp14:anchorId="6363EACD" wp14:editId="0B33A77F">
            <wp:extent cx="3959225" cy="195580"/>
            <wp:effectExtent l="0" t="0" r="3175" b="0"/>
            <wp:docPr id="44" name="image64.png" descr="C:\Users\UOS\Desktop\Massons\rat 4 start-sc a.tif"/>
            <wp:cNvGraphicFramePr/>
            <a:graphic xmlns:a="http://schemas.openxmlformats.org/drawingml/2006/main">
              <a:graphicData uri="http://schemas.openxmlformats.org/drawingml/2006/picture">
                <pic:pic xmlns:pic="http://schemas.openxmlformats.org/drawingml/2006/picture">
                  <pic:nvPicPr>
                    <pic:cNvPr id="0" name="image64.png" descr="C:\Users\UOS\Desktop\Massons\rat 4 start-sc a.tif"/>
                    <pic:cNvPicPr preferRelativeResize="0"/>
                  </pic:nvPicPr>
                  <pic:blipFill rotWithShape="1">
                    <a:blip r:embed="rId117"/>
                    <a:srcRect t="93825"/>
                    <a:stretch/>
                  </pic:blipFill>
                  <pic:spPr bwMode="auto">
                    <a:xfrm>
                      <a:off x="0" y="0"/>
                      <a:ext cx="3960000" cy="195618"/>
                    </a:xfrm>
                    <a:prstGeom prst="rect">
                      <a:avLst/>
                    </a:prstGeom>
                    <a:ln>
                      <a:noFill/>
                    </a:ln>
                    <a:extLst>
                      <a:ext uri="{53640926-AAD7-44D8-BBD7-CCE9431645EC}">
                        <a14:shadowObscured xmlns:a14="http://schemas.microsoft.com/office/drawing/2010/main"/>
                      </a:ext>
                    </a:extLst>
                  </pic:spPr>
                </pic:pic>
              </a:graphicData>
            </a:graphic>
          </wp:inline>
        </w:drawing>
      </w:r>
      <w:r w:rsidR="00616C71">
        <w:rPr>
          <w:noProof/>
          <w:lang w:eastAsia="en-GB"/>
        </w:rPr>
        <mc:AlternateContent>
          <mc:Choice Requires="wps">
            <w:drawing>
              <wp:anchor distT="0" distB="0" distL="114300" distR="114300" simplePos="0" relativeHeight="251811840" behindDoc="0" locked="0" layoutInCell="1" hidden="0" allowOverlap="1" wp14:anchorId="57AD71A0" wp14:editId="33ECF3B2">
                <wp:simplePos x="0" y="0"/>
                <wp:positionH relativeFrom="margin">
                  <wp:posOffset>2590800</wp:posOffset>
                </wp:positionH>
                <wp:positionV relativeFrom="paragraph">
                  <wp:posOffset>1155700</wp:posOffset>
                </wp:positionV>
                <wp:extent cx="495300" cy="139700"/>
                <wp:effectExtent l="0" t="0" r="0" b="0"/>
                <wp:wrapNone/>
                <wp:docPr id="197" name="Freeform 197"/>
                <wp:cNvGraphicFramePr/>
                <a:graphic xmlns:a="http://schemas.openxmlformats.org/drawingml/2006/main">
                  <a:graphicData uri="http://schemas.microsoft.com/office/word/2010/wordprocessingShape">
                    <wps:wsp>
                      <wps:cNvSpPr/>
                      <wps:spPr>
                        <a:xfrm flipH="1">
                          <a:off x="5103112" y="3713325"/>
                          <a:ext cx="485774" cy="133349"/>
                        </a:xfrm>
                        <a:custGeom>
                          <a:avLst/>
                          <a:gdLst/>
                          <a:ahLst/>
                          <a:cxnLst/>
                          <a:rect l="0" t="0" r="0" b="0"/>
                          <a:pathLst>
                            <a:path w="485775" h="133350" extrusionOk="0">
                              <a:moveTo>
                                <a:pt x="0" y="0"/>
                              </a:moveTo>
                              <a:lnTo>
                                <a:pt x="485775" y="133350"/>
                              </a:lnTo>
                            </a:path>
                          </a:pathLst>
                        </a:custGeom>
                        <a:solidFill>
                          <a:srgbClr val="FFFFFF"/>
                        </a:solidFill>
                        <a:ln>
                          <a:noFill/>
                        </a:ln>
                      </wps:spPr>
                      <wps:bodyPr lIns="91425" tIns="91425" rIns="91425" bIns="91425" anchor="ctr" anchorCtr="0"/>
                    </wps:wsp>
                  </a:graphicData>
                </a:graphic>
              </wp:anchor>
            </w:drawing>
          </mc:Choice>
          <mc:Fallback>
            <w:pict>
              <v:shape w14:anchorId="4A69DA42" id="Freeform 197" o:spid="_x0000_s1026" style="position:absolute;margin-left:204pt;margin-top:91pt;width:39pt;height:11pt;flip:x;z-index:251811840;visibility:visible;mso-wrap-style:square;mso-wrap-distance-left:9pt;mso-wrap-distance-top:0;mso-wrap-distance-right:9pt;mso-wrap-distance-bottom:0;mso-position-horizontal:absolute;mso-position-horizontal-relative:margin;mso-position-vertical:absolute;mso-position-vertical-relative:text;v-text-anchor:middle" coordsize="48577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JdDwIAAEcEAAAOAAAAZHJzL2Uyb0RvYy54bWysU02P0zAQvSPxHyzfaZKmoduo6R52VUBC&#10;7Eq7/ADXcRoLx7Zst0n/PTNO2g0gcUDkEM3Yz2/mzcf2fugUOQvnpdEVzRYpJUJzU0t9rOj31/2H&#10;O0p8YLpmymhR0Yvw9H73/t22t6VYmtaoWjgCJNqXva1oG4Itk8TzVnTML4wVGi4b4zoWwHXHpHas&#10;B/ZOJcs0/Zj0xtXWGS68h9PH8ZLuIn/TCB6emsaLQFRFIbcQ/y7+D/hPdltWHh2zreRTGuwfsuiY&#10;1BD0RvXIAiMnJ/+g6iR3xpsmLLjpEtM0kouoAdRk6W9qXlpmRdQCxfH2Vib//2j5t/OzI7KG3m3W&#10;lGjWQZP2TggsOcEzqFBvfQnAF/vsJs+DiXKHBlCNkvYzEMQCgCQyVLTI0jzLlpRcKpqvszxfFmOt&#10;xRAIB8DqrlivV5RwAMB1vtrgfTJSIjU/+fBJmA5tdv7qw9iq+mqx9mrxQV9NBw3/a6stC/gOSdEk&#10;/ZRJQUk7JlLgCA/BnXCkn37gkCC6M2fxauK7gAIBBZnHAYKk326VnqOiSuCeRAL3KHJEwUNMIsq+&#10;JQaHc+neKFnvpVIY2rvj4UE5cmYwzvv4TYS/wJRGsDb47BoPgmAbx8ahdTD1BVqvvmgYp022ggaR&#10;MHfc3DnMHaZ5a2CJeHCUjM5DiEuF0ZAcpjWqmjYL12HuR9Tb/u9+AgAA//8DAFBLAwQUAAYACAAA&#10;ACEAMC3sJ9oAAAALAQAADwAAAGRycy9kb3ducmV2LnhtbEyPwUrEQBBE74L/MLTgzZ3ZGJYQM1lU&#10;EMGbcT+gN9MmwUxPyMwm8e9tT3qrporqV9Vx86NaaI5DYAv7nQFF3AY3cGfh9PFyV4CKCdnhGJgs&#10;fFOEY319VWHpwsrvtDSpU1LCsUQLfUpTqXVse/IYd2EiFu8zzB6TnHOn3YyrlPtRZ8YctMeB5UOP&#10;Ez331H41F2+BfRuJMZlmfXP7p5x0/nq/WHt7sz0+gEq0pb8w/OILOtTCdA4XdlGNFnJTyJYkRpGJ&#10;kEReHEScLWQmN6DrSv/fUP8AAAD//wMAUEsBAi0AFAAGAAgAAAAhALaDOJL+AAAA4QEAABMAAAAA&#10;AAAAAAAAAAAAAAAAAFtDb250ZW50X1R5cGVzXS54bWxQSwECLQAUAAYACAAAACEAOP0h/9YAAACU&#10;AQAACwAAAAAAAAAAAAAAAAAvAQAAX3JlbHMvLnJlbHNQSwECLQAUAAYACAAAACEAb14iXQ8CAABH&#10;BAAADgAAAAAAAAAAAAAAAAAuAgAAZHJzL2Uyb0RvYy54bWxQSwECLQAUAAYACAAAACEAMC3sJ9oA&#10;AAALAQAADwAAAAAAAAAAAAAAAABpBAAAZHJzL2Rvd25yZXYueG1sUEsFBgAAAAAEAAQA8wAAAHAF&#10;AAAAAA==&#10;" path="m,l485775,133350e" stroked="f">
                <v:path arrowok="t" o:extrusionok="f" textboxrect="0,0,485775,133350"/>
                <w10:wrap anchorx="margin"/>
              </v:shape>
            </w:pict>
          </mc:Fallback>
        </mc:AlternateContent>
      </w: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195B89"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Pr>
          <w:noProof/>
          <w:lang w:eastAsia="en-GB"/>
        </w:rPr>
        <mc:AlternateContent>
          <mc:Choice Requires="wps">
            <w:drawing>
              <wp:anchor distT="0" distB="0" distL="114300" distR="114300" simplePos="0" relativeHeight="251817984" behindDoc="0" locked="0" layoutInCell="1" hidden="0" allowOverlap="1" wp14:anchorId="14D69EB0" wp14:editId="08928F25">
                <wp:simplePos x="0" y="0"/>
                <wp:positionH relativeFrom="margin">
                  <wp:posOffset>771525</wp:posOffset>
                </wp:positionH>
                <wp:positionV relativeFrom="paragraph">
                  <wp:posOffset>847090</wp:posOffset>
                </wp:positionV>
                <wp:extent cx="723900" cy="330200"/>
                <wp:effectExtent l="0" t="0" r="0" b="0"/>
                <wp:wrapNone/>
                <wp:docPr id="276" name="Rectangle 276"/>
                <wp:cNvGraphicFramePr/>
                <a:graphic xmlns:a="http://schemas.openxmlformats.org/drawingml/2006/main">
                  <a:graphicData uri="http://schemas.microsoft.com/office/word/2010/wordprocessingShape">
                    <wps:wsp>
                      <wps:cNvSpPr/>
                      <wps:spPr>
                        <a:xfrm>
                          <a:off x="0" y="0"/>
                          <a:ext cx="7239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DT</w:t>
                            </w:r>
                          </w:p>
                        </w:txbxContent>
                      </wps:txbx>
                      <wps:bodyPr wrap="square" lIns="88900" tIns="38100" rIns="88900" bIns="38100" anchor="t" anchorCtr="0"/>
                    </wps:wsp>
                  </a:graphicData>
                </a:graphic>
                <wp14:sizeRelH relativeFrom="margin">
                  <wp14:pctWidth>0</wp14:pctWidth>
                </wp14:sizeRelH>
              </wp:anchor>
            </w:drawing>
          </mc:Choice>
          <mc:Fallback>
            <w:pict>
              <v:rect w14:anchorId="14D69EB0" id="Rectangle 276" o:spid="_x0000_s1099" style="position:absolute;left:0;text-align:left;margin-left:60.75pt;margin-top:66.7pt;width:57pt;height:26pt;z-index:251817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2ywrQEAAFADAAAOAAAAZHJzL2Uyb0RvYy54bWysU8tu2zAQvBfoPxC815ItIHYFyzkkSFGg&#10;SIKk/YA1RVoE+OqSseS/z5J2HLe9FbnQ+/LszuxqfT1Zw/YSo/au4/NZzZl0wvfa7Tr+6+fdlxVn&#10;MYHrwXgnO36QkV9vPn9aj6GVCz9400tkBOJiO4aODymFtqqiGKSFOPNBOkoqjxYSubireoSR0K2p&#10;FnV9VY0e+4BeyBgpentM8k3BV0qK9KBUlImZjtNsqbxY3m1+q80a2h1CGLQ4jQH/MYUF7ajpGeoW&#10;ErAX1P9AWS3QR6/STHhbeaW0kIUDsZnXf7F5HiDIwoXEieEsU/w4WHG/f0Sm+44vllecObC0pCeS&#10;DdzOSJaDJNEYYkuVz+ERT14kM/OdFNr8S0zYVGQ9nGWVU2KCgstF87Um8QWlmqamtWXM6v3PAWP6&#10;Jr1l2eg4UvsiJux/xHQsfSvJvZy/08ZQHFrj/ggQZo5Ued7jhNlK03YqFJfNG5mt7w/Ee6TFdzz+&#10;fgGUnJnvjpRdrcqwqTjNap4nx8vM9jIDTgye7ilxdjRvUrmuPHXuTWsrVE8nlu/i0i9V7x/C5hUA&#10;AP//AwBQSwMEFAAGAAgAAAAhAPUqKKHfAAAACwEAAA8AAABkcnMvZG93bnJldi54bWxMj81OwzAQ&#10;hO9IvIO1lbhRp/lBVYhTFSR6QRxoeQAn3iZR43WInTTw9CwnuO3Mjma/LXaL7cWMo+8cKdisIxBI&#10;tTMdNQo+Ti/3WxA+aDK6d4QKvtDDrry9KXRu3JXecT6GRnAJ+VwraEMYcil93aLVfu0GJN6d3Wh1&#10;YDk20oz6yuW2l3EUPUirO+ILrR7wucX6cpysgvl7SJ8OnXGX/efbUr1Oh+TUWaXuVsv+EUTAJfyF&#10;4Ref0aFkpspNZLzoWcebjKM8JEkKghNxkrFTsbPNUpBlIf//UP4AAAD//wMAUEsBAi0AFAAGAAgA&#10;AAAhALaDOJL+AAAA4QEAABMAAAAAAAAAAAAAAAAAAAAAAFtDb250ZW50X1R5cGVzXS54bWxQSwEC&#10;LQAUAAYACAAAACEAOP0h/9YAAACUAQAACwAAAAAAAAAAAAAAAAAvAQAAX3JlbHMvLnJlbHNQSwEC&#10;LQAUAAYACAAAACEAyYNssK0BAABQAwAADgAAAAAAAAAAAAAAAAAuAgAAZHJzL2Uyb0RvYy54bWxQ&#10;SwECLQAUAAYACAAAACEA9Soood8AAAALAQAADwAAAAAAAAAAAAAAAAAHBAAAZHJzL2Rvd25yZXYu&#10;eG1sUEsFBgAAAAAEAAQA8wAAABM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DT</w:t>
                      </w:r>
                    </w:p>
                  </w:txbxContent>
                </v:textbox>
                <w10:wrap anchorx="margin"/>
              </v:rect>
            </w:pict>
          </mc:Fallback>
        </mc:AlternateContent>
      </w:r>
      <w:r>
        <w:rPr>
          <w:noProof/>
          <w:lang w:eastAsia="en-GB"/>
        </w:rPr>
        <mc:AlternateContent>
          <mc:Choice Requires="wps">
            <w:drawing>
              <wp:anchor distT="0" distB="0" distL="114300" distR="114300" simplePos="0" relativeHeight="251816960" behindDoc="0" locked="0" layoutInCell="1" hidden="0" allowOverlap="1" wp14:anchorId="4D78255E" wp14:editId="153E5F31">
                <wp:simplePos x="0" y="0"/>
                <wp:positionH relativeFrom="margin">
                  <wp:posOffset>2822575</wp:posOffset>
                </wp:positionH>
                <wp:positionV relativeFrom="paragraph">
                  <wp:posOffset>996950</wp:posOffset>
                </wp:positionV>
                <wp:extent cx="520700" cy="330200"/>
                <wp:effectExtent l="0" t="0" r="0" b="0"/>
                <wp:wrapNone/>
                <wp:docPr id="214" name="Rectangle 214"/>
                <wp:cNvGraphicFramePr/>
                <a:graphic xmlns:a="http://schemas.openxmlformats.org/drawingml/2006/main">
                  <a:graphicData uri="http://schemas.microsoft.com/office/word/2010/wordprocessingShape">
                    <wps:wsp>
                      <wps:cNvSpPr/>
                      <wps:spPr>
                        <a:xfrm>
                          <a:off x="0" y="0"/>
                          <a:ext cx="5207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DT</w:t>
                            </w:r>
                          </w:p>
                        </w:txbxContent>
                      </wps:txbx>
                      <wps:bodyPr lIns="88900" tIns="38100" rIns="88900" bIns="38100" anchor="t" anchorCtr="0"/>
                    </wps:wsp>
                  </a:graphicData>
                </a:graphic>
              </wp:anchor>
            </w:drawing>
          </mc:Choice>
          <mc:Fallback>
            <w:pict>
              <v:rect w14:anchorId="4D78255E" id="Rectangle 214" o:spid="_x0000_s1100" style="position:absolute;left:0;text-align:left;margin-left:222.25pt;margin-top:78.5pt;width:41pt;height:26pt;z-index:251816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GJowEAAEIDAAAOAAAAZHJzL2Uyb0RvYy54bWysUk1vEzEQvSPxHyzfiTcJ0HSVTQ9UrSoh&#10;qCj9AROvnbVkeyzbZDf/vmMnpIHeEJfZ+do3855nfTM5y/YqJoO+4/NZw5nyEnvjdx1//nn3YcVZ&#10;yuB7sOhVxw8q8ZvN+3frMbRqgQPaXkVGID61Y+j4kHNohUhyUA7SDIPyVNQYHWQK4070EUZCd1Ys&#10;muazGDH2IaJUKVH29ljkm4qvtZL5u9ZJZWY7TrvlamO122LFZg3tLkIYjDytAf+whQPjaegZ6hYy&#10;sF/RvIFyRkZMqPNMohOotZGqciA28+YvNk8DBFW5kDgpnGVK/w9Wfts/Rmb6ji/mHznz4OiRfpBs&#10;4HdWsZIkicaQWup8Co/xFCVyC99JR1e+xIRNVdbDWVY1ZSYp+WnRXDUkvqTSctnQsxVM8fpziCnf&#10;K3SsOB2PNL6KCfuvKR9bf7eUWR7vjLWUh9b6PxKEWTKi7HvcsHh52k6V4tWZzBb7A/G2D560XK2u&#10;y3q5BsvVvATxsrK9rICXA9IFZc6O7pdc76nsWabRQ1Vyp6Mql3AZ167X09+8AAAA//8DAFBLAwQU&#10;AAYACAAAACEAPutkOt8AAAALAQAADwAAAGRycy9kb3ducmV2LnhtbEyPwU7DMBBE70j8g7VI3KhD&#10;SAqEOFVBohfEgZYPcOIlsRqvQ+ykga9nOcFxZ55mZ8rN4nox4xisJwXXqwQEUuONpVbB++H56g5E&#10;iJqM7j2hgi8MsKnOz0pdGH+iN5z3sRUcQqHQCroYh0LK0HTodFj5AYm9Dz86HfkcW2lGfeJw18s0&#10;SdbSaUv8odMDPnXYHPeTUzB/D9njzhp/3H6+LvXLtLs5WKfU5cWyfQARcYl/MPzW5+pQcafaT2SC&#10;6BVkWZYzykZ+y6OYyNM1K7WCNLlPQFal/L+h+gEAAP//AwBQSwECLQAUAAYACAAAACEAtoM4kv4A&#10;AADhAQAAEwAAAAAAAAAAAAAAAAAAAAAAW0NvbnRlbnRfVHlwZXNdLnhtbFBLAQItABQABgAIAAAA&#10;IQA4/SH/1gAAAJQBAAALAAAAAAAAAAAAAAAAAC8BAABfcmVscy8ucmVsc1BLAQItABQABgAIAAAA&#10;IQBalqGJowEAAEIDAAAOAAAAAAAAAAAAAAAAAC4CAABkcnMvZTJvRG9jLnhtbFBLAQItABQABgAI&#10;AAAAIQA+62Q63wAAAAsBAAAPAAAAAAAAAAAAAAAAAP0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DT</w:t>
                      </w:r>
                    </w:p>
                  </w:txbxContent>
                </v:textbox>
                <w10:wrap anchorx="margin"/>
              </v:rect>
            </w:pict>
          </mc:Fallback>
        </mc:AlternateContent>
      </w:r>
      <w:r w:rsidR="00616C71">
        <w:rPr>
          <w:noProof/>
          <w:lang w:eastAsia="en-GB"/>
        </w:rPr>
        <w:drawing>
          <wp:inline distT="0" distB="0" distL="0" distR="0" wp14:anchorId="379CF449" wp14:editId="1B5456FC">
            <wp:extent cx="3960000" cy="3168000"/>
            <wp:effectExtent l="0" t="0" r="0" b="0"/>
            <wp:docPr id="45" name="image67.png" descr="C:\Users\UOS\Desktop\Massons\rat 17 termb-1-scb.tif"/>
            <wp:cNvGraphicFramePr/>
            <a:graphic xmlns:a="http://schemas.openxmlformats.org/drawingml/2006/main">
              <a:graphicData uri="http://schemas.openxmlformats.org/drawingml/2006/picture">
                <pic:pic xmlns:pic="http://schemas.openxmlformats.org/drawingml/2006/picture">
                  <pic:nvPicPr>
                    <pic:cNvPr id="0" name="image67.png" descr="C:\Users\UOS\Desktop\Massons\rat 17 termb-1-scb.tif"/>
                    <pic:cNvPicPr preferRelativeResize="0"/>
                  </pic:nvPicPr>
                  <pic:blipFill>
                    <a:blip r:embed="rId118"/>
                    <a:srcRect/>
                    <a:stretch>
                      <a:fillRect/>
                    </a:stretch>
                  </pic:blipFill>
                  <pic:spPr>
                    <a:xfrm>
                      <a:off x="0" y="0"/>
                      <a:ext cx="3960000" cy="3168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814912" behindDoc="0" locked="0" layoutInCell="1" hidden="0" allowOverlap="1" wp14:anchorId="0D99B972" wp14:editId="5D6C1138">
                <wp:simplePos x="0" y="0"/>
                <wp:positionH relativeFrom="margin">
                  <wp:posOffset>1651000</wp:posOffset>
                </wp:positionH>
                <wp:positionV relativeFrom="paragraph">
                  <wp:posOffset>457200</wp:posOffset>
                </wp:positionV>
                <wp:extent cx="279400" cy="558800"/>
                <wp:effectExtent l="0" t="0" r="0" b="0"/>
                <wp:wrapNone/>
                <wp:docPr id="159" name="Rectangle 159"/>
                <wp:cNvGraphicFramePr/>
                <a:graphic xmlns:a="http://schemas.openxmlformats.org/drawingml/2006/main">
                  <a:graphicData uri="http://schemas.microsoft.com/office/word/2010/wordprocessingShape">
                    <wps:wsp>
                      <wps:cNvSpPr/>
                      <wps:spPr>
                        <a:xfrm>
                          <a:off x="5209792" y="3501869"/>
                          <a:ext cx="272415"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0D99B972" id="Rectangle 159" o:spid="_x0000_s1101" style="position:absolute;left:0;text-align:left;margin-left:130pt;margin-top:36pt;width:22pt;height:44pt;z-index:251814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KAtAEAAE4DAAAOAAAAZHJzL2Uyb0RvYy54bWysU9tO4zAQfV+Jf7D8Tp0E0qZRUx5AoJVW&#10;u2hZPsB17MaSb7JNk/79jt1SCrwhXty5nM6cMzNZ3UxaoR33QVrT4XJWYMQNs7002w4//7u/bDAK&#10;kZqeKmt4h/c84Jv1xY/V6Fpe2cGqnnsERUxoR9fhIUbXEhLYwDUNM+u4gaSwXtMIrt+S3tMRqmtF&#10;qqKYk9H63nnLeAgQvTsk8TrXF4Kz+EeIwCNSHQZuMb8+v5v0kvWKtltP3SDZkQb9AgtNpYGmp1J3&#10;NFL04uWnUloyb4MVccasJlYIyXjWAGrK4oOap4E6nrXAcII7jSl8X1n2e/fokexhd/USI0M1LOkv&#10;jI2areIoBWFEowstIJ/coz96AcykdxJep19QgqYO11WxXCwrjPYdvqqLspnn/9OWTxExAFSL6rqs&#10;MWIAqOt5Nc8rIG+FnA/xgVuNktFhD1TyYOnuV4jQHKCvkNTX2HupVN6iMu8CAEwRkrgf2CYrTpsp&#10;y13Ur8I2tt/DDNRPA3NtmmWR7iQ7V02ZHH+e2ZxnqGGDhWuKGB3M25hvK/FM3WBpmfHxwNJVnPsZ&#10;9fYZrP8DAAD//wMAUEsDBBQABgAIAAAAIQBBW0QT3gAAAAoBAAAPAAAAZHJzL2Rvd25yZXYueG1s&#10;TI/BTsMwEETvSPyDtUjcqE1aFRTiVAWJXhAHWj7AiZfEarwOsZMGvp7tiZ52VzOafVNsZt+JCYfo&#10;Amm4XygQSHWwjhoNn4fXu0cQMRmypguEGn4wwqa8vipMbsOJPnDap0ZwCMXcaGhT6nMpY92iN3ER&#10;eiTWvsLgTeJzaKQdzInDfSczpdbSG0f8oTU9vrRYH/ej1zD99qvnnbPhuP1+n6u3cbc8OK/17c28&#10;fQKRcE7/ZjjjMzqUzFSFkWwUnYZsrbhL0vCQ8WTDUq14qdh5VmRZyMsK5R8AAAD//wMAUEsBAi0A&#10;FAAGAAgAAAAhALaDOJL+AAAA4QEAABMAAAAAAAAAAAAAAAAAAAAAAFtDb250ZW50X1R5cGVzXS54&#10;bWxQSwECLQAUAAYACAAAACEAOP0h/9YAAACUAQAACwAAAAAAAAAAAAAAAAAvAQAAX3JlbHMvLnJl&#10;bHNQSwECLQAUAAYACAAAACEAzAiygLQBAABOAwAADgAAAAAAAAAAAAAAAAAuAgAAZHJzL2Uyb0Rv&#10;Yy54bWxQSwECLQAUAAYACAAAACEAQVtEE94AAAAKAQAADwAAAAAAAAAAAAAAAAAOBAAAZHJzL2Rv&#10;d25yZXYueG1sUEsFBgAAAAAEAAQA8wAAABk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815936" behindDoc="0" locked="0" layoutInCell="1" hidden="0" allowOverlap="1" wp14:anchorId="15DD8423" wp14:editId="6E22F0AE">
                <wp:simplePos x="0" y="0"/>
                <wp:positionH relativeFrom="margin">
                  <wp:posOffset>3340100</wp:posOffset>
                </wp:positionH>
                <wp:positionV relativeFrom="paragraph">
                  <wp:posOffset>1993900</wp:posOffset>
                </wp:positionV>
                <wp:extent cx="292100" cy="558800"/>
                <wp:effectExtent l="0" t="0" r="0" b="0"/>
                <wp:wrapNone/>
                <wp:docPr id="98" name="Rectangle 98"/>
                <wp:cNvGraphicFramePr/>
                <a:graphic xmlns:a="http://schemas.openxmlformats.org/drawingml/2006/main">
                  <a:graphicData uri="http://schemas.microsoft.com/office/word/2010/wordprocessingShape">
                    <wps:wsp>
                      <wps:cNvSpPr/>
                      <wps:spPr>
                        <a:xfrm>
                          <a:off x="5200903" y="3501869"/>
                          <a:ext cx="290195"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15DD8423" id="Rectangle 98" o:spid="_x0000_s1102" style="position:absolute;left:0;text-align:left;margin-left:263pt;margin-top:157pt;width:23pt;height:44pt;z-index:251815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bAsQEAAEwDAAAOAAAAZHJzL2Uyb0RvYy54bWysU8tu2zAQvBfoPxC815RsSJUE0zk0SFEg&#10;SIOm/QCaIi0CfIFkLfnvs6SdxE1vRS/UvrA7M7va3ixGo6MIUTlLcb2qMBKWu1HZA8W/ft596jCK&#10;idmRaWcFxScR8c3u44ft7AexdpPTowgImtg4zJ7iKSU/EBL5JAyLK+eFhaR0wbAEbjiQMbAZuhtN&#10;1lXVktmF0QfHRYwQvT0n8a70l1Lw9F3KKBLSFAO2VN5Q3n1+yW7LhkNgflL8AoP9AwrDlIWhr61u&#10;WWLod1B/tTKKBxedTCvuDHFSKi4KB2BTV+/YPE3Mi8IFxIn+Vab4/9ryh+NjQGqkuIdNWWZgRz9A&#10;NWYPWiCIgUCzjwPUPfnHcPEimJntIoPJX+CBFoob2EhfbTA6Ubxpqrpr+7PAYkmIQ8G6r+q+wYhD&#10;QdO067YsgLw18iGmr8IZlA2KAyApsrLjfUwwHEpfSvJc6+6U1mWH2v4RgMIcIRn7GW220rJfCtnP&#10;7QuxvRtPoID+ZkHVruurfCXF2XR1dsJ1Zn+dYZZPDm4pYXQ2v6RyWRlnngYrK4gv55Vv4tovVW8/&#10;we4ZAAD//wMAUEsDBBQABgAIAAAAIQCUhN1F3wAAAAsBAAAPAAAAZHJzL2Rvd25yZXYueG1sTI/B&#10;TsMwEETvSPyDtUjcqNM0LShkUxUkekEcaPkAJzaJ1XgdYicNfD3Lid7eaEezM8V2dp2YzBCsJ4Tl&#10;IgFhqPbaUoPwcXy5ewARoiKtOk8G4dsE2JbXV4XKtT/Tu5kOsREcQiFXCG2MfS5lqFvjVFj43hDf&#10;Pv3gVGQ5NFIP6szhrpNpkmykU5b4Q6t689ya+nQYHcL002dPe6v9aff1Nlev4351tA7x9mbePYKI&#10;Zo7/Zvirz9Wh5E6VH0kH0SGs0w1viQirZcbAjvV9ylAhZAmDLAt5uaH8BQAA//8DAFBLAQItABQA&#10;BgAIAAAAIQC2gziS/gAAAOEBAAATAAAAAAAAAAAAAAAAAAAAAABbQ29udGVudF9UeXBlc10ueG1s&#10;UEsBAi0AFAAGAAgAAAAhADj9If/WAAAAlAEAAAsAAAAAAAAAAAAAAAAALwEAAF9yZWxzLy5yZWxz&#10;UEsBAi0AFAAGAAgAAAAhAOm2psCxAQAATAMAAA4AAAAAAAAAAAAAAAAALgIAAGRycy9lMm9Eb2Mu&#10;eG1sUEsBAi0AFAAGAAgAAAAhAJSE3UXfAAAACwEAAA8AAAAAAAAAAAAAAAAACwQAAGRycy9kb3du&#10;cmV2LnhtbFBLBQYAAAAABAAEAPMAAAAXBQ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7144C5"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sidRPr="007144C5">
        <w:rPr>
          <w:noProof/>
          <w:lang w:eastAsia="en-GB"/>
        </w:rPr>
        <w:lastRenderedPageBreak/>
        <mc:AlternateContent>
          <mc:Choice Requires="wps">
            <w:drawing>
              <wp:anchor distT="0" distB="0" distL="114300" distR="114300" simplePos="0" relativeHeight="252036096" behindDoc="0" locked="0" layoutInCell="1" hidden="0" allowOverlap="1" wp14:anchorId="54D53D57" wp14:editId="139F0FD2">
                <wp:simplePos x="0" y="0"/>
                <wp:positionH relativeFrom="margin">
                  <wp:posOffset>3171825</wp:posOffset>
                </wp:positionH>
                <wp:positionV relativeFrom="paragraph">
                  <wp:posOffset>914400</wp:posOffset>
                </wp:positionV>
                <wp:extent cx="393700" cy="558800"/>
                <wp:effectExtent l="0" t="0" r="0" b="0"/>
                <wp:wrapNone/>
                <wp:docPr id="355" name="Rectangle 355"/>
                <wp:cNvGraphicFramePr/>
                <a:graphic xmlns:a="http://schemas.openxmlformats.org/drawingml/2006/main">
                  <a:graphicData uri="http://schemas.microsoft.com/office/word/2010/wordprocessingShape">
                    <wps:wsp>
                      <wps:cNvSpPr/>
                      <wps:spPr>
                        <a:xfrm>
                          <a:off x="0" y="0"/>
                          <a:ext cx="393700" cy="558800"/>
                        </a:xfrm>
                        <a:prstGeom prst="rect">
                          <a:avLst/>
                        </a:prstGeom>
                        <a:noFill/>
                        <a:ln>
                          <a:noFill/>
                        </a:ln>
                      </wps:spPr>
                      <wps:txbx>
                        <w:txbxContent>
                          <w:p w:rsidR="00AD6A02" w:rsidRDefault="00AD6A02" w:rsidP="007144C5">
                            <w:pPr>
                              <w:spacing w:after="0"/>
                              <w:textDirection w:val="btLr"/>
                            </w:pPr>
                            <w:r>
                              <w:rPr>
                                <w:rFonts w:ascii="Calibri" w:eastAsia="Calibri" w:hAnsi="Calibri" w:cs="Calibri"/>
                                <w:b/>
                                <w:color w:val="000000"/>
                                <w:sz w:val="40"/>
                              </w:rPr>
                              <w:t>T</w:t>
                            </w:r>
                          </w:p>
                        </w:txbxContent>
                      </wps:txbx>
                      <wps:bodyPr lIns="88900" tIns="38100" rIns="88900" bIns="38100" anchor="t" anchorCtr="0"/>
                    </wps:wsp>
                  </a:graphicData>
                </a:graphic>
              </wp:anchor>
            </w:drawing>
          </mc:Choice>
          <mc:Fallback>
            <w:pict>
              <v:rect w14:anchorId="54D53D57" id="Rectangle 355" o:spid="_x0000_s1103" style="position:absolute;left:0;text-align:left;margin-left:249.75pt;margin-top:1in;width:31pt;height:44pt;z-index:252036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i9ogEAAEIDAAAOAAAAZHJzL2Uyb0RvYy54bWysUttO4zAQfUfiHyy/U6dU3YaoKQ8gEBLa&#10;RbB8gOvYjSXfNDZN+vc7dkvpwhviZTK3nJlzPMvr0RqylRC1dy2dTipKpBO+027T0te/dxc1JTFx&#10;13HjnWzpTkZ6vTo/Ww6hkZe+96aTQBDExWYILe1TCg1jUfTS8jjxQTosKg+WJwxhwzrgA6Jbwy6r&#10;6hcbPHQBvJAxYvZ2X6Srgq+UFOmPUlEmYlqKu6Viodh1tmy15M0GeOi1OKzBv7GF5drh0CPULU+c&#10;vIH+AmW1AB+9ShPhLfNKaSELB2QzrT6xeel5kIULihPDUab4c7Di9/YJiO5aOpvPKXHc4iM9o2zc&#10;bYwkOYkSDSE22PkSnuAQRXQz31GBzV9kQsYi6+4oqxwTEZicXc0WFYovsDSf1zX6iMI+fg4Q0730&#10;lmSnpYDji5h8+xjTvvW9Jc9y/k4bg3neGPdfAjFzhuV99xtmL43rsVBcLN7JrH23Q97mwaGWdX2V&#10;10slmNXTHMBpZX1a4U70Hi8oUbJ3b1K5p7xnnoYPVcgdjipfwmlcuj5Of/UPAAD//wMAUEsDBBQA&#10;BgAIAAAAIQDhNMJk4AAAAAsBAAAPAAAAZHJzL2Rvd25yZXYueG1sTI/BTsMwEETvSPyDtUjcqNM0&#10;rWiIUxUkekEcaPkAJ14Sq/E6xE4a+HqWExx35ml2ptjNrhMTDsF6UrBcJCCQam8sNQreT8939yBC&#10;1GR05wkVfGGAXXl9Vejc+Au94XSMjeAQCrlW0MbY51KGukWnw8L3SOx9+MHpyOfQSDPoC4e7TqZJ&#10;spFOW+IPre7xqcX6fBydgum7zx4P1vjz/vN1rl7Gw+pknVK3N/P+AUTEOf7B8Fufq0PJnSo/kgmi&#10;U5Btt2tG2cgyHsXEerNkpVKQrtIEZFnI/xvKHwAAAP//AwBQSwECLQAUAAYACAAAACEAtoM4kv4A&#10;AADhAQAAEwAAAAAAAAAAAAAAAAAAAAAAW0NvbnRlbnRfVHlwZXNdLnhtbFBLAQItABQABgAIAAAA&#10;IQA4/SH/1gAAAJQBAAALAAAAAAAAAAAAAAAAAC8BAABfcmVscy8ucmVsc1BLAQItABQABgAIAAAA&#10;IQDpbyi9ogEAAEIDAAAOAAAAAAAAAAAAAAAAAC4CAABkcnMvZTJvRG9jLnhtbFBLAQItABQABgAI&#10;AAAAIQDhNMJk4AAAAAsBAAAPAAAAAAAAAAAAAAAAAPwDAABkcnMvZG93bnJldi54bWxQSwUGAAAA&#10;AAQABADzAAAACQUAAAAA&#10;" filled="f" stroked="f">
                <v:textbox inset="7pt,3pt,7pt,3pt">
                  <w:txbxContent>
                    <w:p w:rsidR="00AD6A02" w:rsidRDefault="00AD6A02" w:rsidP="007144C5">
                      <w:pPr>
                        <w:spacing w:after="0"/>
                        <w:textDirection w:val="btLr"/>
                      </w:pPr>
                      <w:r>
                        <w:rPr>
                          <w:rFonts w:ascii="Calibri" w:eastAsia="Calibri" w:hAnsi="Calibri" w:cs="Calibri"/>
                          <w:b/>
                          <w:color w:val="000000"/>
                          <w:sz w:val="40"/>
                        </w:rPr>
                        <w:t>T</w:t>
                      </w:r>
                    </w:p>
                  </w:txbxContent>
                </v:textbox>
                <w10:wrap anchorx="margin"/>
              </v:rect>
            </w:pict>
          </mc:Fallback>
        </mc:AlternateContent>
      </w:r>
      <w:r w:rsidR="00616C71">
        <w:rPr>
          <w:noProof/>
          <w:lang w:eastAsia="en-GB"/>
        </w:rPr>
        <w:drawing>
          <wp:inline distT="0" distB="0" distL="0" distR="0" wp14:anchorId="798A43AC" wp14:editId="48531764">
            <wp:extent cx="3960000" cy="3168000"/>
            <wp:effectExtent l="0" t="0" r="0" b="0"/>
            <wp:docPr id="46" name="image45.png" descr="C:\Users\UOS\Desktop\Massons\rat 10 start-sca.tif"/>
            <wp:cNvGraphicFramePr/>
            <a:graphic xmlns:a="http://schemas.openxmlformats.org/drawingml/2006/main">
              <a:graphicData uri="http://schemas.openxmlformats.org/drawingml/2006/picture">
                <pic:pic xmlns:pic="http://schemas.openxmlformats.org/drawingml/2006/picture">
                  <pic:nvPicPr>
                    <pic:cNvPr id="0" name="image45.png" descr="C:\Users\UOS\Desktop\Massons\rat 10 start-sca.tif"/>
                    <pic:cNvPicPr preferRelativeResize="0"/>
                  </pic:nvPicPr>
                  <pic:blipFill>
                    <a:blip r:embed="rId119"/>
                    <a:srcRect/>
                    <a:stretch>
                      <a:fillRect/>
                    </a:stretch>
                  </pic:blipFill>
                  <pic:spPr>
                    <a:xfrm>
                      <a:off x="0" y="0"/>
                      <a:ext cx="3960000" cy="3168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819008" behindDoc="0" locked="0" layoutInCell="1" hidden="0" allowOverlap="1" wp14:anchorId="36B5458C" wp14:editId="6339ED1D">
                <wp:simplePos x="0" y="0"/>
                <wp:positionH relativeFrom="margin">
                  <wp:posOffset>1917700</wp:posOffset>
                </wp:positionH>
                <wp:positionV relativeFrom="paragraph">
                  <wp:posOffset>1841500</wp:posOffset>
                </wp:positionV>
                <wp:extent cx="393700" cy="558800"/>
                <wp:effectExtent l="0" t="0" r="0" b="0"/>
                <wp:wrapNone/>
                <wp:docPr id="101" name="Rectangle 101"/>
                <wp:cNvGraphicFramePr/>
                <a:graphic xmlns:a="http://schemas.openxmlformats.org/drawingml/2006/main">
                  <a:graphicData uri="http://schemas.microsoft.com/office/word/2010/wordprocessingShape">
                    <wps:wsp>
                      <wps:cNvSpPr/>
                      <wps:spPr>
                        <a:xfrm>
                          <a:off x="5148198" y="3501869"/>
                          <a:ext cx="395604"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36B5458C" id="Rectangle 101" o:spid="_x0000_s1104" style="position:absolute;left:0;text-align:left;margin-left:151pt;margin-top:145pt;width:31pt;height:44pt;z-index:251819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yGsgEAAE4DAAAOAAAAZHJzL2Uyb0RvYy54bWysU9tO4zAQfUfiHyy/UyctCWnUlAcQq5VW&#10;gLh8gOvYjSXfZJsm/fsduwW6yxvixZmbZs45M1ldT1qhHfdBWtPhclZgxA2zvTTbDr++3F00GIVI&#10;TU+VNbzDex7w9fr8bDW6ls/tYFXPPYImJrSj6/AQo2sJCWzgmoaZddxAUlivaQTXb0nv6QjdtSLz&#10;oqjJaH3vvGU8BIjeHpJ4nfsLwVl8ECLwiFSHAVvMr8/vJr1kvaLt1lM3SHaEQb+BQlNpYOhHq1sa&#10;KXrz8ksrLZm3wYo4Y1YTK4RkPHMANmXxH5vngTqeuYA4wX3IFH6uLbvfPXoke9hdUWJkqIYlPYFs&#10;1GwVRykIEo0utFD57B790QtgJr6T8Dp9gQmaOlyVl025hJ3vO7yoirKplweJ+RQRg4LFsqqLS4wY&#10;FFRVPa/zCshnI+dD/MWtRsnosAcoWVi6+xMiDIfS95I019g7qVTeojL/BKAwRUjCfkCbrDhtpkz3&#10;qnkntrH9HjRQvw3o2jTLIt1JdhZNmRx/mtmcZqhhg4VrihgdzJuYbyvhTNNgaRnx8cDSVZz6uerz&#10;N1j/BQAA//8DAFBLAwQUAAYACAAAACEAx/lM6N8AAAALAQAADwAAAGRycy9kb3ducmV2LnhtbEyP&#10;wU7DMBBE70j8g7VI3KhNUpWSxqkKEr0gDrR8gBNvk6jxOsROGvh6lhPc3mhHszP5dnadmHAIrScN&#10;9wsFAqnytqVaw8fx5W4NIkRD1nSeUMMXBtgW11e5yay/0DtOh1gLDqGQGQ1NjH0mZagadCYsfI/E&#10;t5MfnIksh1rawVw43HUyUWolnWmJPzSmx+cGq/NhdBqm7375tG+tP+8+3+byddynx9ZpfXsz7zYg&#10;Is7xzwy/9bk6FNyp9CPZIDoNqUp4S9SQPCoGdqSrJUPJ8LBWIItc/t9Q/AAAAP//AwBQSwECLQAU&#10;AAYACAAAACEAtoM4kv4AAADhAQAAEwAAAAAAAAAAAAAAAAAAAAAAW0NvbnRlbnRfVHlwZXNdLnht&#10;bFBLAQItABQABgAIAAAAIQA4/SH/1gAAAJQBAAALAAAAAAAAAAAAAAAAAC8BAABfcmVscy8ucmVs&#10;c1BLAQItABQABgAIAAAAIQBVZxyGsgEAAE4DAAAOAAAAAAAAAAAAAAAAAC4CAABkcnMvZTJvRG9j&#10;LnhtbFBLAQItABQABgAIAAAAIQDH+Uzo3wAAAAsBAAAPAAAAAAAAAAAAAAAAAAwEAABkcnMvZG93&#10;bnJldi54bWxQSwUGAAAAAAQABADzAAAAGAU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7144C5"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sidRPr="007144C5">
        <w:rPr>
          <w:noProof/>
          <w:lang w:eastAsia="en-GB"/>
        </w:rPr>
        <mc:AlternateContent>
          <mc:Choice Requires="wps">
            <w:drawing>
              <wp:anchor distT="0" distB="0" distL="114300" distR="114300" simplePos="0" relativeHeight="252034048" behindDoc="0" locked="0" layoutInCell="1" hidden="0" allowOverlap="1" wp14:anchorId="5B5098AE" wp14:editId="3DFE3F6D">
                <wp:simplePos x="0" y="0"/>
                <wp:positionH relativeFrom="margin">
                  <wp:posOffset>1800225</wp:posOffset>
                </wp:positionH>
                <wp:positionV relativeFrom="paragraph">
                  <wp:posOffset>2352040</wp:posOffset>
                </wp:positionV>
                <wp:extent cx="342900" cy="330200"/>
                <wp:effectExtent l="0" t="0" r="0" b="0"/>
                <wp:wrapNone/>
                <wp:docPr id="354" name="Rectangle 354"/>
                <wp:cNvGraphicFramePr/>
                <a:graphic xmlns:a="http://schemas.openxmlformats.org/drawingml/2006/main">
                  <a:graphicData uri="http://schemas.microsoft.com/office/word/2010/wordprocessingShape">
                    <wps:wsp>
                      <wps:cNvSpPr/>
                      <wps:spPr>
                        <a:xfrm>
                          <a:off x="0" y="0"/>
                          <a:ext cx="342900" cy="330200"/>
                        </a:xfrm>
                        <a:prstGeom prst="rect">
                          <a:avLst/>
                        </a:prstGeom>
                        <a:noFill/>
                        <a:ln>
                          <a:noFill/>
                        </a:ln>
                      </wps:spPr>
                      <wps:txbx>
                        <w:txbxContent>
                          <w:p w:rsidR="00AD6A02" w:rsidRDefault="00AD6A02" w:rsidP="007144C5">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5B5098AE" id="Rectangle 354" o:spid="_x0000_s1105" style="position:absolute;left:0;text-align:left;margin-left:141.75pt;margin-top:185.2pt;width:27pt;height:26pt;z-index:252034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QbpAEAAEIDAAAOAAAAZHJzL2Uyb0RvYy54bWysUk2P0zAQvSPxHyzfqdNmgW7UdA+sFiEh&#10;WLHwA1zHbizZHmtsmvTfM3a73QI3xMWZD+fNe8+zuZu9YweNyULo+XLRcKaDgsGGfc9/fH94s+Ys&#10;ZRkG6SDonh914nfb1682U+z0CkZwg0ZGICF1U+z5mHPshEhq1F6mBUQdqGkAvcyU4l4MKCdC906s&#10;muadmACHiKB0SlS9PzX5tuIbo1X+akzSmbmeE7dcT6znrpxiu5HdHmUcrTrTkP/AwksbaOgF6l5m&#10;yX6i/QvKW4WQwOSFAi/AGKt01UBqls0fap5GGXXVQuakeLEp/T9Y9eXwiMwOPW/f3nAWpKdH+ka2&#10;ybB3mpUiWTTF1NHNp/iI5yxRWPTOBn35khI2V1uPF1v1nJmiYnuzum3IfEWttm3o2QqmePk5Ysof&#10;NXhWgp4jja9mysPnlE9Xn6+UWQEerHNUl50LvxUIs1RE4XtiWKI87+Yq8f3ts5gdDEfS7T4F8nK9&#10;rvRyTdr1snDF687uuiODGoE2KHN2Cj/kuk+FZ5lGD1XFnZeqbMJ1Xm+9rP72FwAAAP//AwBQSwME&#10;FAAGAAgAAAAhAN77iP7gAAAACwEAAA8AAABkcnMvZG93bnJldi54bWxMj8FOwzAMhu9IvENkJG4s&#10;pS1sKnWngcQuiAMbD5A2po3WOKVJu8LTE05wtP3p9/eX28X2YqbRG8cIt6sEBHHjtOEW4f34fLMB&#10;4YNirXrHhPBFHrbV5UWpCu3O/EbzIbQihrAvFEIXwlBI6ZuOrPIrNxDH24cbrQpxHFupR3WO4baX&#10;aZLcS6sMxw+dGuipo+Z0mCzC/D3kj3uj3Wn3+brUL9M+OxqLeH217B5ABFrCHwy/+lEdquhUu4m1&#10;Fz1CusnuIoqQrZMcRCSybB03NUKepjnIqpT/O1Q/AAAA//8DAFBLAQItABQABgAIAAAAIQC2gziS&#10;/gAAAOEBAAATAAAAAAAAAAAAAAAAAAAAAABbQ29udGVudF9UeXBlc10ueG1sUEsBAi0AFAAGAAgA&#10;AAAhADj9If/WAAAAlAEAAAsAAAAAAAAAAAAAAAAALwEAAF9yZWxzLy5yZWxzUEsBAi0AFAAGAAgA&#10;AAAhAKtE9BukAQAAQgMAAA4AAAAAAAAAAAAAAAAALgIAAGRycy9lMm9Eb2MueG1sUEsBAi0AFAAG&#10;AAgAAAAhAN77iP7gAAAACwEAAA8AAAAAAAAAAAAAAAAA/gMAAGRycy9kb3ducmV2LnhtbFBLBQYA&#10;AAAABAAEAPMAAAALBQAAAAA=&#10;" filled="f" stroked="f">
                <v:textbox inset="7pt,3pt,7pt,3pt">
                  <w:txbxContent>
                    <w:p w:rsidR="00AD6A02" w:rsidRDefault="00AD6A02" w:rsidP="007144C5">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w:drawing>
          <wp:inline distT="0" distB="0" distL="0" distR="0" wp14:anchorId="404A68E5" wp14:editId="01A70099">
            <wp:extent cx="3960000" cy="3168000"/>
            <wp:effectExtent l="0" t="0" r="0" b="0"/>
            <wp:docPr id="48" name="image46.png" descr="C:\Users\UOS\Desktop\Massons\rat 14 termb-scb.tif"/>
            <wp:cNvGraphicFramePr/>
            <a:graphic xmlns:a="http://schemas.openxmlformats.org/drawingml/2006/main">
              <a:graphicData uri="http://schemas.openxmlformats.org/drawingml/2006/picture">
                <pic:pic xmlns:pic="http://schemas.openxmlformats.org/drawingml/2006/picture">
                  <pic:nvPicPr>
                    <pic:cNvPr id="0" name="image46.png" descr="C:\Users\UOS\Desktop\Massons\rat 14 termb-scb.tif"/>
                    <pic:cNvPicPr preferRelativeResize="0"/>
                  </pic:nvPicPr>
                  <pic:blipFill>
                    <a:blip r:embed="rId120"/>
                    <a:srcRect/>
                    <a:stretch>
                      <a:fillRect/>
                    </a:stretch>
                  </pic:blipFill>
                  <pic:spPr>
                    <a:xfrm>
                      <a:off x="0" y="0"/>
                      <a:ext cx="3960000" cy="3168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820032" behindDoc="0" locked="0" layoutInCell="1" hidden="0" allowOverlap="1" wp14:anchorId="7ECE942B" wp14:editId="5617245E">
                <wp:simplePos x="0" y="0"/>
                <wp:positionH relativeFrom="margin">
                  <wp:posOffset>3136900</wp:posOffset>
                </wp:positionH>
                <wp:positionV relativeFrom="paragraph">
                  <wp:posOffset>939800</wp:posOffset>
                </wp:positionV>
                <wp:extent cx="342900" cy="330200"/>
                <wp:effectExtent l="0" t="0" r="0" b="0"/>
                <wp:wrapNone/>
                <wp:docPr id="221" name="Rectangle 221"/>
                <wp:cNvGraphicFramePr/>
                <a:graphic xmlns:a="http://schemas.openxmlformats.org/drawingml/2006/main">
                  <a:graphicData uri="http://schemas.microsoft.com/office/word/2010/wordprocessingShape">
                    <wps:wsp>
                      <wps:cNvSpPr/>
                      <wps:spPr>
                        <a:xfrm>
                          <a:off x="5174550" y="3618710"/>
                          <a:ext cx="342899" cy="32258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7ECE942B" id="Rectangle 221" o:spid="_x0000_s1106" style="position:absolute;left:0;text-align:left;margin-left:247pt;margin-top:74pt;width:27pt;height:26pt;z-index:251820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xWCsAEAAE4DAAAOAAAAZHJzL2Uyb0RvYy54bWysU9tO4zAQfV+Jf7D8Tp2kFNKoLg8gEBLa&#10;RbD7Aa5jN5Z8k22a9O937BYo7NuKF2duOnPmzGR1PRmNdiJE5SzF9azCSFjuemW3FP/5fXfeYhQT&#10;sz3TzgqK9yLi6/XZj9XoO9G4weleBAQgNnajp3hIyXeERD4Iw+LMeWEhKV0wLIEbtqQPbAR0o0lT&#10;VZdkdKH3wXERI0RvD0m8LvhSCp5+SRlFQppi4JbKG8q7yS9Zr1i3DcwPih9psP9gYZiy0PQd6pYl&#10;hl6D+gfKKB5cdDLNuDPESam4KDPANHX1ZZqXgXlRZgFxon+XKX4fLP+5ewpI9RQ3TY2RZQaW9Ayy&#10;MbvVAuUgSDT62EHli38KRy+CmeedZDD5C5OgieJFfXWxWIDQe4rnl3V7VR8lFlNCHArmF027XGLE&#10;c0HTLNqSJx9APsR0L5xB2aA4AJUiLNs9xgTNofStJPe17k5pXbao7acAFOYIydwPbLOVps1Uxj00&#10;zqGN6/eggX6woGvbLqt8J8WZt3V2wmlmc5phlg8OrilhdDBvUrmtzDNDw9IK4+OB5as49UvVx2+w&#10;/gsAAP//AwBQSwMEFAAGAAgAAAAhACiQ4zrcAAAACwEAAA8AAABkcnMvZG93bnJldi54bWxMT8tO&#10;wzAQvCP1H6ytxI06LQGVNE5VkOgFcaDlA5x4SazG6zR20sDXs3CB24xmNI98O7lWjNgH60nBcpGA&#10;QKq8sVQreD8+36xBhKjJ6NYTKvjEANtidpXrzPgLveF4iLXgEAqZVtDE2GVShqpBp8PCd0isffje&#10;6ci0r6Xp9YXDXStXSXIvnbbEDY3u8KnB6nQYnILxq0sf99b40+78OpUvw/72aJ1S1/NptwERcYp/&#10;ZviZz9Oh4E2lH8gE0SpIH1L+EllI1wzYcfcLSgVcnIAscvn/Q/ENAAD//wMAUEsBAi0AFAAGAAgA&#10;AAAhALaDOJL+AAAA4QEAABMAAAAAAAAAAAAAAAAAAAAAAFtDb250ZW50X1R5cGVzXS54bWxQSwEC&#10;LQAUAAYACAAAACEAOP0h/9YAAACUAQAACwAAAAAAAAAAAAAAAAAvAQAAX3JlbHMvLnJlbHNQSwEC&#10;LQAUAAYACAAAACEAH9cVgrABAABOAwAADgAAAAAAAAAAAAAAAAAuAgAAZHJzL2Uyb0RvYy54bWxQ&#10;SwECLQAUAAYACAAAACEAKJDjOtwAAAALAQAADwAAAAAAAAAAAAAAAAAKBAAAZHJzL2Rvd25yZXYu&#10;eG1sUEsFBgAAAAAEAAQA8wAAABM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821056" behindDoc="0" locked="0" layoutInCell="1" hidden="0" allowOverlap="1" wp14:anchorId="50DAFAFF" wp14:editId="7BDBE219">
                <wp:simplePos x="0" y="0"/>
                <wp:positionH relativeFrom="margin">
                  <wp:posOffset>1460500</wp:posOffset>
                </wp:positionH>
                <wp:positionV relativeFrom="paragraph">
                  <wp:posOffset>1549400</wp:posOffset>
                </wp:positionV>
                <wp:extent cx="266700" cy="558800"/>
                <wp:effectExtent l="0" t="0" r="0" b="0"/>
                <wp:wrapNone/>
                <wp:docPr id="109" name="Rectangle 109"/>
                <wp:cNvGraphicFramePr/>
                <a:graphic xmlns:a="http://schemas.openxmlformats.org/drawingml/2006/main">
                  <a:graphicData uri="http://schemas.microsoft.com/office/word/2010/wordprocessingShape">
                    <wps:wsp>
                      <wps:cNvSpPr/>
                      <wps:spPr>
                        <a:xfrm>
                          <a:off x="5214237" y="3501869"/>
                          <a:ext cx="263525" cy="55626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T</w:t>
                            </w:r>
                          </w:p>
                        </w:txbxContent>
                      </wps:txbx>
                      <wps:bodyPr lIns="88900" tIns="38100" rIns="88900" bIns="38100" anchor="t" anchorCtr="0"/>
                    </wps:wsp>
                  </a:graphicData>
                </a:graphic>
              </wp:anchor>
            </w:drawing>
          </mc:Choice>
          <mc:Fallback>
            <w:pict>
              <v:rect w14:anchorId="50DAFAFF" id="Rectangle 109" o:spid="_x0000_s1107" style="position:absolute;left:0;text-align:left;margin-left:115pt;margin-top:122pt;width:21pt;height:44pt;z-index:251821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iN3swEAAE4DAAAOAAAAZHJzL2Uyb0RvYy54bWysU9tO4zAQfUfaf7D8vnWSkhCipjyAQCut&#10;AAH7Aa5jN5Z8k22a9O937BYoy9uKF3cupzPnzExWV7NWaMd9kNb0uFwUGHHD7CDNtsd/Xm5/thiF&#10;SM1AlTW8x3se8NX6x9lqch2v7GjVwD2CIiZ0k+vxGKPrCAls5JqGhXXcQFJYr2kE12/J4OkE1bUi&#10;VVE0ZLJ+cN4yHgJEbw5JvM71heAsPggReESqx8At5tfnd5Nesl7RbuupGyU70qD/wUJTaaDpe6kb&#10;Gil69fJLKS2Zt8GKuGBWEyuEZDxrADVl8Y+a55E6nrXAcIJ7H1P4vrLsfvfokRxgd8UlRoZqWNIT&#10;jI2areIoBWFEkwsdIJ/doz96AcykdxZep19QguYe11V5Xi0vMNr3eFkXZdvk/9OOzxExAFTNsq5q&#10;jBgA6rqpmrwC8lHI+RDvuNUoGT32QCUPlu5+hwjNAfoGSX2NvZVK5S0q8ykAwBQhifuBbbLivJmz&#10;3LZ8E7axwx5moH4ZmGvbXhbpTrKzbMvk+NPM5jRDDRstXFPE6GBex3xbiWfqBkvLjI8Hlq7i1M+o&#10;j89g/RcAAP//AwBQSwMEFAAGAAgAAAAhADMDifjeAAAACwEAAA8AAABkcnMvZG93bnJldi54bWxM&#10;j8FOwzAQRO9I/IO1SNyo0yQCFOJUBYleEAdaPsCJt4nVeB1iJw18PcuJ3t5oR7Mz5WZxvZhxDNaT&#10;gvUqAYHUeGOpVfB5eL17BBGiJqN7T6jgGwNsquurUhfGn+kD531sBYdQKLSCLsahkDI0HTodVn5A&#10;4tvRj05HlmMrzajPHO56mSbJvXTaEn/o9IAvHTan/eQUzD9D/ryzxp+2X+9L/TbtsoN1St3eLNsn&#10;EBGX+G+Gv/pcHSruVPuJTBC9gjRLeEtkyHMGdqQPKUOtIMsYZFXKyw3VLwAAAP//AwBQSwECLQAU&#10;AAYACAAAACEAtoM4kv4AAADhAQAAEwAAAAAAAAAAAAAAAAAAAAAAW0NvbnRlbnRfVHlwZXNdLnht&#10;bFBLAQItABQABgAIAAAAIQA4/SH/1gAAAJQBAAALAAAAAAAAAAAAAAAAAC8BAABfcmVscy8ucmVs&#10;c1BLAQItABQABgAIAAAAIQDHCiN3swEAAE4DAAAOAAAAAAAAAAAAAAAAAC4CAABkcnMvZTJvRG9j&#10;LnhtbFBLAQItABQABgAIAAAAIQAzA4n43gAAAAsBAAAPAAAAAAAAAAAAAAAAAA0EAABkcnMvZG93&#10;bnJldi54bWxQSwUGAAAAAAQABADzAAAAGAU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T</w:t>
                      </w:r>
                    </w:p>
                  </w:txbxContent>
                </v:textbox>
                <w10:wrap anchorx="margin"/>
              </v:rect>
            </w:pict>
          </mc:Fallback>
        </mc:AlternateContent>
      </w: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616C71" w:rsidP="00616C71">
      <w:pPr>
        <w:keepNext/>
        <w:keepLines/>
        <w:spacing w:before="40" w:after="0" w:line="259" w:lineRule="auto"/>
        <w:rPr>
          <w:b/>
        </w:rPr>
      </w:pPr>
    </w:p>
    <w:p w:rsidR="00616C71" w:rsidRDefault="007144C5"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sidRPr="007144C5">
        <w:rPr>
          <w:noProof/>
          <w:lang w:eastAsia="en-GB"/>
        </w:rPr>
        <w:lastRenderedPageBreak/>
        <mc:AlternateContent>
          <mc:Choice Requires="wps">
            <w:drawing>
              <wp:anchor distT="0" distB="0" distL="114300" distR="114300" simplePos="0" relativeHeight="252038144" behindDoc="0" locked="0" layoutInCell="1" hidden="0" allowOverlap="1" wp14:anchorId="5FECF2DC" wp14:editId="202DD8D6">
                <wp:simplePos x="0" y="0"/>
                <wp:positionH relativeFrom="margin">
                  <wp:posOffset>1524000</wp:posOffset>
                </wp:positionH>
                <wp:positionV relativeFrom="paragraph">
                  <wp:posOffset>733425</wp:posOffset>
                </wp:positionV>
                <wp:extent cx="342900" cy="330200"/>
                <wp:effectExtent l="0" t="0" r="0" b="0"/>
                <wp:wrapNone/>
                <wp:docPr id="356" name="Rectangle 356"/>
                <wp:cNvGraphicFramePr/>
                <a:graphic xmlns:a="http://schemas.openxmlformats.org/drawingml/2006/main">
                  <a:graphicData uri="http://schemas.microsoft.com/office/word/2010/wordprocessingShape">
                    <wps:wsp>
                      <wps:cNvSpPr/>
                      <wps:spPr>
                        <a:xfrm>
                          <a:off x="0" y="0"/>
                          <a:ext cx="342900" cy="330200"/>
                        </a:xfrm>
                        <a:prstGeom prst="rect">
                          <a:avLst/>
                        </a:prstGeom>
                        <a:noFill/>
                        <a:ln>
                          <a:noFill/>
                        </a:ln>
                      </wps:spPr>
                      <wps:txbx>
                        <w:txbxContent>
                          <w:p w:rsidR="00AD6A02" w:rsidRDefault="00AD6A02" w:rsidP="007144C5">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5FECF2DC" id="Rectangle 356" o:spid="_x0000_s1108" style="position:absolute;left:0;text-align:left;margin-left:120pt;margin-top:57.75pt;width:27pt;height:26pt;z-index:252038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jPYogEAAEIDAAAOAAAAZHJzL2Uyb0RvYy54bWysUstO4zAU3SPxD5b31GkzoEzUlAUIhDSa&#10;QTB8wK1jN5b8ku1p0r/n2i2lDDvExrkP59xzju/yejKabEWIytmOzmcVJcJy1yu76ejL37uLhpKY&#10;wPagnRUd3YlIr1fnZ8vRt2LhBqd7EQiC2NiOvqNDSr5lLPJBGIgz54XFpnTBQMI0bFgfYER0o9mi&#10;qq7Y6ELvg+MiRqze7pt0VfClFDz9kTKKRHRHkVsqZyjnOp9stYR2E8APih9owBdYGFAWhx6hbiEB&#10;+RfUJyijeHDRyTTjzjAnpeKiaEA18+o/Nc8DeFG0oDnRH22K3wfLf28fA1F9R+vLK0osGHykJ7QN&#10;7EYLkoto0ehjizef/WM4ZBHDrHeSweQvKiFTsXV3tFVMiXAs1j8WPys0n2Orrit8tozJ3n/2IaZ7&#10;4QzJQUcDji9mwvZXTPurb1fyLOvulNZYh1bbDwXEzBWW+e4Z5ihN66lIbBZvYtau36Fu/WDRy6Yp&#10;9FJJ6maeuYbTzvq0A5YPDjcoUbIPb1LZp8wzT8OHKuIOS5U34TQvt95Xf/UKAAD//wMAUEsDBBQA&#10;BgAIAAAAIQAJPfE44AAAAAsBAAAPAAAAZHJzL2Rvd25yZXYueG1sTI/BTsMwEETvSPyDtUjcqNOQ&#10;lDbEqQoSvaAeaPkAJ16SqPE6xE4a+HqWExx3ZjT7Jt/OthMTDr51pGC5iEAgVc60VCt4P73crUH4&#10;oMnozhEq+EIP2+L6KteZcRd6w+kYasEl5DOtoAmhz6T0VYNW+4Xrkdj7cIPVgc+hlmbQFy63nYyj&#10;aCWtbok/NLrH5war83G0CqbvPnnat8add5+HuXwd9/en1ip1ezPvHkEEnMNfGH7xGR0KZirdSMaL&#10;TkGcRLwlsLFMUxCciDcJKyUrq4cUZJHL/xuKHwAAAP//AwBQSwECLQAUAAYACAAAACEAtoM4kv4A&#10;AADhAQAAEwAAAAAAAAAAAAAAAAAAAAAAW0NvbnRlbnRfVHlwZXNdLnhtbFBLAQItABQABgAIAAAA&#10;IQA4/SH/1gAAAJQBAAALAAAAAAAAAAAAAAAAAC8BAABfcmVscy8ucmVsc1BLAQItABQABgAIAAAA&#10;IQCTvjPYogEAAEIDAAAOAAAAAAAAAAAAAAAAAC4CAABkcnMvZTJvRG9jLnhtbFBLAQItABQABgAI&#10;AAAAIQAJPfE44AAAAAsBAAAPAAAAAAAAAAAAAAAAAPwDAABkcnMvZG93bnJldi54bWxQSwUGAAAA&#10;AAQABADzAAAACQUAAAAA&#10;" filled="f" stroked="f">
                <v:textbox inset="7pt,3pt,7pt,3pt">
                  <w:txbxContent>
                    <w:p w:rsidR="00AD6A02" w:rsidRDefault="00AD6A02" w:rsidP="007144C5">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w:drawing>
          <wp:inline distT="0" distB="0" distL="0" distR="0" wp14:anchorId="3D7DD4A4" wp14:editId="1F535F49">
            <wp:extent cx="3960000" cy="3168000"/>
            <wp:effectExtent l="0" t="0" r="0" b="0"/>
            <wp:docPr id="56" name="image118.png" descr="C:\Users\UOS\Desktop\Massons\rat 17 start-sca.tif"/>
            <wp:cNvGraphicFramePr/>
            <a:graphic xmlns:a="http://schemas.openxmlformats.org/drawingml/2006/main">
              <a:graphicData uri="http://schemas.openxmlformats.org/drawingml/2006/picture">
                <pic:pic xmlns:pic="http://schemas.openxmlformats.org/drawingml/2006/picture">
                  <pic:nvPicPr>
                    <pic:cNvPr id="0" name="image118.png" descr="C:\Users\UOS\Desktop\Massons\rat 17 start-sca.tif"/>
                    <pic:cNvPicPr preferRelativeResize="0"/>
                  </pic:nvPicPr>
                  <pic:blipFill>
                    <a:blip r:embed="rId121"/>
                    <a:srcRect/>
                    <a:stretch>
                      <a:fillRect/>
                    </a:stretch>
                  </pic:blipFill>
                  <pic:spPr>
                    <a:xfrm>
                      <a:off x="0" y="0"/>
                      <a:ext cx="3960000" cy="3168000"/>
                    </a:xfrm>
                    <a:prstGeom prst="rect">
                      <a:avLst/>
                    </a:prstGeom>
                    <a:ln/>
                  </pic:spPr>
                </pic:pic>
              </a:graphicData>
            </a:graphic>
          </wp:inline>
        </w:drawing>
      </w:r>
      <w:r w:rsidR="00616C71">
        <w:rPr>
          <w:noProof/>
          <w:lang w:eastAsia="en-GB"/>
        </w:rPr>
        <mc:AlternateContent>
          <mc:Choice Requires="wps">
            <w:drawing>
              <wp:anchor distT="0" distB="0" distL="114300" distR="114300" simplePos="0" relativeHeight="251822080" behindDoc="0" locked="0" layoutInCell="1" hidden="0" allowOverlap="1" wp14:anchorId="5C7B46D7" wp14:editId="00597F59">
                <wp:simplePos x="0" y="0"/>
                <wp:positionH relativeFrom="margin">
                  <wp:posOffset>3022600</wp:posOffset>
                </wp:positionH>
                <wp:positionV relativeFrom="paragraph">
                  <wp:posOffset>2197100</wp:posOffset>
                </wp:positionV>
                <wp:extent cx="342900" cy="330200"/>
                <wp:effectExtent l="0" t="0" r="0" b="0"/>
                <wp:wrapNone/>
                <wp:docPr id="134" name="Rectangle 134"/>
                <wp:cNvGraphicFramePr/>
                <a:graphic xmlns:a="http://schemas.openxmlformats.org/drawingml/2006/main">
                  <a:graphicData uri="http://schemas.microsoft.com/office/word/2010/wordprocessingShape">
                    <wps:wsp>
                      <wps:cNvSpPr/>
                      <wps:spPr>
                        <a:xfrm>
                          <a:off x="5178994" y="3618710"/>
                          <a:ext cx="334009" cy="32258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5C7B46D7" id="Rectangle 134" o:spid="_x0000_s1109" style="position:absolute;left:0;text-align:left;margin-left:238pt;margin-top:173pt;width:27pt;height:26pt;z-index:251822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sQEAAE4DAAAOAAAAZHJzL2Uyb0RvYy54bWysU8lu2zAQvRfoPxC815SsLLJgOYcGKQoU&#10;aZCkH0BTpEWAG4asJf99hrSTuM2t6IWaDW/evBmtb2ZryF5C1N71tF5UlEgn/KDdrqe/nu++tJTE&#10;xN3AjXeypwcZ6c3m86f1FDq59KM3gwSCIC52U+jpmFLoGItilJbHhQ/SYVJ5sDyhCzs2AJ8Q3Rq2&#10;rKorNnkYAnghY8To7TFJNwVfKSnST6WiTMT0FLml8kJ5t/llmzXvdsDDqMWJBv8HFpZrh03foG55&#10;4uQ36A9QVgvw0au0EN4yr5QWssyA09TVX9M8jTzIMguKE8ObTPH/wYr7/QMQPeDumgtKHLe4pEeU&#10;jbudkSQHUaIpxA4rn8IDnLyIZp53VmDzFychc08v6+t2tUKgQ0+bq7q9rk8SyzkRgQVNc1FVK0pE&#10;LlguL9uSZ+9AAWL6Jr0l2egpIJUiLN//iAmbY+lrSe7r/J02pmzRuD8CWJgjLHM/ss1WmrdzGbdt&#10;Xgfb+uGAGpjvDnVt21WV76Q4TVtnB84z2/MMd2L0eE2JkqP5NZXbyjxzN1xaYXw6sHwV536pev8N&#10;Ni8AAAD//wMAUEsDBBQABgAIAAAAIQAcACfR3wAAAAsBAAAPAAAAZHJzL2Rvd25yZXYueG1sTI/B&#10;TsMwEETvSPyDtUjcqAMJpYQ4VUGiF9QDLR/gxEtiNV6H2EkDX8/2BLfZ3dHsm2I9u05MOATrScHt&#10;IgGBVHtjqVHwcXi9WYEIUZPRnSdU8I0B1uXlRaFz40/0jtM+NoJDKORaQRtjn0sZ6hadDgvfI/Ht&#10;0w9ORx6HRppBnzjcdfIuSZbSaUv8odU9vrRYH/ejUzD99Nnz1hp/3Hzt5upt3KYH65S6vpo3TyAi&#10;zvHPDGd8RoeSmSo/kgmiU5A9LLlLVJBmZ8GO+zRhUfHmcZWALAv5v0P5CwAA//8DAFBLAQItABQA&#10;BgAIAAAAIQC2gziS/gAAAOEBAAATAAAAAAAAAAAAAAAAAAAAAABbQ29udGVudF9UeXBlc10ueG1s&#10;UEsBAi0AFAAGAAgAAAAhADj9If/WAAAAlAEAAAsAAAAAAAAAAAAAAAAALwEAAF9yZWxzLy5yZWxz&#10;UEsBAi0AFAAGAAgAAAAhAH5T5lqxAQAATgMAAA4AAAAAAAAAAAAAAAAALgIAAGRycy9lMm9Eb2Mu&#10;eG1sUEsBAi0AFAAGAAgAAAAhABwAJ9HfAAAACwEAAA8AAAAAAAAAAAAAAAAACwQAAGRycy9kb3du&#10;cmV2LnhtbFBLBQYAAAAABAAEAPMAAAAXBQ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mc:AlternateContent>
          <mc:Choice Requires="wps">
            <w:drawing>
              <wp:anchor distT="0" distB="0" distL="114300" distR="114300" simplePos="0" relativeHeight="251823104" behindDoc="0" locked="0" layoutInCell="1" hidden="0" allowOverlap="1" wp14:anchorId="047739A0" wp14:editId="6CEA5CC1">
                <wp:simplePos x="0" y="0"/>
                <wp:positionH relativeFrom="margin">
                  <wp:posOffset>3429000</wp:posOffset>
                </wp:positionH>
                <wp:positionV relativeFrom="paragraph">
                  <wp:posOffset>1333500</wp:posOffset>
                </wp:positionV>
                <wp:extent cx="254000" cy="330200"/>
                <wp:effectExtent l="0" t="0" r="0" b="0"/>
                <wp:wrapNone/>
                <wp:docPr id="277" name="Rectangle 277"/>
                <wp:cNvGraphicFramePr/>
                <a:graphic xmlns:a="http://schemas.openxmlformats.org/drawingml/2006/main">
                  <a:graphicData uri="http://schemas.microsoft.com/office/word/2010/wordprocessingShape">
                    <wps:wsp>
                      <wps:cNvSpPr/>
                      <wps:spPr>
                        <a:xfrm>
                          <a:off x="5218364" y="3618710"/>
                          <a:ext cx="255269" cy="32258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T</w:t>
                            </w:r>
                          </w:p>
                        </w:txbxContent>
                      </wps:txbx>
                      <wps:bodyPr lIns="88900" tIns="38100" rIns="88900" bIns="38100" anchor="t" anchorCtr="0"/>
                    </wps:wsp>
                  </a:graphicData>
                </a:graphic>
              </wp:anchor>
            </w:drawing>
          </mc:Choice>
          <mc:Fallback>
            <w:pict>
              <v:rect w14:anchorId="047739A0" id="Rectangle 277" o:spid="_x0000_s1110" style="position:absolute;left:0;text-align:left;margin-left:270pt;margin-top:105pt;width:20pt;height:26pt;z-index:251823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JSosgEAAE4DAAAOAAAAZHJzL2Uyb0RvYy54bWysU8tu2zAQvBfIPxC8x5Tk2FYE0zkkSFCg&#10;aIOk/QCaIi0CfIFkLfnvu6Qdx01vRS7UvrA7M7ta301Go70IUTlLcT2rMBKWu17ZHcW/fj5etxjF&#10;xGzPtLOC4oOI+G5z9WU9+k40bnC6FwFBExu70VM8pOQ7QiIfhGFx5rywkJQuGJbADTvSBzZCd6NJ&#10;U1VLMrrQ++C4iBGiD8ck3pT+UgqefkgZRUKaYsCWyhvKu80v2axZtwvMD4qfYLD/QGGYsjD03OqB&#10;JYZ+B/VPK6N4cNHJNOPOECel4qJwADZ19YHN68C8KFxAnOjPMsXPa8u/758DUj3FzWqFkWUGlvQC&#10;sjG70wLlIEg0+thB5at/Dicvgpn5TjKY/AUmaKJ40dTtfHmD0YHi+bJuV/VJYjElxKGgWSya5S1G&#10;PBc0zaItefLeyIeYnoQzKBsUB4BShGX7bzHBcCh9K8lzrXtUWpctavtXAApzhGTsR7TZStN2KnTb&#10;mzdiW9cfQAP91YKubXtb5TspzrytsxMuM9vLDLN8cHBNCaOjeZ/KbWWceRosrSA+HVi+iku/VL3/&#10;Bps/AAAA//8DAFBLAwQUAAYACAAAACEAeOZ9X98AAAALAQAADwAAAGRycy9kb3ducmV2LnhtbEyP&#10;wU7DMBBE70j8g7VI3KjT0FZViFMVJHpBHGj5ACdeEqvxOsROGvh6Nid6m90dzb7Jd5NrxYh9sJ4U&#10;LBcJCKTKG0u1gs/T68MWRIiajG49oYIfDLArbm9ynRl/oQ8cj7EWHEIh0wqaGLtMylA16HRY+A6J&#10;b1++dzry2NfS9PrC4a6VaZJspNOW+EOjO3xpsDofB6dg/O1Wzwdr/Hn//T6Vb8Ph8WSdUvd30/4J&#10;RMQp/pthxmd0KJip9AOZIFoF61XCXaKCdDkLdqy3syh5s0kTkEUurzsUfwAAAP//AwBQSwECLQAU&#10;AAYACAAAACEAtoM4kv4AAADhAQAAEwAAAAAAAAAAAAAAAAAAAAAAW0NvbnRlbnRfVHlwZXNdLnht&#10;bFBLAQItABQABgAIAAAAIQA4/SH/1gAAAJQBAAALAAAAAAAAAAAAAAAAAC8BAABfcmVscy8ucmVs&#10;c1BLAQItABQABgAIAAAAIQDK5JSosgEAAE4DAAAOAAAAAAAAAAAAAAAAAC4CAABkcnMvZTJvRG9j&#10;LnhtbFBLAQItABQABgAIAAAAIQB45n1f3wAAAAsBAAAPAAAAAAAAAAAAAAAAAAwEAABkcnMvZG93&#10;bnJldi54bWxQSwUGAAAAAAQABADzAAAAGAU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T</w:t>
                      </w:r>
                    </w:p>
                  </w:txbxContent>
                </v:textbox>
                <w10:wrap anchorx="margin"/>
              </v:rect>
            </w:pict>
          </mc:Fallback>
        </mc:AlternateContent>
      </w:r>
    </w:p>
    <w:p w:rsidR="00616C71" w:rsidRDefault="00616C71" w:rsidP="00616C71">
      <w:pPr>
        <w:keepNext/>
        <w:keepLines/>
        <w:spacing w:before="40" w:after="0" w:line="259" w:lineRule="auto"/>
        <w:rPr>
          <w:b/>
        </w:rPr>
      </w:pPr>
    </w:p>
    <w:p w:rsidR="004E2A32" w:rsidRDefault="00941110" w:rsidP="00B702A5">
      <w:pPr>
        <w:keepNext/>
        <w:keepLines/>
        <w:numPr>
          <w:ilvl w:val="0"/>
          <w:numId w:val="21"/>
        </w:numPr>
        <w:pBdr>
          <w:top w:val="nil"/>
          <w:left w:val="nil"/>
          <w:bottom w:val="nil"/>
          <w:right w:val="nil"/>
          <w:between w:val="nil"/>
        </w:pBdr>
        <w:spacing w:before="40" w:after="0" w:line="259" w:lineRule="auto"/>
        <w:ind w:hanging="360"/>
        <w:contextualSpacing/>
        <w:jc w:val="left"/>
        <w:rPr>
          <w:b/>
        </w:rPr>
      </w:pPr>
      <w:r w:rsidRPr="007144C5">
        <w:rPr>
          <w:noProof/>
          <w:lang w:eastAsia="en-GB"/>
        </w:rPr>
        <mc:AlternateContent>
          <mc:Choice Requires="wps">
            <w:drawing>
              <wp:anchor distT="0" distB="0" distL="114300" distR="114300" simplePos="0" relativeHeight="252040192" behindDoc="0" locked="0" layoutInCell="1" hidden="0" allowOverlap="1" wp14:anchorId="61CD45C8" wp14:editId="1AFAFE8C">
                <wp:simplePos x="0" y="0"/>
                <wp:positionH relativeFrom="margin">
                  <wp:posOffset>3581400</wp:posOffset>
                </wp:positionH>
                <wp:positionV relativeFrom="paragraph">
                  <wp:posOffset>690245</wp:posOffset>
                </wp:positionV>
                <wp:extent cx="317500" cy="330200"/>
                <wp:effectExtent l="0" t="0" r="0" b="0"/>
                <wp:wrapNone/>
                <wp:docPr id="357" name="Rectangle 357"/>
                <wp:cNvGraphicFramePr/>
                <a:graphic xmlns:a="http://schemas.openxmlformats.org/drawingml/2006/main">
                  <a:graphicData uri="http://schemas.microsoft.com/office/word/2010/wordprocessingShape">
                    <wps:wsp>
                      <wps:cNvSpPr/>
                      <wps:spPr>
                        <a:xfrm>
                          <a:off x="0" y="0"/>
                          <a:ext cx="317500" cy="330200"/>
                        </a:xfrm>
                        <a:prstGeom prst="rect">
                          <a:avLst/>
                        </a:prstGeom>
                        <a:noFill/>
                        <a:ln>
                          <a:noFill/>
                        </a:ln>
                      </wps:spPr>
                      <wps:txbx>
                        <w:txbxContent>
                          <w:p w:rsidR="00AD6A02" w:rsidRDefault="00AD6A02" w:rsidP="007144C5">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61CD45C8" id="Rectangle 357" o:spid="_x0000_s1111" style="position:absolute;left:0;text-align:left;margin-left:282pt;margin-top:54.35pt;width:25pt;height:26pt;z-index:252040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owEAAEIDAAAOAAAAZHJzL2Uyb0RvYy54bWysUk1P4zAQvSPxHyzfqVOiQoiaclgEWgnt&#10;ImB/gOvYjSXbY9mmSf89Y7eULtxWe5nMV97Me57l7WQN2coQNbiOzmcVJdIJ6LXbdPTP6/1FQ0lM&#10;3PXcgJMd3clIb1fnZ8vRt/ISBjC9DARBXGxH39EhJd8yFsUgLY8z8NJhUUGwPGEYNqwPfER0a9hl&#10;VV2xEULvAwgZI2bv9kW6KvhKSZF+KxVlIqajuFsqNhS7zpatlrzdBO4HLQ5r8H/YwnLtcOgR6o4n&#10;Tt6C/gZltQgQQaWZAMtAKS1k4YBs5tUXNi8D97JwQXGiP8oU/x+s+LV9CkT3Ha0X15Q4bvGRnlE2&#10;7jZGkpxEiUYfW+x88U/hEEV0M99JBZu/yIRMRdbdUVY5JSIwWc+vFxWKL7BU1xU+W8Zknz/7ENOD&#10;BEuy09GA44uYfPsY0771oyXPcnCvjcE8b437K4GYOcPyvvsNs5em9VQoNosPMmvod8jb/HSoZdPc&#10;5PVSCepmnoNwWlmfVrgTA+AFJUr27o9U7invmafhQxVyh6PKl3Aal67P01+9AwAA//8DAFBLAwQU&#10;AAYACAAAACEAUco1RN8AAAALAQAADwAAAGRycy9kb3ducmV2LnhtbEyPwU7DMBBE70j8g7WVuFG7&#10;UNIqjVMVJHpBHGj5ACdekqjxOsROGvh6tqdy3JnR7JtsO7lWjNiHxpOGxVyBQCq9bajS8Hl8vV+D&#10;CNGQNa0n1PCDAbb57U1mUuvP9IHjIVaCSyikRkMdY5dKGcoanQlz3yGx9+V7ZyKffSVtb85c7lr5&#10;oFQinWmIP9Smw5cay9NhcBrG3275vG+sP+2+36fibdg/Hhun9d1s2m1ARJziNQwXfEaHnJkKP5AN&#10;otXwlCx5S2RDrVcgOJEsLkrBSqJWIPNM/t+Q/wEAAP//AwBQSwECLQAUAAYACAAAACEAtoM4kv4A&#10;AADhAQAAEwAAAAAAAAAAAAAAAAAAAAAAW0NvbnRlbnRfVHlwZXNdLnhtbFBLAQItABQABgAIAAAA&#10;IQA4/SH/1gAAAJQBAAALAAAAAAAAAAAAAAAAAC8BAABfcmVscy8ucmVsc1BLAQItABQABgAIAAAA&#10;IQAC++wHowEAAEIDAAAOAAAAAAAAAAAAAAAAAC4CAABkcnMvZTJvRG9jLnhtbFBLAQItABQABgAI&#10;AAAAIQBRyjVE3wAAAAsBAAAPAAAAAAAAAAAAAAAAAP0DAABkcnMvZG93bnJldi54bWxQSwUGAAAA&#10;AAQABADzAAAACQUAAAAA&#10;" filled="f" stroked="f">
                <v:textbox inset="7pt,3pt,7pt,3pt">
                  <w:txbxContent>
                    <w:p w:rsidR="00AD6A02" w:rsidRDefault="00AD6A02" w:rsidP="007144C5">
                      <w:pPr>
                        <w:spacing w:after="0"/>
                        <w:textDirection w:val="btLr"/>
                      </w:pPr>
                      <w:r>
                        <w:rPr>
                          <w:rFonts w:ascii="Calibri" w:eastAsia="Calibri" w:hAnsi="Calibri" w:cs="Calibri"/>
                          <w:b/>
                          <w:color w:val="000000"/>
                          <w:sz w:val="40"/>
                        </w:rPr>
                        <w:t>G</w:t>
                      </w:r>
                    </w:p>
                  </w:txbxContent>
                </v:textbox>
                <w10:wrap anchorx="margin"/>
              </v:rect>
            </w:pict>
          </mc:Fallback>
        </mc:AlternateContent>
      </w:r>
      <w:r>
        <w:rPr>
          <w:noProof/>
          <w:lang w:eastAsia="en-GB"/>
        </w:rPr>
        <mc:AlternateContent>
          <mc:Choice Requires="wps">
            <w:drawing>
              <wp:anchor distT="0" distB="0" distL="114300" distR="114300" simplePos="0" relativeHeight="252044288" behindDoc="0" locked="0" layoutInCell="1" hidden="0" allowOverlap="1" wp14:anchorId="4FA3567E" wp14:editId="483A0E4B">
                <wp:simplePos x="0" y="0"/>
                <wp:positionH relativeFrom="margin">
                  <wp:posOffset>2324100</wp:posOffset>
                </wp:positionH>
                <wp:positionV relativeFrom="paragraph">
                  <wp:posOffset>2233295</wp:posOffset>
                </wp:positionV>
                <wp:extent cx="317500" cy="330200"/>
                <wp:effectExtent l="0" t="0" r="0" b="0"/>
                <wp:wrapNone/>
                <wp:docPr id="359" name="Rectangle 359"/>
                <wp:cNvGraphicFramePr/>
                <a:graphic xmlns:a="http://schemas.openxmlformats.org/drawingml/2006/main">
                  <a:graphicData uri="http://schemas.microsoft.com/office/word/2010/wordprocessingShape">
                    <wps:wsp>
                      <wps:cNvSpPr/>
                      <wps:spPr>
                        <a:xfrm>
                          <a:off x="0" y="0"/>
                          <a:ext cx="317500" cy="330200"/>
                        </a:xfrm>
                        <a:prstGeom prst="rect">
                          <a:avLst/>
                        </a:prstGeom>
                        <a:noFill/>
                        <a:ln>
                          <a:noFill/>
                        </a:ln>
                      </wps:spPr>
                      <wps:txbx>
                        <w:txbxContent>
                          <w:p w:rsidR="00AD6A02" w:rsidRDefault="00AD6A02" w:rsidP="00941110">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4FA3567E" id="Rectangle 359" o:spid="_x0000_s1112" style="position:absolute;left:0;text-align:left;margin-left:183pt;margin-top:175.85pt;width:25pt;height:26pt;z-index:252044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OzUogEAAEIDAAAOAAAAZHJzL2Uyb0RvYy54bWysUttO4zAQfV+Jf7D8Tp0SASFqygMIhIQW&#10;tCwfMHXsxpJvsk2T/v2O3VK68IZ4mcwtZ+Ycz+J6MppsRIjK2Y7OZxUlwnLXK7vu6Ovfu9OGkpjA&#10;9qCdFR3dikivlye/FqNvxZkbnO5FIAhiYzv6jg4p+ZaxyAdhIM6cFxaL0gUDCcOwZn2AEdGNZmdV&#10;dcFGF3ofHBcxYvZ2V6TLgi+l4OlJyigS0R3F3VKxodhVtmy5gHYdwA+K79eAb2xhQFkceoC6hQTk&#10;LagvUEbx4KKTacadYU5KxUXhgGzm1Sc2LwN4UbigONEfZIo/B8t/b54DUX1H6/MrSiwYfKQ/KBvY&#10;tRYkJ1Gi0ccWO1/8c9hHEd3Md5LB5C8yIVORdXuQVUyJcEzW88vzCsXnWKrrCp8tY7KPn32I6V44&#10;Q7LT0YDji5iweYxp1/rekmdZd6e0xjy02v6XQMycYXnf3YbZS9NqKhSbi3cyK9dvkbd+sKhl01zl&#10;9VIJ6maeg3BcWR1XwPLB4QUlSnbuTSr3lPfM0/ChCrn9UeVLOI5L18fpL/8BAAD//wMAUEsDBBQA&#10;BgAIAAAAIQCi6OXa4AAAAAsBAAAPAAAAZHJzL2Rvd25yZXYueG1sTI9BT4NAEIXvJv6HzTTxZhek&#10;UkNZmmpiL8aDrT9gYUcgZWeRXSj6652e7O3NzMub7+Xb2XZiwsG3jhTEywgEUuVMS7WCz+Pr/RMI&#10;HzQZ3TlCBT/oYVvc3uQ6M+5MHzgdQi04hHymFTQh9JmUvmrQar90PRLfvtxgdeBxqKUZ9JnDbScf&#10;oiiVVrfEHxrd40uD1ekwWgXTb7963rfGnXbf73P5Nu6TY2uVulvMuw2IgHP4N8MFn9GhYKbSjWS8&#10;6BQkacpdAovHeA2CHav4silZRMkaZJHL6w7FHwAAAP//AwBQSwECLQAUAAYACAAAACEAtoM4kv4A&#10;AADhAQAAEwAAAAAAAAAAAAAAAAAAAAAAW0NvbnRlbnRfVHlwZXNdLnhtbFBLAQItABQABgAIAAAA&#10;IQA4/SH/1gAAAJQBAAALAAAAAAAAAAAAAAAAAC8BAABfcmVscy8ucmVsc1BLAQItABQABgAIAAAA&#10;IQAzEOzUogEAAEIDAAAOAAAAAAAAAAAAAAAAAC4CAABkcnMvZTJvRG9jLnhtbFBLAQItABQABgAI&#10;AAAAIQCi6OXa4AAAAAsBAAAPAAAAAAAAAAAAAAAAAPwDAABkcnMvZG93bnJldi54bWxQSwUGAAAA&#10;AAQABADzAAAACQUAAAAA&#10;" filled="f" stroked="f">
                <v:textbox inset="7pt,3pt,7pt,3pt">
                  <w:txbxContent>
                    <w:p w:rsidR="00AD6A02" w:rsidRDefault="00AD6A02" w:rsidP="00941110">
                      <w:pPr>
                        <w:spacing w:after="0"/>
                        <w:textDirection w:val="btLr"/>
                      </w:pPr>
                      <w:r>
                        <w:rPr>
                          <w:rFonts w:ascii="Calibri" w:eastAsia="Calibri" w:hAnsi="Calibri" w:cs="Calibri"/>
                          <w:b/>
                          <w:color w:val="000000"/>
                          <w:sz w:val="40"/>
                        </w:rPr>
                        <w:t>G</w:t>
                      </w:r>
                    </w:p>
                  </w:txbxContent>
                </v:textbox>
                <w10:wrap anchorx="margin"/>
              </v:rect>
            </w:pict>
          </mc:Fallback>
        </mc:AlternateContent>
      </w:r>
      <w:r>
        <w:rPr>
          <w:noProof/>
          <w:lang w:eastAsia="en-GB"/>
        </w:rPr>
        <mc:AlternateContent>
          <mc:Choice Requires="wps">
            <w:drawing>
              <wp:anchor distT="0" distB="0" distL="114300" distR="114300" simplePos="0" relativeHeight="252042240" behindDoc="0" locked="0" layoutInCell="1" hidden="0" allowOverlap="1" wp14:anchorId="4FA3567E" wp14:editId="483A0E4B">
                <wp:simplePos x="0" y="0"/>
                <wp:positionH relativeFrom="margin">
                  <wp:posOffset>3111500</wp:posOffset>
                </wp:positionH>
                <wp:positionV relativeFrom="paragraph">
                  <wp:posOffset>80645</wp:posOffset>
                </wp:positionV>
                <wp:extent cx="317500" cy="330200"/>
                <wp:effectExtent l="0" t="0" r="0" b="0"/>
                <wp:wrapNone/>
                <wp:docPr id="358" name="Rectangle 358"/>
                <wp:cNvGraphicFramePr/>
                <a:graphic xmlns:a="http://schemas.openxmlformats.org/drawingml/2006/main">
                  <a:graphicData uri="http://schemas.microsoft.com/office/word/2010/wordprocessingShape">
                    <wps:wsp>
                      <wps:cNvSpPr/>
                      <wps:spPr>
                        <a:xfrm>
                          <a:off x="0" y="0"/>
                          <a:ext cx="317500" cy="330200"/>
                        </a:xfrm>
                        <a:prstGeom prst="rect">
                          <a:avLst/>
                        </a:prstGeom>
                        <a:noFill/>
                        <a:ln>
                          <a:noFill/>
                        </a:ln>
                      </wps:spPr>
                      <wps:txbx>
                        <w:txbxContent>
                          <w:p w:rsidR="00AD6A02" w:rsidRDefault="00AD6A02" w:rsidP="00941110">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4FA3567E" id="Rectangle 358" o:spid="_x0000_s1113" style="position:absolute;left:0;text-align:left;margin-left:245pt;margin-top:6.35pt;width:25pt;height:26pt;z-index:252042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eDogEAAEIDAAAOAAAAZHJzL2Uyb0RvYy54bWysUttO4zAQfUfaf7D8vnVKBGSjpjyAWCEh&#10;QJT9ANexG0u+aext0r9n7JZS2LcVL87ccmbOmVlcT9aQrYSovevofFZRIp3wvXabjv55vfvZUBIT&#10;dz033smO7mSk18sfZ4sxtPLcD970EgiCuNiOoaNDSqFlLIpBWh5nPkiHSeXB8oQubFgPfER0a9h5&#10;VV2y0UMfwAsZI0Zv90m6LPhKSZGelIoyEdNRnC2VF8q7zi9bLni7AR4GLQ5j8P+YwnLtsOkR6pYn&#10;Tv6C/gfKagE+epVmwlvmldJCFg7IZl59YbMaeJCFC4oTw1Gm+H2w4nH7DET3Ha0vcFWOW1zSC8rG&#10;3cZIkoMo0Rhii5Wr8AwHL6KZ+U4KbP4iEzIVWXdHWeWUiMBgPb+6qFB8gam6rnBtGZN9/Bwgpt/S&#10;W5KNjgK2L2Ly7UNM+9L3ktzL+TttDMZ5a9ynAGLmCMvz7ifMVprWU6HYXL2TWft+h7zNvUMtm+ZX&#10;Hi8Vp27m2YHTzPo0w50YPF5QomRv3qRyT3nO3A0XVcgdjipfwqlfqj5Of/kGAAD//wMAUEsDBBQA&#10;BgAIAAAAIQDfTz523gAAAAkBAAAPAAAAZHJzL2Rvd25yZXYueG1sTI/BTsMwEETvSPyDtUjcqEMJ&#10;LQ1xqoJEL6gHWj7AibeJ1XgdYicNfD3bExx3ZjT7Jl9PrhUj9sF6UnA/S0AgVd5YqhV8Ht7unkCE&#10;qMno1hMq+MYA6+L6KteZ8Wf6wHEfa8ElFDKtoImxy6QMVYNOh5nvkNg7+t7pyGdfS9PrM5e7Vs6T&#10;ZCGdtsQfGt3ha4PVaT84BeNPl75srfGnzdduKt+H7cPBOqVub6bNM4iIU/wLwwWf0aFgptIPZIJo&#10;FaSrhLdENuZLEBx4TC9CqWCRLkEWufy/oPgFAAD//wMAUEsBAi0AFAAGAAgAAAAhALaDOJL+AAAA&#10;4QEAABMAAAAAAAAAAAAAAAAAAAAAAFtDb250ZW50X1R5cGVzXS54bWxQSwECLQAUAAYACAAAACEA&#10;OP0h/9YAAACUAQAACwAAAAAAAAAAAAAAAAAvAQAAX3JlbHMvLnJlbHNQSwECLQAUAAYACAAAACEA&#10;nBpHg6IBAABCAwAADgAAAAAAAAAAAAAAAAAuAgAAZHJzL2Uyb0RvYy54bWxQSwECLQAUAAYACAAA&#10;ACEA308+dt4AAAAJAQAADwAAAAAAAAAAAAAAAAD8AwAAZHJzL2Rvd25yZXYueG1sUEsFBgAAAAAE&#10;AAQA8wAAAAcFAAAAAA==&#10;" filled="f" stroked="f">
                <v:textbox inset="7pt,3pt,7pt,3pt">
                  <w:txbxContent>
                    <w:p w:rsidR="00AD6A02" w:rsidRDefault="00AD6A02" w:rsidP="00941110">
                      <w:pPr>
                        <w:spacing w:after="0"/>
                        <w:textDirection w:val="btLr"/>
                      </w:pPr>
                      <w:r>
                        <w:rPr>
                          <w:rFonts w:ascii="Calibri" w:eastAsia="Calibri" w:hAnsi="Calibri" w:cs="Calibri"/>
                          <w:b/>
                          <w:color w:val="000000"/>
                          <w:sz w:val="40"/>
                        </w:rPr>
                        <w:t>G</w:t>
                      </w:r>
                    </w:p>
                  </w:txbxContent>
                </v:textbox>
                <w10:wrap anchorx="margin"/>
              </v:rect>
            </w:pict>
          </mc:Fallback>
        </mc:AlternateContent>
      </w:r>
      <w:r w:rsidR="007144C5">
        <w:rPr>
          <w:noProof/>
          <w:lang w:eastAsia="en-GB"/>
        </w:rPr>
        <mc:AlternateContent>
          <mc:Choice Requires="wps">
            <w:drawing>
              <wp:anchor distT="0" distB="0" distL="114300" distR="114300" simplePos="0" relativeHeight="251824128" behindDoc="0" locked="0" layoutInCell="1" hidden="0" allowOverlap="1" wp14:anchorId="2F9D61D6" wp14:editId="43BF15A0">
                <wp:simplePos x="0" y="0"/>
                <wp:positionH relativeFrom="margin">
                  <wp:posOffset>2359025</wp:posOffset>
                </wp:positionH>
                <wp:positionV relativeFrom="paragraph">
                  <wp:posOffset>1244600</wp:posOffset>
                </wp:positionV>
                <wp:extent cx="647700" cy="330200"/>
                <wp:effectExtent l="0" t="0" r="0" b="0"/>
                <wp:wrapNone/>
                <wp:docPr id="96" name="Rectangle 96"/>
                <wp:cNvGraphicFramePr/>
                <a:graphic xmlns:a="http://schemas.openxmlformats.org/drawingml/2006/main">
                  <a:graphicData uri="http://schemas.microsoft.com/office/word/2010/wordprocessingShape">
                    <wps:wsp>
                      <wps:cNvSpPr/>
                      <wps:spPr>
                        <a:xfrm>
                          <a:off x="0" y="0"/>
                          <a:ext cx="6477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DT</w:t>
                            </w:r>
                          </w:p>
                        </w:txbxContent>
                      </wps:txbx>
                      <wps:bodyPr lIns="88900" tIns="38100" rIns="88900" bIns="38100" anchor="t" anchorCtr="0"/>
                    </wps:wsp>
                  </a:graphicData>
                </a:graphic>
              </wp:anchor>
            </w:drawing>
          </mc:Choice>
          <mc:Fallback>
            <w:pict>
              <v:rect w14:anchorId="2F9D61D6" id="Rectangle 96" o:spid="_x0000_s1114" style="position:absolute;left:0;text-align:left;margin-left:185.75pt;margin-top:98pt;width:51pt;height:26pt;z-index:251824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2vPogEAAEADAAAOAAAAZHJzL2Uyb0RvYy54bWysUtuO0zAQfUfiHyy/U6db1M1GTfeB1SIk&#10;BCsWPmDq2I0l3zQ2Tfr3jN1ut8Ab4mUyt5yZczyb+9lZdlCYTPA9Xy4azpSXYTB+3/Mf3x/ftZyl&#10;DH4AG7zq+VElfr99+2YzxU7dhDHYQSEjEJ+6KfZ8zDl2QiQ5KgdpEaLyVNQBHWQKcS8GhInQnRU3&#10;TbMWU8AhYpAqJco+nIp8W/G1VjJ/1TqpzGzPabdcLVa7K1ZsN9DtEeJo5HkN+IctHBhPQy9QD5CB&#10;/UTzF5QzEkMKOi9kcCJobaSqHIjNsvmDzfMIUVUuJE6KF5nS/4OVXw5PyMzQ87s1Zx4cvdE3Ug38&#10;3ipGORJoiqmjvuf4hOcokVvYzhpd+RIPNldRjxdR1ZyZpOT6/e1tQ9JLKq1WDT1awRSvP0dM+aMK&#10;jhWn50jTq5Rw+JzyqfWlpczy4dFYS3norP8tQZglI8q+pw2Ll+fdXAm27QuZXRiOxNp+8qRk296V&#10;9XINVu2yBHhd2V1XwMsx0P1kzk7uh1yvqexZptEzVXLnkyp3cB3XrtfD3/4CAAD//wMAUEsDBBQA&#10;BgAIAAAAIQBsvsWE4AAAAAsBAAAPAAAAZHJzL2Rvd25yZXYueG1sTI/BTsMwEETvSPyDtUjcqNMm&#10;tCWNUxUkekE90PIBTrxNosbrEDtp4OtZTnDcmafZmWw72VaM2PvGkYL5LAKBVDrTUKXg4/T6sAbh&#10;gyajW0eo4As9bPPbm0ynxl3pHcdjqASHkE+1gjqELpXSlzVa7WeuQ2Lv7HqrA599JU2vrxxuW7mI&#10;oqW0uiH+UOsOX2osL8fBKhi/u+R53xh32X0epuJt2Menxip1fzftNiACTuEPht/6XB1y7lS4gYwX&#10;rYJ4NX9klI2nJY9iIlnFrBQKFsk6Apln8v+G/AcAAP//AwBQSwECLQAUAAYACAAAACEAtoM4kv4A&#10;AADhAQAAEwAAAAAAAAAAAAAAAAAAAAAAW0NvbnRlbnRfVHlwZXNdLnhtbFBLAQItABQABgAIAAAA&#10;IQA4/SH/1gAAAJQBAAALAAAAAAAAAAAAAAAAAC8BAABfcmVscy8ucmVsc1BLAQItABQABgAIAAAA&#10;IQDAq2vPogEAAEADAAAOAAAAAAAAAAAAAAAAAC4CAABkcnMvZTJvRG9jLnhtbFBLAQItABQABgAI&#10;AAAAIQBsvsWE4AAAAAsBAAAPAAAAAAAAAAAAAAAAAPwDAABkcnMvZG93bnJldi54bWxQSwUGAAAA&#10;AAQABADzAAAACQU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DT</w:t>
                      </w:r>
                    </w:p>
                  </w:txbxContent>
                </v:textbox>
                <w10:wrap anchorx="margin"/>
              </v:rect>
            </w:pict>
          </mc:Fallback>
        </mc:AlternateContent>
      </w:r>
      <w:r w:rsidR="004E2A32">
        <w:rPr>
          <w:noProof/>
          <w:lang w:eastAsia="en-GB"/>
        </w:rPr>
        <mc:AlternateContent>
          <mc:Choice Requires="wps">
            <w:drawing>
              <wp:anchor distT="0" distB="0" distL="114300" distR="114300" simplePos="0" relativeHeight="251825152" behindDoc="0" locked="0" layoutInCell="1" hidden="0" allowOverlap="1" wp14:anchorId="14AD6E86" wp14:editId="5C75C486">
                <wp:simplePos x="0" y="0"/>
                <wp:positionH relativeFrom="margin">
                  <wp:posOffset>3340100</wp:posOffset>
                </wp:positionH>
                <wp:positionV relativeFrom="paragraph">
                  <wp:posOffset>2235200</wp:posOffset>
                </wp:positionV>
                <wp:extent cx="317500" cy="330200"/>
                <wp:effectExtent l="0" t="0" r="0" b="0"/>
                <wp:wrapNone/>
                <wp:docPr id="278" name="Rectangle 278"/>
                <wp:cNvGraphicFramePr/>
                <a:graphic xmlns:a="http://schemas.openxmlformats.org/drawingml/2006/main">
                  <a:graphicData uri="http://schemas.microsoft.com/office/word/2010/wordprocessingShape">
                    <wps:wsp>
                      <wps:cNvSpPr/>
                      <wps:spPr>
                        <a:xfrm>
                          <a:off x="0" y="0"/>
                          <a:ext cx="317500" cy="330200"/>
                        </a:xfrm>
                        <a:prstGeom prst="rect">
                          <a:avLst/>
                        </a:prstGeom>
                        <a:noFill/>
                        <a:ln>
                          <a:noFill/>
                        </a:ln>
                      </wps:spPr>
                      <wps:txbx>
                        <w:txbxContent>
                          <w:p w:rsidR="00AD6A02" w:rsidRDefault="00AD6A02" w:rsidP="00616C71">
                            <w:pPr>
                              <w:spacing w:after="0"/>
                              <w:textDirection w:val="btLr"/>
                            </w:pPr>
                            <w:r>
                              <w:rPr>
                                <w:rFonts w:ascii="Calibri" w:eastAsia="Calibri" w:hAnsi="Calibri" w:cs="Calibri"/>
                                <w:b/>
                                <w:color w:val="000000"/>
                                <w:sz w:val="40"/>
                              </w:rPr>
                              <w:t>G</w:t>
                            </w:r>
                          </w:p>
                        </w:txbxContent>
                      </wps:txbx>
                      <wps:bodyPr lIns="88900" tIns="38100" rIns="88900" bIns="38100" anchor="t" anchorCtr="0"/>
                    </wps:wsp>
                  </a:graphicData>
                </a:graphic>
              </wp:anchor>
            </w:drawing>
          </mc:Choice>
          <mc:Fallback>
            <w:pict>
              <v:rect w14:anchorId="14AD6E86" id="Rectangle 278" o:spid="_x0000_s1115" style="position:absolute;left:0;text-align:left;margin-left:263pt;margin-top:176pt;width:25pt;height:26pt;z-index:251825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Em+owEAAEIDAAAOAAAAZHJzL2Uyb0RvYy54bWysUtuO0zAQfUfiHyy/U6etYLNR031gtQgJ&#10;wYqFD5g6dmPJN41Nk/49Y7fb7cIb4sWZW87MOTObu9lZdlCYTPA9Xy4azpSXYTB+3/OfPx7etZyl&#10;DH4AG7zq+VElfrd9+2YzxU6twhjsoJARiE/dFHs+5hw7IZIclYO0CFF5SuqADjK5uBcDwkTozopV&#10;03wQU8AhYpAqJYren5J8W/G1VjJ/0zqpzGzPabZcX6zvrrxiu4FujxBHI89jwD9M4cB4anqBuocM&#10;7Beav6CckRhS0HkhgxNBayNV5UBsls0fbJ5GiKpyIXFSvMiU/h+s/Hp4RGaGnq9uaFUeHC3pO8kG&#10;fm8VK0GSaIqpo8qn+IhnL5FZ+M4aXfkSEzZXWY8XWdWcmaTgennzviHxJaXW64bWVjDFy88RU/6k&#10;gmPF6DlS+yomHL6kfCp9Lim9fHgw1lIcOutfBQizRESZ9zRhsfK8myvF9vaZzC4MR+JtP3vSsm1v&#10;y3i5Out2WRy8zuyuM+DlGOiCMmcn82Ou91TmLN1oUZXc+ajKJVz7terl9Le/AQAA//8DAFBLAwQU&#10;AAYACAAAACEAu1MV7OAAAAALAQAADwAAAGRycy9kb3ducmV2LnhtbEyPwU7DMBBE70j8g7VI3KhN&#10;mhSUZlMVJHpBHGj5ACd2E6uxHWInDXw92xO97e6MZt8Um9l2bNJDMN4hPC4EMO1qr4xrEL4Obw/P&#10;wEKUTsnOO43wowNsytubQubKn92nnvaxYRTiQi4R2hj7nPNQt9rKsPC9dqQd/WBlpHVouBrkmcJt&#10;xxMhVtxK4+hDK3v92ur6tB8twvTbpy87o/xp+/0xV+/jbnkwFvH+bt6ugUU9x38zXPAJHUpiqvzo&#10;VGAdQpasqEtEWGYJDeTIni6XCiEVqQBeFvy6Q/kHAAD//wMAUEsBAi0AFAAGAAgAAAAhALaDOJL+&#10;AAAA4QEAABMAAAAAAAAAAAAAAAAAAAAAAFtDb250ZW50X1R5cGVzXS54bWxQSwECLQAUAAYACAAA&#10;ACEAOP0h/9YAAACUAQAACwAAAAAAAAAAAAAAAAAvAQAAX3JlbHMvLnJlbHNQSwECLQAUAAYACAAA&#10;ACEAweRJvqMBAABCAwAADgAAAAAAAAAAAAAAAAAuAgAAZHJzL2Uyb0RvYy54bWxQSwECLQAUAAYA&#10;CAAAACEAu1MV7OAAAAALAQAADwAAAAAAAAAAAAAAAAD9AwAAZHJzL2Rvd25yZXYueG1sUEsFBgAA&#10;AAAEAAQA8wAAAAoFAAAAAA==&#10;" filled="f" stroked="f">
                <v:textbox inset="7pt,3pt,7pt,3pt">
                  <w:txbxContent>
                    <w:p w:rsidR="00AD6A02" w:rsidRDefault="00AD6A02" w:rsidP="00616C71">
                      <w:pPr>
                        <w:spacing w:after="0"/>
                        <w:textDirection w:val="btLr"/>
                      </w:pPr>
                      <w:r>
                        <w:rPr>
                          <w:rFonts w:ascii="Calibri" w:eastAsia="Calibri" w:hAnsi="Calibri" w:cs="Calibri"/>
                          <w:b/>
                          <w:color w:val="000000"/>
                          <w:sz w:val="40"/>
                        </w:rPr>
                        <w:t>G</w:t>
                      </w:r>
                    </w:p>
                  </w:txbxContent>
                </v:textbox>
                <w10:wrap anchorx="margin"/>
              </v:rect>
            </w:pict>
          </mc:Fallback>
        </mc:AlternateContent>
      </w:r>
      <w:r w:rsidR="00616C71">
        <w:rPr>
          <w:noProof/>
          <w:lang w:eastAsia="en-GB"/>
        </w:rPr>
        <w:drawing>
          <wp:inline distT="0" distB="0" distL="0" distR="0" wp14:anchorId="75F55813" wp14:editId="6040C39E">
            <wp:extent cx="3960000" cy="3168000"/>
            <wp:effectExtent l="0" t="0" r="0" b="0"/>
            <wp:docPr id="57" name="image120.png" descr="C:\Users\UOS\Desktop\Massons\rat 13 termb-sc b.tif"/>
            <wp:cNvGraphicFramePr/>
            <a:graphic xmlns:a="http://schemas.openxmlformats.org/drawingml/2006/main">
              <a:graphicData uri="http://schemas.openxmlformats.org/drawingml/2006/picture">
                <pic:pic xmlns:pic="http://schemas.openxmlformats.org/drawingml/2006/picture">
                  <pic:nvPicPr>
                    <pic:cNvPr id="0" name="image120.png" descr="C:\Users\UOS\Desktop\Massons\rat 13 termb-sc b.tif"/>
                    <pic:cNvPicPr preferRelativeResize="0"/>
                  </pic:nvPicPr>
                  <pic:blipFill>
                    <a:blip r:embed="rId122"/>
                    <a:srcRect/>
                    <a:stretch>
                      <a:fillRect/>
                    </a:stretch>
                  </pic:blipFill>
                  <pic:spPr>
                    <a:xfrm>
                      <a:off x="0" y="0"/>
                      <a:ext cx="3960000" cy="3168000"/>
                    </a:xfrm>
                    <a:prstGeom prst="rect">
                      <a:avLst/>
                    </a:prstGeom>
                    <a:ln/>
                  </pic:spPr>
                </pic:pic>
              </a:graphicData>
            </a:graphic>
          </wp:inline>
        </w:drawing>
      </w:r>
    </w:p>
    <w:p w:rsidR="00616C71" w:rsidRDefault="00616C71" w:rsidP="004E2A32">
      <w:pPr>
        <w:keepNext/>
        <w:keepLines/>
        <w:pBdr>
          <w:top w:val="nil"/>
          <w:left w:val="nil"/>
          <w:bottom w:val="nil"/>
          <w:right w:val="nil"/>
          <w:between w:val="nil"/>
        </w:pBdr>
        <w:spacing w:before="40" w:after="0" w:line="259" w:lineRule="auto"/>
        <w:contextualSpacing/>
        <w:jc w:val="left"/>
        <w:rPr>
          <w:b/>
        </w:rPr>
      </w:pPr>
    </w:p>
    <w:p w:rsidR="00616C71" w:rsidRPr="00195B89" w:rsidRDefault="004E2A32" w:rsidP="00E77B18">
      <w:pPr>
        <w:pStyle w:val="LegText"/>
        <w:ind w:left="720"/>
        <w:rPr>
          <w:rFonts w:eastAsia="Calibri"/>
          <w:sz w:val="24"/>
          <w:szCs w:val="24"/>
        </w:rPr>
      </w:pPr>
      <w:bookmarkStart w:id="366" w:name="_Toc504640611"/>
      <w:r w:rsidRPr="007144C5">
        <w:rPr>
          <w:rStyle w:val="SubtitleChar"/>
        </w:rPr>
        <w:t>Figure 4</w:t>
      </w:r>
      <w:r w:rsidR="00616C71" w:rsidRPr="007144C5">
        <w:rPr>
          <w:rStyle w:val="SubtitleChar"/>
        </w:rPr>
        <w:t>.4 Masson’s trichrome staining of rat kidneys.</w:t>
      </w:r>
      <w:bookmarkEnd w:id="366"/>
      <w:r w:rsidR="00616C71" w:rsidRPr="007144C5">
        <w:rPr>
          <w:rStyle w:val="SubtitleChar"/>
        </w:rPr>
        <w:t xml:space="preserve"> </w:t>
      </w:r>
      <w:r w:rsidR="00616C71" w:rsidRPr="00E64D17">
        <w:t>Yellow bar = 50µ</w:t>
      </w:r>
      <w:r w:rsidR="00101CCF" w:rsidRPr="00E64D17">
        <w:t>M.</w:t>
      </w:r>
      <w:r w:rsidR="00195B89" w:rsidRPr="00E64D17">
        <w:t xml:space="preserve"> </w:t>
      </w:r>
      <w:r w:rsidR="007144C5" w:rsidRPr="00E64D17">
        <w:t xml:space="preserve">  </w:t>
      </w:r>
      <w:r w:rsidR="00616C71" w:rsidRPr="00E64D17">
        <w:t xml:space="preserve">a) Control kidney </w:t>
      </w:r>
      <w:r w:rsidR="007144C5" w:rsidRPr="00E64D17">
        <w:t>of the diseased group with</w:t>
      </w:r>
      <w:r w:rsidR="00A23607" w:rsidRPr="00E64D17">
        <w:t xml:space="preserve"> glomerulus</w:t>
      </w:r>
      <w:r w:rsidR="00616C71" w:rsidRPr="00E64D17">
        <w:t xml:space="preserve"> (G) and tubules (T), enclosed by thin basement membrane (black arro</w:t>
      </w:r>
      <w:r w:rsidR="00941110" w:rsidRPr="00E64D17">
        <w:t>w). b) Diseased kidney with</w:t>
      </w:r>
      <w:r w:rsidR="00616C71" w:rsidRPr="00E64D17">
        <w:t xml:space="preserve"> hypertrophic glom</w:t>
      </w:r>
      <w:r w:rsidR="00941110" w:rsidRPr="00E64D17">
        <w:t>eruli (G) and dilated tubules (</w:t>
      </w:r>
      <w:r w:rsidR="00616C71" w:rsidRPr="00E64D17">
        <w:t>D</w:t>
      </w:r>
      <w:r w:rsidR="00941110" w:rsidRPr="00E64D17">
        <w:t>T</w:t>
      </w:r>
      <w:r w:rsidR="00616C71" w:rsidRPr="00E64D17">
        <w:t>), thickened basement membrane and interstitial fibrosis seen as green fibres around t</w:t>
      </w:r>
      <w:r w:rsidR="00941110" w:rsidRPr="00E64D17">
        <w:t>he glomeruli and interstitium. c</w:t>
      </w:r>
      <w:r w:rsidR="00616C71" w:rsidRPr="00E64D17">
        <w:t>) Control kidney o</w:t>
      </w:r>
      <w:r w:rsidR="00941110" w:rsidRPr="00E64D17">
        <w:t>f the prophylaxis group with</w:t>
      </w:r>
      <w:r w:rsidR="00616C71" w:rsidRPr="00E64D17">
        <w:t xml:space="preserve"> glomerulus (G) and numerous tubules (T), and thin</w:t>
      </w:r>
      <w:r w:rsidR="00D52F0A" w:rsidRPr="00E64D17">
        <w:t xml:space="preserve"> basement membrane. d) Diseased</w:t>
      </w:r>
      <w:r w:rsidR="00616C71" w:rsidRPr="00E64D17">
        <w:t xml:space="preserve"> sli</w:t>
      </w:r>
      <w:r w:rsidR="00D52F0A" w:rsidRPr="00E64D17">
        <w:t>de of prophylaxis group with</w:t>
      </w:r>
      <w:r w:rsidR="00616C71" w:rsidRPr="00E64D17">
        <w:t xml:space="preserve"> hypertrophic glomeruli (G) with mildly dilated tubules (T), mild thickened basement membrane</w:t>
      </w:r>
      <w:r w:rsidR="00D52F0A" w:rsidRPr="00E64D17">
        <w:t>,</w:t>
      </w:r>
      <w:r w:rsidR="00616C71" w:rsidRPr="00E64D17">
        <w:t xml:space="preserve"> few g</w:t>
      </w:r>
      <w:r w:rsidR="00D52F0A" w:rsidRPr="00E64D17">
        <w:t>reen fibres within the interstit</w:t>
      </w:r>
      <w:r w:rsidR="00616C71" w:rsidRPr="00E64D17">
        <w:t>ium and around the glomerulus. e) Control kidney</w:t>
      </w:r>
      <w:r w:rsidR="00D52F0A" w:rsidRPr="00E64D17">
        <w:t xml:space="preserve"> of the treatment group with</w:t>
      </w:r>
      <w:r w:rsidR="00616C71" w:rsidRPr="00E64D17">
        <w:t xml:space="preserve"> glomeruli (G) numerous tubules (T)</w:t>
      </w:r>
      <w:r w:rsidR="00D52F0A" w:rsidRPr="00E64D17">
        <w:t>, thin basement membrane. f) Control slide of the treatment group with</w:t>
      </w:r>
      <w:r w:rsidR="00616C71" w:rsidRPr="00E64D17">
        <w:t xml:space="preserve"> hypertrophic glomeruli</w:t>
      </w:r>
      <w:r w:rsidR="00616C71">
        <w:t xml:space="preserve"> </w:t>
      </w:r>
      <w:r w:rsidR="00101CCF">
        <w:t xml:space="preserve">(G) </w:t>
      </w:r>
      <w:r w:rsidR="00616C71">
        <w:t xml:space="preserve">and dilated </w:t>
      </w:r>
      <w:r w:rsidR="00616C71">
        <w:lastRenderedPageBreak/>
        <w:t xml:space="preserve">tubules </w:t>
      </w:r>
      <w:r w:rsidR="00101CCF">
        <w:t>(DT)</w:t>
      </w:r>
      <w:r w:rsidR="00616C71">
        <w:t>. Moderate glomerular and tubular scarring seen as green fibres around the glomeruli and the interstitial space.</w:t>
      </w:r>
    </w:p>
    <w:p w:rsidR="00616C71" w:rsidRDefault="00616C71" w:rsidP="00616C71">
      <w:pPr>
        <w:keepNext/>
        <w:keepLines/>
        <w:spacing w:before="40" w:after="0" w:line="259" w:lineRule="auto"/>
        <w:rPr>
          <w:b/>
        </w:rPr>
      </w:pPr>
    </w:p>
    <w:p w:rsidR="00616C71" w:rsidRDefault="00616C71" w:rsidP="00E77B18">
      <w:pPr>
        <w:pStyle w:val="Heading3"/>
        <w:ind w:firstLine="720"/>
        <w:rPr>
          <w:rFonts w:eastAsia="Times New Roman"/>
        </w:rPr>
      </w:pPr>
      <w:bookmarkStart w:id="367" w:name="_Toc506232396"/>
      <w:r>
        <w:rPr>
          <w:rFonts w:eastAsia="Times New Roman"/>
        </w:rPr>
        <w:t>4.5 Discussion</w:t>
      </w:r>
      <w:bookmarkEnd w:id="367"/>
      <w:r>
        <w:rPr>
          <w:rFonts w:eastAsia="Times New Roman"/>
        </w:rPr>
        <w:t xml:space="preserve"> </w:t>
      </w:r>
    </w:p>
    <w:p w:rsidR="00616C71" w:rsidRDefault="00616C71" w:rsidP="00E77B18">
      <w:pPr>
        <w:ind w:left="720"/>
      </w:pPr>
      <w:r>
        <w:t>Based on H&amp;E stains there were no signs of fibrosis in the controls. In the diseased and treatment groups kidneys there was a general trend of moderate interstitial fibrosis, tubular dilatation, tubular fibrosis and glomerula</w:t>
      </w:r>
      <w:r w:rsidR="00902EE9">
        <w:t>r basement membrane thickening.</w:t>
      </w:r>
      <w:r>
        <w:t xml:space="preserve"> There was also </w:t>
      </w:r>
      <w:r w:rsidR="00A23607">
        <w:t xml:space="preserve">a </w:t>
      </w:r>
      <w:r>
        <w:t>moderate increase of mesangium with glomerular fibrosis. Similar findings were also observed in the section</w:t>
      </w:r>
      <w:r w:rsidR="00A23607">
        <w:t>s</w:t>
      </w:r>
      <w:r>
        <w:t xml:space="preserve"> stained with picrosirius red. The</w:t>
      </w:r>
      <w:r w:rsidR="006666CD">
        <w:t xml:space="preserve"> semi-automated analysis</w:t>
      </w:r>
      <w:r w:rsidR="00195B89">
        <w:t xml:space="preserve"> </w:t>
      </w:r>
      <w:r w:rsidR="006666CD">
        <w:t>(</w:t>
      </w:r>
      <w:r w:rsidR="00195B89">
        <w:t>Fig</w:t>
      </w:r>
      <w:r w:rsidR="007E5650">
        <w:t xml:space="preserve"> 4.3</w:t>
      </w:r>
      <w:r w:rsidR="006666CD">
        <w:t>)</w:t>
      </w:r>
      <w:r>
        <w:t xml:space="preserve"> of picrosirius red stainin</w:t>
      </w:r>
      <w:r w:rsidR="006666CD">
        <w:t>g demonstrated</w:t>
      </w:r>
      <w:r>
        <w:t xml:space="preserve"> a significant difference between the control sli</w:t>
      </w:r>
      <w:r w:rsidR="006666CD">
        <w:t>des (right kidneys) and the diseased</w:t>
      </w:r>
      <w:r>
        <w:t xml:space="preserve"> slides (left kidneys) </w:t>
      </w:r>
      <w:r w:rsidR="006666CD">
        <w:t xml:space="preserve">with </w:t>
      </w:r>
      <w:r>
        <w:t xml:space="preserve">some </w:t>
      </w:r>
      <w:r w:rsidR="006666CD">
        <w:t xml:space="preserve">level </w:t>
      </w:r>
      <w:r>
        <w:t>of scarring in all the left kidneys. However, there was significantly less fibrosis in the prophylaxis kidney</w:t>
      </w:r>
      <w:r w:rsidR="006666CD">
        <w:t>s</w:t>
      </w:r>
      <w:r>
        <w:t xml:space="preserve"> than was found in the diseased and the treatment groups suggesting that UK-396082 </w:t>
      </w:r>
      <w:r w:rsidR="006666CD">
        <w:t>may offer</w:t>
      </w:r>
      <w:r>
        <w:t xml:space="preserve"> some protection against renal fibrosis</w:t>
      </w:r>
      <w:r w:rsidR="006666CD">
        <w:t xml:space="preserve"> if treated early enough</w:t>
      </w:r>
      <w:r>
        <w:t>. Similar findings were observed with the Masson’s trichrome stains w</w:t>
      </w:r>
      <w:r w:rsidR="006666CD">
        <w:t>h</w:t>
      </w:r>
      <w:r>
        <w:t>ere collagen deposition was less in the prophylaxis group and more</w:t>
      </w:r>
      <w:r w:rsidR="006666CD">
        <w:t xml:space="preserve"> in the diseased group.</w:t>
      </w:r>
      <w:r>
        <w:t xml:space="preserve"> </w:t>
      </w:r>
    </w:p>
    <w:p w:rsidR="00616C71" w:rsidRPr="00195B89" w:rsidRDefault="00156F32" w:rsidP="00E77B18">
      <w:pPr>
        <w:pStyle w:val="Heading3"/>
        <w:ind w:firstLine="720"/>
      </w:pPr>
      <w:bookmarkStart w:id="368" w:name="_Toc506232397"/>
      <w:r>
        <w:t xml:space="preserve">4.6 </w:t>
      </w:r>
      <w:r w:rsidR="00616C71" w:rsidRPr="00195B89">
        <w:t>Conclusion</w:t>
      </w:r>
      <w:bookmarkEnd w:id="368"/>
      <w:r w:rsidR="00616C71" w:rsidRPr="00195B89">
        <w:t xml:space="preserve"> </w:t>
      </w:r>
    </w:p>
    <w:p w:rsidR="00616C71" w:rsidRDefault="00195B89" w:rsidP="00B702A5">
      <w:pPr>
        <w:pStyle w:val="ListParagraph"/>
        <w:numPr>
          <w:ilvl w:val="0"/>
          <w:numId w:val="30"/>
        </w:numPr>
      </w:pPr>
      <w:r>
        <w:t xml:space="preserve">The control slides </w:t>
      </w:r>
      <w:r w:rsidR="00616C71">
        <w:t>were normal in morphology</w:t>
      </w:r>
      <w:r w:rsidR="000828E1">
        <w:t>.</w:t>
      </w:r>
    </w:p>
    <w:p w:rsidR="00616C71" w:rsidRDefault="00616C71" w:rsidP="00B702A5">
      <w:pPr>
        <w:pStyle w:val="ListParagraph"/>
        <w:numPr>
          <w:ilvl w:val="0"/>
          <w:numId w:val="30"/>
        </w:numPr>
      </w:pPr>
      <w:r>
        <w:t>All the three groups</w:t>
      </w:r>
      <w:r w:rsidR="0001197A">
        <w:t xml:space="preserve"> (diseased, prophylaxis, and treatment) showed</w:t>
      </w:r>
      <w:r>
        <w:t xml:space="preserve"> signs of fibrosis</w:t>
      </w:r>
      <w:r w:rsidR="000828E1">
        <w:t>.</w:t>
      </w:r>
    </w:p>
    <w:p w:rsidR="00616C71" w:rsidRDefault="00616C71" w:rsidP="00B702A5">
      <w:pPr>
        <w:pStyle w:val="ListParagraph"/>
        <w:numPr>
          <w:ilvl w:val="0"/>
          <w:numId w:val="30"/>
        </w:numPr>
      </w:pPr>
      <w:r>
        <w:t>Semi-automated scoring of the picrosirius red stain demonstrated that the prophylaxis group had the least scarring</w:t>
      </w:r>
      <w:r w:rsidR="000828E1">
        <w:t>.</w:t>
      </w:r>
    </w:p>
    <w:p w:rsidR="00616C71" w:rsidRDefault="00616C71" w:rsidP="00B702A5">
      <w:pPr>
        <w:pStyle w:val="ListParagraph"/>
        <w:numPr>
          <w:ilvl w:val="0"/>
          <w:numId w:val="30"/>
        </w:numPr>
      </w:pPr>
      <w:r>
        <w:t>There was no significant difference between the diseased and treatment group</w:t>
      </w:r>
      <w:r w:rsidR="0001197A">
        <w:t>s at the end of the study</w:t>
      </w:r>
      <w:r w:rsidR="000828E1">
        <w:t>.</w:t>
      </w:r>
      <w:r>
        <w:t xml:space="preserve"> </w:t>
      </w:r>
    </w:p>
    <w:p w:rsidR="00FB6EB6" w:rsidRDefault="00616C71" w:rsidP="00B702A5">
      <w:pPr>
        <w:pStyle w:val="ListParagraph"/>
        <w:numPr>
          <w:ilvl w:val="0"/>
          <w:numId w:val="30"/>
        </w:numPr>
      </w:pPr>
      <w:r>
        <w:t xml:space="preserve">The slides </w:t>
      </w:r>
      <w:r w:rsidR="0001197A">
        <w:t xml:space="preserve">of kidneys at the end of the study </w:t>
      </w:r>
      <w:r>
        <w:t>showed both glomerular scarring and interstitial fibrosis</w:t>
      </w:r>
      <w:r w:rsidR="002010BA">
        <w:t>.</w:t>
      </w:r>
    </w:p>
    <w:p w:rsidR="00FB6EB6" w:rsidRDefault="00FB6EB6">
      <w:pPr>
        <w:spacing w:after="160" w:line="259" w:lineRule="auto"/>
        <w:jc w:val="left"/>
      </w:pPr>
      <w:r>
        <w:br w:type="page"/>
      </w:r>
    </w:p>
    <w:p w:rsidR="00616C71" w:rsidRDefault="00616C71" w:rsidP="00FB6EB6">
      <w:pPr>
        <w:pStyle w:val="ListParagraph"/>
        <w:ind w:left="1440"/>
      </w:pPr>
    </w:p>
    <w:p w:rsidR="002010BA" w:rsidRPr="00FB6EB6" w:rsidRDefault="002010BA" w:rsidP="00FB6EB6">
      <w:pPr>
        <w:pStyle w:val="Heading3"/>
        <w:ind w:firstLine="720"/>
      </w:pPr>
      <w:bookmarkStart w:id="369" w:name="_Toc506232398"/>
      <w:r w:rsidRPr="00FB6EB6">
        <w:t>4.7 Seventh wave laboratory</w:t>
      </w:r>
      <w:bookmarkEnd w:id="369"/>
      <w:r w:rsidRPr="00FB6EB6">
        <w:t xml:space="preserve"> </w:t>
      </w:r>
    </w:p>
    <w:p w:rsidR="002010BA" w:rsidRPr="002010BA" w:rsidRDefault="006666CD" w:rsidP="00E77B18">
      <w:pPr>
        <w:ind w:left="720"/>
      </w:pPr>
      <w:r>
        <w:t xml:space="preserve">We sent identical </w:t>
      </w:r>
      <w:r w:rsidR="0001197A">
        <w:t>kidney samples to Seventh Wave L</w:t>
      </w:r>
      <w:r>
        <w:t>aboratories, 19 Worthington access drive, Maryland heights, MO 63043.</w:t>
      </w:r>
      <w:r w:rsidR="00B84391">
        <w:t xml:space="preserve"> This was done a</w:t>
      </w:r>
      <w:r w:rsidR="00141DBE">
        <w:t xml:space="preserve">s Pfizer (the sponsor of the </w:t>
      </w:r>
      <w:r w:rsidR="00141DBE" w:rsidRPr="00141DBE">
        <w:rPr>
          <w:i/>
        </w:rPr>
        <w:t>in vivo</w:t>
      </w:r>
      <w:r w:rsidR="00141DBE">
        <w:t xml:space="preserve"> experiment) was also interested in helping with some analysis.</w:t>
      </w:r>
      <w:r w:rsidR="002010BA">
        <w:t xml:space="preserve"> Their findings were </w:t>
      </w:r>
      <w:r>
        <w:t xml:space="preserve">very </w:t>
      </w:r>
      <w:r w:rsidR="002010BA">
        <w:t>similar to our</w:t>
      </w:r>
      <w:r>
        <w:t>s and are presented in</w:t>
      </w:r>
      <w:r w:rsidR="002010BA">
        <w:t xml:space="preserve"> </w:t>
      </w:r>
      <w:r>
        <w:t>A</w:t>
      </w:r>
      <w:r w:rsidR="00FB6EB6">
        <w:t>ppendix 2</w:t>
      </w:r>
      <w:r w:rsidR="002010BA">
        <w:t>.</w:t>
      </w:r>
    </w:p>
    <w:p w:rsidR="00FB6EB6" w:rsidRDefault="00FB6EB6">
      <w:pPr>
        <w:spacing w:after="160" w:line="259" w:lineRule="auto"/>
        <w:jc w:val="left"/>
      </w:pPr>
      <w:r>
        <w:br w:type="page"/>
      </w:r>
    </w:p>
    <w:p w:rsidR="002010BA" w:rsidRDefault="002010BA" w:rsidP="00195B89">
      <w:pPr>
        <w:ind w:firstLine="720"/>
      </w:pPr>
    </w:p>
    <w:p w:rsidR="004E2A32" w:rsidRPr="00AF57B4" w:rsidRDefault="004E2A32" w:rsidP="00AF57B4">
      <w:pPr>
        <w:pStyle w:val="Title1"/>
        <w:jc w:val="left"/>
        <w:rPr>
          <w:rFonts w:ascii="Arial" w:eastAsia="Calibri" w:hAnsi="Arial" w:cs="Arial"/>
          <w:lang w:val="en-US"/>
        </w:rPr>
      </w:pPr>
      <w:r w:rsidRPr="00AF57B4">
        <w:rPr>
          <w:rFonts w:ascii="Arial" w:eastAsia="Calibri" w:hAnsi="Arial" w:cs="Arial"/>
          <w:b/>
          <w:lang w:val="en-US"/>
        </w:rPr>
        <w:t>Chapter Five</w:t>
      </w:r>
      <w:r w:rsidRPr="00AF57B4">
        <w:rPr>
          <w:rFonts w:ascii="Arial" w:eastAsia="Calibri" w:hAnsi="Arial" w:cs="Arial"/>
          <w:lang w:val="en-US"/>
        </w:rPr>
        <w:br/>
        <w:t>Results</w:t>
      </w:r>
      <w:r w:rsidR="00AF57B4" w:rsidRPr="00AF57B4">
        <w:rPr>
          <w:rFonts w:ascii="Arial" w:eastAsia="Calibri" w:hAnsi="Arial" w:cs="Arial"/>
          <w:lang w:val="en-US"/>
        </w:rPr>
        <w:t xml:space="preserve">: Effect </w:t>
      </w:r>
      <w:r w:rsidR="00E010D6">
        <w:rPr>
          <w:rFonts w:ascii="Arial" w:eastAsia="Calibri" w:hAnsi="Arial" w:cs="Arial"/>
          <w:lang w:val="en-US"/>
        </w:rPr>
        <w:t>the of fibrin, plasminogen activators and</w:t>
      </w:r>
      <w:r w:rsidR="00AF57B4" w:rsidRPr="00AF57B4">
        <w:rPr>
          <w:rFonts w:ascii="Arial" w:eastAsia="Calibri" w:hAnsi="Arial" w:cs="Arial"/>
          <w:lang w:val="en-US"/>
        </w:rPr>
        <w:t xml:space="preserve"> UK-396082 in </w:t>
      </w:r>
      <w:r w:rsidR="00AF57B4">
        <w:rPr>
          <w:rFonts w:ascii="Arial" w:eastAsia="Calibri" w:hAnsi="Arial" w:cs="Arial"/>
          <w:lang w:val="en-US"/>
        </w:rPr>
        <w:t>an</w:t>
      </w:r>
      <w:r w:rsidR="00AF57B4" w:rsidRPr="00AF57B4">
        <w:rPr>
          <w:rFonts w:ascii="Arial" w:eastAsia="Calibri" w:hAnsi="Arial" w:cs="Arial"/>
          <w:lang w:val="en-US"/>
        </w:rPr>
        <w:t xml:space="preserve"> </w:t>
      </w:r>
      <w:r w:rsidR="00AF57B4" w:rsidRPr="00AF57B4">
        <w:rPr>
          <w:rFonts w:ascii="Arial" w:eastAsia="Calibri" w:hAnsi="Arial" w:cs="Arial"/>
          <w:i/>
          <w:lang w:val="en-US"/>
        </w:rPr>
        <w:t>in vitro</w:t>
      </w:r>
      <w:r w:rsidR="00AF57B4" w:rsidRPr="00AF57B4">
        <w:rPr>
          <w:rFonts w:ascii="Arial" w:eastAsia="Calibri" w:hAnsi="Arial" w:cs="Arial"/>
          <w:lang w:val="en-US"/>
        </w:rPr>
        <w:t xml:space="preserve"> diabetic model</w:t>
      </w:r>
    </w:p>
    <w:p w:rsidR="00616C71" w:rsidRDefault="00616C71" w:rsidP="00616C71">
      <w:pPr>
        <w:rPr>
          <w:rFonts w:ascii="Times New Roman" w:eastAsia="Times New Roman" w:hAnsi="Times New Roman"/>
          <w:b/>
        </w:rPr>
      </w:pPr>
    </w:p>
    <w:p w:rsidR="00616C71" w:rsidRDefault="00616C71" w:rsidP="00616C71">
      <w:pPr>
        <w:rPr>
          <w:rFonts w:ascii="Times New Roman" w:eastAsia="Times New Roman" w:hAnsi="Times New Roman"/>
          <w:b/>
        </w:rPr>
      </w:pPr>
    </w:p>
    <w:p w:rsidR="00FE11EF" w:rsidRDefault="00FE11EF" w:rsidP="009A7933">
      <w:pPr>
        <w:widowControl w:val="0"/>
        <w:spacing w:after="0" w:line="276" w:lineRule="auto"/>
        <w:rPr>
          <w:rFonts w:ascii="Times New Roman" w:eastAsia="Times New Roman" w:hAnsi="Times New Roman"/>
        </w:rPr>
      </w:pPr>
      <w:r>
        <w:rPr>
          <w:rFonts w:ascii="Times New Roman" w:eastAsia="Times New Roman" w:hAnsi="Times New Roman"/>
        </w:rPr>
        <w:br w:type="page"/>
      </w:r>
    </w:p>
    <w:p w:rsidR="00C7048E" w:rsidRDefault="00C7048E" w:rsidP="00E87C7B">
      <w:pPr>
        <w:pStyle w:val="Heading3"/>
        <w:ind w:firstLine="720"/>
      </w:pPr>
      <w:bookmarkStart w:id="370" w:name="_Toc506232399"/>
      <w:r w:rsidRPr="00C7048E">
        <w:lastRenderedPageBreak/>
        <w:t>5.1 Introduction</w:t>
      </w:r>
      <w:bookmarkEnd w:id="370"/>
      <w:r w:rsidRPr="00C7048E">
        <w:t xml:space="preserve"> </w:t>
      </w:r>
    </w:p>
    <w:p w:rsidR="00956416" w:rsidRPr="00C62752" w:rsidRDefault="00956416" w:rsidP="00956416">
      <w:pPr>
        <w:ind w:left="720"/>
        <w:rPr>
          <w:rFonts w:cs="Arial"/>
        </w:rPr>
      </w:pPr>
      <w:r>
        <w:t xml:space="preserve">Following the results obtained from the effect of UK-396082 in our </w:t>
      </w:r>
      <w:r>
        <w:rPr>
          <w:i/>
        </w:rPr>
        <w:t>in vivo</w:t>
      </w:r>
      <w:r>
        <w:t xml:space="preserve"> study we decided to study its effect in a diabetic model </w:t>
      </w:r>
      <w:r>
        <w:rPr>
          <w:i/>
        </w:rPr>
        <w:t>in vitro.</w:t>
      </w:r>
      <w:r>
        <w:t xml:space="preserve"> The logic behind testing UK-396082 as </w:t>
      </w:r>
      <w:r w:rsidR="0035300A">
        <w:t xml:space="preserve">an </w:t>
      </w:r>
      <w:r>
        <w:t>anti-fibrotic drug lies in its role in the fibrin-</w:t>
      </w:r>
      <w:r w:rsidRPr="000C085B">
        <w:t xml:space="preserve">dependant inhibition of plasminogen </w:t>
      </w:r>
      <w:r>
        <w:t xml:space="preserve">activation </w:t>
      </w:r>
      <w:r w:rsidRPr="000C085B">
        <w:t xml:space="preserve">by CPB2. We decided </w:t>
      </w:r>
      <w:r>
        <w:t xml:space="preserve">to investigate if all the players in the pathway are likely to be present in the kidney or whether a different pathway needs to be invoked. It is known that fibrin deposits are present in fibrotic </w:t>
      </w:r>
      <w:r w:rsidRPr="00C62752">
        <w:rPr>
          <w:rFonts w:cs="Arial"/>
        </w:rPr>
        <w:t xml:space="preserve">tissues </w:t>
      </w:r>
      <w:r w:rsidRPr="00C62752">
        <w:rPr>
          <w:rFonts w:eastAsia="Times New Roman" w:cs="Arial"/>
        </w:rPr>
        <w:fldChar w:fldCharType="begin"/>
      </w:r>
      <w:r w:rsidRPr="00C62752">
        <w:rPr>
          <w:rFonts w:eastAsia="Times New Roman" w:cs="Arial"/>
        </w:rPr>
        <w:instrText xml:space="preserve"> ADDIN EN.CITE &lt;EndNote&gt;&lt;Cite&gt;&lt;Author&gt;Imokawa&lt;/Author&gt;&lt;Year&gt;1997&lt;/Year&gt;&lt;IDText&gt;Tissue factor expression and fibrin deposition in the lungs of patients with idiopathic pulmonary fibrosis and systemic sclerosis&lt;/IDText&gt;&lt;DisplayText&gt;(Imokawa et al., 1997)&lt;/DisplayText&gt;&lt;record&gt;&lt;isbn&gt;1535-4970&lt;/isbn&gt;&lt;titles&gt;&lt;title&gt;Tissue factor expression and fibrin deposition in the lungs of patients with idiopathic pulmonary fibrosis and systemic sclerosis&lt;/title&gt;&lt;secondary-title&gt;American journal of respiratory and critical care medicine&lt;/secondary-title&gt;&lt;/titles&gt;&lt;pages&gt;631-636&lt;/pages&gt;&lt;number&gt;2&lt;/number&gt;&lt;contributors&gt;&lt;authors&gt;&lt;author&gt;Imokawa, Shiro&lt;/author&gt;&lt;author&gt;Sato, Atsuhiko&lt;/author&gt;&lt;author&gt;Hayakawa, Hiroshi&lt;/author&gt;&lt;author&gt;Kotani, Masato&lt;/author&gt;&lt;author&gt;Urano, Tetsumei&lt;/author&gt;&lt;author&gt;Takada, Akikazu&lt;/author&gt;&lt;/authors&gt;&lt;/contributors&gt;&lt;added-date format="utc"&gt;1499292905&lt;/added-date&gt;&lt;ref-type name="Journal Article"&gt;17&lt;/ref-type&gt;&lt;dates&gt;&lt;year&gt;1997&lt;/year&gt;&lt;/dates&gt;&lt;rec-number&gt;1923&lt;/rec-number&gt;&lt;last-updated-date format="utc"&gt;1499292905&lt;/last-updated-date&gt;&lt;volume&gt;156&lt;/volume&gt;&lt;/record&gt;&lt;/Cite&gt;&lt;/EndNote&gt;</w:instrText>
      </w:r>
      <w:r w:rsidRPr="00C62752">
        <w:rPr>
          <w:rFonts w:eastAsia="Times New Roman" w:cs="Arial"/>
        </w:rPr>
        <w:fldChar w:fldCharType="separate"/>
      </w:r>
      <w:r w:rsidRPr="00C62752">
        <w:rPr>
          <w:rFonts w:eastAsia="Times New Roman" w:cs="Arial"/>
          <w:noProof/>
        </w:rPr>
        <w:t>(Imokawa et al., 1997)</w:t>
      </w:r>
      <w:r w:rsidRPr="00C62752">
        <w:rPr>
          <w:rFonts w:eastAsia="Times New Roman" w:cs="Arial"/>
        </w:rPr>
        <w:fldChar w:fldCharType="end"/>
      </w:r>
      <w:r w:rsidRPr="00C62752">
        <w:rPr>
          <w:rFonts w:eastAsia="Times New Roman" w:cs="Arial"/>
        </w:rPr>
        <w:t>.</w:t>
      </w:r>
      <w:r w:rsidRPr="00C62752">
        <w:rPr>
          <w:rFonts w:cs="Arial"/>
        </w:rPr>
        <w:t xml:space="preserve"> From</w:t>
      </w:r>
      <w:r>
        <w:t xml:space="preserve"> previous studies we know that diabetes is the leading cause of end stage renal disease in western </w:t>
      </w:r>
      <w:r w:rsidRPr="00C62752">
        <w:rPr>
          <w:rFonts w:cs="Arial"/>
        </w:rPr>
        <w:t xml:space="preserve">society </w:t>
      </w:r>
      <w:r w:rsidRPr="00C62752">
        <w:rPr>
          <w:rFonts w:eastAsia="Times New Roman" w:cs="Arial"/>
        </w:rPr>
        <w:fldChar w:fldCharType="begin"/>
      </w:r>
      <w:r w:rsidRPr="00C62752">
        <w:rPr>
          <w:rFonts w:eastAsia="Times New Roman" w:cs="Arial"/>
        </w:rPr>
        <w:instrText xml:space="preserve"> ADDIN EN.CITE &lt;EndNote&gt;&lt;Cite&gt;&lt;Author&gt;Tuttle&lt;/Author&gt;&lt;Year&gt;2005&lt;/Year&gt;&lt;IDText&gt;Linking metabolism and immunology: diabetic nephropathy is an inflammatory disease&lt;/IDText&gt;&lt;DisplayText&gt;(Tuttle, 2005)&lt;/DisplayText&gt;&lt;record&gt;&lt;isbn&gt;1046-6673&lt;/isbn&gt;&lt;titles&gt;&lt;title&gt;Linking metabolism and immunology: diabetic nephropathy is an inflammatory disease&lt;/title&gt;&lt;secondary-title&gt;Journal of the American Society of Nephrology&lt;/secondary-title&gt;&lt;/titles&gt;&lt;pages&gt;1537-1538&lt;/pages&gt;&lt;number&gt;6&lt;/number&gt;&lt;contributors&gt;&lt;authors&gt;&lt;author&gt;Tuttle, Katherine R&lt;/author&gt;&lt;/authors&gt;&lt;/contributors&gt;&lt;added-date format="utc"&gt;1499293252&lt;/added-date&gt;&lt;ref-type name="Journal Article"&gt;17&lt;/ref-type&gt;&lt;dates&gt;&lt;year&gt;2005&lt;/year&gt;&lt;/dates&gt;&lt;rec-number&gt;1924&lt;/rec-number&gt;&lt;last-updated-date format="utc"&gt;1499293252&lt;/last-updated-date&gt;&lt;volume&gt;16&lt;/volume&gt;&lt;/record&gt;&lt;/Cite&gt;&lt;/EndNote&gt;</w:instrText>
      </w:r>
      <w:r w:rsidRPr="00C62752">
        <w:rPr>
          <w:rFonts w:eastAsia="Times New Roman" w:cs="Arial"/>
        </w:rPr>
        <w:fldChar w:fldCharType="separate"/>
      </w:r>
      <w:r>
        <w:rPr>
          <w:rFonts w:eastAsia="Times New Roman" w:cs="Arial"/>
          <w:noProof/>
        </w:rPr>
        <w:t xml:space="preserve">(Tuttle, </w:t>
      </w:r>
      <w:r w:rsidRPr="00C62752">
        <w:rPr>
          <w:rFonts w:eastAsia="Times New Roman" w:cs="Arial"/>
          <w:noProof/>
        </w:rPr>
        <w:t>2005)</w:t>
      </w:r>
      <w:r w:rsidRPr="00C62752">
        <w:rPr>
          <w:rFonts w:eastAsia="Times New Roman" w:cs="Arial"/>
        </w:rPr>
        <w:fldChar w:fldCharType="end"/>
      </w:r>
      <w:r>
        <w:t xml:space="preserve"> and diabetic nephropathy is a chronic disease characterised by fibrosis. The interplay in fibrosis is a complex one, comprising of chronic inflammatory reactions which could be from infections, autoimmune reactions, chemical assaults, or tissue injury. Fibrosis is the accumulation of excessive fibrous ECM either from excessive synthesis or reduced degradation via proteolytic events. One of the major players in the proteolytic events is plasmin which is activated by uPA, and or tPA. The upward regulation of plasmin leads to the breakdown of ECM either directly or by the activation of proMMPs </w:t>
      </w:r>
      <w:r w:rsidRPr="00C62752">
        <w:rPr>
          <w:rFonts w:eastAsia="Times New Roman" w:cs="Arial"/>
        </w:rPr>
        <w:fldChar w:fldCharType="begin"/>
      </w:r>
      <w:r w:rsidRPr="00C62752">
        <w:rPr>
          <w:rFonts w:eastAsia="Times New Roman" w:cs="Arial"/>
        </w:rPr>
        <w:instrText xml:space="preserve"> ADDIN EN.CITE &lt;EndNote&gt;&lt;Cite&gt;&lt;Author&gt;Bonnans&lt;/Author&gt;&lt;Year&gt;2014&lt;/Year&gt;&lt;IDText&gt;Remodelling the extracellular matrix in development and disease&lt;/IDText&gt;&lt;DisplayText&gt;(Bonnans et al., 2014)&lt;/DisplayText&gt;&lt;record&gt;&lt;isbn&gt;1471-0072&lt;/isbn&gt;&lt;titles&gt;&lt;title&gt;Remodelling the extracellular matrix in development and disease&lt;/title&gt;&lt;secondary-title&gt;Nature reviews Molecular cell biology&lt;/secondary-title&gt;&lt;/titles&gt;&lt;pages&gt;786-801&lt;/pages&gt;&lt;number&gt;12&lt;/number&gt;&lt;contributors&gt;&lt;authors&gt;&lt;author&gt;Bonnans, Caroline&lt;/author&gt;&lt;author&gt;Chou, Jonathan&lt;/author&gt;&lt;author&gt;Werb, Zena&lt;/author&gt;&lt;/authors&gt;&lt;/contributors&gt;&lt;added-date format="utc"&gt;1499294317&lt;/added-date&gt;&lt;ref-type name="Journal Article"&gt;17&lt;/ref-type&gt;&lt;dates&gt;&lt;year&gt;2014&lt;/year&gt;&lt;/dates&gt;&lt;rec-number&gt;1925&lt;/rec-number&gt;&lt;last-updated-date format="utc"&gt;1499294317&lt;/last-updated-date&gt;&lt;volume&gt;15&lt;/volume&gt;&lt;/record&gt;&lt;/Cite&gt;&lt;/EndNote&gt;</w:instrText>
      </w:r>
      <w:r w:rsidRPr="00C62752">
        <w:rPr>
          <w:rFonts w:eastAsia="Times New Roman" w:cs="Arial"/>
        </w:rPr>
        <w:fldChar w:fldCharType="separate"/>
      </w:r>
      <w:r w:rsidRPr="00C62752">
        <w:rPr>
          <w:rFonts w:eastAsia="Times New Roman" w:cs="Arial"/>
          <w:noProof/>
        </w:rPr>
        <w:t>(Bonnans et al., 2014)</w:t>
      </w:r>
      <w:r w:rsidRPr="00C62752">
        <w:rPr>
          <w:rFonts w:eastAsia="Times New Roman" w:cs="Arial"/>
        </w:rPr>
        <w:fldChar w:fldCharType="end"/>
      </w:r>
      <w:r w:rsidRPr="00C62752">
        <w:rPr>
          <w:rFonts w:eastAsia="Times New Roman" w:cs="Arial"/>
        </w:rPr>
        <w:t>.</w:t>
      </w:r>
      <w:r w:rsidRPr="00C62752">
        <w:rPr>
          <w:rFonts w:cs="Arial"/>
        </w:rPr>
        <w:t xml:space="preserve"> </w:t>
      </w:r>
    </w:p>
    <w:p w:rsidR="00956416" w:rsidRDefault="00956416" w:rsidP="00956416">
      <w:pPr>
        <w:ind w:left="720"/>
      </w:pPr>
      <w:r w:rsidRPr="00956416">
        <w:rPr>
          <w:rFonts w:cs="Arial"/>
        </w:rPr>
        <w:t>CPB2 has been implicated in the inhibition of plasminogen activation and subsequent down-regulation of plasmin generation</w:t>
      </w:r>
      <w:r>
        <w:rPr>
          <w:rFonts w:cs="Arial"/>
        </w:rPr>
        <w:t xml:space="preserve"> (Reijerkerk et al., 2004)</w:t>
      </w:r>
      <w:r w:rsidRPr="00956416">
        <w:rPr>
          <w:rFonts w:cs="Arial"/>
        </w:rPr>
        <w:t xml:space="preserve"> which can ultimately lead to ECM accumulation. CPB2 cleaves off the terminal lysine residues of fibrin which are needed for the conversion of plasminogen </w:t>
      </w:r>
      <w:r w:rsidR="00270C5D">
        <w:rPr>
          <w:rFonts w:cs="Arial"/>
        </w:rPr>
        <w:t>to plasmin via tPA (Section 1.11</w:t>
      </w:r>
      <w:r w:rsidRPr="00956416">
        <w:rPr>
          <w:rFonts w:cs="Arial"/>
        </w:rPr>
        <w:t xml:space="preserve">). Therefore, to achieve an increased activation of plasmin there is a need to develop a potent inhibitor of CPB2. UK-396082 is a selective CPB2 inhibitor </w:t>
      </w:r>
      <w:r w:rsidRPr="00956416">
        <w:rPr>
          <w:rFonts w:cs="Arial"/>
        </w:rPr>
        <w:fldChar w:fldCharType="begin"/>
      </w:r>
      <w:r w:rsidRPr="00956416">
        <w:rPr>
          <w:rFonts w:cs="Arial"/>
        </w:rPr>
        <w:instrText xml:space="preserve"> ADDIN EN.CITE &lt;EndNote&gt;&lt;Cite&gt;&lt;Author&gt;Bunnage&lt;/Author&gt;&lt;Year&gt;2007&lt;/Year&gt;&lt;IDText&gt;Discovery of potent &amp;amp; selective inhibitors of activated thrombin-activatable fibrinolysis inhibitor for the treatment of thrombosis&lt;/IDText&gt;&lt;DisplayText&gt;(Bunnage et al., 2007)&lt;/DisplayText&gt;&lt;record&gt;&lt;dates&gt;&lt;pub-dates&gt;&lt;date&gt;Nov 29&lt;/date&gt;&lt;/pub-dates&gt;&lt;year&gt;2007&lt;/year&gt;&lt;/dates&gt;&lt;urls&gt;&lt;related-urls&gt;&lt;url&gt;&amp;lt;Go to ISI&amp;gt;://WOS:000251181900026&lt;/url&gt;&lt;/related-urls&gt;&lt;/urls&gt;&lt;isbn&gt;0022-2623&lt;/isbn&gt;&lt;titles&gt;&lt;title&gt;Discovery of potent &amp;amp; selective inhibitors of activated thrombin-activatable fibrinolysis inhibitor for the treatment of thrombosis&lt;/title&gt;&lt;secondary-title&gt;Journal of Medicinal Chemistry&lt;/secondary-title&gt;&lt;/titles&gt;&lt;pages&gt;6095-6103&lt;/pages&gt;&lt;number&gt;24&lt;/number&gt;&lt;contributors&gt;&lt;authors&gt;&lt;author&gt;Bunnage, Mark E.&lt;/author&gt;&lt;author&gt;Blagg, Julian&lt;/author&gt;&lt;author&gt;Steele, John&lt;/author&gt;&lt;author&gt;Owen, Dafydd R.&lt;/author&gt;&lt;author&gt;Allerton, Charlotte&lt;/author&gt;&lt;author&gt;MeElroy, Andrew B.&lt;/author&gt;&lt;author&gt;Miller, Duncan&lt;/author&gt;&lt;author&gt;Ringer, Tracy&lt;/author&gt;&lt;author&gt;Butcher, Ken&lt;/author&gt;&lt;author&gt;Beaumont, Kevin&lt;/author&gt;&lt;author&gt;Evans, Karen&lt;/author&gt;&lt;author&gt;Gray, Andrew J.&lt;/author&gt;&lt;author&gt;Holland, Stephen J.&lt;/author&gt;&lt;author&gt;Feeder, Neil&lt;/author&gt;&lt;author&gt;Moore, Robert S.&lt;/author&gt;&lt;author&gt;Brown, David G.&lt;/author&gt;&lt;/authors&gt;&lt;/contributors&gt;&lt;added-date format="utc"&gt;1406642064&lt;/added-date&gt;&lt;ref-type name="Journal Article"&gt;17&lt;/ref-type&gt;&lt;rec-number&gt;156&lt;/rec-number&gt;&lt;last-updated-date format="utc"&gt;1406642064&lt;/last-updated-date&gt;&lt;accession-num&gt;WOS:000251181900026&lt;/accession-num&gt;&lt;electronic-resource-num&gt;10.1021/jm0702433&lt;/electronic-resource-num&gt;&lt;volume&gt;50&lt;/volume&gt;&lt;/record&gt;&lt;/Cite&gt;&lt;/EndNote&gt;</w:instrText>
      </w:r>
      <w:r w:rsidRPr="00956416">
        <w:rPr>
          <w:rFonts w:cs="Arial"/>
        </w:rPr>
        <w:fldChar w:fldCharType="separate"/>
      </w:r>
      <w:r w:rsidRPr="00956416">
        <w:rPr>
          <w:rFonts w:cs="Arial"/>
        </w:rPr>
        <w:t>(Bunnage et al., 2007)</w:t>
      </w:r>
      <w:r w:rsidRPr="00956416">
        <w:rPr>
          <w:rFonts w:cs="Arial"/>
        </w:rPr>
        <w:fldChar w:fldCharType="end"/>
      </w:r>
      <w:r w:rsidRPr="00956416">
        <w:rPr>
          <w:rFonts w:cs="Arial"/>
        </w:rPr>
        <w:t xml:space="preserve">. There is also a need to investigate the role of fibrin in fibrosis as many researchers have provided different views on the role of fibrin in fibrosis. Fibrin is formed from a cascade of enzymatic reactions consisting of cleavage and polymerization. It is the cleavage of fibrinopeptides A and B from fibrinogen and this is a thrombin-dependent reaction. It has been reported that fibrin supports adhesion and migration of cells in culture (Almelkar et al., 2014), and </w:t>
      </w:r>
      <w:r w:rsidRPr="00956416">
        <w:rPr>
          <w:rFonts w:cs="Arial"/>
        </w:rPr>
        <w:lastRenderedPageBreak/>
        <w:t>that the deposition of fibrin leads to the formation of a fibrin matrix which acts as a guide for invading cells which then leads to synthesis of cytokines which stimulate resident cells</w:t>
      </w:r>
      <w:r>
        <w:t xml:space="preserve"> to synthesise and lay down collagen. Therefore the persistence of fibrin promotes fibrosis. Another study reported that there was an increase in uPA activity in the presence of fibrin (Bernik MB 1973), but perhaps more importantly tPA and plasminogen both bind to C-terminal lysine residues on fibrin and this leads to plasminogen activation which ultimately leads to ECM breakdown. Putting all these together</w:t>
      </w:r>
      <w:r w:rsidR="001915B3">
        <w:t>,</w:t>
      </w:r>
      <w:r>
        <w:t xml:space="preserve"> </w:t>
      </w:r>
      <w:r w:rsidR="00B50781">
        <w:t>it became interesting for</w:t>
      </w:r>
      <w:r w:rsidR="00961CCC">
        <w:t xml:space="preserve"> us </w:t>
      </w:r>
      <w:r w:rsidR="00B50781">
        <w:t xml:space="preserve">to </w:t>
      </w:r>
      <w:r w:rsidR="00961CCC">
        <w:t>evaluate</w:t>
      </w:r>
      <w:r>
        <w:t xml:space="preserve"> the role of fibrin in our culture media, the effect of an </w:t>
      </w:r>
      <w:r>
        <w:rPr>
          <w:i/>
        </w:rPr>
        <w:t>in vitro</w:t>
      </w:r>
      <w:r>
        <w:t xml:space="preserve"> diabetic model on uPA, tPA, plasmin and CPB2 activities and finally the role of UK-396082 in </w:t>
      </w:r>
      <w:r w:rsidR="001915B3">
        <w:t xml:space="preserve">the plasmin plasminogen cascade in the presence of fibrin. </w:t>
      </w:r>
    </w:p>
    <w:p w:rsidR="00956416" w:rsidRPr="0019139A" w:rsidRDefault="00956416" w:rsidP="00956416">
      <w:pPr>
        <w:ind w:left="720"/>
        <w:rPr>
          <w:rFonts w:cs="Arial"/>
        </w:rPr>
      </w:pPr>
      <w:r>
        <w:t xml:space="preserve">Plasmin, uPA, and tPA assays are key to our experiment because of the interwoven mechanism that exists between plasminogen, uPA and tPA in the generation of plasmin activity (Choi et al., 2001). CPB2 is also a key player in our experiment because we are studying the effect of a CPB2 inhibitor </w:t>
      </w:r>
      <w:r w:rsidRPr="0019139A">
        <w:rPr>
          <w:rFonts w:cs="Arial"/>
        </w:rPr>
        <w:fldChar w:fldCharType="begin"/>
      </w:r>
      <w:r w:rsidRPr="0019139A">
        <w:rPr>
          <w:rFonts w:cs="Arial"/>
        </w:rPr>
        <w:instrText xml:space="preserve"> ADDIN EN.CITE &lt;EndNote&gt;&lt;Cite&gt;&lt;Author&gt;Atkinson&lt;/Author&gt;&lt;Year&gt;2013&lt;/Year&gt;&lt;IDText&gt;An inhibitor of thrombin activated fibrinolysis inhibitor (TAFI) can reduce extracellular matrix accumulation in an in vitro model of glucose induced ECM expansion&lt;/IDText&gt;&lt;DisplayText&gt;(Atkinson et al., 2013)&lt;/DisplayText&gt;&lt;record&gt;&lt;dates&gt;&lt;pub-dates&gt;&lt;date&gt;Jun 24&lt;/date&gt;&lt;/pub-dates&gt;&lt;year&gt;2013&lt;/year&gt;&lt;/dates&gt;&lt;urls&gt;&lt;related-urls&gt;&lt;url&gt;&amp;lt;Go to ISI&amp;gt;://WOS:000322298000009&lt;/url&gt;&lt;/related-urls&gt;&lt;/urls&gt;&lt;isbn&gt;0945-053X&lt;/isbn&gt;&lt;titles&gt;&lt;title&gt;An inhibitor of thrombin activated fibrinolysis inhibitor (TAFI) can reduce extracellular matrix accumulation in an in vitro model of glucose induced ECM expansion&lt;/title&gt;&lt;secondary-title&gt;Matrix Biology&lt;/secondary-title&gt;&lt;/titles&gt;&lt;pages&gt;277-287&lt;/pages&gt;&lt;number&gt;5&lt;/number&gt;&lt;contributors&gt;&lt;authors&gt;&lt;author&gt;Atkinson, J. M.&lt;/author&gt;&lt;author&gt;Pullen, N.&lt;/author&gt;&lt;author&gt;Johnson, T. S.&lt;/author&gt;&lt;/authors&gt;&lt;/contributors&gt;&lt;added-date format="utc"&gt;1430215997&lt;/added-date&gt;&lt;ref-type name="Journal Article"&gt;17&lt;/ref-type&gt;&lt;rec-number&gt;716&lt;/rec-number&gt;&lt;last-updated-date format="utc"&gt;1430215997&lt;/last-updated-date&gt;&lt;accession-num&gt;WOS:000322298000009&lt;/accession-num&gt;&lt;electronic-resource-num&gt;10.1016/j.matbio.2013.01.006&lt;/electronic-resource-num&gt;&lt;volume&gt;32&lt;/volume&gt;&lt;/record&gt;&lt;/Cite&gt;&lt;/EndNote&gt;</w:instrText>
      </w:r>
      <w:r w:rsidRPr="0019139A">
        <w:rPr>
          <w:rFonts w:cs="Arial"/>
        </w:rPr>
        <w:fldChar w:fldCharType="separate"/>
      </w:r>
      <w:r w:rsidRPr="0019139A">
        <w:rPr>
          <w:rFonts w:cs="Arial"/>
          <w:noProof/>
        </w:rPr>
        <w:t>(Atkinson et al., 2013)</w:t>
      </w:r>
      <w:r w:rsidRPr="0019139A">
        <w:rPr>
          <w:rFonts w:cs="Arial"/>
        </w:rPr>
        <w:fldChar w:fldCharType="end"/>
      </w:r>
      <w:r>
        <w:rPr>
          <w:rFonts w:cs="Arial"/>
        </w:rPr>
        <w:t>.</w:t>
      </w:r>
    </w:p>
    <w:p w:rsidR="00956416" w:rsidRPr="0019139A" w:rsidRDefault="00956416" w:rsidP="00956416">
      <w:pPr>
        <w:ind w:left="720"/>
        <w:rPr>
          <w:rFonts w:cs="Arial"/>
        </w:rPr>
      </w:pPr>
      <w:r>
        <w:t xml:space="preserve">Myofibroblasts have been identified to play a major role as a cellular mediator of fibrosis. Myofibroblasts are generated from resident mesenchymal cells, epithelial and endothelial cells. They can also be generated from circulating fibroblast-like </w:t>
      </w:r>
      <w:r w:rsidRPr="006D1283">
        <w:rPr>
          <w:rFonts w:cs="Arial"/>
        </w:rPr>
        <w:t>cells</w:t>
      </w:r>
      <w:r>
        <w:rPr>
          <w:rFonts w:cs="Arial"/>
        </w:rPr>
        <w:t xml:space="preserve"> </w:t>
      </w:r>
      <w:r w:rsidRPr="006D1283">
        <w:rPr>
          <w:rFonts w:eastAsia="Times New Roman" w:cs="Arial"/>
        </w:rPr>
        <w:fldChar w:fldCharType="begin"/>
      </w:r>
      <w:r w:rsidRPr="006D1283">
        <w:rPr>
          <w:rFonts w:eastAsia="Times New Roman" w:cs="Arial"/>
        </w:rPr>
        <w:instrText xml:space="preserve"> ADDIN EN.CITE &lt;EndNote&gt;&lt;Cite&gt;&lt;Author&gt;Baum&lt;/Author&gt;&lt;Year&gt;2011&lt;/Year&gt;&lt;IDText&gt;Fibroblasts and myofibroblasts: what are we talking about?&lt;/IDText&gt;&lt;DisplayText&gt;(Baum and Duffy, 2011)&lt;/DisplayText&gt;&lt;record&gt;&lt;titles&gt;&lt;title&gt;Fibroblasts and myofibroblasts: what are we talking about?&lt;/title&gt;&lt;secondary-title&gt;Journal of cardiovascular pharmacology&lt;/secondary-title&gt;&lt;/titles&gt;&lt;pages&gt;376&lt;/pages&gt;&lt;number&gt;4&lt;/number&gt;&lt;contributors&gt;&lt;authors&gt;&lt;author&gt;Baum, Jennifer&lt;/author&gt;&lt;author&gt;Duffy, Heather S&lt;/author&gt;&lt;/authors&gt;&lt;/contributors&gt;&lt;added-date format="utc"&gt;1499297006&lt;/added-date&gt;&lt;ref-type name="Journal Article"&gt;17&lt;/ref-type&gt;&lt;dates&gt;&lt;year&gt;2011&lt;/year&gt;&lt;/dates&gt;&lt;rec-number&gt;1929&lt;/rec-number&gt;&lt;last-updated-date format="utc"&gt;1499297006&lt;/last-updated-date&gt;&lt;volume&gt;57&lt;/volume&gt;&lt;/record&gt;&lt;/Cite&gt;&lt;/EndNote&gt;</w:instrText>
      </w:r>
      <w:r w:rsidRPr="006D1283">
        <w:rPr>
          <w:rFonts w:eastAsia="Times New Roman" w:cs="Arial"/>
        </w:rPr>
        <w:fldChar w:fldCharType="separate"/>
      </w:r>
      <w:r w:rsidRPr="006D1283">
        <w:rPr>
          <w:rFonts w:eastAsia="Times New Roman" w:cs="Arial"/>
          <w:noProof/>
        </w:rPr>
        <w:t>(Baum and Duffy, 2011)</w:t>
      </w:r>
      <w:r w:rsidRPr="006D1283">
        <w:rPr>
          <w:rFonts w:eastAsia="Times New Roman" w:cs="Arial"/>
        </w:rPr>
        <w:fldChar w:fldCharType="end"/>
      </w:r>
      <w:r w:rsidRPr="006D1283">
        <w:rPr>
          <w:rFonts w:eastAsia="Times New Roman" w:cs="Arial"/>
        </w:rPr>
        <w:t xml:space="preserve">. </w:t>
      </w:r>
      <w:r w:rsidRPr="006D1283">
        <w:rPr>
          <w:rFonts w:cs="Arial"/>
        </w:rPr>
        <w:t>Therefore</w:t>
      </w:r>
      <w:r>
        <w:t xml:space="preserve"> the prerequisite to a successful and logical study was the selection of kidney cell lines that were involved in plasmin, uPA, tPA, and CPB2 secretion within the renal system and the deposition of ECM in the renal system. The cells used were rat proximal tubular epithelial-like cells (NRK52E), fibroblast-like cells (NRK49F) and rat mesangial cells (CRL2573). NRK52E (epithelioid) and NRK49F (fibroblast) clones were isolated from a normal rat kidney line NRK (LarcoTodaro et al., 1978</w:t>
      </w:r>
      <w:r w:rsidR="00E67361">
        <w:t>,</w:t>
      </w:r>
      <w:r w:rsidR="00E67361" w:rsidRPr="00E67361">
        <w:rPr>
          <w:rFonts w:cs="Arial"/>
          <w:noProof/>
        </w:rPr>
        <w:t xml:space="preserve"> </w:t>
      </w:r>
      <w:r w:rsidR="00E67361" w:rsidRPr="0019139A">
        <w:rPr>
          <w:rFonts w:cs="Arial"/>
          <w:noProof/>
        </w:rPr>
        <w:t>Atkinson et al., 2013</w:t>
      </w:r>
      <w:r w:rsidR="00E67361">
        <w:t>,</w:t>
      </w:r>
      <w:r>
        <w:t>) while CRL2573 (kidney mesangial cells) were isolated from Sprague-Dawley rats (Encarnacion et al., 2011</w:t>
      </w:r>
      <w:r w:rsidRPr="0019139A">
        <w:rPr>
          <w:rFonts w:cs="Arial"/>
        </w:rPr>
        <w:fldChar w:fldCharType="begin"/>
      </w:r>
      <w:r w:rsidRPr="0019139A">
        <w:rPr>
          <w:rFonts w:cs="Arial"/>
        </w:rPr>
        <w:instrText xml:space="preserve"> ADDIN EN.CITE &lt;EndNote&gt;&lt;Cite&gt;&lt;Author&gt;Atkinson&lt;/Author&gt;&lt;Year&gt;2013&lt;/Year&gt;&lt;IDText&gt;An inhibitor of thrombin activated fibrinolysis inhibitor (TAFI) can reduce extracellular matrix accumulation in an in vitro model of glucose induced ECM expansion&lt;/IDText&gt;&lt;DisplayText&gt;(Atkinson et al., 2013)&lt;/DisplayText&gt;&lt;record&gt;&lt;dates&gt;&lt;pub-dates&gt;&lt;date&gt;Jun 24&lt;/date&gt;&lt;/pub-dates&gt;&lt;year&gt;2013&lt;/year&gt;&lt;/dates&gt;&lt;urls&gt;&lt;related-urls&gt;&lt;url&gt;&amp;lt;Go to ISI&amp;gt;://WOS:000322298000009&lt;/url&gt;&lt;/related-urls&gt;&lt;/urls&gt;&lt;isbn&gt;0945-053X&lt;/isbn&gt;&lt;titles&gt;&lt;title&gt;An inhibitor of thrombin activated fibrinolysis inhibitor (TAFI) can reduce extracellular matrix accumulation in an in vitro model of glucose induced ECM expansion&lt;/title&gt;&lt;secondary-title&gt;Matrix Biology&lt;/secondary-title&gt;&lt;/titles&gt;&lt;pages&gt;277-287&lt;/pages&gt;&lt;number&gt;5&lt;/number&gt;&lt;contributors&gt;&lt;authors&gt;&lt;author&gt;Atkinson, J. M.&lt;/author&gt;&lt;author&gt;Pullen, N.&lt;/author&gt;&lt;author&gt;Johnson, T. S.&lt;/author&gt;&lt;/authors&gt;&lt;/contributors&gt;&lt;added-date format="utc"&gt;1430215997&lt;/added-date&gt;&lt;ref-type name="Journal Article"&gt;17&lt;/ref-type&gt;&lt;rec-number&gt;716&lt;/rec-number&gt;&lt;last-updated-date format="utc"&gt;1430215997&lt;/last-updated-date&gt;&lt;accession-num&gt;WOS:000322298000009&lt;/accession-num&gt;&lt;electronic-resource-num&gt;10.1016/j.matbio.2013.01.006&lt;/electronic-resource-num&gt;&lt;volume&gt;32&lt;/volume&gt;&lt;/record&gt;&lt;/Cite&gt;&lt;/EndNote&gt;</w:instrText>
      </w:r>
      <w:r w:rsidRPr="0019139A">
        <w:rPr>
          <w:rFonts w:cs="Arial"/>
        </w:rPr>
        <w:fldChar w:fldCharType="separate"/>
      </w:r>
      <w:r w:rsidRPr="0019139A">
        <w:rPr>
          <w:rFonts w:cs="Arial"/>
          <w:noProof/>
        </w:rPr>
        <w:t>)</w:t>
      </w:r>
      <w:r w:rsidRPr="0019139A">
        <w:rPr>
          <w:rFonts w:cs="Arial"/>
        </w:rPr>
        <w:fldChar w:fldCharType="end"/>
      </w:r>
    </w:p>
    <w:p w:rsidR="00956416" w:rsidRDefault="00956416" w:rsidP="00956416">
      <w:pPr>
        <w:ind w:left="720"/>
      </w:pPr>
      <w:r>
        <w:lastRenderedPageBreak/>
        <w:t>With the advent of renal injury the epithelial cells, the mesangial cells and fibroblasts get involved in the process of collagen synthesis and subsequent accumulation of ECM. (El Nahas, 2003). There is evidence to show that fibroblasts are involved in the proliferation of interstitial fibrosis (Nishitani et al., 2005). Fibroblasts are also a major source of collagen I and III.  In renal scarring mesangial cells proliferate and deposit their own matrix which is rich in collagen IV and different from the ECM of the glomerulus (Couchman et al., 1994).</w:t>
      </w:r>
    </w:p>
    <w:p w:rsidR="00956416" w:rsidRPr="00956416" w:rsidRDefault="00956416" w:rsidP="00956416">
      <w:pPr>
        <w:ind w:left="720"/>
      </w:pPr>
      <w:r>
        <w:t>In conclusion, the three types of cells; epithelial, fibroblast and mesangial are all involved in the turnover (synthesis and breakdown) of ECM and the development of renal fibrosis.</w:t>
      </w:r>
    </w:p>
    <w:p w:rsidR="00C7048E" w:rsidRPr="00631D41" w:rsidRDefault="00022AAD" w:rsidP="00631D41">
      <w:pPr>
        <w:pStyle w:val="Heading3"/>
        <w:ind w:left="720"/>
      </w:pPr>
      <w:bookmarkStart w:id="371" w:name="_2dlolyb" w:colFirst="0" w:colLast="0"/>
      <w:bookmarkStart w:id="372" w:name="_Toc506232400"/>
      <w:bookmarkEnd w:id="371"/>
      <w:r>
        <w:t>5.2 Determination of serine p</w:t>
      </w:r>
      <w:r w:rsidR="00C7048E" w:rsidRPr="00631D41">
        <w:t>roteinase activities in NRK52E, NRK49F and CRL2573 cells</w:t>
      </w:r>
      <w:r w:rsidR="00151524">
        <w:t>.</w:t>
      </w:r>
      <w:bookmarkEnd w:id="372"/>
    </w:p>
    <w:p w:rsidR="00C7048E" w:rsidRDefault="00C7048E" w:rsidP="00631D41">
      <w:pPr>
        <w:pStyle w:val="Heading4"/>
        <w:ind w:firstLine="720"/>
      </w:pPr>
      <w:bookmarkStart w:id="373" w:name="_sqyw64" w:colFirst="0" w:colLast="0"/>
      <w:bookmarkStart w:id="374" w:name="_Toc506232401"/>
      <w:bookmarkEnd w:id="373"/>
      <w:r>
        <w:t>5.2.1 Plasmin</w:t>
      </w:r>
      <w:bookmarkEnd w:id="374"/>
    </w:p>
    <w:p w:rsidR="00956416" w:rsidRDefault="00956416" w:rsidP="00956416">
      <w:pPr>
        <w:ind w:left="720"/>
      </w:pPr>
      <w:r>
        <w:t>A standard plasmin activity curve was conducted using the plasmin substrate D-Val-Leu-Lys-</w:t>
      </w:r>
      <w:r>
        <w:rPr>
          <w:i/>
        </w:rPr>
        <w:t>p</w:t>
      </w:r>
      <w:r>
        <w:t>-nitroanilide (</w:t>
      </w:r>
      <w:r w:rsidR="00192240">
        <w:t>Sumi et al., 1998) (Section 2.7.5</w:t>
      </w:r>
      <w:r>
        <w:t>). The curve obtained at A</w:t>
      </w:r>
      <w:r>
        <w:rPr>
          <w:vertAlign w:val="subscript"/>
        </w:rPr>
        <w:t>405</w:t>
      </w:r>
      <w:r>
        <w:t xml:space="preserve"> shows a linear trend up to Abs 1.0 which then flattens out thereafter possibly due to a combined effect of substrate de</w:t>
      </w:r>
      <w:r w:rsidR="00192240">
        <w:t>pletion and Beer’s l</w:t>
      </w:r>
      <w:r w:rsidR="00270C5D">
        <w:t>aw (Fig 2.16</w:t>
      </w:r>
      <w:r>
        <w:t>). This means that up to Abs of 1.0 the relationship between enzyme activity and A</w:t>
      </w:r>
      <w:r>
        <w:rPr>
          <w:vertAlign w:val="subscript"/>
        </w:rPr>
        <w:t>405</w:t>
      </w:r>
      <w:r>
        <w:t xml:space="preserve"> approximates to linear. </w:t>
      </w:r>
    </w:p>
    <w:p w:rsidR="00956416" w:rsidRPr="00956416" w:rsidRDefault="00956416" w:rsidP="00956416">
      <w:pPr>
        <w:ind w:left="720"/>
      </w:pPr>
      <w:r>
        <w:t>Plasmin activity was then assessed in our cell lines (NRK52E, NRK49F and CRL2573) cultured at 1.5-2.0 X 10</w:t>
      </w:r>
      <w:r>
        <w:rPr>
          <w:vertAlign w:val="superscript"/>
        </w:rPr>
        <w:t>5</w:t>
      </w:r>
      <w:r>
        <w:t xml:space="preserve"> cells/ml on both fibrin and plastic. 2 mls of 24hr conditioned phenol-red free/serum-free media were assayed for plasmin. Fig 5.1 shows plasmin activity in the three cell lines in the presence of fibrin gel with highest plasmin activity in the epithelial like cells (NRK52E) followed by the mesangial cells (CRL2573) and the fibroblast like cells (NRK49F). It also shows plasmin activity on plastic. A similar trend with what was obtained on fibrin gel was seen with highest plasmin activity in the epithelial like cells (NRK52E) followed by the mesangial cells (CRL2573) and the fibroblasts (NRK49F) with the least activity. The figure also compares </w:t>
      </w:r>
      <w:r>
        <w:lastRenderedPageBreak/>
        <w:t xml:space="preserve">plasmin activity between the cells cultured on fibrin with those cultured on plastic. A. significant increase in plasmin activity from epithelial cells and mesangial cells cultured on fibrin compared to those cultured on plastic was demonstrated.  </w:t>
      </w:r>
    </w:p>
    <w:p w:rsidR="00C7048E" w:rsidRDefault="00C7048E" w:rsidP="00C7048E">
      <w:pPr>
        <w:spacing w:after="160"/>
        <w:rPr>
          <w:rFonts w:ascii="Times New Roman" w:eastAsia="Times New Roman" w:hAnsi="Times New Roman"/>
        </w:rPr>
      </w:pPr>
    </w:p>
    <w:p w:rsidR="00C7048E" w:rsidRDefault="00617F70" w:rsidP="003F205B">
      <w:pPr>
        <w:spacing w:after="160"/>
        <w:ind w:firstLine="720"/>
        <w:rPr>
          <w:rFonts w:ascii="Times New Roman" w:eastAsia="Times New Roman" w:hAnsi="Times New Roman"/>
        </w:rPr>
      </w:pPr>
      <w:r>
        <w:rPr>
          <w:noProof/>
          <w:lang w:eastAsia="en-GB"/>
        </w:rPr>
        <mc:AlternateContent>
          <mc:Choice Requires="wps">
            <w:drawing>
              <wp:anchor distT="0" distB="0" distL="114300" distR="114300" simplePos="0" relativeHeight="251848704" behindDoc="0" locked="0" layoutInCell="1" hidden="0" allowOverlap="1" wp14:anchorId="563EA58B" wp14:editId="3C61B045">
                <wp:simplePos x="0" y="0"/>
                <wp:positionH relativeFrom="margin">
                  <wp:posOffset>3343275</wp:posOffset>
                </wp:positionH>
                <wp:positionV relativeFrom="paragraph">
                  <wp:posOffset>847725</wp:posOffset>
                </wp:positionV>
                <wp:extent cx="354648" cy="368300"/>
                <wp:effectExtent l="0" t="0" r="0" b="0"/>
                <wp:wrapNone/>
                <wp:docPr id="175" name="Rectangle 175"/>
                <wp:cNvGraphicFramePr/>
                <a:graphic xmlns:a="http://schemas.openxmlformats.org/drawingml/2006/main">
                  <a:graphicData uri="http://schemas.microsoft.com/office/word/2010/wordprocessingShape">
                    <wps:wsp>
                      <wps:cNvSpPr/>
                      <wps:spPr>
                        <a:xfrm>
                          <a:off x="0" y="0"/>
                          <a:ext cx="354648" cy="368300"/>
                        </a:xfrm>
                        <a:prstGeom prst="rect">
                          <a:avLst/>
                        </a:prstGeom>
                        <a:noFill/>
                        <a:ln>
                          <a:noFill/>
                        </a:ln>
                      </wps:spPr>
                      <wps:txbx>
                        <w:txbxContent>
                          <w:p w:rsidR="00AD6A02" w:rsidRDefault="00AD6A02" w:rsidP="00C7048E">
                            <w:pPr>
                              <w:spacing w:after="0"/>
                              <w:textDirection w:val="btLr"/>
                            </w:pPr>
                            <w:r>
                              <w:rPr>
                                <w:rFonts w:ascii="Calibri" w:eastAsia="Calibri" w:hAnsi="Calibri" w:cs="Calibri"/>
                                <w:color w:val="000000"/>
                              </w:rPr>
                              <w:t>**</w:t>
                            </w:r>
                          </w:p>
                        </w:txbxContent>
                      </wps:txbx>
                      <wps:bodyPr wrap="square" lIns="88900" tIns="38100" rIns="88900" bIns="38100" anchor="t" anchorCtr="0"/>
                    </wps:wsp>
                  </a:graphicData>
                </a:graphic>
                <wp14:sizeRelH relativeFrom="margin">
                  <wp14:pctWidth>0</wp14:pctWidth>
                </wp14:sizeRelH>
              </wp:anchor>
            </w:drawing>
          </mc:Choice>
          <mc:Fallback>
            <w:pict>
              <v:rect w14:anchorId="563EA58B" id="Rectangle 175" o:spid="_x0000_s1116" style="position:absolute;left:0;text-align:left;margin-left:263.25pt;margin-top:66.75pt;width:27.95pt;height:29pt;z-index:251848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2GGrwEAAFADAAAOAAAAZHJzL2Uyb0RvYy54bWysU9tO4zAQfUfiHyy/U6cUSoia8rCI1Upo&#10;FwH7Aa5jN5Z8Y2ya9O8Zu6UUeFvtizu3zpxzZrK4Ga0hGwlRe9fS6aSiRDrhO+3WLf37fHdWUxIT&#10;dx033smWbmWkN8vTk8UQGnnue286CQSbuNgMoaV9SqFhLIpeWh4nPkiHSeXB8oQurFkHfMDu1rDz&#10;qpqzwUMXwAsZI0Zvd0m6LP2VkiL9USrKRExLEVsqL5R3lV+2XPBmDTz0Wuxh8H9AYbl2OPTQ6pYn&#10;Tl5Bf2tltQAfvUoT4S3zSmkhCwdkM62+sHnqeZCFC4oTw0Gm+P/ait+bByC6w91dXVLiuMUlPaJs&#10;3K2NJDmIEg0hNlj5FB5g70U0M99Rgc2/yISMRdbtQVY5JiIwOLu8mF/gHQhMzeb1rCqys48/B4jp&#10;p/SWZKOlgOOLmHxzHxMOxNL3kjzL+TttTNmccZ8CWJgjLOPdIcxWGldjoXhdBufQyndb5D3g4lsa&#10;X145SErML4fK1vU1AiSpOLN6mh04zqyOM9yJ3uM9JUp25o9UriujzoNwbQX//sTyXRz7perjQ1i+&#10;AQAA//8DAFBLAwQUAAYACAAAACEADgBTFeAAAAALAQAADwAAAGRycy9kb3ducmV2LnhtbEyPQU+D&#10;QBCF7yb+h82YeLNLoTQVWZpqYi+NB1t/wMKOQMrOIrtQ9Nc7PeltZt7Lm+/l29l2YsLBt44ULBcR&#10;CKTKmZZqBR+n14cNCB80Gd05QgXf6GFb3N7kOjPuQu84HUMtOIR8phU0IfSZlL5q0Gq/cD0Sa59u&#10;sDrwOtTSDPrC4baTcRStpdUt8YdG9/jSYHU+jlbB9NOvnvetcefd19tcHsZ9cmqtUvd38+4JRMA5&#10;/Jnhis/oUDBT6UYyXnQK0nidspWFJOGBHekmXoEo+fK4TEEWufzfofgFAAD//wMAUEsBAi0AFAAG&#10;AAgAAAAhALaDOJL+AAAA4QEAABMAAAAAAAAAAAAAAAAAAAAAAFtDb250ZW50X1R5cGVzXS54bWxQ&#10;SwECLQAUAAYACAAAACEAOP0h/9YAAACUAQAACwAAAAAAAAAAAAAAAAAvAQAAX3JlbHMvLnJlbHNQ&#10;SwECLQAUAAYACAAAACEANHNhhq8BAABQAwAADgAAAAAAAAAAAAAAAAAuAgAAZHJzL2Uyb0RvYy54&#10;bWxQSwECLQAUAAYACAAAACEADgBTFeAAAAALAQAADwAAAAAAAAAAAAAAAAAJBAAAZHJzL2Rvd25y&#10;ZXYueG1sUEsFBgAAAAAEAAQA8wAAABYFAAAAAA==&#10;" filled="f" stroked="f">
                <v:textbox inset="7pt,3pt,7pt,3pt">
                  <w:txbxContent>
                    <w:p w:rsidR="00AD6A02" w:rsidRDefault="00AD6A02" w:rsidP="00C7048E">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1865088" behindDoc="0" locked="0" layoutInCell="1" allowOverlap="1" wp14:anchorId="0DD4A58E" wp14:editId="31DFECBD">
                <wp:simplePos x="0" y="0"/>
                <wp:positionH relativeFrom="margin">
                  <wp:posOffset>3489642</wp:posOffset>
                </wp:positionH>
                <wp:positionV relativeFrom="paragraph">
                  <wp:posOffset>879793</wp:posOffset>
                </wp:positionV>
                <wp:extent cx="45719" cy="405130"/>
                <wp:effectExtent l="0" t="84772" r="22542" b="22543"/>
                <wp:wrapNone/>
                <wp:docPr id="70" name="Right Brace 1"/>
                <wp:cNvGraphicFramePr/>
                <a:graphic xmlns:a="http://schemas.openxmlformats.org/drawingml/2006/main">
                  <a:graphicData uri="http://schemas.microsoft.com/office/word/2010/wordprocessingShape">
                    <wps:wsp>
                      <wps:cNvSpPr/>
                      <wps:spPr>
                        <a:xfrm rot="16200000" flipV="1">
                          <a:off x="0" y="0"/>
                          <a:ext cx="45719" cy="405130"/>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7A34B94" id="Right Brace 1" o:spid="_x0000_s1026" type="#_x0000_t88" style="position:absolute;margin-left:274.75pt;margin-top:69.3pt;width:3.6pt;height:31.9pt;rotation:90;flip:y;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9coMAIAAG0EAAAOAAAAZHJzL2Uyb0RvYy54bWysVE1v2zAMvQ/YfxB0XxwnTZoFcYqtQXYZ&#10;tmLtemdlydagr0lKnPz7UbKTJeutmA8CRVGPfI+iV3cHrcie+yCtqWg5GlPCDbO1NE1Ffz5tPywo&#10;CRFMDcoaXtEjD/Ru/f7dqnNLPrGtVTX3BEFMWHauom2MblkUgbVcQxhZxw0eCus1RNz6pqg9dIiu&#10;VTEZj+dFZ33tvGU8BPRu+kO6zvhCcBa/CxF4JKqiWFvMq8/rS1qL9QqWjQfXSjaUAW+oQoM0mPQM&#10;tYEIZOflKygtmbfBijhiVhdWCMl45oBsyvE/bB5bcDxzQXGCO8sU/h8s+7Z/8ETWFb1FeQxo7NEP&#10;2bSRfPbAOCmTQp0LSwx8dA9+2AU0E92D8Jp4i7KWc2wHfpQIJd0zOrIeyJAcstzHs9z8EAlD583s&#10;tvxICcOTm/GsnOZuFD1oAnc+xC/capKMivpUVq4qI8P+a4hZ8nqoG+pfJabXCju4B0UW0+l0aPBF&#10;yOQyZDZZTOYpBtMOgGidEif0YJWst1KpvDmGe+UJglcUH2FtO0oUhIjOim7zN4BdXVOGdBWdT2eo&#10;DgN85UJBRFM71D2YhhJQDY4Piz5Tu7ocXuV8QgEv8mbZT9pdXU08NhDavuB81OuhZcSpU1JXdNF3&#10;rZdAmcSS57lBdZMz9b7vdrJebH3E99LhwGDlv3fgOSU+qnvbzxcY1lrU4sTE2E+7aIU8Q/UAAy6+&#10;6az8MH9paC73OervX2L9BwAA//8DAFBLAwQUAAYACAAAACEAPB/6KeAAAAALAQAADwAAAGRycy9k&#10;b3ducmV2LnhtbEyPwU7DMBBE70j8g7VI3KiTlIQ2jVMhpApOlVpQe3WTrRMRr0PspuHvWU5w3Jmn&#10;2ZliPdlOjDj41pGCeBaBQKpc3ZJR8PG+eViA8EFTrTtHqOAbPazL25tC57W70g7HfTCCQ8jnWkET&#10;Qp9L6asGrfYz1yOxd3aD1YHPwch60FcOt51MoiiTVrfEHxrd40uD1ef+YhV8yXM4bLejNcuNiebH&#10;w+tk3+ZK3d9NzysQAafwB8Nvfa4OJXc6uQvVXnQK0iROGGUjy5YgmEgXKa87sfL0GIMsC/l/Q/kD&#10;AAD//wMAUEsBAi0AFAAGAAgAAAAhALaDOJL+AAAA4QEAABMAAAAAAAAAAAAAAAAAAAAAAFtDb250&#10;ZW50X1R5cGVzXS54bWxQSwECLQAUAAYACAAAACEAOP0h/9YAAACUAQAACwAAAAAAAAAAAAAAAAAv&#10;AQAAX3JlbHMvLnJlbHNQSwECLQAUAAYACAAAACEAB2vXKDACAABtBAAADgAAAAAAAAAAAAAAAAAu&#10;AgAAZHJzL2Uyb0RvYy54bWxQSwECLQAUAAYACAAAACEAPB/6KeAAAAALAQAADwAAAAAAAAAAAAAA&#10;AACKBAAAZHJzL2Rvd25yZXYueG1sUEsFBgAAAAAEAAQA8wAAAJcFAAAAAA==&#10;" adj="203,11410" filled="t" fillcolor="window" strokecolor="windowText" strokeweight=".5pt">
                <v:stroke joinstyle="miter"/>
                <w10:wrap anchorx="margin"/>
              </v:shape>
            </w:pict>
          </mc:Fallback>
        </mc:AlternateContent>
      </w:r>
      <w:r w:rsidR="003F205B">
        <w:rPr>
          <w:noProof/>
          <w:lang w:eastAsia="en-GB"/>
        </w:rPr>
        <mc:AlternateContent>
          <mc:Choice Requires="wps">
            <w:drawing>
              <wp:anchor distT="0" distB="0" distL="114300" distR="114300" simplePos="0" relativeHeight="251847680" behindDoc="0" locked="0" layoutInCell="1" hidden="0" allowOverlap="1" wp14:anchorId="3B6AD5CB" wp14:editId="0C989FFF">
                <wp:simplePos x="0" y="0"/>
                <wp:positionH relativeFrom="margin">
                  <wp:posOffset>1368742</wp:posOffset>
                </wp:positionH>
                <wp:positionV relativeFrom="paragraph">
                  <wp:posOffset>170815</wp:posOffset>
                </wp:positionV>
                <wp:extent cx="457200" cy="368300"/>
                <wp:effectExtent l="0" t="0" r="0" b="0"/>
                <wp:wrapNone/>
                <wp:docPr id="166" name="Rectangle 166"/>
                <wp:cNvGraphicFramePr/>
                <a:graphic xmlns:a="http://schemas.openxmlformats.org/drawingml/2006/main">
                  <a:graphicData uri="http://schemas.microsoft.com/office/word/2010/wordprocessingShape">
                    <wps:wsp>
                      <wps:cNvSpPr/>
                      <wps:spPr>
                        <a:xfrm>
                          <a:off x="0" y="0"/>
                          <a:ext cx="457200" cy="368300"/>
                        </a:xfrm>
                        <a:prstGeom prst="rect">
                          <a:avLst/>
                        </a:prstGeom>
                        <a:noFill/>
                        <a:ln>
                          <a:noFill/>
                        </a:ln>
                      </wps:spPr>
                      <wps:txbx>
                        <w:txbxContent>
                          <w:p w:rsidR="00AD6A02" w:rsidRDefault="00AD6A02" w:rsidP="00C7048E">
                            <w:pPr>
                              <w:spacing w:after="0"/>
                              <w:textDirection w:val="btLr"/>
                            </w:pPr>
                            <w:r>
                              <w:rPr>
                                <w:rFonts w:ascii="Calibri" w:eastAsia="Calibri" w:hAnsi="Calibri" w:cs="Calibri"/>
                                <w:color w:val="000000"/>
                              </w:rPr>
                              <w:t>****</w:t>
                            </w:r>
                          </w:p>
                        </w:txbxContent>
                      </wps:txbx>
                      <wps:bodyPr lIns="88900" tIns="38100" rIns="88900" bIns="38100" anchor="t" anchorCtr="0"/>
                    </wps:wsp>
                  </a:graphicData>
                </a:graphic>
              </wp:anchor>
            </w:drawing>
          </mc:Choice>
          <mc:Fallback>
            <w:pict>
              <v:rect w14:anchorId="3B6AD5CB" id="Rectangle 166" o:spid="_x0000_s1117" style="position:absolute;left:0;text-align:left;margin-left:107.75pt;margin-top:13.45pt;width:36pt;height:29pt;z-index:251847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rTowEAAEIDAAAOAAAAZHJzL2Uyb0RvYy54bWysUttuEzEQfUfiHyy/EycNhO0qmz5QFVWq&#10;oKLwAROvnbXkm8Ymu/n7jp00TeEN8eKd256Zc2bWN5OzbK8wmeA7vpjNOVNeht74Xcd//bz70HCW&#10;MvgebPCq4weV+M3m/bv1GFt1FYZge4WMQHxqx9jxIefYCpHkoBykWYjKU1IHdJDJxZ3oEUZCd1Zc&#10;zecrMQbsIwapUqLo7THJNxVfayXzd62Tysx2nGbL9cX6bssrNmtodwhxMPI0BvzDFA6Mp6ZnqFvI&#10;wH6j+QvKGYkhBZ1nMjgRtDZSVQ7EZjH/g83TAFFVLiROimeZ0v+Dld/2j8hMT7tbrTjz4GhJP0g2&#10;8DurWAmSRGNMLVU+xUc8eYnMwnfS6MqXmLCpyno4y6qmzCQFP376TKviTFJquWqWZBOKeP05Yspf&#10;VXCsGB1Hal/FhP1DysfSl5LSy4c7Yy3FobX+TYAwS0SUeY8TFitP26lSvF68kNmG/kC87b0nLZvm&#10;uoyXq7NsFsXBy8z2MgNeDoEuKHN2NL/kek9lztKNFlXJnY6qXMKlX6teT3/zDAAA//8DAFBLAwQU&#10;AAYACAAAACEAv38fyt8AAAAJAQAADwAAAGRycy9kb3ducmV2LnhtbEyPz06DQBCH7ya+w2ZMvNml&#10;2FZKWZpqYi+mB1sfYGGnQMrOIrtQ9OkdT3qbP19+8022nWwrRux940jBfBaBQCqdaahS8HF6fUhA&#10;+KDJ6NYRKvhCD9v89ibTqXFXesfxGCrBIeRTraAOoUul9GWNVvuZ65B4d3a91YHbvpKm11cOt62M&#10;o2glrW6IL9S6w5cay8txsArG727xvG+Mu+w+D1PxNuwfT41V6v5u2m1ABJzCHwy/+qwOOTsVbiDj&#10;Rasgni+XjHKxWoNgIE6eeFAoSBZrkHkm/3+Q/wAAAP//AwBQSwECLQAUAAYACAAAACEAtoM4kv4A&#10;AADhAQAAEwAAAAAAAAAAAAAAAAAAAAAAW0NvbnRlbnRfVHlwZXNdLnhtbFBLAQItABQABgAIAAAA&#10;IQA4/SH/1gAAAJQBAAALAAAAAAAAAAAAAAAAAC8BAABfcmVscy8ucmVsc1BLAQItABQABgAIAAAA&#10;IQCVijrTowEAAEIDAAAOAAAAAAAAAAAAAAAAAC4CAABkcnMvZTJvRG9jLnhtbFBLAQItABQABgAI&#10;AAAAIQC/fx/K3wAAAAkBAAAPAAAAAAAAAAAAAAAAAP0DAABkcnMvZG93bnJldi54bWxQSwUGAAAA&#10;AAQABADzAAAACQUAAAAA&#10;" filled="f" stroked="f">
                <v:textbox inset="7pt,3pt,7pt,3pt">
                  <w:txbxContent>
                    <w:p w:rsidR="00AD6A02" w:rsidRDefault="00AD6A02" w:rsidP="00C7048E">
                      <w:pPr>
                        <w:spacing w:after="0"/>
                        <w:textDirection w:val="btLr"/>
                      </w:pPr>
                      <w:r>
                        <w:rPr>
                          <w:rFonts w:ascii="Calibri" w:eastAsia="Calibri" w:hAnsi="Calibri" w:cs="Calibri"/>
                          <w:color w:val="000000"/>
                        </w:rPr>
                        <w:t>****</w:t>
                      </w:r>
                    </w:p>
                  </w:txbxContent>
                </v:textbox>
                <w10:wrap anchorx="margin"/>
              </v:rect>
            </w:pict>
          </mc:Fallback>
        </mc:AlternateContent>
      </w:r>
      <w:r w:rsidR="003F205B">
        <w:rPr>
          <w:noProof/>
          <w:lang w:eastAsia="en-GB"/>
        </w:rPr>
        <mc:AlternateContent>
          <mc:Choice Requires="wps">
            <w:drawing>
              <wp:anchor distT="0" distB="0" distL="114300" distR="114300" simplePos="0" relativeHeight="251863040" behindDoc="0" locked="0" layoutInCell="1" allowOverlap="1" wp14:anchorId="2D4F58FE" wp14:editId="5815DCDE">
                <wp:simplePos x="0" y="0"/>
                <wp:positionH relativeFrom="margin">
                  <wp:posOffset>1544637</wp:posOffset>
                </wp:positionH>
                <wp:positionV relativeFrom="paragraph">
                  <wp:posOffset>235903</wp:posOffset>
                </wp:positionV>
                <wp:extent cx="56515" cy="405447"/>
                <wp:effectExtent l="0" t="79057" r="16827" b="16828"/>
                <wp:wrapNone/>
                <wp:docPr id="69" name="Right Brace 1"/>
                <wp:cNvGraphicFramePr/>
                <a:graphic xmlns:a="http://schemas.openxmlformats.org/drawingml/2006/main">
                  <a:graphicData uri="http://schemas.microsoft.com/office/word/2010/wordprocessingShape">
                    <wps:wsp>
                      <wps:cNvSpPr/>
                      <wps:spPr>
                        <a:xfrm rot="16200000" flipV="1">
                          <a:off x="0" y="0"/>
                          <a:ext cx="56515" cy="405447"/>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AA5C2C" id="Right Brace 1" o:spid="_x0000_s1026" type="#_x0000_t88" style="position:absolute;margin-left:121.6pt;margin-top:18.6pt;width:4.45pt;height:31.9pt;rotation:90;flip:y;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hCMQIAAG0EAAAOAAAAZHJzL2Uyb0RvYy54bWysVE2P0zAQvSPxHyzfaZq2KaVquoKtygXB&#10;anfhPuvYiZG/sL1N++8ZO9nSsjdEDpY9tt+898aTzc1RK3LgPkhralpOppRww2wjTVvT74/7dytK&#10;QgTTgLKG1/TEA73Zvn2z6d2az2xnVcM9QRAT1r2raRejWxdFYB3XECbWcYObwnoNEZe+LRoPPaJr&#10;Vcym02XRW984bxkPAaO7YZNuM74QnMVvQgQeiaopcot59Hl8SmOx3cC69eA6yUYa8A8sNEiDSc9Q&#10;O4hAnr18BaUl8zZYESfM6sIKIRnPGlBNOf1LzUMHjmctaE5wZ5vC/4NlXw93nsimpssPlBjQWKN7&#10;2XaRfPLAOCmTQ70Lazz44O78uAo4TXKPwmviLdpaLrEc+FEilHQ/MJD9QIXkmO0+ne3mx0gYBqtl&#10;VVaUMNxZTKvF4n3KVQygCdz5ED9zq0ma1NQnWplVRobDlxCz5c3IG5qfJabXCit4AEVW8/l8LPDF&#10;kdnlkWq2mi3HtCMgEnhJnNCDVbLZS6Xy4hRulScIXlN8hI3tKVEQIgZrus/fCHZ1TRnSo8HzCt1h&#10;gK9cKIg41Q59D6alBFSL7cOiz9KuLodXOR/RwIu82fb8kpH61dWkYwehGwjnrcEPLSN2nZK6pquh&#10;aoPzyiSVPPcNupuCqfZDtdPsyTYnfC89Ngwy//UMnlPio7q1Q3+BYZ1FL16UGPvxOVohz1ADwIiL&#10;bzoXfOy/1DSX63zqz19i+xsAAP//AwBQSwMEFAAGAAgAAAAhADu2ebHhAAAACQEAAA8AAABkcnMv&#10;ZG93bnJldi54bWxMj0FPg0AQhe8m/ofNmHizS7GligyNMdHooW2sHvQ2hRFQdpewC8V/73jS27zM&#10;y3vfy9aTadXIvW+cRZjPIlBsC1c2tkJ4fbm/uALlA9mSWmcZ4Zs9rPPTk4zS0h3tM4/7UCkJsT4l&#10;hDqELtXaFzUb8jPXsZXfh+sNBZF9pcuejhJuWh1HUaINNVYaaur4rubiaz8YhMXjOLxttf6MdtuH&#10;96p7omm3IcTzs+n2BlTgKfyZ4Rdf0CEXpoMbbOlVixDPl4IeEJJFAkoM8epajgPC6nIJOs/0/wX5&#10;DwAAAP//AwBQSwECLQAUAAYACAAAACEAtoM4kv4AAADhAQAAEwAAAAAAAAAAAAAAAAAAAAAAW0Nv&#10;bnRlbnRfVHlwZXNdLnhtbFBLAQItABQABgAIAAAAIQA4/SH/1gAAAJQBAAALAAAAAAAAAAAAAAAA&#10;AC8BAABfcmVscy8ucmVsc1BLAQItABQABgAIAAAAIQCGUrhCMQIAAG0EAAAOAAAAAAAAAAAAAAAA&#10;AC4CAABkcnMvZTJvRG9jLnhtbFBLAQItABQABgAIAAAAIQA7tnmx4QAAAAkBAAAPAAAAAAAAAAAA&#10;AAAAAIsEAABkcnMvZG93bnJldi54bWxQSwUGAAAAAAQABADzAAAAmQUAAAAA&#10;" adj="251,11410" filled="t" fillcolor="window" strokecolor="windowText" strokeweight=".5pt">
                <v:stroke joinstyle="miter"/>
                <w10:wrap anchorx="margin"/>
              </v:shape>
            </w:pict>
          </mc:Fallback>
        </mc:AlternateContent>
      </w:r>
      <w:r w:rsidR="00C7048E">
        <w:rPr>
          <w:noProof/>
          <w:lang w:eastAsia="en-GB"/>
        </w:rPr>
        <w:drawing>
          <wp:inline distT="0" distB="0" distL="114300" distR="114300" wp14:anchorId="117DA4C5" wp14:editId="1C26DD61">
            <wp:extent cx="5467350" cy="2247900"/>
            <wp:effectExtent l="0" t="0" r="0" b="0"/>
            <wp:docPr id="5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23"/>
                    <a:srcRect/>
                    <a:stretch>
                      <a:fillRect/>
                    </a:stretch>
                  </pic:blipFill>
                  <pic:spPr>
                    <a:xfrm>
                      <a:off x="0" y="0"/>
                      <a:ext cx="5467350" cy="2247900"/>
                    </a:xfrm>
                    <a:prstGeom prst="rect">
                      <a:avLst/>
                    </a:prstGeom>
                    <a:ln/>
                  </pic:spPr>
                </pic:pic>
              </a:graphicData>
            </a:graphic>
          </wp:inline>
        </w:drawing>
      </w:r>
      <w:r w:rsidR="00C7048E">
        <w:rPr>
          <w:noProof/>
          <w:lang w:eastAsia="en-GB"/>
        </w:rPr>
        <mc:AlternateContent>
          <mc:Choice Requires="wps">
            <w:drawing>
              <wp:anchor distT="0" distB="0" distL="114300" distR="114300" simplePos="0" relativeHeight="251845632" behindDoc="0" locked="0" layoutInCell="1" hidden="0" allowOverlap="1" wp14:anchorId="1A07947A" wp14:editId="2FD7D5AD">
                <wp:simplePos x="0" y="0"/>
                <wp:positionH relativeFrom="margin">
                  <wp:posOffset>889000</wp:posOffset>
                </wp:positionH>
                <wp:positionV relativeFrom="paragraph">
                  <wp:posOffset>139700</wp:posOffset>
                </wp:positionV>
                <wp:extent cx="457200" cy="152400"/>
                <wp:effectExtent l="0" t="0" r="0" b="0"/>
                <wp:wrapNone/>
                <wp:docPr id="104" name="Rectangle 104"/>
                <wp:cNvGraphicFramePr/>
                <a:graphic xmlns:a="http://schemas.openxmlformats.org/drawingml/2006/main">
                  <a:graphicData uri="http://schemas.microsoft.com/office/word/2010/wordprocessingShape">
                    <wps:wsp>
                      <wps:cNvSpPr/>
                      <wps:spPr>
                        <a:xfrm>
                          <a:off x="5121844" y="3702530"/>
                          <a:ext cx="448310" cy="154940"/>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wps:txbx>
                      <wps:bodyPr lIns="88900" tIns="38100" rIns="88900" bIns="38100" anchor="t" anchorCtr="0"/>
                    </wps:wsp>
                  </a:graphicData>
                </a:graphic>
              </wp:anchor>
            </w:drawing>
          </mc:Choice>
          <mc:Fallback>
            <w:pict>
              <v:rect w14:anchorId="1A07947A" id="Rectangle 104" o:spid="_x0000_s1118" style="position:absolute;left:0;text-align:left;margin-left:70pt;margin-top:11pt;width:36pt;height:12pt;z-index:251845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0qcsAEAAE4DAAAOAAAAZHJzL2Uyb0RvYy54bWysU9tO4zAQfUfaf7D8vnWSpksaNeVhEQgJ&#10;sYjLB7iO3VjyTbZp0r9n7BYo8Ib2xZmbzpwzM1ldTFqhHfdBWtPhclZgxA2zvTTbDj8/Xf1uMAqR&#10;mp4qa3iH9zzgi/Wvs9XoWl7ZwaqeewQgJrSj6/AQo2sJCWzgmoaZddxAUlivaQTXb0nv6QjoWpGq&#10;KP6Q0freect4CBC9PCTxOuMLwVn8J0TgEakOA7eYX5/fTXrJekXbradukOxIg/6AhabSQNN3qEsa&#10;KXrx8huUlszbYEWcMauJFUIynjWAmrL4ouZxoI5nLTCc4N7HFP4fLLvb3Xske9hdUWNkqIYlPcDY&#10;qNkqjlIQRjS60ELlo7v3Ry+AmfROwuv0BSVo6vCirMqmBqB9h+fnRbWYH0fMp4gYFNR1My9hEQwK&#10;ykW9rHOefAA5H+I1txolo8MeqOTB0t1tiNAcSt9KUl9jr6RSeYvKfApAYYqQxP3ANllx2kxZ7rJ6&#10;E7ax/R5moG4MzLVplkW6k+zMmzI5/jSzOc1QwwYL1xQxOph/Y76txDN1g6VlxscDS1dx6ueqj99g&#10;/QoAAP//AwBQSwMEFAAGAAgAAAAhAKh7roXdAAAACQEAAA8AAABkcnMvZG93bnJldi54bWxMj8FO&#10;wzAQRO9I/IO1SNyo3RBVKMSpChK9IA60fIATL4nVeB1iJw18PdsTnHZHO5p9U24X34sZx+gCaViv&#10;FAikJlhHrYaP48vdA4iYDFnTB0IN3xhhW11flaaw4UzvOB9SKziEYmE0dCkNhZSx6dCbuAoDEt8+&#10;w+hNYjm20o7mzOG+l5lSG+mNI/7QmQGfO2xOh8lrmH+G/GnvbDjtvt6W+nXa3x+d1/r2Ztk9gki4&#10;pD8zXPAZHSpmqsNENoqeda64S9KQZTzZkK0vS60h3yiQVSn/N6h+AQAA//8DAFBLAQItABQABgAI&#10;AAAAIQC2gziS/gAAAOEBAAATAAAAAAAAAAAAAAAAAAAAAABbQ29udGVudF9UeXBlc10ueG1sUEsB&#10;Ai0AFAAGAAgAAAAhADj9If/WAAAAlAEAAAsAAAAAAAAAAAAAAAAALwEAAF9yZWxzLy5yZWxzUEsB&#10;Ai0AFAAGAAgAAAAhAKDrSpywAQAATgMAAA4AAAAAAAAAAAAAAAAALgIAAGRycy9lMm9Eb2MueG1s&#10;UEsBAi0AFAAGAAgAAAAhAKh7roXdAAAACQEAAA8AAAAAAAAAAAAAAAAACgQAAGRycy9kb3ducmV2&#10;LnhtbFBLBQYAAAAABAAEAPMAAAAUBQ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v:textbox>
                <w10:wrap anchorx="margin"/>
              </v:rect>
            </w:pict>
          </mc:Fallback>
        </mc:AlternateContent>
      </w:r>
      <w:r w:rsidR="00C7048E">
        <w:rPr>
          <w:noProof/>
          <w:lang w:eastAsia="en-GB"/>
        </w:rPr>
        <mc:AlternateContent>
          <mc:Choice Requires="wps">
            <w:drawing>
              <wp:anchor distT="0" distB="0" distL="114300" distR="114300" simplePos="0" relativeHeight="251846656" behindDoc="0" locked="0" layoutInCell="1" hidden="0" allowOverlap="1" wp14:anchorId="062D2106" wp14:editId="0C58881F">
                <wp:simplePos x="0" y="0"/>
                <wp:positionH relativeFrom="margin">
                  <wp:posOffset>2743200</wp:posOffset>
                </wp:positionH>
                <wp:positionV relativeFrom="paragraph">
                  <wp:posOffset>787400</wp:posOffset>
                </wp:positionV>
                <wp:extent cx="419100" cy="190500"/>
                <wp:effectExtent l="0" t="0" r="0" b="0"/>
                <wp:wrapNone/>
                <wp:docPr id="60" name="Rectangle 60"/>
                <wp:cNvGraphicFramePr/>
                <a:graphic xmlns:a="http://schemas.openxmlformats.org/drawingml/2006/main">
                  <a:graphicData uri="http://schemas.microsoft.com/office/word/2010/wordprocessingShape">
                    <wps:wsp>
                      <wps:cNvSpPr/>
                      <wps:spPr>
                        <a:xfrm>
                          <a:off x="5141212" y="3684750"/>
                          <a:ext cx="409575" cy="190500"/>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wps:txbx>
                      <wps:bodyPr lIns="88900" tIns="38100" rIns="88900" bIns="38100" anchor="t" anchorCtr="0"/>
                    </wps:wsp>
                  </a:graphicData>
                </a:graphic>
              </wp:anchor>
            </w:drawing>
          </mc:Choice>
          <mc:Fallback>
            <w:pict>
              <v:rect w14:anchorId="062D2106" id="Rectangle 60" o:spid="_x0000_s1119" style="position:absolute;left:0;text-align:left;margin-left:3in;margin-top:62pt;width:33pt;height:15pt;z-index:251846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TxdsQEAAEwDAAAOAAAAZHJzL2Uyb0RvYy54bWysU8tu2zAQvBfoPxC815Rsy5EF0zkkSFGg&#10;aIMk/QCaIi0CfIFkLPnvu6SdxGluRS7UvrA7M7vaXE9Go4MIUTlLcT2rMBKWu17ZPcV/nu6+tRjF&#10;xGzPtLOC4qOI+Hr79ctm9J2Yu8HpXgQETWzsRk/xkJLvCIl8EIbFmfPCQlK6YFgCN+xJH9gI3Y0m&#10;86pakdGF3gfHRYwQvT0l8bb0l1Lw9FvKKBLSFAO2VN5Q3l1+yXbDun1gflD8DIP9BwrDlIWhr61u&#10;WWLoOagPrYziwUUn04w7Q5yUiovCAdjU1T9sHgfmReEC4kT/KlP8vLb81+E+INVTvAJ5LDOwowdQ&#10;jdm9FghiINDoYwd1j/4+nL0IZmY7yWDyF3igieKmXtbzeo7RkeLFql1eNWeBxZQQh4JltW6uGow4&#10;FNTrqqlKnrw18iGm78IZlA2KAyApsrLDz5hgOJS+lOS51t0prcsOtX0XgMIcIRn7CW220rSbCtn1&#10;4oXYzvVHUED/sKBq264BEkrFWbR1dsJlZneZYZYPDm4pYXQyb1K5rIwzT4OVFcTn88o3cemXqref&#10;YPsXAAD//wMAUEsDBBQABgAIAAAAIQCAdEtK3QAAAAsBAAAPAAAAZHJzL2Rvd25yZXYueG1sTE9B&#10;TsMwELwj8QdrkbhRp2lAJY1TFSR6QRza8gAnXhKr8TrEThp4PcsJbrMzo9mZYju7Tkw4BOtJwXKR&#10;gECqvbHUKHg/vdytQYSoyejOEyr4wgDb8vqq0LnxFzrgdIyN4BAKuVbQxtjnUoa6RafDwvdIrH34&#10;wenI59BIM+gLh7tOpknyIJ22xB9a3eNzi/X5ODoF03efPe2t8efd59tcvY771ck6pW5v5t0GRMQ5&#10;/pnhtz5Xh5I7VX4kE0SnIFulvCWykGYM2JE9rhlUzNwzI8tC/t9Q/gAAAP//AwBQSwECLQAUAAYA&#10;CAAAACEAtoM4kv4AAADhAQAAEwAAAAAAAAAAAAAAAAAAAAAAW0NvbnRlbnRfVHlwZXNdLnhtbFBL&#10;AQItABQABgAIAAAAIQA4/SH/1gAAAJQBAAALAAAAAAAAAAAAAAAAAC8BAABfcmVscy8ucmVsc1BL&#10;AQItABQABgAIAAAAIQCV3TxdsQEAAEwDAAAOAAAAAAAAAAAAAAAAAC4CAABkcnMvZTJvRG9jLnht&#10;bFBLAQItABQABgAIAAAAIQCAdEtK3QAAAAsBAAAPAAAAAAAAAAAAAAAAAAsEAABkcnMvZG93bnJl&#10;di54bWxQSwUGAAAAAAQABADzAAAAFQU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v:textbox>
                <w10:wrap anchorx="margin"/>
              </v:rect>
            </w:pict>
          </mc:Fallback>
        </mc:AlternateContent>
      </w:r>
    </w:p>
    <w:p w:rsidR="00C7048E" w:rsidRDefault="002B5697" w:rsidP="00D96D2F">
      <w:pPr>
        <w:pStyle w:val="LegText"/>
        <w:ind w:left="720"/>
      </w:pPr>
      <w:bookmarkStart w:id="375" w:name="_Toc504640612"/>
      <w:r w:rsidRPr="002B5697">
        <w:rPr>
          <w:rStyle w:val="SubtitleChar"/>
        </w:rPr>
        <w:t>Figure 5.1</w:t>
      </w:r>
      <w:r w:rsidR="00C7048E" w:rsidRPr="002B5697">
        <w:rPr>
          <w:rStyle w:val="SubtitleChar"/>
        </w:rPr>
        <w:t xml:space="preserve"> Plasmin </w:t>
      </w:r>
      <w:r w:rsidR="00C7048E" w:rsidRPr="004775DB">
        <w:rPr>
          <w:rStyle w:val="SubtitleChar"/>
          <w:sz w:val="22"/>
          <w:szCs w:val="22"/>
        </w:rPr>
        <w:t xml:space="preserve">activity in </w:t>
      </w:r>
      <w:r w:rsidR="00141DBE" w:rsidRPr="004775DB">
        <w:rPr>
          <w:rStyle w:val="SubtitleChar"/>
          <w:sz w:val="22"/>
          <w:szCs w:val="22"/>
          <w:lang w:val="en-GB"/>
        </w:rPr>
        <w:t xml:space="preserve">cultured medium from </w:t>
      </w:r>
      <w:r w:rsidR="00C7048E" w:rsidRPr="004775DB">
        <w:rPr>
          <w:rStyle w:val="SubtitleChar"/>
          <w:sz w:val="22"/>
          <w:szCs w:val="22"/>
        </w:rPr>
        <w:t>cells cultured on both fibrin and plastic</w:t>
      </w:r>
      <w:bookmarkEnd w:id="375"/>
      <w:r w:rsidR="00C7048E" w:rsidRPr="004775DB">
        <w:t>.</w:t>
      </w:r>
      <w:r w:rsidR="00C7048E" w:rsidRPr="004775DB">
        <w:rPr>
          <w:rFonts w:ascii="Calibri" w:eastAsia="Calibri" w:hAnsi="Calibri" w:cs="Calibri"/>
        </w:rPr>
        <w:t xml:space="preserve"> </w:t>
      </w:r>
      <w:r w:rsidR="00C7048E" w:rsidRPr="004775DB">
        <w:t>Plasmin activity in conditioned media</w:t>
      </w:r>
      <w:r w:rsidR="00C7048E">
        <w:t xml:space="preserve"> from cells cultured on fibrin gel and on plastic at </w:t>
      </w:r>
      <w:r w:rsidR="00956416">
        <w:t>37</w:t>
      </w:r>
      <w:r w:rsidR="00956416">
        <w:rPr>
          <w:rFonts w:cs="Arial"/>
        </w:rPr>
        <w:t>°</w:t>
      </w:r>
      <w:r w:rsidR="00956416">
        <w:t>C</w:t>
      </w:r>
      <w:r w:rsidR="002A76E1">
        <w:t>. The difference in</w:t>
      </w:r>
      <w:r w:rsidR="00C7048E">
        <w:t xml:space="preserve"> plasmin activities between fibrin and plastic in NRK52E and CRL2573 was statistically significant </w:t>
      </w:r>
      <w:r w:rsidR="00956416">
        <w:t xml:space="preserve">at </w:t>
      </w:r>
      <w:r w:rsidR="00C7048E">
        <w:t>P&lt; 0.0001 and P&lt;0.001 respectively.</w:t>
      </w:r>
    </w:p>
    <w:p w:rsidR="00080B78" w:rsidRPr="002B5697" w:rsidRDefault="00080B78" w:rsidP="002B5697">
      <w:pPr>
        <w:pStyle w:val="LegText"/>
        <w:rPr>
          <w:rFonts w:eastAsia="Calibri"/>
          <w:sz w:val="24"/>
          <w:szCs w:val="24"/>
        </w:rPr>
      </w:pPr>
    </w:p>
    <w:p w:rsidR="00A80E19" w:rsidRDefault="00A80E19" w:rsidP="00D0045E">
      <w:pPr>
        <w:pStyle w:val="Heading4"/>
        <w:ind w:left="720"/>
      </w:pPr>
      <w:bookmarkStart w:id="376" w:name="_3cqmetx" w:colFirst="0" w:colLast="0"/>
      <w:bookmarkStart w:id="377" w:name="_Toc506232402"/>
      <w:bookmarkEnd w:id="376"/>
      <w:r>
        <w:t>5.2.2 Calculation</w:t>
      </w:r>
      <w:r w:rsidR="00DF3862">
        <w:t xml:space="preserve"> of uPA</w:t>
      </w:r>
      <w:r w:rsidRPr="00631D41">
        <w:t xml:space="preserve"> activities in NRK52E, NRK49F and CRL2573 cells</w:t>
      </w:r>
      <w:r>
        <w:t>.</w:t>
      </w:r>
      <w:bookmarkEnd w:id="377"/>
    </w:p>
    <w:p w:rsidR="00A80E19" w:rsidRDefault="0079761F" w:rsidP="00A80E19">
      <w:pPr>
        <w:ind w:left="720"/>
      </w:pPr>
      <w:r>
        <w:t>Conditioned media</w:t>
      </w:r>
      <w:r w:rsidR="00A80E19">
        <w:t xml:space="preserve"> from NRK53E, NRK49F and CRL2573 </w:t>
      </w:r>
      <w:r>
        <w:t xml:space="preserve">cultured on both plastic and fibrin </w:t>
      </w:r>
      <w:r w:rsidR="00A80E19">
        <w:t>were used for the assay. Assays were do</w:t>
      </w:r>
      <w:r w:rsidR="002A76E1">
        <w:t>ne at ambient temperature with p</w:t>
      </w:r>
      <w:r w:rsidR="00A80E19">
        <w:t>-EGR-</w:t>
      </w:r>
      <w:r w:rsidR="00A80E19" w:rsidRPr="000B646A">
        <w:rPr>
          <w:i/>
        </w:rPr>
        <w:t>p</w:t>
      </w:r>
      <w:r w:rsidR="00A80E19">
        <w:t>NA, with and without amiloride</w:t>
      </w:r>
      <w:r w:rsidR="002B5721">
        <w:t xml:space="preserve"> (Section 2.7</w:t>
      </w:r>
      <w:r w:rsidR="00A80E19">
        <w:t>.</w:t>
      </w:r>
      <w:r w:rsidR="002B5721">
        <w:t>5 and 2.7.6).</w:t>
      </w:r>
      <w:r w:rsidR="00A80E19">
        <w:t xml:space="preserve"> </w:t>
      </w:r>
    </w:p>
    <w:p w:rsidR="00A80E19" w:rsidRDefault="0079761F" w:rsidP="00B702A5">
      <w:pPr>
        <w:pStyle w:val="ListParagraph"/>
        <w:numPr>
          <w:ilvl w:val="0"/>
          <w:numId w:val="27"/>
        </w:numPr>
      </w:pPr>
      <w:r>
        <w:t>= Conditioned</w:t>
      </w:r>
      <w:r w:rsidR="002A76E1">
        <w:t xml:space="preserve"> media + p</w:t>
      </w:r>
      <w:r w:rsidR="00A80E19">
        <w:t>-EGR-</w:t>
      </w:r>
      <w:r w:rsidR="00A80E19" w:rsidRPr="00A80E19">
        <w:rPr>
          <w:i/>
        </w:rPr>
        <w:t>p</w:t>
      </w:r>
      <w:r w:rsidR="00A80E19">
        <w:t>NA = Total uPA and tPA activity</w:t>
      </w:r>
      <w:r w:rsidR="0042701D">
        <w:t>.</w:t>
      </w:r>
      <w:r w:rsidR="00A80E19">
        <w:t xml:space="preserve"> </w:t>
      </w:r>
    </w:p>
    <w:p w:rsidR="00A80E19" w:rsidRDefault="0079761F" w:rsidP="00B702A5">
      <w:pPr>
        <w:pStyle w:val="ListParagraph"/>
        <w:numPr>
          <w:ilvl w:val="0"/>
          <w:numId w:val="27"/>
        </w:numPr>
      </w:pPr>
      <w:r>
        <w:t>=Conditioned</w:t>
      </w:r>
      <w:r w:rsidR="00A80E19">
        <w:t xml:space="preserve"> media +</w:t>
      </w:r>
      <w:r w:rsidR="002A76E1">
        <w:t>p</w:t>
      </w:r>
      <w:r w:rsidR="00A80E19">
        <w:t>-EGR-</w:t>
      </w:r>
      <w:r w:rsidR="00A80E19" w:rsidRPr="00A80E19">
        <w:rPr>
          <w:i/>
        </w:rPr>
        <w:t>p</w:t>
      </w:r>
      <w:r w:rsidR="00A80E19">
        <w:t>NA</w:t>
      </w:r>
      <w:r w:rsidR="00E4266D">
        <w:t xml:space="preserve"> </w:t>
      </w:r>
      <w:r>
        <w:t>+</w:t>
      </w:r>
      <w:r w:rsidR="00A80E19">
        <w:t xml:space="preserve">500 </w:t>
      </w:r>
      <w:r w:rsidR="00A80E19" w:rsidRPr="00A80E19">
        <w:rPr>
          <w:rFonts w:cs="Arial"/>
        </w:rPr>
        <w:t>µ</w:t>
      </w:r>
      <w:r w:rsidR="00A80E19">
        <w:t>M amiloride = tPA activity</w:t>
      </w:r>
      <w:r w:rsidR="0042701D">
        <w:t>.</w:t>
      </w:r>
    </w:p>
    <w:p w:rsidR="00A80E19" w:rsidRPr="000B646A" w:rsidRDefault="00A80E19" w:rsidP="00B702A5">
      <w:pPr>
        <w:pStyle w:val="ListParagraph"/>
        <w:numPr>
          <w:ilvl w:val="0"/>
          <w:numId w:val="27"/>
        </w:numPr>
        <w:sectPr w:rsidR="00A80E19" w:rsidRPr="000B646A" w:rsidSect="00DF392D">
          <w:pgSz w:w="11906" w:h="16838"/>
          <w:pgMar w:top="1440" w:right="1440" w:bottom="1440" w:left="2268" w:header="0" w:footer="720" w:gutter="0"/>
          <w:pgNumType w:start="1"/>
          <w:cols w:space="720"/>
        </w:sectPr>
      </w:pPr>
      <w:r>
        <w:t>= (A) – (B) = uPA activity</w:t>
      </w:r>
      <w:r w:rsidR="0042701D">
        <w:t>.</w:t>
      </w:r>
    </w:p>
    <w:p w:rsidR="00A80E19" w:rsidRDefault="00A80E19" w:rsidP="00080B78">
      <w:pPr>
        <w:pStyle w:val="Heading3"/>
        <w:ind w:firstLine="720"/>
      </w:pPr>
    </w:p>
    <w:p w:rsidR="00C7048E" w:rsidRDefault="00156F32" w:rsidP="00D0045E">
      <w:pPr>
        <w:pStyle w:val="Heading4"/>
        <w:ind w:left="720" w:firstLine="720"/>
      </w:pPr>
      <w:bookmarkStart w:id="378" w:name="_Toc506232403"/>
      <w:r>
        <w:t>5.2.3</w:t>
      </w:r>
      <w:r w:rsidR="00C7048E">
        <w:t xml:space="preserve"> Tissue type plasminogen activator</w:t>
      </w:r>
      <w:bookmarkEnd w:id="378"/>
      <w:r w:rsidR="00C7048E">
        <w:t xml:space="preserve">  </w:t>
      </w:r>
    </w:p>
    <w:p w:rsidR="00BE278D" w:rsidRPr="00D10F85" w:rsidRDefault="00C7048E" w:rsidP="00D10F85">
      <w:pPr>
        <w:ind w:left="1440"/>
        <w:rPr>
          <w:rStyle w:val="SubtitleChar"/>
          <w:rFonts w:eastAsiaTheme="minorHAnsi" w:cs="Times New Roman"/>
          <w:b/>
          <w:lang w:val="en-GB" w:eastAsia="en-US"/>
        </w:rPr>
      </w:pPr>
      <w:r>
        <w:t xml:space="preserve">It is clear from the previous experiments </w:t>
      </w:r>
      <w:r w:rsidR="00891FFA">
        <w:t xml:space="preserve">in previous sections </w:t>
      </w:r>
      <w:r>
        <w:t>that all the cell types are capable of synthesizing and activating plasmin, but the likely mechanism of activation was not known. We n</w:t>
      </w:r>
      <w:r w:rsidR="00D10F85">
        <w:t>ext went on to investigate tPA.</w:t>
      </w:r>
    </w:p>
    <w:p w:rsidR="00BE278D" w:rsidRDefault="00C7048E" w:rsidP="00903CCC">
      <w:pPr>
        <w:ind w:left="1440"/>
      </w:pPr>
      <w:r>
        <w:rPr>
          <w:noProof/>
          <w:lang w:eastAsia="en-GB"/>
        </w:rPr>
        <mc:AlternateContent>
          <mc:Choice Requires="wps">
            <w:drawing>
              <wp:anchor distT="0" distB="0" distL="114300" distR="114300" simplePos="0" relativeHeight="251849728" behindDoc="0" locked="0" layoutInCell="1" hidden="0" allowOverlap="1" wp14:anchorId="0DD1561C" wp14:editId="32E11F4E">
                <wp:simplePos x="0" y="0"/>
                <wp:positionH relativeFrom="margin">
                  <wp:posOffset>1168400</wp:posOffset>
                </wp:positionH>
                <wp:positionV relativeFrom="paragraph">
                  <wp:posOffset>254000</wp:posOffset>
                </wp:positionV>
                <wp:extent cx="457200" cy="152400"/>
                <wp:effectExtent l="0" t="0" r="0" b="0"/>
                <wp:wrapNone/>
                <wp:docPr id="194" name="Rectangle 194"/>
                <wp:cNvGraphicFramePr/>
                <a:graphic xmlns:a="http://schemas.openxmlformats.org/drawingml/2006/main">
                  <a:graphicData uri="http://schemas.microsoft.com/office/word/2010/wordprocessingShape">
                    <wps:wsp>
                      <wps:cNvSpPr/>
                      <wps:spPr>
                        <a:xfrm>
                          <a:off x="5121844" y="3702530"/>
                          <a:ext cx="448310" cy="154940"/>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wps:txbx>
                      <wps:bodyPr lIns="88900" tIns="38100" rIns="88900" bIns="38100" anchor="t" anchorCtr="0"/>
                    </wps:wsp>
                  </a:graphicData>
                </a:graphic>
              </wp:anchor>
            </w:drawing>
          </mc:Choice>
          <mc:Fallback>
            <w:pict>
              <v:rect w14:anchorId="0DD1561C" id="Rectangle 194" o:spid="_x0000_s1120" style="position:absolute;left:0;text-align:left;margin-left:92pt;margin-top:20pt;width:36pt;height:12pt;z-index:251849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YkfrwEAAE4DAAAOAAAAZHJzL2Uyb0RvYy54bWysU9uO0zAQfUfiHyy/UydtCmnUdB9YLUJC&#10;sGLZD3Adu7Hkm8amSf+esVu2Bd5WvDhz05lzZibbu9kacpQQtXc9rRcVJdIJP2h36Onzj4d3LSUx&#10;cTdw453s6UlGerd7+2Y7hU4u/ejNIIEgiIvdFHo6phQ6xqIYpeVx4YN0mFQeLE/owoENwCdEt4Yt&#10;q+o9mzwMAbyQMWL0/pyku4KvlBTpm1JRJmJ6itxSeaG8+/yy3ZZ3B+Bh1OJCg7+CheXaYdMXqHue&#10;OPkJ+h8oqwX46FVaCG+ZV0oLWTSgmrr6S83TyIMsWnA4MbyMKf4/WPH1+AhED7i7TUOJ4xaX9B3H&#10;xt3BSJKDOKIpxA4rn8IjXLyIZtY7K7D5i0rI3NN1vazbBoFOPV19qJbr1WXEck5EYEHTtKsaFyGw&#10;oF43m6bk2RUoQEyfpLckGz0FpFIGy49fYsLmWPq7JPd1/kEbU7Zo3B8BLMwRlrmf2WYrzfu5yL0K&#10;2/vhhDMwnx3OtW03Vb6T4qzaOjtwm9nfZrgTo8drSpSczY+p3Fbmmbvh0grjy4Hlq7j1S9X1N9j9&#10;AgAA//8DAFBLAwQUAAYACAAAACEAqaFuNNwAAAAJAQAADwAAAGRycy9kb3ducmV2LnhtbExPQU7D&#10;MBC8I/UP1iJxow5tiKoQpypI7QVxoOUBTrwkVuN1Gjtp4PUsJzjtjGY0O1NsZ9eJCYdgPSl4WCYg&#10;kGpvLDUKPk77+w2IEDUZ3XlCBV8YYFsubgqdG3+ld5yOsREcQiHXCtoY+1zKULfodFj6Hom1Tz84&#10;HZkOjTSDvnK46+QqSTLptCX+0OoeX1qsz8fRKZi++/T5YI0/7y5vc/U6HtYn65S6u513TyAizvHP&#10;DL/1uTqU3KnyI5kgOuablLdEBWnClw2rx4xBpSBjQZaF/L+g/AEAAP//AwBQSwECLQAUAAYACAAA&#10;ACEAtoM4kv4AAADhAQAAEwAAAAAAAAAAAAAAAAAAAAAAW0NvbnRlbnRfVHlwZXNdLnhtbFBLAQIt&#10;ABQABgAIAAAAIQA4/SH/1gAAAJQBAAALAAAAAAAAAAAAAAAAAC8BAABfcmVscy8ucmVsc1BLAQIt&#10;ABQABgAIAAAAIQADOYkfrwEAAE4DAAAOAAAAAAAAAAAAAAAAAC4CAABkcnMvZTJvRG9jLnhtbFBL&#10;AQItABQABgAIAAAAIQCpoW403AAAAAkBAAAPAAAAAAAAAAAAAAAAAAkEAABkcnMvZG93bnJldi54&#10;bWxQSwUGAAAAAAQABADzAAAAEgU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v:textbox>
                <w10:wrap anchorx="margin"/>
              </v:rect>
            </w:pict>
          </mc:Fallback>
        </mc:AlternateContent>
      </w:r>
      <w:r>
        <w:rPr>
          <w:noProof/>
          <w:lang w:eastAsia="en-GB"/>
        </w:rPr>
        <mc:AlternateContent>
          <mc:Choice Requires="wps">
            <w:drawing>
              <wp:anchor distT="0" distB="0" distL="114300" distR="114300" simplePos="0" relativeHeight="251850752" behindDoc="0" locked="0" layoutInCell="1" hidden="0" allowOverlap="1" wp14:anchorId="017AB07B" wp14:editId="5AD11A8D">
                <wp:simplePos x="0" y="0"/>
                <wp:positionH relativeFrom="margin">
                  <wp:posOffset>1943100</wp:posOffset>
                </wp:positionH>
                <wp:positionV relativeFrom="paragraph">
                  <wp:posOffset>0</wp:posOffset>
                </wp:positionV>
                <wp:extent cx="419100" cy="203200"/>
                <wp:effectExtent l="0" t="0" r="0" b="0"/>
                <wp:wrapNone/>
                <wp:docPr id="151" name="Rectangle 151"/>
                <wp:cNvGraphicFramePr/>
                <a:graphic xmlns:a="http://schemas.openxmlformats.org/drawingml/2006/main">
                  <a:graphicData uri="http://schemas.microsoft.com/office/word/2010/wordprocessingShape">
                    <wps:wsp>
                      <wps:cNvSpPr/>
                      <wps:spPr>
                        <a:xfrm>
                          <a:off x="5138991" y="3679353"/>
                          <a:ext cx="414018" cy="201295"/>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wps:txbx>
                      <wps:bodyPr lIns="88900" tIns="38100" rIns="88900" bIns="38100" anchor="t" anchorCtr="0"/>
                    </wps:wsp>
                  </a:graphicData>
                </a:graphic>
              </wp:anchor>
            </w:drawing>
          </mc:Choice>
          <mc:Fallback>
            <w:pict>
              <v:rect w14:anchorId="017AB07B" id="Rectangle 151" o:spid="_x0000_s1121" style="position:absolute;left:0;text-align:left;margin-left:153pt;margin-top:0;width:33pt;height:16pt;z-index:251850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rCRsAEAAE4DAAAOAAAAZHJzL2Uyb0RvYy54bWysU8tO4zAU3Y/EP1jeT500lEmipiwGgZBG&#10;gID5ANexG0t+yTZN+vdz7RQosEOzce5Lx+cc36wvJ63QnvsgrelwuSgw4obZXppdh/8+X/+sMQqR&#10;mp4qa3iHDzzgy83Zj/XoWr60g1U99whATGhH1+EhRtcSEtjANQ0L67iBprBe0wip35He0xHQtSLL&#10;orggo/W985bxEKB6NTfxJuMLwVm8FyLwiFSHgVvMp8/nNp1ks6btzlM3SHakQb/BQlNp4NI3qCsa&#10;KXrx8guUlszbYEVcMKuJFUIynjWAmrL4pOZpoI5nLWBOcG82hf8Hy+72Dx7JHt5uVWJkqIZHegTb&#10;qNkpjlIRLBpdaGHyyT34YxYgTHon4XX6ghI0dXhVVnXTANChw9XFr6ZaVbPFfIqIwcB5eV6UsBMM&#10;BkDxslmlPnkHcj7EG241SkGHPVDJxtL9nxDn0deRdK+x11IpqNNWmQ8FwEwVkrjPbFMUp+2U5c4X&#10;p9LW9gfwQN0a8LWumyLtSU6qukyJP+1sTzvUsMHCNkWM5vB3zLuVeCZoeLQs7rhgaStO8zz1/hts&#10;/gEAAP//AwBQSwMEFAAGAAgAAAAhAIUPJoPcAAAABwEAAA8AAABkcnMvZG93bnJldi54bWxMj8FO&#10;wzAMhu9Ie4fIk7ixdCsaqDSdNiR2QRzYeIC08dpojdM1aVd4esyJXezf+q3fn/PN5FoxYh+sJwXL&#10;RQICqfLGUq3g6/j28AwiRE1Gt55QwTcG2BSzu1xnxl/pE8dDrAWHUMi0gibGLpMyVA06HRa+Q2Lv&#10;5HunI499LU2vrxzuWrlKkrV02hJfaHSHrw1W58PgFIw/3eNub40/by8fU/k+7NOjdUrdz6ftC4iI&#10;U/xfhj98RoeCmUo/kAmiVZAma/4lKuDKdvq0YlGy4C6LXN7yF78AAAD//wMAUEsBAi0AFAAGAAgA&#10;AAAhALaDOJL+AAAA4QEAABMAAAAAAAAAAAAAAAAAAAAAAFtDb250ZW50X1R5cGVzXS54bWxQSwEC&#10;LQAUAAYACAAAACEAOP0h/9YAAACUAQAACwAAAAAAAAAAAAAAAAAvAQAAX3JlbHMvLnJlbHNQSwEC&#10;LQAUAAYACAAAACEAIXKwkbABAABOAwAADgAAAAAAAAAAAAAAAAAuAgAAZHJzL2Uyb0RvYy54bWxQ&#10;SwECLQAUAAYACAAAACEAhQ8mg9wAAAAHAQAADwAAAAAAAAAAAAAAAAAKBAAAZHJzL2Rvd25yZXYu&#10;eG1sUEsFBgAAAAAEAAQA8wAAABMFA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v:textbox>
                <w10:wrap anchorx="margin"/>
              </v:rect>
            </w:pict>
          </mc:Fallback>
        </mc:AlternateContent>
      </w:r>
      <w:r>
        <w:rPr>
          <w:noProof/>
          <w:lang w:eastAsia="en-GB"/>
        </w:rPr>
        <mc:AlternateContent>
          <mc:Choice Requires="wps">
            <w:drawing>
              <wp:anchor distT="0" distB="0" distL="114300" distR="114300" simplePos="0" relativeHeight="251851776" behindDoc="0" locked="0" layoutInCell="1" hidden="0" allowOverlap="1" wp14:anchorId="22F47216" wp14:editId="16C97349">
                <wp:simplePos x="0" y="0"/>
                <wp:positionH relativeFrom="margin">
                  <wp:posOffset>1219200</wp:posOffset>
                </wp:positionH>
                <wp:positionV relativeFrom="paragraph">
                  <wp:posOffset>622300</wp:posOffset>
                </wp:positionV>
                <wp:extent cx="254000" cy="190500"/>
                <wp:effectExtent l="0" t="0" r="0" b="0"/>
                <wp:wrapNone/>
                <wp:docPr id="219" name="Rectangle 219"/>
                <wp:cNvGraphicFramePr/>
                <a:graphic xmlns:a="http://schemas.openxmlformats.org/drawingml/2006/main">
                  <a:graphicData uri="http://schemas.microsoft.com/office/word/2010/wordprocessingShape">
                    <wps:wsp>
                      <wps:cNvSpPr/>
                      <wps:spPr>
                        <a:xfrm>
                          <a:off x="5222175" y="3689512"/>
                          <a:ext cx="247649" cy="180975"/>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wps:txbx>
                      <wps:bodyPr lIns="88900" tIns="38100" rIns="88900" bIns="38100" anchor="t" anchorCtr="0"/>
                    </wps:wsp>
                  </a:graphicData>
                </a:graphic>
              </wp:anchor>
            </w:drawing>
          </mc:Choice>
          <mc:Fallback>
            <w:pict>
              <v:rect w14:anchorId="22F47216" id="Rectangle 219" o:spid="_x0000_s1122" style="position:absolute;left:0;text-align:left;margin-left:96pt;margin-top:49pt;width:20pt;height:15pt;z-index:251851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z++swEAAE4DAAAOAAAAZHJzL2Uyb0RvYy54bWysU8tu2zAQvBfoPxC815SU2JEE0zkkSFGg&#10;aIOk/QCaIi0CfIFkLfnvu6ScxG1vRS6rfWF2Z7ja3s5Go6MIUTlLcb2qMBKWu0HZA8U/fzx8ajGK&#10;idmBaWcFxScR8e3u44ft5HvRuNHpQQQEIDb2k6d4TMn3hEQ+CsPiynlhoShdMCxBGA5kCGwCdKNJ&#10;U1UbMrkw+OC4iBGy90sR7wq+lIKn71JGkZCmGHZLxYZi99mS3Zb1h8D8qPh5DfYfWximLAx9hbpn&#10;iaFfQf0DZRQPLjqZVtwZ4qRUXBQOwKau/mLzPDIvChcQJ/pXmeL7wfJvx8eA1EBxU3cYWWbgkZ5A&#10;NmYPWqCcBIkmH3vofPaP4RxFcDPfWQaTv8AEzRSvm6apb9YYnSi+2rTdum4WicWcEIeG5vpmcw2D&#10;ODTUbdVBLyCSNyAfYvosnEHZoTjAKkVYdvwa09L60pLnWvegtIY867X9IwGYOUPy7su22Uvzfi50&#10;u80Lsb0bTqCB/mJB17btqnwnJbhq6xyEy8r+ssIsHx1cU8Joce9Sua28Z54Gj1bInQ8sX8VlXLre&#10;foPdbwAAAP//AwBQSwMEFAAGAAgAAAAhAKWYqdTcAAAACgEAAA8AAABkcnMvZG93bnJldi54bWxM&#10;T8tOwzAQvCP1H6ytxI06pAi1IU7VItEL4kDLBzjxkliN12nspIGvZ3uip9U8NDuTbybXihH7YD0p&#10;eFwkIJAqbyzVCr6Obw8rECFqMrr1hAp+MMCmmN3lOjP+Qp84HmItOIRCphU0MXaZlKFq0Omw8B0S&#10;a9++dzoy7Gtpen3hcNfKNEmepdOW+EOjO3xtsDodBqdg/O2edntr/Gl7/pjK92G/PFqn1P182r6A&#10;iDjFfzNc63N1KLhT6QcyQbSM1ylviQrWK75sSJdXomQlZUYWubydUPwBAAD//wMAUEsBAi0AFAAG&#10;AAgAAAAhALaDOJL+AAAA4QEAABMAAAAAAAAAAAAAAAAAAAAAAFtDb250ZW50X1R5cGVzXS54bWxQ&#10;SwECLQAUAAYACAAAACEAOP0h/9YAAACUAQAACwAAAAAAAAAAAAAAAAAvAQAAX3JlbHMvLnJlbHNQ&#10;SwECLQAUAAYACAAAACEA6LM/vrMBAABOAwAADgAAAAAAAAAAAAAAAAAuAgAAZHJzL2Uyb0RvYy54&#10;bWxQSwECLQAUAAYACAAAACEApZip1NwAAAAKAQAADwAAAAAAAAAAAAAAAAANBAAAZHJzL2Rvd25y&#10;ZXYueG1sUEsFBgAAAAAEAAQA8wAAABYFA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txbxContent>
                </v:textbox>
                <w10:wrap anchorx="margin"/>
              </v:rect>
            </w:pict>
          </mc:Fallback>
        </mc:AlternateContent>
      </w:r>
      <w:r w:rsidR="00C74A62">
        <w:t>F</w:t>
      </w:r>
      <w:r w:rsidR="0073460C">
        <w:t>ig 5.2</w:t>
      </w:r>
      <w:r>
        <w:t xml:space="preserve"> shows the presence of tPA activity in all three cell lines cultured on plastic and on fibrin gel</w:t>
      </w:r>
      <w:r w:rsidR="00B301F0">
        <w:t>.</w:t>
      </w:r>
      <w:r>
        <w:t xml:space="preserve"> </w:t>
      </w:r>
      <w:r w:rsidR="00B301F0">
        <w:t xml:space="preserve">It further compares tPA activity in 24hr conditioned phenol-red free/serum-free media from cells cultured on both fibrin gel and plastic, </w:t>
      </w:r>
      <w:r>
        <w:t>with the highest tPA activity on fibrin in the epithelial</w:t>
      </w:r>
      <w:r w:rsidR="00C74A62">
        <w:t>-like</w:t>
      </w:r>
      <w:r w:rsidR="00B301F0">
        <w:t xml:space="preserve"> cells (NRK52E)</w:t>
      </w:r>
      <w:r>
        <w:t>, followed by mesangial cells (CRL2573) and lastly fibroblast</w:t>
      </w:r>
      <w:r w:rsidR="00C74A62">
        <w:t>-like cell</w:t>
      </w:r>
      <w:r>
        <w:t>s (NRK49F</w:t>
      </w:r>
      <w:r w:rsidR="00EB288F">
        <w:t>)</w:t>
      </w:r>
      <w:r>
        <w:t xml:space="preserve">. </w:t>
      </w:r>
      <w:r w:rsidR="00D07929">
        <w:t>T</w:t>
      </w:r>
      <w:r>
        <w:t xml:space="preserve">here was </w:t>
      </w:r>
      <w:r w:rsidR="00BE278D">
        <w:t>statistically</w:t>
      </w:r>
      <w:r w:rsidR="00EB288F">
        <w:t xml:space="preserve"> more significant</w:t>
      </w:r>
      <w:r>
        <w:t xml:space="preserve"> tPA activity in the presence of fibrin with both epithelial</w:t>
      </w:r>
      <w:r w:rsidR="00B301F0">
        <w:t>-like</w:t>
      </w:r>
      <w:r>
        <w:t xml:space="preserve"> cells and mesangial cells. However NRK49F had slightly more tPA activity on plastic.</w:t>
      </w:r>
    </w:p>
    <w:p w:rsidR="00BE278D" w:rsidRDefault="00BE278D" w:rsidP="00C7048E">
      <w:pPr>
        <w:spacing w:after="160"/>
        <w:rPr>
          <w:rFonts w:ascii="Times New Roman" w:eastAsia="Times New Roman" w:hAnsi="Times New Roman"/>
        </w:rPr>
      </w:pPr>
    </w:p>
    <w:p w:rsidR="00C7048E" w:rsidRDefault="00903CCC" w:rsidP="00903CCC">
      <w:pPr>
        <w:spacing w:before="120" w:after="280"/>
        <w:ind w:left="720" w:firstLine="720"/>
      </w:pPr>
      <w:r>
        <w:rPr>
          <w:noProof/>
          <w:lang w:eastAsia="en-GB"/>
        </w:rPr>
        <mc:AlternateContent>
          <mc:Choice Requires="wps">
            <w:drawing>
              <wp:anchor distT="0" distB="0" distL="114300" distR="114300" simplePos="0" relativeHeight="251854848" behindDoc="0" locked="0" layoutInCell="1" hidden="0" allowOverlap="1" wp14:anchorId="3D07592D" wp14:editId="5DF4F07B">
                <wp:simplePos x="0" y="0"/>
                <wp:positionH relativeFrom="margin">
                  <wp:posOffset>3743325</wp:posOffset>
                </wp:positionH>
                <wp:positionV relativeFrom="paragraph">
                  <wp:posOffset>612775</wp:posOffset>
                </wp:positionV>
                <wp:extent cx="457200" cy="368300"/>
                <wp:effectExtent l="0" t="0" r="0" b="0"/>
                <wp:wrapNone/>
                <wp:docPr id="144" name="Rectangle 144"/>
                <wp:cNvGraphicFramePr/>
                <a:graphic xmlns:a="http://schemas.openxmlformats.org/drawingml/2006/main">
                  <a:graphicData uri="http://schemas.microsoft.com/office/word/2010/wordprocessingShape">
                    <wps:wsp>
                      <wps:cNvSpPr/>
                      <wps:spPr>
                        <a:xfrm>
                          <a:off x="0" y="0"/>
                          <a:ext cx="457200" cy="368300"/>
                        </a:xfrm>
                        <a:prstGeom prst="rect">
                          <a:avLst/>
                        </a:prstGeom>
                        <a:noFill/>
                        <a:ln>
                          <a:noFill/>
                        </a:ln>
                      </wps:spPr>
                      <wps:txbx>
                        <w:txbxContent>
                          <w:p w:rsidR="00AD6A02" w:rsidRDefault="00AD6A02" w:rsidP="00C7048E">
                            <w:pPr>
                              <w:spacing w:after="0"/>
                              <w:textDirection w:val="btLr"/>
                            </w:pPr>
                            <w:r>
                              <w:rPr>
                                <w:rFonts w:ascii="Calibri" w:eastAsia="Calibri" w:hAnsi="Calibri" w:cs="Calibri"/>
                                <w:color w:val="000000"/>
                              </w:rPr>
                              <w:t>**</w:t>
                            </w:r>
                          </w:p>
                        </w:txbxContent>
                      </wps:txbx>
                      <wps:bodyPr lIns="88900" tIns="38100" rIns="88900" bIns="38100" anchor="t" anchorCtr="0"/>
                    </wps:wsp>
                  </a:graphicData>
                </a:graphic>
              </wp:anchor>
            </w:drawing>
          </mc:Choice>
          <mc:Fallback>
            <w:pict>
              <v:rect w14:anchorId="3D07592D" id="Rectangle 144" o:spid="_x0000_s1123" style="position:absolute;left:0;text-align:left;margin-left:294.75pt;margin-top:48.25pt;width:36pt;height:29pt;z-index:251854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1r3pAEAAEIDAAAOAAAAZHJzL2Uyb0RvYy54bWysUk1vEzEQvSPxHyzfiZMmtNtVNj1QFSEh&#10;qCj8gInXzlqyPZZtspt/z9hJ00BvFRfvfO2beW9mfTc5y/YqJoO+44vZnDPlJfbG7zr+6+fDh4az&#10;lMH3YNGrjh9U4neb9+/WY2jVFQ5oexUZgfjUjqHjQ86hFSLJQTlIMwzKU1JjdJDJjTvRRxgJ3Vlx&#10;NZ9fixFjHyJKlRJF749Jvqn4WiuZv2udVGa24zRbrm+s77a8YrOGdhchDEaexoA3TOHAeGp6hrqH&#10;DOx3NK+gnJERE+o8k+gEam2kqhyIzWL+D5unAYKqXEicFM4ypf8HK7/tHyMzPe1uteLMg6Ml/SDZ&#10;wO+sYiVIEo0htVT5FB7jyUtkFr6Tjq58iQmbqqyHs6xqykxScPXxhlbFmaTU8rpZkk0o4uXnEFP+&#10;rNCxYnQ8UvsqJuy/pnwsfS4pvTw+GGspDq31fwUIs0REmfc4YbHytJ0qxdubZzJb7A/E237xpGXT&#10;3JbxcnWWzaI48TKzvcyAlwPSBWXOjuanXO+pzFm60aIqudNRlUu49GvVy+lv/gAAAP//AwBQSwME&#10;FAAGAAgAAAAhADj84dHeAAAACgEAAA8AAABkcnMvZG93bnJldi54bWxMj8FOwzAMhu9IvENkJG4s&#10;HazVVppOA4ldEAc2HiBtTButcUqTdoWnx5zGybb86ffnYju7Tkw4BOtJwXKRgECqvbHUKPg4vtyt&#10;QYSoyejOEyr4xgDb8vqq0LnxZ3rH6RAbwSEUcq2gjbHPpQx1i06Hhe+RePfpB6cjj0MjzaDPHO46&#10;eZ8kmXTaEl9odY/PLdanw+gUTD/96mlvjT/tvt7m6nXcPxytU+r2Zt49gog4xwsMf/qsDiU7VX4k&#10;E0SnIF1vUkYVbDKuDGTZkpuKyXSVgiwL+f+F8hcAAP//AwBQSwECLQAUAAYACAAAACEAtoM4kv4A&#10;AADhAQAAEwAAAAAAAAAAAAAAAAAAAAAAW0NvbnRlbnRfVHlwZXNdLnhtbFBLAQItABQABgAIAAAA&#10;IQA4/SH/1gAAAJQBAAALAAAAAAAAAAAAAAAAAC8BAABfcmVscy8ucmVsc1BLAQItABQABgAIAAAA&#10;IQCDD1r3pAEAAEIDAAAOAAAAAAAAAAAAAAAAAC4CAABkcnMvZTJvRG9jLnhtbFBLAQItABQABgAI&#10;AAAAIQA4/OHR3gAAAAoBAAAPAAAAAAAAAAAAAAAAAP4DAABkcnMvZG93bnJldi54bWxQSwUGAAAA&#10;AAQABADzAAAACQUAAAAA&#10;" filled="f" stroked="f">
                <v:textbox inset="7pt,3pt,7pt,3pt">
                  <w:txbxContent>
                    <w:p w:rsidR="00AD6A02" w:rsidRDefault="00AD6A02" w:rsidP="00C7048E">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1871232" behindDoc="0" locked="0" layoutInCell="1" allowOverlap="1" wp14:anchorId="256B5890" wp14:editId="22316062">
                <wp:simplePos x="0" y="0"/>
                <wp:positionH relativeFrom="column">
                  <wp:posOffset>3862070</wp:posOffset>
                </wp:positionH>
                <wp:positionV relativeFrom="paragraph">
                  <wp:posOffset>680720</wp:posOffset>
                </wp:positionV>
                <wp:extent cx="119062" cy="385762"/>
                <wp:effectExtent l="0" t="76200" r="14605" b="14605"/>
                <wp:wrapNone/>
                <wp:docPr id="81" name="Right Brace 1"/>
                <wp:cNvGraphicFramePr/>
                <a:graphic xmlns:a="http://schemas.openxmlformats.org/drawingml/2006/main">
                  <a:graphicData uri="http://schemas.microsoft.com/office/word/2010/wordprocessingShape">
                    <wps:wsp>
                      <wps:cNvSpPr/>
                      <wps:spPr>
                        <a:xfrm rot="16200000" flipV="1">
                          <a:off x="0" y="0"/>
                          <a:ext cx="119062" cy="385762"/>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8157D3A" id="Right Brace 1" o:spid="_x0000_s1026" type="#_x0000_t88" style="position:absolute;margin-left:304.1pt;margin-top:53.6pt;width:9.35pt;height:30.35pt;rotation:90;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7PPMgIAAG4EAAAOAAAAZHJzL2Uyb0RvYy54bWysVE2P0zAQvSPxHyzfaZpWLaVquoKtygXB&#10;il24z/ojMfIXtrdp/z1jJ9tt2RsiB2s8tt/MezOTzc3RaHIQISpnG1pPppQIyxxXtm3oj4f9uxUl&#10;MYHloJ0VDT2JSG+2b99ser8WM9c5zUUgCGLjuvcN7VLy66qKrBMG4sR5YfFQumAg4Ta0FQ/QI7rR&#10;1Ww6XVa9C9wHx0SM6N0Nh3Rb8KUULH2TMopEdEMxt1TWUNbHvFbbDazbAL5TbEwD/iELA8pi0DPU&#10;DhKQp6BeQRnFgotOpglzpnJSKiYKB2RTT/9ic9+BF4ULihP9Wab4/2DZ18NdIIo3dFVTYsFgjb6r&#10;tkvkUwAmSJ0V6n1c48V7fxfGXUQz0z3KYEhwKGu9xHLgR4nUyv9ER9EDGZJjkft0llscE2HorOsP&#10;0+WMEoZH89XiPdoIXw2oGd2HmD4LZ0g2GhpyXiWtAg2HLzEVzfmYOPBfSEIajSU8gCar+Xw+Vvji&#10;CkZ8ubKYrWbLMewIiAk8B87o0WnF90rrsjnFWx0IgjcUu5C7nhINMaGzofvyjWBXz7QlfUOX8wXK&#10;wwDbXGpIaBqPwkfbUgK6xflhKRRqV4/jq5gPqOBF3KJ7aWVM/epp5rGD2A0Jl6NBD6MSjp1WBus+&#10;lG1QXtvMUpTBQXWzMxd/KHe2Hh0/YcP0ODGY+e8nCIKSkPStGwYMLOscavHMxLqPT8lJdYYaAEZc&#10;bOpS8HEA89Rc7sutl9/E9g8AAAD//wMAUEsDBBQABgAIAAAAIQCrpY3M4gAAAAsBAAAPAAAAZHJz&#10;L2Rvd25yZXYueG1sTI9PT4NAEMXvJn6HzZh4s4ukUkCWxviPxthDW+t5CyMQ2VlktwW/veNJbzPz&#10;Xt78XracTCdOOLjWkoLrWQACqbRVS7WCt93TVQzCeU2V7iyhgm90sMzPzzKdVnakDZ62vhYcQi7V&#10;Chrv+1RKVzZotJvZHom1DzsY7XkdalkNeuRw08kwCCJpdEv8odE93jdYfm6PRsEqGh/2j+upCL7e&#10;968vzxtKir5Q6vJiursF4XHyf2b4xWd0yJnpYI9UOdEpuIkXIVtZCGMe2BHNFwmIA1/mUQIyz+T/&#10;DvkPAAAA//8DAFBLAQItABQABgAIAAAAIQC2gziS/gAAAOEBAAATAAAAAAAAAAAAAAAAAAAAAABb&#10;Q29udGVudF9UeXBlc10ueG1sUEsBAi0AFAAGAAgAAAAhADj9If/WAAAAlAEAAAsAAAAAAAAAAAAA&#10;AAAALwEAAF9yZWxzLy5yZWxzUEsBAi0AFAAGAAgAAAAhAE9Hs88yAgAAbgQAAA4AAAAAAAAAAAAA&#10;AAAALgIAAGRycy9lMm9Eb2MueG1sUEsBAi0AFAAGAAgAAAAhAKuljcziAAAACwEAAA8AAAAAAAAA&#10;AAAAAAAAjAQAAGRycy9kb3ducmV2LnhtbFBLBQYAAAAABAAEAPMAAACbBQAAAAA=&#10;" adj="556,11410" filled="t" fillcolor="window" strokecolor="windowText" strokeweight=".5pt">
                <v:stroke joinstyle="miter"/>
              </v:shape>
            </w:pict>
          </mc:Fallback>
        </mc:AlternateContent>
      </w:r>
      <w:r w:rsidRPr="00DA6697">
        <w:rPr>
          <w:noProof/>
          <w:lang w:eastAsia="en-GB"/>
        </w:rPr>
        <mc:AlternateContent>
          <mc:Choice Requires="wps">
            <w:drawing>
              <wp:anchor distT="0" distB="0" distL="114300" distR="114300" simplePos="0" relativeHeight="251867136" behindDoc="0" locked="0" layoutInCell="1" hidden="0" allowOverlap="1" wp14:anchorId="109C0F68" wp14:editId="4E07B942">
                <wp:simplePos x="0" y="0"/>
                <wp:positionH relativeFrom="margin">
                  <wp:posOffset>1790700</wp:posOffset>
                </wp:positionH>
                <wp:positionV relativeFrom="paragraph">
                  <wp:posOffset>269875</wp:posOffset>
                </wp:positionV>
                <wp:extent cx="457200" cy="368300"/>
                <wp:effectExtent l="0" t="0" r="0" b="0"/>
                <wp:wrapNone/>
                <wp:docPr id="71" name="Rectangle 71"/>
                <wp:cNvGraphicFramePr/>
                <a:graphic xmlns:a="http://schemas.openxmlformats.org/drawingml/2006/main">
                  <a:graphicData uri="http://schemas.microsoft.com/office/word/2010/wordprocessingShape">
                    <wps:wsp>
                      <wps:cNvSpPr/>
                      <wps:spPr>
                        <a:xfrm>
                          <a:off x="0" y="0"/>
                          <a:ext cx="457200" cy="368300"/>
                        </a:xfrm>
                        <a:prstGeom prst="rect">
                          <a:avLst/>
                        </a:prstGeom>
                        <a:noFill/>
                        <a:ln>
                          <a:noFill/>
                        </a:ln>
                      </wps:spPr>
                      <wps:txbx>
                        <w:txbxContent>
                          <w:p w:rsidR="00AD6A02" w:rsidRDefault="00AD6A02" w:rsidP="00DA6697">
                            <w:pPr>
                              <w:spacing w:after="0"/>
                              <w:textDirection w:val="btLr"/>
                            </w:pPr>
                            <w:r>
                              <w:rPr>
                                <w:rFonts w:ascii="Calibri" w:eastAsia="Calibri" w:hAnsi="Calibri" w:cs="Calibri"/>
                                <w:color w:val="000000"/>
                              </w:rPr>
                              <w:t>**</w:t>
                            </w:r>
                          </w:p>
                        </w:txbxContent>
                      </wps:txbx>
                      <wps:bodyPr lIns="88900" tIns="38100" rIns="88900" bIns="38100" anchor="t" anchorCtr="0"/>
                    </wps:wsp>
                  </a:graphicData>
                </a:graphic>
              </wp:anchor>
            </w:drawing>
          </mc:Choice>
          <mc:Fallback>
            <w:pict>
              <v:rect w14:anchorId="109C0F68" id="Rectangle 71" o:spid="_x0000_s1124" style="position:absolute;left:0;text-align:left;margin-left:141pt;margin-top:21.25pt;width:36pt;height:29pt;z-index:251867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hzBowEAAEADAAAOAAAAZHJzL2Uyb0RvYy54bWysUk1v2zAMvQ/YfxB0X5Q0W+sacXpY0WLA&#10;sBVt9wMUWYoFSKJAabHz70cpaZqut2EXml9+5Hvi6mbyju00Jguh44vZnDMdFPQ2bDv+6/nuU8NZ&#10;yjL00kHQHd/rxG/WHz+sxtjqCxjA9RoZgYTUjrHjQ86xFSKpQXuZZhB1oKIB9DJTiFvRoxwJ3Ttx&#10;MZ9fihGwjwhKp0TZ20ORryu+MVrln8YknZnrOO2Wq8VqN8WK9Uq2W5RxsOq4hvyHLby0gYaeoG5l&#10;luw32ndQ3iqEBCbPFHgBxlilKwdis5j/xeZpkFFXLiROiieZ0v+DVT92D8hs3/GrBWdBenqjR1JN&#10;hq3TjHIk0BhTS31P8QGPUSK3sJ0M+vIlHmyqou5PouopM0XJz1+u6KE4U1RaXjZL8glFvP4cMeV7&#10;DZ4Vp+NI06uUcvc95UPrS0uZFeDOOkd52brwJkGYJSPKvocNi5enzVQJXjcvZDbQ74m1+xZIyaa5&#10;LuvlGiybRQnwvLI5r8igBqD7yZwd3K+5XlPZs0yjZ6rkjidV7uA8rl2vh7/+AwAA//8DAFBLAwQU&#10;AAYACAAAACEA3bz2hd8AAAAKAQAADwAAAGRycy9kb3ducmV2LnhtbEyPwU7DMAyG70i8Q2Qkbiyl&#10;a9FUmk4DiV0QBzYeIG1MG61xSpN2hafHnNjR9qff319uF9eLGcdgPSm4XyUgkBpvLLUKPo4vdxsQ&#10;IWoyuveECr4xwLa6vip1YfyZ3nE+xFZwCIVCK+hiHAopQ9Oh02HlByS+ffrR6cjj2Eoz6jOHu16m&#10;SfIgnbbEHzo94HOHzekwOQXzz5A97a3xp93X21K/Tvv10Tqlbm+W3SOIiEv8h+FPn9WhYqfaT2SC&#10;6BWkm5S7RAVZmoNgYJ1nvKiZTJIcZFXKywrVLwAAAP//AwBQSwECLQAUAAYACAAAACEAtoM4kv4A&#10;AADhAQAAEwAAAAAAAAAAAAAAAAAAAAAAW0NvbnRlbnRfVHlwZXNdLnhtbFBLAQItABQABgAIAAAA&#10;IQA4/SH/1gAAAJQBAAALAAAAAAAAAAAAAAAAAC8BAABfcmVscy8ucmVsc1BLAQItABQABgAIAAAA&#10;IQBsQhzBowEAAEADAAAOAAAAAAAAAAAAAAAAAC4CAABkcnMvZTJvRG9jLnhtbFBLAQItABQABgAI&#10;AAAAIQDdvPaF3wAAAAoBAAAPAAAAAAAAAAAAAAAAAP0DAABkcnMvZG93bnJldi54bWxQSwUGAAAA&#10;AAQABADzAAAACQUAAAAA&#10;" filled="f" stroked="f">
                <v:textbox inset="7pt,3pt,7pt,3pt">
                  <w:txbxContent>
                    <w:p w:rsidR="00AD6A02" w:rsidRDefault="00AD6A02" w:rsidP="00DA6697">
                      <w:pPr>
                        <w:spacing w:after="0"/>
                        <w:textDirection w:val="btLr"/>
                      </w:pPr>
                      <w:r>
                        <w:rPr>
                          <w:rFonts w:ascii="Calibri" w:eastAsia="Calibri" w:hAnsi="Calibri" w:cs="Calibri"/>
                          <w:color w:val="000000"/>
                        </w:rPr>
                        <w:t>**</w:t>
                      </w:r>
                    </w:p>
                  </w:txbxContent>
                </v:textbox>
                <w10:wrap anchorx="margin"/>
              </v:rect>
            </w:pict>
          </mc:Fallback>
        </mc:AlternateContent>
      </w:r>
      <w:r>
        <w:rPr>
          <w:noProof/>
          <w:lang w:eastAsia="en-GB"/>
        </w:rPr>
        <mc:AlternateContent>
          <mc:Choice Requires="wps">
            <w:drawing>
              <wp:anchor distT="0" distB="0" distL="114300" distR="114300" simplePos="0" relativeHeight="251869184" behindDoc="0" locked="0" layoutInCell="1" allowOverlap="1" wp14:anchorId="256B5890" wp14:editId="22316062">
                <wp:simplePos x="0" y="0"/>
                <wp:positionH relativeFrom="column">
                  <wp:posOffset>1902778</wp:posOffset>
                </wp:positionH>
                <wp:positionV relativeFrom="paragraph">
                  <wp:posOffset>277177</wp:posOffset>
                </wp:positionV>
                <wp:extent cx="95250" cy="478472"/>
                <wp:effectExtent l="0" t="77153" r="18098" b="18097"/>
                <wp:wrapNone/>
                <wp:docPr id="80" name="Right Brace 1"/>
                <wp:cNvGraphicFramePr/>
                <a:graphic xmlns:a="http://schemas.openxmlformats.org/drawingml/2006/main">
                  <a:graphicData uri="http://schemas.microsoft.com/office/word/2010/wordprocessingShape">
                    <wps:wsp>
                      <wps:cNvSpPr/>
                      <wps:spPr>
                        <a:xfrm rot="16200000" flipV="1">
                          <a:off x="0" y="0"/>
                          <a:ext cx="95250" cy="478472"/>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41C5267" id="Right Brace 1" o:spid="_x0000_s1026" type="#_x0000_t88" style="position:absolute;margin-left:149.85pt;margin-top:21.8pt;width:7.5pt;height:37.65pt;rotation:90;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Y8SMAIAAG0EAAAOAAAAZHJzL2Uyb0RvYy54bWysVE2P0zAQvSPxHyzfadp02w1V0xVsVS4I&#10;VuzCfdaxEyN/YbtN++8ZO9nSsjdEDpY9Hr+Z92Ym67ujVuTAfZDW1HQ2mVLCDbONNG1Nvz/t3lWU&#10;hAimAWUNr+mJB3q3eftm3bsVL21nVcM9QRATVr2raRejWxVFYB3XECbWcYOXwnoNEY++LRoPPaJr&#10;VZTT6bLorW+ct4yHgNbtcEk3GV8IzuJXIQKPRNUUc4t59Xl9TmuxWcOq9eA6ycY04B+y0CANBj1D&#10;bSEC2Xv5CkpL5m2wIk6Y1YUVQjKeOSCb2fQvNo8dOJ65oDjBnWUK/w+WfTk8eCKbmlYojwGNNfom&#10;2y6Sjx4YJ7OkUO/CCh0f3YMfTwG3ie5ReE28RVlnSywHfpQIJd0PNGQ9kCE5ZrlPZ7n5MRKGxveL&#10;coH+DG9ubqub2zLFKgbQBO58iJ+41SRtaupTWjmrjAyHzyFmyZsxb2h+zjC8VljBAyhSzefzscAX&#10;LuWly6KsyuUYdgTEBF4CJ/RglWx2Uql8OIV75QmC1xSbsLE9JQpCRGNNd/kbwa6eKUP6mi7nmS1g&#10;lwsFEYlrh7oH01ICqsXxYdFnalePw6uYTyjgRdwse+5kTP3qaeKxhdANCeerQQ8tI06dkjqVPVdt&#10;UF6ZxJLnuUF1kzHVfqh22j3b5oT90uPAYOa/9uA5JT6qezvMFxjWWdTihYmxH/bRCnmGGgBGXOzp&#10;XPBx/tLQXJ6z15+/xOY3AAAA//8DAFBLAwQUAAYACAAAACEAQsnsP98AAAAJAQAADwAAAGRycy9k&#10;b3ducmV2LnhtbEyPwU7DMAyG70i8Q2QkbiylGyOUuhNaBRe0A6XinDZZWmiSqsm27u0xp3Gz5U+/&#10;vz/fzHZgRz2F3juE+0UCTLvWq94ZhPrz9U4AC1E6JQfvNMJZB9gU11e5zJQ/uQ99rKJhFOJCJhG6&#10;GMeM89B22sqw8KN2dNv7ycpI62S4muSJwu3A0yRZcyt7Rx86Oeptp9uf6mARdmLPz2WZVu9f9du2&#10;Lr9Ns6sM4u3N/PIMLOo5XmD40yd1KMip8QenAhsQ0vXTA6EIj0uqQMBytaKhQRBCAC9y/r9B8QsA&#10;AP//AwBQSwECLQAUAAYACAAAACEAtoM4kv4AAADhAQAAEwAAAAAAAAAAAAAAAAAAAAAAW0NvbnRl&#10;bnRfVHlwZXNdLnhtbFBLAQItABQABgAIAAAAIQA4/SH/1gAAAJQBAAALAAAAAAAAAAAAAAAAAC8B&#10;AABfcmVscy8ucmVsc1BLAQItABQABgAIAAAAIQDWnY8SMAIAAG0EAAAOAAAAAAAAAAAAAAAAAC4C&#10;AABkcnMvZTJvRG9jLnhtbFBLAQItABQABgAIAAAAIQBCyew/3wAAAAkBAAAPAAAAAAAAAAAAAAAA&#10;AIoEAABkcnMvZG93bnJldi54bWxQSwUGAAAAAAQABADzAAAAlgUAAAAA&#10;" adj="358,11410" filled="t" fillcolor="window" strokecolor="windowText" strokeweight=".5pt">
                <v:stroke joinstyle="miter"/>
              </v:shape>
            </w:pict>
          </mc:Fallback>
        </mc:AlternateContent>
      </w:r>
      <w:r w:rsidR="00C7048E">
        <w:rPr>
          <w:noProof/>
          <w:lang w:eastAsia="en-GB"/>
        </w:rPr>
        <w:drawing>
          <wp:inline distT="0" distB="0" distL="114300" distR="114300" wp14:anchorId="49588153" wp14:editId="636623C5">
            <wp:extent cx="5429250" cy="2209800"/>
            <wp:effectExtent l="0" t="0" r="0" b="0"/>
            <wp:docPr id="6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24"/>
                    <a:srcRect/>
                    <a:stretch>
                      <a:fillRect/>
                    </a:stretch>
                  </pic:blipFill>
                  <pic:spPr>
                    <a:xfrm>
                      <a:off x="0" y="0"/>
                      <a:ext cx="5429250" cy="2209800"/>
                    </a:xfrm>
                    <a:prstGeom prst="rect">
                      <a:avLst/>
                    </a:prstGeom>
                    <a:ln/>
                  </pic:spPr>
                </pic:pic>
              </a:graphicData>
            </a:graphic>
          </wp:inline>
        </w:drawing>
      </w:r>
    </w:p>
    <w:p w:rsidR="00C7048E" w:rsidRPr="00733835" w:rsidRDefault="0073460C" w:rsidP="00AA615C">
      <w:pPr>
        <w:pStyle w:val="LegText"/>
        <w:ind w:left="1440"/>
        <w:rPr>
          <w:color w:val="auto"/>
        </w:rPr>
      </w:pPr>
      <w:bookmarkStart w:id="379" w:name="_Toc504640613"/>
      <w:r>
        <w:rPr>
          <w:rStyle w:val="SubtitleChar"/>
        </w:rPr>
        <w:t>Figure 5.2</w:t>
      </w:r>
      <w:r w:rsidR="00C7048E" w:rsidRPr="00EB288F">
        <w:rPr>
          <w:rStyle w:val="SubtitleChar"/>
        </w:rPr>
        <w:t xml:space="preserve"> tPA </w:t>
      </w:r>
      <w:r w:rsidR="00C7048E" w:rsidRPr="00AC4D8B">
        <w:rPr>
          <w:rStyle w:val="SubtitleChar"/>
        </w:rPr>
        <w:t>activity</w:t>
      </w:r>
      <w:r w:rsidR="00AC4D8B" w:rsidRPr="00AC4D8B">
        <w:rPr>
          <w:rStyle w:val="SubtitleChar"/>
        </w:rPr>
        <w:t xml:space="preserve"> using p-EGR-</w:t>
      </w:r>
      <w:r w:rsidR="00AC4D8B" w:rsidRPr="00B301F0">
        <w:rPr>
          <w:rStyle w:val="SubtitleChar"/>
          <w:i/>
        </w:rPr>
        <w:t>p</w:t>
      </w:r>
      <w:r w:rsidR="00AC4D8B" w:rsidRPr="00AC4D8B">
        <w:rPr>
          <w:rStyle w:val="SubtitleChar"/>
        </w:rPr>
        <w:t xml:space="preserve">NA </w:t>
      </w:r>
      <w:r w:rsidR="00C7048E" w:rsidRPr="00AC4D8B">
        <w:rPr>
          <w:rStyle w:val="SubtitleChar"/>
        </w:rPr>
        <w:t>in conditioned medium from rat kidney cells cultured on fibrin and plastic</w:t>
      </w:r>
      <w:bookmarkEnd w:id="379"/>
      <w:r w:rsidR="00C7048E">
        <w:t>.</w:t>
      </w:r>
      <w:r w:rsidR="00EB288F">
        <w:t xml:space="preserve"> </w:t>
      </w:r>
      <w:r w:rsidR="00C7048E">
        <w:t xml:space="preserve">tPA activity in conditioned media from cells cultured on both fibrin gel </w:t>
      </w:r>
      <w:r w:rsidR="000B646A">
        <w:t xml:space="preserve">and on plastic </w:t>
      </w:r>
      <w:r w:rsidR="00C7048E">
        <w:t xml:space="preserve">is shown. Individual points were from triplicate cultures. </w:t>
      </w:r>
      <w:r w:rsidR="00C7048E" w:rsidRPr="00733835">
        <w:rPr>
          <w:color w:val="auto"/>
        </w:rPr>
        <w:t xml:space="preserve">The difference in tPA activities between cells cultured on fibrin and plastic in NRK52E and CRL2573 </w:t>
      </w:r>
      <w:r w:rsidR="00AC4D8B">
        <w:rPr>
          <w:color w:val="auto"/>
        </w:rPr>
        <w:t>were statistically significant at</w:t>
      </w:r>
      <w:r w:rsidR="00C7048E" w:rsidRPr="00733835">
        <w:rPr>
          <w:color w:val="auto"/>
        </w:rPr>
        <w:t xml:space="preserve"> </w:t>
      </w:r>
      <w:bookmarkStart w:id="380" w:name="1rvwp1q" w:colFirst="0" w:colLast="0"/>
      <w:bookmarkEnd w:id="380"/>
      <w:r w:rsidR="00733835" w:rsidRPr="00733835">
        <w:rPr>
          <w:color w:val="auto"/>
        </w:rPr>
        <w:t>P &lt; 0.001</w:t>
      </w:r>
      <w:r w:rsidR="00C7048E" w:rsidRPr="00733835">
        <w:rPr>
          <w:color w:val="auto"/>
        </w:rPr>
        <w:t xml:space="preserve">. </w:t>
      </w:r>
    </w:p>
    <w:p w:rsidR="00C7048E" w:rsidRDefault="00C7048E" w:rsidP="00C7048E">
      <w:pPr>
        <w:widowControl w:val="0"/>
        <w:spacing w:after="0" w:line="276" w:lineRule="auto"/>
        <w:rPr>
          <w:rFonts w:ascii="Times New Roman" w:eastAsia="Times New Roman" w:hAnsi="Times New Roman"/>
          <w:sz w:val="20"/>
          <w:szCs w:val="20"/>
        </w:rPr>
      </w:pPr>
    </w:p>
    <w:p w:rsidR="000C1CDC" w:rsidRDefault="000C1CDC" w:rsidP="00C7048E">
      <w:pPr>
        <w:pStyle w:val="Heading3"/>
      </w:pPr>
      <w:bookmarkStart w:id="381" w:name="2r0uhxc" w:colFirst="0" w:colLast="0"/>
      <w:bookmarkStart w:id="382" w:name="_4bvk7pj" w:colFirst="0" w:colLast="0"/>
      <w:bookmarkEnd w:id="381"/>
      <w:bookmarkEnd w:id="382"/>
    </w:p>
    <w:p w:rsidR="00C7048E" w:rsidRPr="00E77B18" w:rsidRDefault="00156F32" w:rsidP="00D0045E">
      <w:pPr>
        <w:pStyle w:val="Heading4"/>
        <w:ind w:left="720" w:firstLine="720"/>
      </w:pPr>
      <w:bookmarkStart w:id="383" w:name="_Toc506232404"/>
      <w:r>
        <w:t>5.2.4</w:t>
      </w:r>
      <w:r w:rsidR="00C7048E" w:rsidRPr="000C1CDC">
        <w:t xml:space="preserve"> Urokinase type plasminogen activator</w:t>
      </w:r>
      <w:r w:rsidR="00C7048E">
        <w:rPr>
          <w:noProof/>
          <w:lang w:eastAsia="en-GB"/>
        </w:rPr>
        <mc:AlternateContent>
          <mc:Choice Requires="wps">
            <w:drawing>
              <wp:anchor distT="0" distB="0" distL="114300" distR="114300" simplePos="0" relativeHeight="251855872" behindDoc="0" locked="0" layoutInCell="1" hidden="0" allowOverlap="1" wp14:anchorId="54F12675" wp14:editId="425D471F">
                <wp:simplePos x="0" y="0"/>
                <wp:positionH relativeFrom="margin">
                  <wp:posOffset>1816100</wp:posOffset>
                </wp:positionH>
                <wp:positionV relativeFrom="paragraph">
                  <wp:posOffset>0</wp:posOffset>
                </wp:positionV>
                <wp:extent cx="393700" cy="177800"/>
                <wp:effectExtent l="0" t="0" r="0" b="0"/>
                <wp:wrapNone/>
                <wp:docPr id="233" name="Rectangle 233"/>
                <wp:cNvGraphicFramePr/>
                <a:graphic xmlns:a="http://schemas.openxmlformats.org/drawingml/2006/main">
                  <a:graphicData uri="http://schemas.microsoft.com/office/word/2010/wordprocessingShape">
                    <wps:wsp>
                      <wps:cNvSpPr/>
                      <wps:spPr>
                        <a:xfrm>
                          <a:off x="5150737" y="3694275"/>
                          <a:ext cx="390524" cy="171449"/>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wps:txbx>
                      <wps:bodyPr lIns="88900" tIns="38100" rIns="88900" bIns="38100" anchor="t" anchorCtr="0"/>
                    </wps:wsp>
                  </a:graphicData>
                </a:graphic>
              </wp:anchor>
            </w:drawing>
          </mc:Choice>
          <mc:Fallback>
            <w:pict>
              <v:rect w14:anchorId="54F12675" id="Rectangle 233" o:spid="_x0000_s1125" style="position:absolute;left:0;text-align:left;margin-left:143pt;margin-top:0;width:31pt;height:14pt;z-index:251855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4TaswEAAE4DAAAOAAAAZHJzL2Uyb0RvYy54bWysU8uO0zAU3SPxD5b31Hm00yaqOwtGg5AQ&#10;jBj4ANexG0t+yTZN+vdcO2WmwA6xce5Lx+cc3+zvZ6PRWYSonKW4XlUYCcvdoOyJ4u/fHt/tMIqJ&#10;2YFpZwXFFxHx/eHtm/3ke9G40elBBAQgNvaTp3hMyfeERD4Kw+LKeWGhKV0wLEEaTmQIbAJ0o0lT&#10;VXdkcmHwwXERI1QfliY+FHwpBU9fpIwiIU0xcEvlDOU85pMc9qw/BeZHxa802D+wMExZuPQF6oEl&#10;hn4E9ReUUTy46GRacWeIk1JxUTSAmrr6Q83zyLwoWsCc6F9siv8Pln8+PwWkBoqbtsXIMgOP9BVs&#10;Y/akBcpFsGjysYfJZ/8UrlmEMOudZTD5C0rQTPGm3lTbdovRheL2rls3281isZgT4jDQdtWmWWPE&#10;YaDe1ut1l/vkFciHmD4IZ1AOKA5ApRjLzp9iWkZ/jeR7rXtUWkOd9dr+VgDMXCGZ+8I2R2k+zkVu&#10;Vy7OpaMbLuCB/mjB192uq/KelKTd1TkJt53jbYdZPjrYpoTREr5PZbcyzwwNj1bEXRcsb8VtXqZe&#10;f4PDTwAAAP//AwBQSwMEFAAGAAgAAAAhAIa4g8ncAAAABwEAAA8AAABkcnMvZG93bnJldi54bWxM&#10;j8FuwjAMhu+T9g6RJ+020gFCVWmK2KRxQTsMeIC0MW1E43RNWsqefua0XSzbv/X/n/PN5FoxYh+s&#10;JwWvswQEUuWNpVrB6fjxkoIIUZPRrSdUcMMAm+LxIdeZ8Vf6wvEQa8EmFDKtoImxy6QMVYNOh5nv&#10;kFg7+97pyGNfS9PrK5u7Vs6TZCWdtsQJje7wvcHqchicgvGnW77trPGX7ffnVO6H3eJonVLPT9N2&#10;DSLiFP+O4Y7P6FAwU+kHMkG0Cubpin+JCriyvFim3JT3fQKyyOV//uIXAAD//wMAUEsBAi0AFAAG&#10;AAgAAAAhALaDOJL+AAAA4QEAABMAAAAAAAAAAAAAAAAAAAAAAFtDb250ZW50X1R5cGVzXS54bWxQ&#10;SwECLQAUAAYACAAAACEAOP0h/9YAAACUAQAACwAAAAAAAAAAAAAAAAAvAQAAX3JlbHMvLnJlbHNQ&#10;SwECLQAUAAYACAAAACEAqr+E2rMBAABOAwAADgAAAAAAAAAAAAAAAAAuAgAAZHJzL2Uyb0RvYy54&#10;bWxQSwECLQAUAAYACAAAACEAhriDydwAAAAHAQAADwAAAAAAAAAAAAAAAAANBAAAZHJzL2Rvd25y&#10;ZXYueG1sUEsFBgAAAAAEAAQA8wAAABYFA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v:textbox>
                <w10:wrap anchorx="margin"/>
              </v:rect>
            </w:pict>
          </mc:Fallback>
        </mc:AlternateContent>
      </w:r>
      <w:bookmarkEnd w:id="383"/>
    </w:p>
    <w:p w:rsidR="002C3774" w:rsidRDefault="00C7048E" w:rsidP="00AA615C">
      <w:pPr>
        <w:ind w:left="1440"/>
      </w:pPr>
      <w:r>
        <w:t>uPA activity was determined in culture media from all our three cell lines NRK52E, NRK49F and CRL2573 cultured</w:t>
      </w:r>
      <w:r w:rsidR="00E77B18">
        <w:t xml:space="preserve"> o</w:t>
      </w:r>
      <w:r w:rsidR="00891FFA">
        <w:t>n plastic or fibrin gel. Fig 5.3</w:t>
      </w:r>
      <w:r>
        <w:t xml:space="preserve"> shows there was more uPA activity in the presence of fibrin with epithelial cells having the highest uPA activity. </w:t>
      </w:r>
    </w:p>
    <w:p w:rsidR="007B2EC5" w:rsidRDefault="0073460C" w:rsidP="0073460C">
      <w:pPr>
        <w:ind w:left="1440"/>
      </w:pPr>
      <w:r>
        <w:t>uPA activity was assessed in our cell lines (NRK52E, NRK49F and CRL2573) cultured at 1.5-2.0 X 10</w:t>
      </w:r>
      <w:r>
        <w:rPr>
          <w:vertAlign w:val="superscript"/>
        </w:rPr>
        <w:t>5</w:t>
      </w:r>
      <w:r>
        <w:t xml:space="preserve"> cells/ml on both fibrin and plastic. </w:t>
      </w:r>
    </w:p>
    <w:p w:rsidR="002C3774" w:rsidRDefault="0073460C" w:rsidP="004C42E1">
      <w:pPr>
        <w:ind w:left="1440"/>
      </w:pPr>
      <w:r>
        <w:t>2 mls of 24hr conditioned phenol-red free/serum-fre</w:t>
      </w:r>
      <w:r w:rsidR="007B2EC5">
        <w:t>e media were assayed for uPA. Fig 5.3 shows uPA</w:t>
      </w:r>
      <w:r>
        <w:t xml:space="preserve"> activity in the three cell lines in </w:t>
      </w:r>
      <w:r w:rsidR="004C42E1">
        <w:t>conditioned media from cells cultured on</w:t>
      </w:r>
      <w:r w:rsidR="007B2EC5">
        <w:t xml:space="preserve"> fibrin gel with </w:t>
      </w:r>
      <w:r w:rsidR="004C42E1">
        <w:t xml:space="preserve">the </w:t>
      </w:r>
      <w:r w:rsidR="007B2EC5">
        <w:t>highest uPA</w:t>
      </w:r>
      <w:r>
        <w:t xml:space="preserve"> activity in the epithelial</w:t>
      </w:r>
      <w:r w:rsidR="007B2EC5">
        <w:t>-</w:t>
      </w:r>
      <w:r>
        <w:t xml:space="preserve">like cells (NRK52E) followed by the mesangial cells (CRL2573) and the fibroblast like cells (NRK49F). </w:t>
      </w:r>
      <w:r w:rsidR="007B2EC5">
        <w:t>The figure also compares uPA</w:t>
      </w:r>
      <w:r>
        <w:t xml:space="preserve"> activity between the cells cultured on fibrin with those cultured on plastic. A significant </w:t>
      </w:r>
      <w:r w:rsidR="004C42E1">
        <w:t xml:space="preserve">uPA </w:t>
      </w:r>
      <w:r>
        <w:t xml:space="preserve">activity </w:t>
      </w:r>
      <w:r w:rsidR="004C42E1">
        <w:t xml:space="preserve">was observed in </w:t>
      </w:r>
      <w:r>
        <w:t>epithelial</w:t>
      </w:r>
      <w:r w:rsidR="004C42E1">
        <w:t>-like</w:t>
      </w:r>
      <w:r>
        <w:t xml:space="preserve"> cells</w:t>
      </w:r>
      <w:r w:rsidR="004C42E1">
        <w:t>.</w:t>
      </w:r>
      <w:r>
        <w:t xml:space="preserve">  </w:t>
      </w:r>
    </w:p>
    <w:p w:rsidR="00075B2B" w:rsidRDefault="002C3774" w:rsidP="00AA615C">
      <w:pPr>
        <w:ind w:left="1440"/>
      </w:pPr>
      <w:r>
        <w:rPr>
          <w:noProof/>
          <w:lang w:eastAsia="en-GB"/>
        </w:rPr>
        <mc:AlternateContent>
          <mc:Choice Requires="wps">
            <w:drawing>
              <wp:anchor distT="0" distB="0" distL="114300" distR="114300" simplePos="0" relativeHeight="251877376" behindDoc="0" locked="0" layoutInCell="1" allowOverlap="1" wp14:anchorId="2AD6772D" wp14:editId="00A6B49F">
                <wp:simplePos x="0" y="0"/>
                <wp:positionH relativeFrom="column">
                  <wp:posOffset>1875473</wp:posOffset>
                </wp:positionH>
                <wp:positionV relativeFrom="paragraph">
                  <wp:posOffset>381952</wp:posOffset>
                </wp:positionV>
                <wp:extent cx="95250" cy="478472"/>
                <wp:effectExtent l="0" t="77153" r="18098" b="18097"/>
                <wp:wrapNone/>
                <wp:docPr id="84" name="Right Brace 1"/>
                <wp:cNvGraphicFramePr/>
                <a:graphic xmlns:a="http://schemas.openxmlformats.org/drawingml/2006/main">
                  <a:graphicData uri="http://schemas.microsoft.com/office/word/2010/wordprocessingShape">
                    <wps:wsp>
                      <wps:cNvSpPr/>
                      <wps:spPr>
                        <a:xfrm rot="16200000" flipV="1">
                          <a:off x="0" y="0"/>
                          <a:ext cx="95250" cy="478472"/>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9262AFD" id="Right Brace 1" o:spid="_x0000_s1026" type="#_x0000_t88" style="position:absolute;margin-left:147.7pt;margin-top:30.05pt;width:7.5pt;height:37.65pt;rotation:90;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llUMAIAAG0EAAAOAAAAZHJzL2Uyb0RvYy54bWysVE1v2zAMvQ/YfxB0X5w4H82COMXWILsM&#10;W7F2vbOyZGvQ1yQlTv79KNnNkvVWzAdBoqhHvkfS69ujVuTAfZDWVHQyGlPCDbO1NE1Ffz7uPiwp&#10;CRFMDcoaXtETD/R28/7dunMrXtrWqpp7giAmrDpX0TZGtyqKwFquIYys4wYvhfUaIh59U9QeOkTX&#10;qijH40XRWV87bxkPAa3b/pJuMr4QnMXvQgQeiaoo5hbz6vP6nNZis4ZV48G1kg1pwBuy0CANBj1D&#10;bSEC2Xv5CkpL5m2wIo6Y1YUVQjKeOSCbyfgfNg8tOJ65oDjBnWUK/w+WfTvceyLrii5nlBjQWKMf&#10;smkj+eyBcTJJCnUurNDxwd374RRwm+gehdfEW5R1ssBy4EeJUNI9oSHrgQzJMct9OsvNj5EwNH6c&#10;l3P0Z3gzu1nObsoUq+hBE7jzIX7hVpO0qahPaeWsMjIcvoaYJa+HvKH+NcHwWmEFD6DIcjqdDgW+&#10;cCkvXeblslwMYQdATOAlcEIPVsl6J5XKh1O4U54geEWxCWvbUaIgRDRWdJe/AezqmTKkq+himtkC&#10;drlQEJG4dqh7MA0loBocHxZ9pnb1OLyK+YgCXsTNsudOxtSvniYeWwhtn3C+6vXQMuLUKamx7H3V&#10;euWVSSx5nhtUNxlT7ftqp92zrU/YLx0ODGb+ew+eU+KjurP9fIFhrUUtXpgY+2kfrZBnqB5gwMWe&#10;zgUf5i8NzeU5e/39S2z+AAAA//8DAFBLAwQUAAYACAAAACEAIeHFXd8AAAAKAQAADwAAAGRycy9k&#10;b3ducmV2LnhtbEyPwU7DMBBE70j8g7VI3KhNQqoS4lSoEVxQD4SIsxO7TiBeR7Hbpn/PcoLjap5m&#10;3hbbxY3sZOYweJRwvxLADHZeD2glNB8vdxtgISrUavRoJFxMgG15fVWoXPszvptTHS2jEgy5ktDH&#10;OOWch643ToWVnwxSdvCzU5HO2XI9qzOVu5EnQqy5UwPSQq8ms+tN910fnYT95sAvVZXUb5/N666p&#10;vmy7r62UtzfL8xOwaJb4B8OvPqlDSU6tP6IObJSQrLOEUAmPIgVGQPogMmAtkSJLgZcF//9C+QMA&#10;AP//AwBQSwECLQAUAAYACAAAACEAtoM4kv4AAADhAQAAEwAAAAAAAAAAAAAAAAAAAAAAW0NvbnRl&#10;bnRfVHlwZXNdLnhtbFBLAQItABQABgAIAAAAIQA4/SH/1gAAAJQBAAALAAAAAAAAAAAAAAAAAC8B&#10;AABfcmVscy8ucmVsc1BLAQItABQABgAIAAAAIQCjqllUMAIAAG0EAAAOAAAAAAAAAAAAAAAAAC4C&#10;AABkcnMvZTJvRG9jLnhtbFBLAQItABQABgAIAAAAIQAh4cVd3wAAAAoBAAAPAAAAAAAAAAAAAAAA&#10;AIoEAABkcnMvZG93bnJldi54bWxQSwUGAAAAAAQABADzAAAAlgUAAAAA&#10;" adj="358,11410" filled="t" fillcolor="window" strokecolor="windowText" strokeweight=".5pt">
                <v:stroke joinstyle="miter"/>
              </v:shape>
            </w:pict>
          </mc:Fallback>
        </mc:AlternateContent>
      </w:r>
    </w:p>
    <w:p w:rsidR="00C7048E" w:rsidRDefault="00622FB9" w:rsidP="002C3774">
      <w:pPr>
        <w:spacing w:before="120" w:after="40"/>
        <w:ind w:left="720" w:firstLine="720"/>
      </w:pPr>
      <w:r>
        <w:rPr>
          <w:noProof/>
          <w:lang w:eastAsia="en-GB"/>
        </w:rPr>
        <mc:AlternateContent>
          <mc:Choice Requires="wps">
            <w:drawing>
              <wp:anchor distT="0" distB="0" distL="114300" distR="114300" simplePos="0" relativeHeight="251857920" behindDoc="0" locked="0" layoutInCell="1" hidden="0" allowOverlap="1" wp14:anchorId="6A61CA07" wp14:editId="44906FCB">
                <wp:simplePos x="0" y="0"/>
                <wp:positionH relativeFrom="margin">
                  <wp:posOffset>1704975</wp:posOffset>
                </wp:positionH>
                <wp:positionV relativeFrom="paragraph">
                  <wp:posOffset>5079</wp:posOffset>
                </wp:positionV>
                <wp:extent cx="561975" cy="238125"/>
                <wp:effectExtent l="0" t="0" r="0" b="9525"/>
                <wp:wrapNone/>
                <wp:docPr id="215" name="Rectangle 215"/>
                <wp:cNvGraphicFramePr/>
                <a:graphic xmlns:a="http://schemas.openxmlformats.org/drawingml/2006/main">
                  <a:graphicData uri="http://schemas.microsoft.com/office/word/2010/wordprocessingShape">
                    <wps:wsp>
                      <wps:cNvSpPr/>
                      <wps:spPr>
                        <a:xfrm>
                          <a:off x="0" y="0"/>
                          <a:ext cx="561975" cy="238125"/>
                        </a:xfrm>
                        <a:prstGeom prst="rect">
                          <a:avLst/>
                        </a:prstGeom>
                        <a:noFill/>
                        <a:ln>
                          <a:noFill/>
                        </a:ln>
                      </wps:spPr>
                      <wps:txbx>
                        <w:txbxContent>
                          <w:p w:rsidR="00AD6A02" w:rsidRDefault="00AD6A02" w:rsidP="00C7048E">
                            <w:pPr>
                              <w:spacing w:after="0"/>
                              <w:textDirection w:val="btLr"/>
                            </w:pPr>
                            <w:r>
                              <w:rPr>
                                <w:rFonts w:ascii="Calibri" w:eastAsia="Calibri" w:hAnsi="Calibri" w:cs="Calibri"/>
                                <w:color w:val="000000"/>
                              </w:rPr>
                              <w:t>****</w:t>
                            </w:r>
                          </w:p>
                          <w:p w:rsidR="00AD6A02" w:rsidRDefault="00AD6A02" w:rsidP="00C7048E">
                            <w:pPr>
                              <w:spacing w:after="0"/>
                              <w:textDirection w:val="btLr"/>
                            </w:pP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6A61CA07" id="Rectangle 215" o:spid="_x0000_s1126" style="position:absolute;left:0;text-align:left;margin-left:134.25pt;margin-top:.4pt;width:44.25pt;height:18.7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p3uAEAAGsDAAAOAAAAZHJzL2Uyb0RvYy54bWysU9tuEzEQfUfiHyy/k72glnSVTYWoipAQ&#10;VBQ+wPHaWUu2x4yd7ObvGTtpEuAN8eLMLWfOmZld3c/Osr3CaMD3vFnUnCkvYTB+2/Mf3x/fLDmL&#10;SfhBWPCq5wcV+f369avVFDrVwgh2UMgIxMduCj0fUwpdVUU5KifiAoLylNSATiRycVsNKCZCd7Zq&#10;6/q2mgCHgCBVjBR9OCb5uuBrrWT6qnVUidmeE7dUXizvJr/VeiW6LYowGnmiIf6BhRPGU9Mz1INI&#10;gu3Q/AXljESIoNNCgqtAayNV0UBqmvoPNc+jCKpooeHEcB5T/H+w8sv+CZkZet42N5x54WhJ32hs&#10;wm+tYjlII5pC7KjyOTzhyYtkZr2zRpd/SQmby1gP57GqOTFJwZvb5u4dgUtKtW+XTVswq8ufA8b0&#10;UYFj2eg5UvsyTLH/HBM1pNKXktzLw6OxtmzO+t8CVJgjVeZ7ZJitNG/mIrGpy8JzbAPDgYRPtPme&#10;x587gYoz+8nTaJfLO6pjqThENzt4ndlcZ4SXI9BBJc6O5odUzuvI6/0ugTZFw6XriSBttEg7XV8+&#10;mWu/VF2+kfUvAAAA//8DAFBLAwQUAAYACAAAACEAyIqXzd0AAAAHAQAADwAAAGRycy9kb3ducmV2&#10;LnhtbEyPwU7DMBBE70j8g7VI3KhDQ0uUxqkKEr0gDrR8gBNvE6vxOsROGvh6lhPcdjSj2TfFdnad&#10;mHAI1pOC+0UCAqn2xlKj4OP4cpeBCFGT0Z0nVPCFAbbl9VWhc+Mv9I7TITaCSyjkWkEbY59LGeoW&#10;nQ4L3yOxd/KD05Hl0Egz6AuXu04uk2QtnbbEH1rd43OL9fkwOgXTd//wtLfGn3efb3P1Ou7To3VK&#10;3d7Muw2IiHP8C8MvPqNDyUyVH8kE0SlYrrMVRxXwALbT1SNPq/jIUpBlIf/zlz8AAAD//wMAUEsB&#10;Ai0AFAAGAAgAAAAhALaDOJL+AAAA4QEAABMAAAAAAAAAAAAAAAAAAAAAAFtDb250ZW50X1R5cGVz&#10;XS54bWxQSwECLQAUAAYACAAAACEAOP0h/9YAAACUAQAACwAAAAAAAAAAAAAAAAAvAQAAX3JlbHMv&#10;LnJlbHNQSwECLQAUAAYACAAAACEAgjcKd7gBAABrAwAADgAAAAAAAAAAAAAAAAAuAgAAZHJzL2Uy&#10;b0RvYy54bWxQSwECLQAUAAYACAAAACEAyIqXzd0AAAAHAQAADwAAAAAAAAAAAAAAAAASBAAAZHJz&#10;L2Rvd25yZXYueG1sUEsFBgAAAAAEAAQA8wAAABwFAAAAAA==&#10;" filled="f" stroked="f">
                <v:textbox inset="7pt,3pt,7pt,3pt">
                  <w:txbxContent>
                    <w:p w:rsidR="00AD6A02" w:rsidRDefault="00AD6A02" w:rsidP="00C7048E">
                      <w:pPr>
                        <w:spacing w:after="0"/>
                        <w:textDirection w:val="btLr"/>
                      </w:pPr>
                      <w:r>
                        <w:rPr>
                          <w:rFonts w:ascii="Calibri" w:eastAsia="Calibri" w:hAnsi="Calibri" w:cs="Calibri"/>
                          <w:color w:val="000000"/>
                        </w:rPr>
                        <w:t>****</w:t>
                      </w:r>
                    </w:p>
                    <w:p w:rsidR="00AD6A02" w:rsidRDefault="00AD6A02" w:rsidP="00C7048E">
                      <w:pPr>
                        <w:spacing w:after="0"/>
                        <w:textDirection w:val="btLr"/>
                      </w:pPr>
                    </w:p>
                  </w:txbxContent>
                </v:textbox>
                <w10:wrap anchorx="margin"/>
              </v:rect>
            </w:pict>
          </mc:Fallback>
        </mc:AlternateContent>
      </w:r>
      <w:r w:rsidR="00C7048E">
        <w:rPr>
          <w:noProof/>
          <w:lang w:eastAsia="en-GB"/>
        </w:rPr>
        <w:drawing>
          <wp:inline distT="0" distB="0" distL="0" distR="0" wp14:anchorId="0F7E4A54" wp14:editId="7AF638BA">
            <wp:extent cx="5358712" cy="1990725"/>
            <wp:effectExtent l="0" t="0" r="0" b="0"/>
            <wp:docPr id="63"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25"/>
                    <a:srcRect/>
                    <a:stretch>
                      <a:fillRect/>
                    </a:stretch>
                  </pic:blipFill>
                  <pic:spPr>
                    <a:xfrm>
                      <a:off x="0" y="0"/>
                      <a:ext cx="5374382" cy="1996546"/>
                    </a:xfrm>
                    <a:prstGeom prst="rect">
                      <a:avLst/>
                    </a:prstGeom>
                    <a:ln/>
                  </pic:spPr>
                </pic:pic>
              </a:graphicData>
            </a:graphic>
          </wp:inline>
        </w:drawing>
      </w:r>
      <w:r w:rsidR="00C7048E">
        <w:rPr>
          <w:noProof/>
          <w:lang w:eastAsia="en-GB"/>
        </w:rPr>
        <mc:AlternateContent>
          <mc:Choice Requires="wps">
            <w:drawing>
              <wp:anchor distT="0" distB="0" distL="114300" distR="114300" simplePos="0" relativeHeight="251856896" behindDoc="0" locked="0" layoutInCell="1" hidden="0" allowOverlap="1" wp14:anchorId="52EB2AF6" wp14:editId="22DBEEB8">
                <wp:simplePos x="0" y="0"/>
                <wp:positionH relativeFrom="margin">
                  <wp:posOffset>774700</wp:posOffset>
                </wp:positionH>
                <wp:positionV relativeFrom="paragraph">
                  <wp:posOffset>127000</wp:posOffset>
                </wp:positionV>
                <wp:extent cx="482600" cy="165100"/>
                <wp:effectExtent l="0" t="0" r="0" b="0"/>
                <wp:wrapNone/>
                <wp:docPr id="232" name="Rectangle 232"/>
                <wp:cNvGraphicFramePr/>
                <a:graphic xmlns:a="http://schemas.openxmlformats.org/drawingml/2006/main">
                  <a:graphicData uri="http://schemas.microsoft.com/office/word/2010/wordprocessingShape">
                    <wps:wsp>
                      <wps:cNvSpPr/>
                      <wps:spPr>
                        <a:xfrm>
                          <a:off x="5104382" y="3698085"/>
                          <a:ext cx="483235" cy="163829"/>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wps:txbx>
                      <wps:bodyPr lIns="88900" tIns="38100" rIns="88900" bIns="38100" anchor="t" anchorCtr="0"/>
                    </wps:wsp>
                  </a:graphicData>
                </a:graphic>
              </wp:anchor>
            </w:drawing>
          </mc:Choice>
          <mc:Fallback>
            <w:pict>
              <v:rect w14:anchorId="52EB2AF6" id="Rectangle 232" o:spid="_x0000_s1127" style="position:absolute;left:0;text-align:left;margin-left:61pt;margin-top:10pt;width:38pt;height:13pt;z-index:251856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plrsgEAAE8DAAAOAAAAZHJzL2Uyb0RvYy54bWysU8tu2zAQvBfoPxC819QjNmTBdA4JUhQo&#10;2qBpP4CmSIsAXyBZS/77LikncdpbkQu1j8FwZ7ja3c5Go5MIUTlLcb2qMBKWu0HZI8W/fj586jCK&#10;idmBaWcFxWcR8e3+44fd5HvRuNHpQQQEJDb2k6d4TMn3hEQ+CsPiynlhoSldMCxBGo5kCGwCdqNJ&#10;U1UbMrkw+OC4iBGq90sT7wu/lIKn71JGkZCmGGZL5QzlPOST7HesPwbmR8UvY7D/mMIwZeHSF6p7&#10;lhj6HdQ/VEbx4KKTacWdIU5KxUXRAGrq6i81TyPzomgBc6J/sSm+Hy3/dnoMSA0UN22DkWUGHukH&#10;2MbsUQuUi2DR5GMPyCf/GC5ZhDDrnWUw+QtK0Ezxuq5u2g6IzhS3m21XdevFYjEnxAFw07VNu8aI&#10;A6DeAHSb++SVyIeYPgtnUA4oDjBKMZadvsa0QJ8h+V7rHpTWUGe9tm8KwJkrJM++TJujNB/mIreu&#10;6mdlBzecwQT9xYKxXbet8qKUpO3qnITrzuG6wywfHaxTwmgJ71JZrjxovg5erai7bFhei+u8oF7/&#10;g/0fAAAA//8DAFBLAwQUAAYACAAAACEATagf/N0AAAAJAQAADwAAAGRycy9kb3ducmV2LnhtbEyP&#10;wU7DMBBE70j9B2uRuFGHUFVtiFMVJHpBHGj7AU68JFbjdRo7aeDr2Z7obUc7mnmTbybXihH7YD0p&#10;eJonIJAqbyzVCo6H98cViBA1Gd16QgU/GGBTzO5ynRl/oS8c97EWHEIh0wqaGLtMylA16HSY+w6J&#10;f9++dzqy7Gtpen3hcNfKNEmW0mlL3NDoDt8arE77wSkYf7vF684af9qeP6fyY9g9H6xT6uF+2r6A&#10;iDjFfzNc8RkdCmYq/UAmiJZ1mvKWqIBrQFwN6xUfpYLFMgFZ5PJ2QfEHAAD//wMAUEsBAi0AFAAG&#10;AAgAAAAhALaDOJL+AAAA4QEAABMAAAAAAAAAAAAAAAAAAAAAAFtDb250ZW50X1R5cGVzXS54bWxQ&#10;SwECLQAUAAYACAAAACEAOP0h/9YAAACUAQAACwAAAAAAAAAAAAAAAAAvAQAAX3JlbHMvLnJlbHNQ&#10;SwECLQAUAAYACAAAACEAkZKZa7IBAABPAwAADgAAAAAAAAAAAAAAAAAuAgAAZHJzL2Uyb0RvYy54&#10;bWxQSwECLQAUAAYACAAAACEATagf/N0AAAAJAQAADwAAAAAAAAAAAAAAAAAMBAAAZHJzL2Rvd25y&#10;ZXYueG1sUEsFBgAAAAAEAAQA8wAAABYFA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v:textbox>
                <w10:wrap anchorx="margin"/>
              </v:rect>
            </w:pict>
          </mc:Fallback>
        </mc:AlternateContent>
      </w:r>
    </w:p>
    <w:p w:rsidR="00C7048E" w:rsidRDefault="007B2EC5" w:rsidP="002C3774">
      <w:pPr>
        <w:pStyle w:val="LegText"/>
        <w:ind w:left="1440"/>
      </w:pPr>
      <w:bookmarkStart w:id="384" w:name="_Toc504640614"/>
      <w:r>
        <w:rPr>
          <w:rStyle w:val="SubtitleChar"/>
        </w:rPr>
        <w:t>Figure 5.3</w:t>
      </w:r>
      <w:r w:rsidR="00C7048E" w:rsidRPr="00E77B18">
        <w:rPr>
          <w:rStyle w:val="SubtitleChar"/>
        </w:rPr>
        <w:t xml:space="preserve"> uPA Activity </w:t>
      </w:r>
      <w:r w:rsidR="00491A13" w:rsidRPr="00AC4D8B">
        <w:rPr>
          <w:rStyle w:val="SubtitleChar"/>
        </w:rPr>
        <w:t xml:space="preserve">using p-EGR-pNA </w:t>
      </w:r>
      <w:r w:rsidR="00491A13">
        <w:rPr>
          <w:rStyle w:val="SubtitleChar"/>
        </w:rPr>
        <w:t xml:space="preserve">in </w:t>
      </w:r>
      <w:r w:rsidR="00622FB9">
        <w:rPr>
          <w:rStyle w:val="SubtitleChar"/>
        </w:rPr>
        <w:t xml:space="preserve">conditioned medium from rat kidney </w:t>
      </w:r>
      <w:r w:rsidR="00C7048E" w:rsidRPr="00E77B18">
        <w:rPr>
          <w:rStyle w:val="SubtitleChar"/>
        </w:rPr>
        <w:t xml:space="preserve">cells cultured on both fibrin gel </w:t>
      </w:r>
      <w:r w:rsidR="00E77B18" w:rsidRPr="00E77B18">
        <w:rPr>
          <w:rStyle w:val="SubtitleChar"/>
        </w:rPr>
        <w:t>and plastic</w:t>
      </w:r>
      <w:r w:rsidR="00622FB9">
        <w:rPr>
          <w:rStyle w:val="SubtitleChar"/>
        </w:rPr>
        <w:t>.</w:t>
      </w:r>
      <w:bookmarkEnd w:id="384"/>
      <w:r w:rsidR="00E77B18">
        <w:t xml:space="preserve"> </w:t>
      </w:r>
      <w:r w:rsidR="00C7048E">
        <w:t xml:space="preserve"> uPA activity in conditioned media in the presence and absence of fibrin. The data shows uPA activity per hour. Individual points were in triplicate and n=3. The difference of uPA activities between cells cultured on fibrin and plastic in NRK52E</w:t>
      </w:r>
      <w:r w:rsidR="00491A13">
        <w:t xml:space="preserve"> was statistically significant at</w:t>
      </w:r>
      <w:r w:rsidR="00C7048E">
        <w:t xml:space="preserve"> P&lt; 0.0001.</w:t>
      </w:r>
    </w:p>
    <w:p w:rsidR="00622FB9" w:rsidRDefault="00622FB9" w:rsidP="00622FB9">
      <w:pPr>
        <w:pStyle w:val="LegText"/>
        <w:ind w:left="720"/>
      </w:pPr>
    </w:p>
    <w:p w:rsidR="00622FB9" w:rsidRDefault="00622FB9" w:rsidP="00622FB9">
      <w:pPr>
        <w:pStyle w:val="LegText"/>
        <w:ind w:left="720"/>
      </w:pPr>
    </w:p>
    <w:p w:rsidR="00622FB9" w:rsidRPr="00D20DB1" w:rsidRDefault="00C7048E" w:rsidP="00D20DB1">
      <w:pPr>
        <w:pStyle w:val="Heading3"/>
        <w:ind w:left="1440"/>
      </w:pPr>
      <w:bookmarkStart w:id="385" w:name="_3q5sasy" w:colFirst="0" w:colLast="0"/>
      <w:bookmarkStart w:id="386" w:name="_Toc506232405"/>
      <w:bookmarkEnd w:id="385"/>
      <w:r w:rsidRPr="00622FB9">
        <w:lastRenderedPageBreak/>
        <w:t xml:space="preserve">5.3 </w:t>
      </w:r>
      <w:r w:rsidR="00491A13">
        <w:t>Determination of CPB2</w:t>
      </w:r>
      <w:r w:rsidRPr="00622FB9">
        <w:t xml:space="preserve"> activity in NRK52E, NRK49F and CRL2573 cells</w:t>
      </w:r>
      <w:r w:rsidR="00C65F9F">
        <w:t>.</w:t>
      </w:r>
      <w:bookmarkStart w:id="387" w:name="_25b2l0r" w:colFirst="0" w:colLast="0"/>
      <w:bookmarkEnd w:id="386"/>
      <w:bookmarkEnd w:id="387"/>
    </w:p>
    <w:p w:rsidR="00C7048E" w:rsidRDefault="00C7048E" w:rsidP="000C4552">
      <w:pPr>
        <w:ind w:left="1440"/>
      </w:pPr>
      <w:r>
        <w:t>CPB2 activity was</w:t>
      </w:r>
      <w:r w:rsidR="00415B33">
        <w:t xml:space="preserve"> </w:t>
      </w:r>
      <w:r>
        <w:t>assessed in all our cell lines (NRK52E, NRK49F and CRL2573) using 24hr conditioned phenol-red free/serum-free media with the Pefakit substrate</w:t>
      </w:r>
      <w:r w:rsidR="004775DB">
        <w:t xml:space="preserve"> (Section 2.7.7)</w:t>
      </w:r>
      <w:r>
        <w:t>.</w:t>
      </w:r>
      <w:r>
        <w:rPr>
          <w:b/>
        </w:rPr>
        <w:t xml:space="preserve"> </w:t>
      </w:r>
      <w:r w:rsidR="00622FB9">
        <w:t>Fig</w:t>
      </w:r>
      <w:r>
        <w:t xml:space="preserve"> </w:t>
      </w:r>
      <w:r w:rsidR="004C42E1">
        <w:t>5.4</w:t>
      </w:r>
      <w:r>
        <w:t xml:space="preserve"> shows CPB2 activity </w:t>
      </w:r>
      <w:r w:rsidR="004C42E1">
        <w:t xml:space="preserve">in conditioned media from cells cultured on both </w:t>
      </w:r>
      <w:r>
        <w:t xml:space="preserve">fibrin </w:t>
      </w:r>
      <w:r w:rsidR="004C42E1">
        <w:t>and plastic</w:t>
      </w:r>
      <w:r w:rsidR="00753D55">
        <w:t>. The cell lines generally showed more activity when cultured on fibrin. T</w:t>
      </w:r>
      <w:r>
        <w:t xml:space="preserve">he highest CPB2 activity </w:t>
      </w:r>
      <w:r w:rsidR="00753D55">
        <w:t xml:space="preserve">was </w:t>
      </w:r>
      <w:r>
        <w:t>in epithelial</w:t>
      </w:r>
      <w:r w:rsidR="00491A13">
        <w:t>-like</w:t>
      </w:r>
      <w:r>
        <w:t xml:space="preserve"> cell</w:t>
      </w:r>
      <w:r w:rsidR="00622FB9">
        <w:t>s</w:t>
      </w:r>
      <w:r w:rsidR="004C42E1">
        <w:t xml:space="preserve"> cultured on fibrin</w:t>
      </w:r>
      <w:r w:rsidR="00753D55">
        <w:t xml:space="preserve"> with a significant difference of</w:t>
      </w:r>
      <w:r w:rsidR="00753D55" w:rsidRPr="00753D55">
        <w:t xml:space="preserve"> </w:t>
      </w:r>
      <w:r w:rsidR="00753D55">
        <w:t>P&lt; 0.0001.</w:t>
      </w:r>
      <w:r>
        <w:t xml:space="preserve"> </w:t>
      </w:r>
    </w:p>
    <w:p w:rsidR="00F43B3A" w:rsidRDefault="00F43B3A" w:rsidP="00622FB9">
      <w:pPr>
        <w:ind w:left="720"/>
      </w:pPr>
    </w:p>
    <w:p w:rsidR="00C7048E" w:rsidRDefault="000C4552" w:rsidP="00F43B3A">
      <w:pPr>
        <w:keepNext/>
        <w:keepLines/>
        <w:spacing w:before="40" w:after="0"/>
      </w:pPr>
      <w:r>
        <w:rPr>
          <w:noProof/>
          <w:lang w:eastAsia="en-GB"/>
        </w:rPr>
        <mc:AlternateContent>
          <mc:Choice Requires="wps">
            <w:drawing>
              <wp:anchor distT="0" distB="0" distL="114300" distR="114300" simplePos="0" relativeHeight="251860992" behindDoc="0" locked="0" layoutInCell="1" hidden="0" allowOverlap="1" wp14:anchorId="7D1870B2" wp14:editId="2DA848A3">
                <wp:simplePos x="0" y="0"/>
                <wp:positionH relativeFrom="margin">
                  <wp:posOffset>1656715</wp:posOffset>
                </wp:positionH>
                <wp:positionV relativeFrom="paragraph">
                  <wp:posOffset>266065</wp:posOffset>
                </wp:positionV>
                <wp:extent cx="523875" cy="298450"/>
                <wp:effectExtent l="0" t="0" r="0" b="6350"/>
                <wp:wrapNone/>
                <wp:docPr id="246" name="Rectangle 246"/>
                <wp:cNvGraphicFramePr/>
                <a:graphic xmlns:a="http://schemas.openxmlformats.org/drawingml/2006/main">
                  <a:graphicData uri="http://schemas.microsoft.com/office/word/2010/wordprocessingShape">
                    <wps:wsp>
                      <wps:cNvSpPr/>
                      <wps:spPr>
                        <a:xfrm>
                          <a:off x="0" y="0"/>
                          <a:ext cx="523875" cy="298450"/>
                        </a:xfrm>
                        <a:prstGeom prst="rect">
                          <a:avLst/>
                        </a:prstGeom>
                        <a:noFill/>
                        <a:ln>
                          <a:noFill/>
                        </a:ln>
                      </wps:spPr>
                      <wps:txbx>
                        <w:txbxContent>
                          <w:p w:rsidR="00AD6A02" w:rsidRDefault="00AD6A02" w:rsidP="00CD2703">
                            <w:pPr>
                              <w:spacing w:after="160" w:line="255" w:lineRule="auto"/>
                              <w:textDirection w:val="btLr"/>
                            </w:pPr>
                            <w:r>
                              <w:rPr>
                                <w:rFonts w:ascii="Times New Roman" w:eastAsia="Times New Roman" w:hAnsi="Times New Roman"/>
                                <w:color w:val="000000"/>
                                <w:sz w:val="28"/>
                              </w:rPr>
                              <w:t>***</w:t>
                            </w:r>
                          </w:p>
                          <w:p w:rsidR="00AD6A02" w:rsidRDefault="00AD6A02" w:rsidP="00CD2703">
                            <w:pPr>
                              <w:spacing w:after="160" w:line="255" w:lineRule="auto"/>
                              <w:textDirection w:val="btLr"/>
                            </w:pPr>
                          </w:p>
                          <w:p w:rsidR="00AD6A02" w:rsidRDefault="00AD6A02" w:rsidP="00C7048E">
                            <w:pPr>
                              <w:spacing w:after="160" w:line="255" w:lineRule="auto"/>
                              <w:textDirection w:val="btLr"/>
                            </w:pPr>
                          </w:p>
                          <w:p w:rsidR="00AD6A02" w:rsidRDefault="00AD6A02" w:rsidP="00C7048E">
                            <w:pPr>
                              <w:spacing w:after="160" w:line="255" w:lineRule="auto"/>
                              <w:ind w:firstLine="720"/>
                              <w:textDirection w:val="btLr"/>
                            </w:pPr>
                          </w:p>
                        </w:txbxContent>
                      </wps:txbx>
                      <wps:bodyPr wrap="square" lIns="88900" tIns="38100" rIns="88900" bIns="38100" anchor="t" anchorCtr="0">
                        <a:noAutofit/>
                      </wps:bodyPr>
                    </wps:wsp>
                  </a:graphicData>
                </a:graphic>
                <wp14:sizeRelH relativeFrom="margin">
                  <wp14:pctWidth>0</wp14:pctWidth>
                </wp14:sizeRelH>
                <wp14:sizeRelV relativeFrom="margin">
                  <wp14:pctHeight>0</wp14:pctHeight>
                </wp14:sizeRelV>
              </wp:anchor>
            </w:drawing>
          </mc:Choice>
          <mc:Fallback>
            <w:pict>
              <v:rect w14:anchorId="7D1870B2" id="Rectangle 246" o:spid="_x0000_s1128" style="position:absolute;left:0;text-align:left;margin-left:130.45pt;margin-top:20.95pt;width:41.25pt;height:23.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0dvAEAAGsDAAAOAAAAZHJzL2Uyb0RvYy54bWysU9tuEzEQfUfiHyy/E2+2TdmusqkQVRES&#10;gqqFD3C8dtaS7TG2k938PWNvmgZ4Q7w4c8vMOWdm13eTNeQgQ9TgOrpcVJRIJ6DXbtfRH98f3jWU&#10;xMRdzw042dGjjPRu8/bNevStrGEA08tAsImL7eg7OqTkW8aiGKTlcQFeOkwqCJYndMOO9YGP2N0a&#10;VlfVDRsh9D6AkDFi9H5O0k3pr5QU6ZtSUSZiOorYUnlDebf5ZZs1b3eB+0GLEwz+Dygs1w6Hnlvd&#10;88TJPui/WlktAkRQaSHAMlBKC1k4IJtl9Qeb54F7WbigONGfZYr/r634engMRPcdra9vKHHc4pKe&#10;UDbudkaSHESJRh9brHz2j+HkRTQz30kFm3+RCZmKrMezrHJKRGBwVV8171eUCEzVt831qsjOXv/s&#10;Q0yfJFiSjY4GHF/E5IcvMeFALH0pybMcPGhjyuaM+y2AhTnCMt4ZYbbStJ0KxWVVv7DZQn9E4iNu&#10;vqPx554HSYn57FDaprmt8qkU56pZZidcZraXGe7EAHhQiZLZ/JjKec24PuwTKF04ZCTz1BNA3Gih&#10;drq+fDKXfql6/UY2vwAAAP//AwBQSwMEFAAGAAgAAAAhANXjgt3fAAAACQEAAA8AAABkcnMvZG93&#10;bnJldi54bWxMj8FOg0AQhu8mvsNmmnizSwtpKDI01cRejAdbH2Bht0DKziK7UPTpHU/2NJnMl3++&#10;P9/NthOTGXzrCGG1jEAYqpxuqUb4PL0+piB8UKRV58ggfBsPu+L+LleZdlf6MNMx1IJDyGcKoQmh&#10;z6T0VWOs8kvXG+Lb2Q1WBV6HWupBXTncdnIdRRtpVUv8oVG9eWlMdTmOFmH66ZPnQ6vdZf/1Ppdv&#10;4yE+tRbxYTHvn0AEM4d/GP70WR0KdirdSNqLDmG9ibaMIiQrngzESZyAKBHSdAuyyOVtg+IXAAD/&#10;/wMAUEsBAi0AFAAGAAgAAAAhALaDOJL+AAAA4QEAABMAAAAAAAAAAAAAAAAAAAAAAFtDb250ZW50&#10;X1R5cGVzXS54bWxQSwECLQAUAAYACAAAACEAOP0h/9YAAACUAQAACwAAAAAAAAAAAAAAAAAvAQAA&#10;X3JlbHMvLnJlbHNQSwECLQAUAAYACAAAACEA5awNHbwBAABrAwAADgAAAAAAAAAAAAAAAAAuAgAA&#10;ZHJzL2Uyb0RvYy54bWxQSwECLQAUAAYACAAAACEA1eOC3d8AAAAJAQAADwAAAAAAAAAAAAAAAAAW&#10;BAAAZHJzL2Rvd25yZXYueG1sUEsFBgAAAAAEAAQA8wAAACIFAAAAAA==&#10;" filled="f" stroked="f">
                <v:textbox inset="7pt,3pt,7pt,3pt">
                  <w:txbxContent>
                    <w:p w:rsidR="00AD6A02" w:rsidRDefault="00AD6A02" w:rsidP="00CD2703">
                      <w:pPr>
                        <w:spacing w:after="160" w:line="255" w:lineRule="auto"/>
                        <w:textDirection w:val="btLr"/>
                      </w:pPr>
                      <w:r>
                        <w:rPr>
                          <w:rFonts w:ascii="Times New Roman" w:eastAsia="Times New Roman" w:hAnsi="Times New Roman"/>
                          <w:color w:val="000000"/>
                          <w:sz w:val="28"/>
                        </w:rPr>
                        <w:t>***</w:t>
                      </w:r>
                    </w:p>
                    <w:p w:rsidR="00AD6A02" w:rsidRDefault="00AD6A02" w:rsidP="00CD2703">
                      <w:pPr>
                        <w:spacing w:after="160" w:line="255" w:lineRule="auto"/>
                        <w:textDirection w:val="btLr"/>
                      </w:pPr>
                    </w:p>
                    <w:p w:rsidR="00AD6A02" w:rsidRDefault="00AD6A02" w:rsidP="00C7048E">
                      <w:pPr>
                        <w:spacing w:after="160" w:line="255" w:lineRule="auto"/>
                        <w:textDirection w:val="btLr"/>
                      </w:pPr>
                    </w:p>
                    <w:p w:rsidR="00AD6A02" w:rsidRDefault="00AD6A02" w:rsidP="00C7048E">
                      <w:pPr>
                        <w:spacing w:after="160" w:line="255" w:lineRule="auto"/>
                        <w:ind w:firstLine="720"/>
                        <w:textDirection w:val="btLr"/>
                      </w:pPr>
                    </w:p>
                  </w:txbxContent>
                </v:textbox>
                <w10:wrap anchorx="margin"/>
              </v:rect>
            </w:pict>
          </mc:Fallback>
        </mc:AlternateContent>
      </w:r>
      <w:r w:rsidR="00C7048E">
        <w:rPr>
          <w:noProof/>
          <w:lang w:eastAsia="en-GB"/>
        </w:rPr>
        <mc:AlternateContent>
          <mc:Choice Requires="wps">
            <w:drawing>
              <wp:anchor distT="0" distB="0" distL="114300" distR="114300" simplePos="0" relativeHeight="251858944" behindDoc="0" locked="0" layoutInCell="1" hidden="0" allowOverlap="1" wp14:anchorId="1116D290" wp14:editId="33989B01">
                <wp:simplePos x="0" y="0"/>
                <wp:positionH relativeFrom="margin">
                  <wp:posOffset>1244600</wp:posOffset>
                </wp:positionH>
                <wp:positionV relativeFrom="paragraph">
                  <wp:posOffset>0</wp:posOffset>
                </wp:positionV>
                <wp:extent cx="342900" cy="190500"/>
                <wp:effectExtent l="0" t="0" r="0" b="0"/>
                <wp:wrapNone/>
                <wp:docPr id="188" name="Rectangle 188"/>
                <wp:cNvGraphicFramePr/>
                <a:graphic xmlns:a="http://schemas.openxmlformats.org/drawingml/2006/main">
                  <a:graphicData uri="http://schemas.microsoft.com/office/word/2010/wordprocessingShape">
                    <wps:wsp>
                      <wps:cNvSpPr/>
                      <wps:spPr>
                        <a:xfrm>
                          <a:off x="5173598" y="3685067"/>
                          <a:ext cx="344805" cy="189864"/>
                        </a:xfrm>
                        <a:prstGeom prst="rect">
                          <a:avLst/>
                        </a:prstGeom>
                        <a:noFill/>
                        <a:ln>
                          <a:noFill/>
                        </a:ln>
                      </wps:spPr>
                      <wps:txbx>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wps:txbx>
                      <wps:bodyPr lIns="88900" tIns="38100" rIns="88900" bIns="38100" anchor="t" anchorCtr="0"/>
                    </wps:wsp>
                  </a:graphicData>
                </a:graphic>
              </wp:anchor>
            </w:drawing>
          </mc:Choice>
          <mc:Fallback>
            <w:pict>
              <v:rect w14:anchorId="1116D290" id="Rectangle 188" o:spid="_x0000_s1129" style="position:absolute;left:0;text-align:left;margin-left:98pt;margin-top:0;width:27pt;height:15pt;z-index:251858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OKswEAAE8DAAAOAAAAZHJzL2Uyb0RvYy54bWysU8tu2zAQvBfoPxC815Qi26EFyzk0SBEg&#10;aIOk/QCaIi0CfIFkLPnvu6ScxGlvRS/UvjC7M7va3kxGo6MIUTnb4XpRYSQsd72yhw7/+nn3hWIU&#10;E7M9086KDp9ExDe7z5+2o2/FlRuc7kVAAGJjO/oODyn5lpDIB2FYXDgvLCSlC4YlcMOB9IGNgG40&#10;uaqqNRld6H1wXMQI0ds5iXcFX0rB0w8po0hIdxhmS+UN5d3nl+y2rD0E5gfFz2Owf5jCMGWh6RvU&#10;LUsMvQT1F5RRPLjoZFpwZ4iTUnFROACbuvqDzfPAvChcQJzo32SK/w+Wfz8+BqR62B2FVVlmYElP&#10;IBuzBy1QDoJEo48tVD77x3D2IpiZ7ySDyV9ggqYOr+rrZrUBoFOHmzVdVevrWWIxJcShoFkuabXC&#10;iENBTTd0vcx58g7kQ0zfhDMoGx0OMEoRlh0fYppLX0tyX+vulNYQZ622HwKAmSMkzz5Pm6007aeZ&#10;btW8Mtu7/gQi6HsLwlK6qfKhFKehdXbCZWZ/mWGWDw7OKWE0m19TOa48aG4HWyvszheWz+LSL1Xv&#10;/8HuNwAAAP//AwBQSwMEFAAGAAgAAAAhAJl5qYzbAAAABwEAAA8AAABkcnMvZG93bnJldi54bWxM&#10;j8FOwzAMhu9IvENkJG4sZYMJSt1pILEL4sDGA6SNaaM1TmnSrvD0mBNcbP/6rd+fi83sOzXREF1g&#10;hOtFBoq4DtZxg/B+eL66AxWTYWu6wITwRRE25flZYXIbTvxG0z41SkI45gahTanPtY51S97EReiJ&#10;xfsIgzdJ5NBoO5iThPtOL7Nsrb1xLBda09NTS/VxP3qE6bu/edw5G47bz9e5ehl3q4PziJcX8/YB&#10;VKI5/S3DL76gQylMVRjZRtWJvl/LLwlBqtjL20yGCmElXZeF/s9f/gAAAP//AwBQSwECLQAUAAYA&#10;CAAAACEAtoM4kv4AAADhAQAAEwAAAAAAAAAAAAAAAAAAAAAAW0NvbnRlbnRfVHlwZXNdLnhtbFBL&#10;AQItABQABgAIAAAAIQA4/SH/1gAAAJQBAAALAAAAAAAAAAAAAAAAAC8BAABfcmVscy8ucmVsc1BL&#10;AQItABQABgAIAAAAIQAbUDOKswEAAE8DAAAOAAAAAAAAAAAAAAAAAC4CAABkcnMvZTJvRG9jLnht&#10;bFBLAQItABQABgAIAAAAIQCZeamM2wAAAAcBAAAPAAAAAAAAAAAAAAAAAA0EAABkcnMvZG93bnJl&#10;di54bWxQSwUGAAAAAAQABADzAAAAFQUAAAAA&#10;" filled="f" stroked="f">
                <v:textbox inset="7pt,3pt,7pt,3pt">
                  <w:txbxContent>
                    <w:p w:rsidR="00AD6A02" w:rsidRDefault="00AD6A02" w:rsidP="00C7048E">
                      <w:pPr>
                        <w:spacing w:after="160" w:line="255" w:lineRule="auto"/>
                        <w:ind w:firstLine="720"/>
                        <w:textDirection w:val="btLr"/>
                      </w:pPr>
                      <w:r>
                        <w:rPr>
                          <w:rFonts w:ascii="Calibri" w:eastAsia="Calibri" w:hAnsi="Calibri" w:cs="Calibri"/>
                          <w:color w:val="000000"/>
                          <w:sz w:val="20"/>
                        </w:rPr>
                        <w:t>**</w:t>
                      </w:r>
                    </w:p>
                    <w:p w:rsidR="00AD6A02" w:rsidRDefault="00AD6A02" w:rsidP="00C7048E">
                      <w:pPr>
                        <w:spacing w:after="160" w:line="255" w:lineRule="auto"/>
                        <w:ind w:firstLine="720"/>
                        <w:textDirection w:val="btLr"/>
                      </w:pPr>
                    </w:p>
                  </w:txbxContent>
                </v:textbox>
                <w10:wrap anchorx="margin"/>
              </v:rect>
            </w:pict>
          </mc:Fallback>
        </mc:AlternateContent>
      </w:r>
    </w:p>
    <w:p w:rsidR="00C7048E" w:rsidRDefault="000C4552" w:rsidP="000C4552">
      <w:pPr>
        <w:spacing w:after="40" w:line="259" w:lineRule="auto"/>
        <w:ind w:left="720" w:firstLine="720"/>
      </w:pPr>
      <w:r>
        <w:rPr>
          <w:noProof/>
          <w:lang w:eastAsia="en-GB"/>
        </w:rPr>
        <mc:AlternateContent>
          <mc:Choice Requires="wps">
            <w:drawing>
              <wp:anchor distT="0" distB="0" distL="114300" distR="114300" simplePos="0" relativeHeight="251879424" behindDoc="0" locked="0" layoutInCell="1" allowOverlap="1" wp14:anchorId="571546F8" wp14:editId="66508CD4">
                <wp:simplePos x="0" y="0"/>
                <wp:positionH relativeFrom="column">
                  <wp:posOffset>1840547</wp:posOffset>
                </wp:positionH>
                <wp:positionV relativeFrom="paragraph">
                  <wp:posOffset>82232</wp:posOffset>
                </wp:positionV>
                <wp:extent cx="78422" cy="353377"/>
                <wp:effectExtent l="0" t="80327" r="13017" b="13018"/>
                <wp:wrapNone/>
                <wp:docPr id="85" name="Right Brace 1"/>
                <wp:cNvGraphicFramePr/>
                <a:graphic xmlns:a="http://schemas.openxmlformats.org/drawingml/2006/main">
                  <a:graphicData uri="http://schemas.microsoft.com/office/word/2010/wordprocessingShape">
                    <wps:wsp>
                      <wps:cNvSpPr/>
                      <wps:spPr>
                        <a:xfrm rot="16200000" flipV="1">
                          <a:off x="0" y="0"/>
                          <a:ext cx="78422" cy="353377"/>
                        </a:xfrm>
                        <a:prstGeom prst="rightBrace">
                          <a:avLst>
                            <a:gd name="adj1" fmla="val 8333"/>
                            <a:gd name="adj2" fmla="val 52826"/>
                          </a:avLst>
                        </a:prstGeom>
                        <a:solidFill>
                          <a:sysClr val="window" lastClr="FFFFFF"/>
                        </a:solidFill>
                        <a:ln w="6350" cap="flat" cmpd="sng" algn="ctr">
                          <a:solidFill>
                            <a:sysClr val="windowText" lastClr="000000"/>
                          </a:solidFill>
                          <a:prstDash val="solid"/>
                          <a:miter lim="800000"/>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C626CF5" id="Right Brace 1" o:spid="_x0000_s1026" type="#_x0000_t88" style="position:absolute;margin-left:144.9pt;margin-top:6.45pt;width:6.15pt;height:27.8pt;rotation:90;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tbMgIAAG0EAAAOAAAAZHJzL2Uyb0RvYy54bWysVE2P2yAQvVfqf0DcGyd2k42iOKt2o/RS&#10;tavdbe+zGGwqvgokTv59B+zNJt1bVR8QDPDmvTeM17dHrciB+yCtqelsMqWEG2Ybadqa/njafVhS&#10;EiKYBpQ1vKYnHujt5v27de9WvLSdVQ33BEFMWPWupl2MblUUgXVcQ5hYxw1uCus1RFz6tmg89Iiu&#10;VVFOp4uit75x3jIeAka3wybdZHwhOIvfhQg8ElVT5Bbz6PP4nMZis4ZV68F1ko004B9YaJAGk56h&#10;thCB7L18A6Ul8zZYESfM6sIKIRnPGlDNbPqXmscOHM9a0JzgzjaF/wfLvh3uPZFNTZdzSgxorNGD&#10;bLtIPntgnMySQ70LKzz46O79uAo4TXKPwmviLdo6W2A58KNEKOl+YiD7gQrJMdt9OtvNj5EwDN4s&#10;P5YlJQx3qnlV3dykXMUAmsCdD/ELt5qkSU19opVZZWQ4fA0xW96MvKH5NcP0WmEFD6DIsqqqscAX&#10;RzDj65F5uSwXY9oREAm8JE7owSrZ7KRSeXEKd8oTBK8pPsLG9pQoCBGDNd3lbwS7uqYM6Wu6qObo&#10;DgN85UJBxKl26HswLSWgWmwfFn2WdnU5vMn5hAZe5M2255eM1K+uJh1bCN1AOG8NfmgZseuU1Fj2&#10;oWqD88oklTz3Dbqbgqn2Q7XT7Nk2J3wvPTYMMv+9B88p8VHd2aG/wLDOohcvSoz9tI9WyDPUADDi&#10;4pvOBR/7LzXN5Tqfev1LbP4AAAD//wMAUEsDBBQABgAIAAAAIQCCZ6Y/3wAAAAkBAAAPAAAAZHJz&#10;L2Rvd25yZXYueG1sTI/RToNAEEXfTfyHzZj4ZhcBkSBLo430wWiibT9gy45AZGcJuy34945P+jiZ&#10;k3vPLdeLHcQZJ987UnC7ikAgNc701Co47OubHIQPmoweHKGCb/Swri4vSl0YN9MHnnehFRxCvtAK&#10;uhDGQkrfdGi1X7kRiX+fbrI68Dm10kx65nA7yDiKMml1T9zQ6RE3HTZfu5NV0Ng63T7dPxus3dht&#10;ti/v0dvrrNT11fL4ACLgEv5g+NVndajY6ehOZLwYFMRZHjOqIEnvQDCQxAlvOSpIsxxkVcr/C6of&#10;AAAA//8DAFBLAQItABQABgAIAAAAIQC2gziS/gAAAOEBAAATAAAAAAAAAAAAAAAAAAAAAABbQ29u&#10;dGVudF9UeXBlc10ueG1sUEsBAi0AFAAGAAgAAAAhADj9If/WAAAAlAEAAAsAAAAAAAAAAAAAAAAA&#10;LwEAAF9yZWxzLy5yZWxzUEsBAi0AFAAGAAgAAAAhABqv+1syAgAAbQQAAA4AAAAAAAAAAAAAAAAA&#10;LgIAAGRycy9lMm9Eb2MueG1sUEsBAi0AFAAGAAgAAAAhAIJnpj/fAAAACQEAAA8AAAAAAAAAAAAA&#10;AAAAjAQAAGRycy9kb3ducmV2LnhtbFBLBQYAAAAABAAEAPMAAACYBQAAAAA=&#10;" adj="399,11410" filled="t" fillcolor="window" strokecolor="windowText" strokeweight=".5pt">
                <v:stroke joinstyle="miter"/>
              </v:shape>
            </w:pict>
          </mc:Fallback>
        </mc:AlternateContent>
      </w:r>
      <w:r w:rsidR="00C7048E">
        <w:rPr>
          <w:noProof/>
          <w:lang w:eastAsia="en-GB"/>
        </w:rPr>
        <w:drawing>
          <wp:inline distT="0" distB="0" distL="0" distR="0" wp14:anchorId="58D2A69D" wp14:editId="244EC641">
            <wp:extent cx="5406218" cy="2119313"/>
            <wp:effectExtent l="0" t="0" r="0" b="0"/>
            <wp:docPr id="6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6"/>
                    <a:srcRect/>
                    <a:stretch>
                      <a:fillRect/>
                    </a:stretch>
                  </pic:blipFill>
                  <pic:spPr>
                    <a:xfrm>
                      <a:off x="0" y="0"/>
                      <a:ext cx="5418265" cy="2124036"/>
                    </a:xfrm>
                    <a:prstGeom prst="rect">
                      <a:avLst/>
                    </a:prstGeom>
                    <a:ln/>
                  </pic:spPr>
                </pic:pic>
              </a:graphicData>
            </a:graphic>
          </wp:inline>
        </w:drawing>
      </w:r>
    </w:p>
    <w:p w:rsidR="006B285C" w:rsidRDefault="006B285C" w:rsidP="006B285C">
      <w:pPr>
        <w:pStyle w:val="LegText"/>
        <w:rPr>
          <w:rStyle w:val="SubtitleChar"/>
        </w:rPr>
      </w:pPr>
    </w:p>
    <w:p w:rsidR="00C7048E" w:rsidRDefault="00483E3A" w:rsidP="000C4552">
      <w:pPr>
        <w:pStyle w:val="LegText"/>
        <w:ind w:left="1440"/>
      </w:pPr>
      <w:bookmarkStart w:id="388" w:name="_Toc504640615"/>
      <w:r w:rsidRPr="00851FCE">
        <w:rPr>
          <w:rStyle w:val="SubtitleChar"/>
        </w:rPr>
        <w:t>Figure 5.</w:t>
      </w:r>
      <w:r w:rsidR="004C42E1" w:rsidRPr="00851FCE">
        <w:rPr>
          <w:rStyle w:val="SubtitleChar"/>
        </w:rPr>
        <w:t>4</w:t>
      </w:r>
      <w:r w:rsidR="00C7048E" w:rsidRPr="00851FCE">
        <w:rPr>
          <w:rStyle w:val="SubtitleChar"/>
        </w:rPr>
        <w:t xml:space="preserve"> CPB2 Activity in</w:t>
      </w:r>
      <w:r w:rsidR="006B285C" w:rsidRPr="00851FCE">
        <w:rPr>
          <w:rStyle w:val="SubtitleChar"/>
        </w:rPr>
        <w:t xml:space="preserve"> conditioned medium from rat kidney</w:t>
      </w:r>
      <w:r w:rsidR="00C7048E" w:rsidRPr="00851FCE">
        <w:rPr>
          <w:rStyle w:val="SubtitleChar"/>
        </w:rPr>
        <w:t xml:space="preserve"> cells</w:t>
      </w:r>
      <w:r w:rsidR="006B285C" w:rsidRPr="00851FCE">
        <w:rPr>
          <w:rStyle w:val="SubtitleChar"/>
        </w:rPr>
        <w:t xml:space="preserve"> cultured on fibrin and plastic</w:t>
      </w:r>
      <w:r w:rsidR="006B285C">
        <w:rPr>
          <w:rStyle w:val="SubtitleChar"/>
        </w:rPr>
        <w:t>.</w:t>
      </w:r>
      <w:bookmarkEnd w:id="388"/>
      <w:r w:rsidR="00C7048E">
        <w:t xml:space="preserve"> CPB2 activity in conditioned media from cells cultured on fibrin and plastic</w:t>
      </w:r>
      <w:r w:rsidR="00415B33">
        <w:t xml:space="preserve"> were compared. The data show</w:t>
      </w:r>
      <w:r w:rsidR="00C7048E">
        <w:t xml:space="preserve"> CPB2 activity per hour. </w:t>
      </w:r>
      <w:r w:rsidR="00415B33">
        <w:t xml:space="preserve">The data are means </w:t>
      </w:r>
      <w:r w:rsidR="00F43B3A">
        <w:t xml:space="preserve">+/- SEM </w:t>
      </w:r>
      <w:r w:rsidR="00415B33">
        <w:t>of result</w:t>
      </w:r>
      <w:r w:rsidR="00F43B3A">
        <w:t>s</w:t>
      </w:r>
      <w:r w:rsidR="00415B33">
        <w:t xml:space="preserve"> from 3 different cell cultures.</w:t>
      </w:r>
      <w:r w:rsidR="00C7048E">
        <w:t xml:space="preserve"> The difference of CPB2 activities between NRK52E cells cultured on fibrin and plastic was sta</w:t>
      </w:r>
      <w:r w:rsidR="00CD2703">
        <w:t xml:space="preserve">tistically significantly </w:t>
      </w:r>
      <w:r w:rsidR="00F43B3A">
        <w:t xml:space="preserve">at </w:t>
      </w:r>
      <w:r w:rsidR="00CD2703">
        <w:t>P&lt; 0.0001</w:t>
      </w:r>
      <w:r w:rsidR="00415B33">
        <w:t xml:space="preserve"> with</w:t>
      </w:r>
      <w:r w:rsidR="00F43B3A">
        <w:t xml:space="preserve"> a one way ANOVA followed by Tu</w:t>
      </w:r>
      <w:r w:rsidR="00415B33">
        <w:t>key</w:t>
      </w:r>
      <w:r w:rsidR="00F43B3A">
        <w:t>’</w:t>
      </w:r>
      <w:r w:rsidR="00415B33">
        <w:t>s multiple comparison test</w:t>
      </w:r>
      <w:r w:rsidR="00C7048E">
        <w:t>.</w:t>
      </w:r>
    </w:p>
    <w:p w:rsidR="00B159FD" w:rsidRDefault="00B159FD" w:rsidP="006B285C">
      <w:pPr>
        <w:pStyle w:val="LegText"/>
        <w:ind w:left="720"/>
        <w:rPr>
          <w:sz w:val="24"/>
          <w:szCs w:val="24"/>
        </w:rPr>
      </w:pPr>
    </w:p>
    <w:p w:rsidR="00B159FD" w:rsidRDefault="00B159FD" w:rsidP="006B285C">
      <w:pPr>
        <w:pStyle w:val="LegText"/>
        <w:ind w:left="720"/>
        <w:rPr>
          <w:sz w:val="24"/>
          <w:szCs w:val="24"/>
        </w:rPr>
      </w:pPr>
    </w:p>
    <w:p w:rsidR="00976B89" w:rsidRPr="00B159FD" w:rsidRDefault="00976B89" w:rsidP="000C4552">
      <w:pPr>
        <w:pStyle w:val="Heading3"/>
        <w:ind w:left="720" w:firstLine="720"/>
      </w:pPr>
      <w:bookmarkStart w:id="389" w:name="_Toc506232406"/>
      <w:r w:rsidRPr="00B159FD">
        <w:t>5.4 Discussion</w:t>
      </w:r>
      <w:bookmarkEnd w:id="389"/>
      <w:r w:rsidRPr="00B159FD">
        <w:t xml:space="preserve">  </w:t>
      </w:r>
    </w:p>
    <w:p w:rsidR="00491A13" w:rsidRDefault="00491A13" w:rsidP="000C4552">
      <w:pPr>
        <w:ind w:left="1440"/>
      </w:pPr>
      <w:r>
        <w:t xml:space="preserve">CPB2, tPA, </w:t>
      </w:r>
      <w:r w:rsidR="00D60AE1">
        <w:t xml:space="preserve">uPA </w:t>
      </w:r>
      <w:r>
        <w:t xml:space="preserve">and plasmin activities were observed in both plastic and fibrin in all the three cell lines: NRK52E, NRK49F, CRL2573. This confirms that the key players we are investigating in the plasmin-plasminogen cascade were detectable in our cell lines. However, their activities were generally higher on the fibrin gel with over three-fold </w:t>
      </w:r>
      <w:r>
        <w:lastRenderedPageBreak/>
        <w:t>increase in plasmin activity in epithelial</w:t>
      </w:r>
      <w:r w:rsidR="00D60AE1">
        <w:t>-</w:t>
      </w:r>
      <w:r>
        <w:t xml:space="preserve">like cells cultured on fibrin and a similar trend was also observed with the mesangial cells. This finding was not surprising as  it has been reported that there is a strong affinity between plasmin and fibrin with a high level of adsorption </w:t>
      </w:r>
      <w:r w:rsidRPr="0078355A">
        <w:fldChar w:fldCharType="begin"/>
      </w:r>
      <w:r w:rsidRPr="0078355A">
        <w:instrText xml:space="preserve"> ADDIN EN.CITE &lt;EndNote&gt;&lt;Cite&gt;&lt;Author&gt;MÜLlertz&lt;/Author&gt;&lt;Year&gt;1953&lt;/Year&gt;&lt;IDText&gt;The Action of Plasmin on Fibrin and Fibrinogen in Blood.1&lt;/IDText&gt;&lt;DisplayText&gt;(MÜLlertz, 1953)&lt;/DisplayText&gt;&lt;record&gt;&lt;urls&gt;&lt;related-urls&gt;&lt;url&gt;http://dx.doi.org/10.1111/j.1748-1716.1953.tb00957.x&lt;/url&gt;&lt;/related-urls&gt;&lt;/urls&gt;&lt;isbn&gt;1365-201X&lt;/isbn&gt;&lt;titles&gt;&lt;title&gt;The Action of Plasmin on Fibrin and Fibrinogen in Blood.1&lt;/title&gt;&lt;secondary-title&gt;Acta Physiologica Scandinavica&lt;/secondary-title&gt;&lt;/titles&gt;&lt;pages&gt;29-40&lt;/pages&gt;&lt;number&gt;1&lt;/number&gt;&lt;contributors&gt;&lt;authors&gt;&lt;author&gt;MÜLlertz, Sten&lt;/author&gt;&lt;/authors&gt;&lt;/contributors&gt;&lt;added-date format="utc"&gt;1499353713&lt;/added-date&gt;&lt;ref-type name="Journal Article"&gt;17&lt;/ref-type&gt;&lt;dates&gt;&lt;year&gt;1953&lt;/year&gt;&lt;/dates&gt;&lt;rec-number&gt;1934&lt;/rec-number&gt;&lt;publisher&gt;Blackwell Publishing Ltd&lt;/publisher&gt;&lt;last-updated-date format="utc"&gt;1499353713&lt;/last-updated-date&gt;&lt;electronic-resource-num&gt;10.1111/j.1748-1716.1953.tb00957.x&lt;/electronic-resource-num&gt;&lt;volume&gt;28&lt;/volume&gt;&lt;/record&gt;&lt;/Cite&gt;&lt;/EndNote&gt;</w:instrText>
      </w:r>
      <w:r w:rsidRPr="0078355A">
        <w:fldChar w:fldCharType="separate"/>
      </w:r>
      <w:r w:rsidRPr="0078355A">
        <w:rPr>
          <w:noProof/>
        </w:rPr>
        <w:t>(M</w:t>
      </w:r>
      <w:r w:rsidR="0078355A" w:rsidRPr="0078355A">
        <w:rPr>
          <w:noProof/>
        </w:rPr>
        <w:t>ul</w:t>
      </w:r>
      <w:r w:rsidRPr="0078355A">
        <w:rPr>
          <w:noProof/>
        </w:rPr>
        <w:t>lertz, 1953)</w:t>
      </w:r>
      <w:r w:rsidRPr="0078355A">
        <w:fldChar w:fldCharType="end"/>
      </w:r>
      <w:r w:rsidRPr="0078355A">
        <w:t>. Pla</w:t>
      </w:r>
      <w:r>
        <w:t xml:space="preserve">smin is a fibrin cleaving enzyme </w:t>
      </w:r>
      <w:r>
        <w:fldChar w:fldCharType="begin"/>
      </w:r>
      <w:r>
        <w:instrText xml:space="preserve"> ADDIN EN.CITE &lt;EndNote&gt;&lt;Cite&gt;&lt;Author&gt;Higazi&lt;/Author&gt;&lt;Year&gt;1990&lt;/Year&gt;&lt;IDText&gt;Inhibition of plasmin by fibrinogen&lt;/IDText&gt;&lt;DisplayText&gt;(Higazi and Mayer, 1990)&lt;/DisplayText&gt;&lt;record&gt;&lt;isbn&gt;0264-6021&lt;/isbn&gt;&lt;titles&gt;&lt;title&gt;Inhibition of plasmin by fibrinogen&lt;/title&gt;&lt;secondary-title&gt;Biochemical Journal&lt;/secondary-title&gt;&lt;/titles&gt;&lt;pages&gt;299-302&lt;/pages&gt;&lt;number&gt;2&lt;/number&gt;&lt;contributors&gt;&lt;authors&gt;&lt;author&gt;Higazi, Abd Al-Roof&lt;/author&gt;&lt;author&gt;Mayer, Michael&lt;/author&gt;&lt;/authors&gt;&lt;/contributors&gt;&lt;added-date format="utc"&gt;1499352319&lt;/added-date&gt;&lt;ref-type name="Journal Article"&gt;17&lt;/ref-type&gt;&lt;dates&gt;&lt;year&gt;1990&lt;/year&gt;&lt;/dates&gt;&lt;rec-number&gt;1932&lt;/rec-number&gt;&lt;last-updated-date format="utc"&gt;1499352319&lt;/last-updated-date&gt;&lt;volume&gt;269&lt;/volume&gt;&lt;/record&gt;&lt;/Cite&gt;&lt;/EndNote&gt;</w:instrText>
      </w:r>
      <w:r>
        <w:fldChar w:fldCharType="separate"/>
      </w:r>
      <w:r>
        <w:rPr>
          <w:noProof/>
        </w:rPr>
        <w:t>(Higazi and Mayer, 1990)</w:t>
      </w:r>
      <w:r>
        <w:fldChar w:fldCharType="end"/>
      </w:r>
      <w:r>
        <w:t xml:space="preserve"> Another study reported that the inhibitory effect of alpha-2-antiplasmin was impaired by fibrinogen and degradation products of fibrinogen </w:t>
      </w:r>
      <w:r>
        <w:fldChar w:fldCharType="begin"/>
      </w:r>
      <w:r>
        <w:instrText xml:space="preserve"> ADDIN EN.CITE &lt;EndNote&gt;&lt;Cite&gt;&lt;Author&gt;Wiman&lt;/Author&gt;&lt;Year&gt;1979&lt;/Year&gt;&lt;IDText&gt;On the specific interaction between the lysine-binding sites in plasmin and complementary sites in α2-antiplasmin and in fibrinogen&lt;/IDText&gt;&lt;DisplayText&gt;(Wiman et al., 1979)&lt;/DisplayText&gt;&lt;record&gt;&lt;isbn&gt;0005-2795&lt;/isbn&gt;&lt;titles&gt;&lt;title&gt;On the specific interaction between the lysine-binding sites in plasmin and complementary sites in α2-antiplasmin and in fibrinogen&lt;/title&gt;&lt;secondary-title&gt;Biochimica et Biophysica Acta (BBA)-Protein Structure&lt;/secondary-title&gt;&lt;/titles&gt;&lt;pages&gt;142-154&lt;/pages&gt;&lt;number&gt;1&lt;/number&gt;&lt;contributors&gt;&lt;authors&gt;&lt;author&gt;Wiman, B&lt;/author&gt;&lt;author&gt;Lijnen, HR&lt;/author&gt;&lt;author&gt;Collen, Desire&lt;/author&gt;&lt;/authors&gt;&lt;/contributors&gt;&lt;added-date format="utc"&gt;1499353007&lt;/added-date&gt;&lt;ref-type name="Journal Article"&gt;17&lt;/ref-type&gt;&lt;dates&gt;&lt;year&gt;1979&lt;/year&gt;&lt;/dates&gt;&lt;rec-number&gt;1933&lt;/rec-number&gt;&lt;last-updated-date format="utc"&gt;1499353007&lt;/last-updated-date&gt;&lt;volume&gt;579&lt;/volume&gt;&lt;/record&gt;&lt;/Cite&gt;&lt;/EndNote&gt;</w:instrText>
      </w:r>
      <w:r>
        <w:fldChar w:fldCharType="separate"/>
      </w:r>
      <w:r>
        <w:rPr>
          <w:noProof/>
        </w:rPr>
        <w:t>(Wiman et al., 1979)</w:t>
      </w:r>
      <w:r>
        <w:fldChar w:fldCharType="end"/>
      </w:r>
      <w:r>
        <w:t>. We also observed a remarkable increas</w:t>
      </w:r>
      <w:r w:rsidR="001D49F7">
        <w:t>e of uPA activity in epithelial-</w:t>
      </w:r>
      <w:r>
        <w:t xml:space="preserve">like cells in the presence of fibrin. The possible explanation for this is that the high level of plasmin may have contributed to this as plasmin is known to activate pro-uPA to active uPA </w:t>
      </w:r>
      <w:r>
        <w:fldChar w:fldCharType="begin"/>
      </w:r>
      <w:r>
        <w:instrText xml:space="preserve"> ADDIN EN.CITE &lt;EndNote&gt;&lt;Cite&gt;&lt;Author&gt;Behrendt&lt;/Author&gt;&lt;Year&gt;2003&lt;/Year&gt;&lt;IDText&gt;The pro-urokinase plasminogen-activation system in the presence of serpin-type inhibitors and the urokinase receptor: rescue of activity through reciprocal pro-enzyme activation&lt;/IDText&gt;&lt;DisplayText&gt;(Behrendt et al., 2003)&lt;/DisplayText&gt;&lt;record&gt;&lt;isbn&gt;0264-6021&lt;/isbn&gt;&lt;titles&gt;&lt;title&gt;The pro-urokinase plasminogen-activation system in the presence of serpin-type inhibitors and the urokinase receptor: rescue of activity through reciprocal pro-enzyme activation&lt;/title&gt;&lt;secondary-title&gt;Biochemical Journal&lt;/secondary-title&gt;&lt;/titles&gt;&lt;pages&gt;277-287&lt;/pages&gt;&lt;number&gt;2&lt;/number&gt;&lt;contributors&gt;&lt;authors&gt;&lt;author&gt;Behrendt, Niels&lt;/author&gt;&lt;author&gt;ANDREASEN, Peter A&lt;/author&gt;&lt;author&gt;Keld, DANØ&lt;/author&gt;&lt;/authors&gt;&lt;/contributors&gt;&lt;added-date format="utc"&gt;1499356729&lt;/added-date&gt;&lt;ref-type name="Journal Article"&gt;17&lt;/ref-type&gt;&lt;dates&gt;&lt;year&gt;2003&lt;/year&gt;&lt;/dates&gt;&lt;rec-number&gt;1935&lt;/rec-number&gt;&lt;last-updated-date format="utc"&gt;1499356729&lt;/last-updated-date&gt;&lt;volume&gt;371&lt;/volume&gt;&lt;/record&gt;&lt;/Cite&gt;&lt;/EndNote&gt;</w:instrText>
      </w:r>
      <w:r>
        <w:fldChar w:fldCharType="separate"/>
      </w:r>
      <w:r>
        <w:rPr>
          <w:noProof/>
        </w:rPr>
        <w:t>(Behrendt et al., 2003)</w:t>
      </w:r>
      <w:r>
        <w:fldChar w:fldCharType="end"/>
      </w:r>
      <w:r>
        <w:t xml:space="preserve">. </w:t>
      </w:r>
    </w:p>
    <w:p w:rsidR="00491A13" w:rsidRDefault="00491A13" w:rsidP="005F600D">
      <w:pPr>
        <w:ind w:left="1440"/>
      </w:pPr>
      <w:r>
        <w:t xml:space="preserve">This similar trend was also evident in tPA activity as statistically significant level of tPA activity was observed in the presence of fibrin in both epithelial cells and mesangial cells. Fibrin has been reported in the past as a factor needed to activate tPA activity </w:t>
      </w:r>
      <w:r>
        <w:fldChar w:fldCharType="begin"/>
      </w:r>
      <w:r>
        <w:instrText xml:space="preserve"> ADDIN EN.CITE &lt;EndNote&gt;&lt;Cite&gt;&lt;Author&gt;Thelwell&lt;/Author&gt;&lt;Year&gt;2007&lt;/Year&gt;&lt;IDText&gt;The regulation by fibrinogen and fibrin of tissue plasminogen activator kinetics and inhibition by plasminogen activator inhibitor 1&lt;/IDText&gt;&lt;DisplayText&gt;(Thelwell and Longstaff, 2007)&lt;/DisplayText&gt;&lt;record&gt;&lt;isbn&gt;1538-7836&lt;/isbn&gt;&lt;titles&gt;&lt;title&gt;The regulation by fibrinogen and fibrin of tissue plasminogen activator kinetics and inhibition by plasminogen activator inhibitor 1&lt;/title&gt;&lt;secondary-title&gt;Journal of Thrombosis and Haemostasis&lt;/secondary-title&gt;&lt;/titles&gt;&lt;pages&gt;804-811&lt;/pages&gt;&lt;number&gt;4&lt;/number&gt;&lt;contributors&gt;&lt;authors&gt;&lt;author&gt;Thelwell, C&lt;/author&gt;&lt;author&gt;Longstaff, C&lt;/author&gt;&lt;/authors&gt;&lt;/contributors&gt;&lt;added-date format="utc"&gt;1499361087&lt;/added-date&gt;&lt;ref-type name="Journal Article"&gt;17&lt;/ref-type&gt;&lt;dates&gt;&lt;year&gt;2007&lt;/year&gt;&lt;/dates&gt;&lt;rec-number&gt;1936&lt;/rec-number&gt;&lt;last-updated-date format="utc"&gt;1499361087&lt;/last-updated-date&gt;&lt;volume&gt;5&lt;/volume&gt;&lt;/record&gt;&lt;/Cite&gt;&lt;/EndNote&gt;</w:instrText>
      </w:r>
      <w:r>
        <w:fldChar w:fldCharType="separate"/>
      </w:r>
      <w:r>
        <w:rPr>
          <w:noProof/>
        </w:rPr>
        <w:t>(Thelwell and Longstaff, 2007)</w:t>
      </w:r>
      <w:r>
        <w:fldChar w:fldCharType="end"/>
      </w:r>
      <w:r>
        <w:t>, another</w:t>
      </w:r>
      <w:r w:rsidRPr="0074462D">
        <w:rPr>
          <w:rFonts w:eastAsia="+mn-ea" w:cs="Arial"/>
          <w:color w:val="000000"/>
          <w:kern w:val="24"/>
        </w:rPr>
        <w:t xml:space="preserve"> study in the past has documented that tPA activity was stimulated by fibrin </w:t>
      </w:r>
      <w:r w:rsidRPr="0074462D">
        <w:rPr>
          <w:rFonts w:eastAsia="+mn-ea" w:cs="Arial"/>
          <w:color w:val="000000"/>
          <w:kern w:val="24"/>
        </w:rPr>
        <w:fldChar w:fldCharType="begin"/>
      </w:r>
      <w:r w:rsidRPr="0074462D">
        <w:rPr>
          <w:rFonts w:eastAsia="+mn-ea" w:cs="Arial"/>
          <w:color w:val="000000"/>
          <w:kern w:val="24"/>
        </w:rPr>
        <w:instrText xml:space="preserve"> ADDIN EN.CITE &lt;EndNote&gt;&lt;Cite&gt;&lt;Author&gt;Stoppelli&lt;/Author&gt;&lt;Year&gt;2013&lt;/Year&gt;&lt;IDText&gt;The plasminogen activation system in cell invasion&lt;/IDText&gt;&lt;DisplayText&gt;(Stoppelli, 2013)&lt;/DisplayText&gt;&lt;record&gt;&lt;titles&gt;&lt;title&gt;The plasminogen activation system in cell invasion&lt;/title&gt;&lt;/titles&gt;&lt;contributors&gt;&lt;authors&gt;&lt;author&gt;Stoppelli, M Patrizia&lt;/author&gt;&lt;/authors&gt;&lt;/contributors&gt;&lt;added-date format="utc"&gt;1499705617&lt;/added-date&gt;&lt;ref-type name="Journal Article"&gt;17&lt;/ref-type&gt;&lt;dates&gt;&lt;year&gt;2013&lt;/year&gt;&lt;/dates&gt;&lt;rec-number&gt;1943&lt;/rec-number&gt;&lt;last-updated-date format="utc"&gt;1499705617&lt;/last-updated-date&gt;&lt;/record&gt;&lt;/Cite&gt;&lt;/EndNote&gt;</w:instrText>
      </w:r>
      <w:r w:rsidRPr="0074462D">
        <w:rPr>
          <w:rFonts w:eastAsia="+mn-ea" w:cs="Arial"/>
          <w:color w:val="000000"/>
          <w:kern w:val="24"/>
        </w:rPr>
        <w:fldChar w:fldCharType="separate"/>
      </w:r>
      <w:r w:rsidRPr="0074462D">
        <w:rPr>
          <w:rFonts w:eastAsia="+mn-ea" w:cs="Arial"/>
          <w:noProof/>
          <w:color w:val="000000"/>
          <w:kern w:val="24"/>
        </w:rPr>
        <w:t>(Stoppelli, 2013)</w:t>
      </w:r>
      <w:r w:rsidRPr="0074462D">
        <w:rPr>
          <w:rFonts w:eastAsia="+mn-ea" w:cs="Arial"/>
          <w:color w:val="000000"/>
          <w:kern w:val="24"/>
        </w:rPr>
        <w:fldChar w:fldCharType="end"/>
      </w:r>
    </w:p>
    <w:p w:rsidR="00491A13" w:rsidRDefault="00641E35" w:rsidP="005F600D">
      <w:pPr>
        <w:ind w:left="1440"/>
      </w:pPr>
      <w:r>
        <w:t xml:space="preserve">However, </w:t>
      </w:r>
      <w:r w:rsidR="00491A13">
        <w:t>activities of these proteinases and CPB2 were also demonstrated in the absence of fibrin, suggesting the possibility of involvement of other pathways other than the fibrin-dependent pathways.</w:t>
      </w:r>
      <w:r w:rsidR="001B171C">
        <w:t xml:space="preserve">  </w:t>
      </w:r>
    </w:p>
    <w:p w:rsidR="00DE525D" w:rsidRPr="00483E3A" w:rsidRDefault="00022AAD" w:rsidP="005F600D">
      <w:pPr>
        <w:pStyle w:val="Heading3"/>
        <w:ind w:left="1440"/>
      </w:pPr>
      <w:bookmarkStart w:id="390" w:name="_Toc506232407"/>
      <w:r>
        <w:t>5.5 Determination of s</w:t>
      </w:r>
      <w:r w:rsidR="00DE525D" w:rsidRPr="00483E3A">
        <w:t>erine proteinase activity of NRK52E, NRK49F and CRL2573 cells in high glucose media.</w:t>
      </w:r>
      <w:bookmarkEnd w:id="390"/>
    </w:p>
    <w:p w:rsidR="00DE525D" w:rsidRDefault="00DE525D" w:rsidP="005F600D">
      <w:pPr>
        <w:pStyle w:val="Heading4"/>
        <w:ind w:left="720" w:firstLine="720"/>
      </w:pPr>
      <w:bookmarkStart w:id="391" w:name="_Toc506232408"/>
      <w:r>
        <w:t>5.5.1 Introduction</w:t>
      </w:r>
      <w:bookmarkEnd w:id="391"/>
    </w:p>
    <w:p w:rsidR="00DE525D" w:rsidRDefault="00DE525D" w:rsidP="005F600D">
      <w:pPr>
        <w:ind w:left="1440"/>
      </w:pPr>
      <w:r>
        <w:t xml:space="preserve">From our results in the previous Section we observed an upward regulation of serine proteinase activity and CPB2 in the presence of fibrin in NRK52E and CRL2573, </w:t>
      </w:r>
      <w:r w:rsidR="00127F6E">
        <w:t xml:space="preserve">which </w:t>
      </w:r>
      <w:r>
        <w:t>suggest</w:t>
      </w:r>
      <w:r w:rsidR="00127F6E">
        <w:t>s</w:t>
      </w:r>
      <w:r>
        <w:t xml:space="preserve"> that either fib</w:t>
      </w:r>
      <w:r w:rsidR="00127F6E">
        <w:t>rinogen or fibrin play a</w:t>
      </w:r>
      <w:r>
        <w:t xml:space="preserve"> role in the cont</w:t>
      </w:r>
      <w:r w:rsidR="00127F6E">
        <w:t>rol of plasminogen activation</w:t>
      </w:r>
      <w:r>
        <w:t xml:space="preserve"> during cellular activities that lead to </w:t>
      </w:r>
      <w:r w:rsidR="00127F6E">
        <w:t xml:space="preserve">kidney </w:t>
      </w:r>
      <w:r>
        <w:t xml:space="preserve">fibrosis. </w:t>
      </w:r>
    </w:p>
    <w:p w:rsidR="00DE525D" w:rsidRDefault="00DE525D" w:rsidP="005F600D">
      <w:pPr>
        <w:ind w:left="1440"/>
      </w:pPr>
      <w:r>
        <w:lastRenderedPageBreak/>
        <w:t>A paradigm did suggest that fibrin also supports ECM build-up by acting as a platform for cytokinesis and stimulation of resident cells to synthesize and deposit collagen which results into ECM accumulation. Therefore in a pathological state such as fibrosis one would expect an increase in the deposition of collagen and ECM accumulation. It stated further that the activities of proteinases down-regulate ECM accumulation and fibrosis by removing fibrin (Loskutoff and Quigley, 2000). Ho</w:t>
      </w:r>
      <w:r w:rsidR="00A321AB">
        <w:t>wever,</w:t>
      </w:r>
      <w:r>
        <w:t xml:space="preserve"> Hattori et al suggested that there was no significant difference in fibrosis in the presence and absence of fibrinogen (Hattori et al., 2000). Another school of thought has suggested that inhibitors of plasmin, tPA and uPA such as plasmin</w:t>
      </w:r>
      <w:r w:rsidR="00127F6E">
        <w:t>ogen</w:t>
      </w:r>
      <w:r>
        <w:t xml:space="preserve"> activator inhibitor-1 (PAI-1) and α2 anti-plasmin are responsible for down-regulation of plasmin which results in ECM build-up and subsequently fibrosis. It has also been suggested that PAI-1 attracts the migration of collagen forming cells and leukocytes which leads to collagen deposition and fibrosis </w:t>
      </w:r>
      <w:r>
        <w:fldChar w:fldCharType="begin"/>
      </w:r>
      <w:r>
        <w:instrText xml:space="preserve"> ADDIN EN.CITE &lt;EndNote&gt;&lt;Cite&gt;&lt;Author&gt;Reichel&lt;/Author&gt;&lt;Year&gt;2015&lt;/Year&gt;&lt;IDText&gt;Components of the Plasminogen Activation System Promote Engraftment of Porous Polyethylene Biomaterial via Common and Distinct Effects&lt;/IDText&gt;&lt;DisplayText&gt;(Reichel et al., 2015)&lt;/DisplayText&gt;&lt;record&gt;&lt;isbn&gt;1932-6203&lt;/isbn&gt;&lt;titles&gt;&lt;title&gt;Components of the Plasminogen Activation System Promote Engraftment of Porous Polyethylene Biomaterial via Common and Distinct Effects&lt;/title&gt;&lt;secondary-title&gt;PloS one&lt;/secondary-title&gt;&lt;/titles&gt;&lt;pages&gt;e0116883&lt;/pages&gt;&lt;number&gt;2&lt;/number&gt;&lt;contributors&gt;&lt;authors&gt;&lt;author&gt;Reichel, Christoph A&lt;/author&gt;&lt;author&gt;Hessenauer, Maximilian ET&lt;/author&gt;&lt;author&gt;Pflieger, Kerstin&lt;/author&gt;&lt;author&gt;Rehberg, Markus&lt;/author&gt;&lt;author&gt;Kanse, Sandip M&lt;/author&gt;&lt;author&gt;Zahler, Stefan&lt;/author&gt;&lt;author&gt;Krombach, Fritz&lt;/author&gt;&lt;author&gt;Berghaus, Alexander&lt;/author&gt;&lt;author&gt;Strieth, Sebastian&lt;/author&gt;&lt;/authors&gt;&lt;/contributors&gt;&lt;added-date format="utc"&gt;1499502896&lt;/added-date&gt;&lt;ref-type name="Journal Article"&gt;17&lt;/ref-type&gt;&lt;dates&gt;&lt;year&gt;2015&lt;/year&gt;&lt;/dates&gt;&lt;rec-number&gt;1937&lt;/rec-number&gt;&lt;last-updated-date format="utc"&gt;1499502896&lt;/last-updated-date&gt;&lt;volume&gt;10&lt;/volume&gt;&lt;/record&gt;&lt;/Cite&gt;&lt;/EndNote&gt;</w:instrText>
      </w:r>
      <w:r>
        <w:fldChar w:fldCharType="separate"/>
      </w:r>
      <w:r>
        <w:rPr>
          <w:noProof/>
        </w:rPr>
        <w:t>(Reichel et al., 2015)</w:t>
      </w:r>
      <w:r>
        <w:fldChar w:fldCharType="end"/>
      </w:r>
      <w:r>
        <w:t xml:space="preserve">. </w:t>
      </w:r>
    </w:p>
    <w:p w:rsidR="00AB45CA" w:rsidRPr="00A3073D" w:rsidRDefault="00DE525D" w:rsidP="005F600D">
      <w:pPr>
        <w:ind w:left="1440"/>
      </w:pPr>
      <w:r>
        <w:t xml:space="preserve">Based on all these interesting reports we decided to compare serine proteinase activities in both normal and pathological </w:t>
      </w:r>
      <w:r>
        <w:rPr>
          <w:i/>
        </w:rPr>
        <w:t>in vitro</w:t>
      </w:r>
      <w:r>
        <w:t xml:space="preserve"> systems using a high-glucose (diabetic) model as our pathological system</w:t>
      </w:r>
      <w:r w:rsidR="00A3073D">
        <w:rPr>
          <w:rFonts w:cs="Arial"/>
        </w:rPr>
        <w:t xml:space="preserve">. </w:t>
      </w:r>
      <w:r w:rsidR="00A3073D">
        <w:t>Epithelial</w:t>
      </w:r>
      <w:r w:rsidR="00127F6E">
        <w:t>-like</w:t>
      </w:r>
      <w:r w:rsidR="00A3073D">
        <w:t xml:space="preserve"> cells and mesangial cells were selected for this study because they gave us significant growth</w:t>
      </w:r>
      <w:r w:rsidR="00DE105B">
        <w:t xml:space="preserve"> on fibrin gel in the previous s</w:t>
      </w:r>
      <w:r w:rsidR="00A3073D">
        <w:t xml:space="preserve">ection. </w:t>
      </w:r>
      <w:r w:rsidR="00A3073D">
        <w:rPr>
          <w:rFonts w:cs="Arial"/>
        </w:rPr>
        <w:t xml:space="preserve">24-hr </w:t>
      </w:r>
      <w:r w:rsidR="00A3073D" w:rsidRPr="00AB45CA">
        <w:rPr>
          <w:rFonts w:cs="Arial"/>
        </w:rPr>
        <w:t xml:space="preserve">conditioned media from cells cultured in high glucose and low glucose </w:t>
      </w:r>
      <w:r w:rsidR="00791BA4">
        <w:rPr>
          <w:rFonts w:cs="Arial"/>
        </w:rPr>
        <w:t xml:space="preserve">on fibrin gel </w:t>
      </w:r>
      <w:r w:rsidR="00127F6E">
        <w:rPr>
          <w:rFonts w:cs="Arial"/>
        </w:rPr>
        <w:t xml:space="preserve">were assayed </w:t>
      </w:r>
      <w:r w:rsidR="00791BA4">
        <w:rPr>
          <w:rFonts w:cs="Arial"/>
        </w:rPr>
        <w:t xml:space="preserve">for plasmin, uPA, tPA and CPB2 </w:t>
      </w:r>
      <w:r w:rsidR="00A3073D" w:rsidRPr="00AB45CA">
        <w:rPr>
          <w:rFonts w:cs="Arial"/>
        </w:rPr>
        <w:t>at ambient temperature with Tris buffer</w:t>
      </w:r>
      <w:r w:rsidR="00127F6E">
        <w:rPr>
          <w:rFonts w:cs="Arial"/>
        </w:rPr>
        <w:t>,</w:t>
      </w:r>
      <w:r w:rsidR="00A3073D" w:rsidRPr="00AB45CA">
        <w:rPr>
          <w:rFonts w:cs="Arial"/>
        </w:rPr>
        <w:t xml:space="preserve"> pH</w:t>
      </w:r>
      <w:r>
        <w:t xml:space="preserve"> </w:t>
      </w:r>
      <w:r w:rsidR="00242C4A">
        <w:t xml:space="preserve">8.4. </w:t>
      </w:r>
    </w:p>
    <w:p w:rsidR="005F600D" w:rsidRDefault="00AB45CA" w:rsidP="005F600D">
      <w:pPr>
        <w:ind w:left="1440"/>
        <w:rPr>
          <w:rFonts w:cs="Arial"/>
        </w:rPr>
      </w:pPr>
      <w:r w:rsidRPr="00AB45CA">
        <w:rPr>
          <w:rFonts w:cs="Arial"/>
        </w:rPr>
        <w:t>Serine proteinases were produced in both epithelial</w:t>
      </w:r>
      <w:r w:rsidR="00127F6E">
        <w:rPr>
          <w:rFonts w:cs="Arial"/>
        </w:rPr>
        <w:t>-like cells</w:t>
      </w:r>
      <w:r w:rsidRPr="00AB45CA">
        <w:rPr>
          <w:rFonts w:cs="Arial"/>
        </w:rPr>
        <w:t xml:space="preserve"> and mesangial cells in </w:t>
      </w:r>
      <w:r w:rsidR="00127F6E">
        <w:rPr>
          <w:rFonts w:cs="Arial"/>
        </w:rPr>
        <w:t>high glucose</w:t>
      </w:r>
      <w:r w:rsidRPr="00AB45CA">
        <w:rPr>
          <w:rFonts w:cs="Arial"/>
        </w:rPr>
        <w:t xml:space="preserve"> (</w:t>
      </w:r>
      <w:r>
        <w:rPr>
          <w:rFonts w:cs="Arial"/>
        </w:rPr>
        <w:t>Fig</w:t>
      </w:r>
      <w:r w:rsidRPr="00AB45CA">
        <w:rPr>
          <w:rFonts w:cs="Arial"/>
        </w:rPr>
        <w:t xml:space="preserve"> </w:t>
      </w:r>
      <w:r w:rsidR="00791BA4">
        <w:rPr>
          <w:rFonts w:cs="Arial"/>
        </w:rPr>
        <w:t>5.5</w:t>
      </w:r>
      <w:r w:rsidRPr="00AB45CA">
        <w:rPr>
          <w:rFonts w:cs="Arial"/>
        </w:rPr>
        <w:t xml:space="preserve">, </w:t>
      </w:r>
      <w:r w:rsidR="00791BA4">
        <w:rPr>
          <w:rFonts w:cs="Arial"/>
        </w:rPr>
        <w:t>5.6 and 5.7</w:t>
      </w:r>
      <w:r w:rsidR="00127F6E">
        <w:rPr>
          <w:rFonts w:cs="Arial"/>
        </w:rPr>
        <w:t>). There was</w:t>
      </w:r>
      <w:r w:rsidRPr="00AB45CA">
        <w:rPr>
          <w:rFonts w:cs="Arial"/>
        </w:rPr>
        <w:t xml:space="preserve"> significantly less plasmin, tPA and uPA activity detected in </w:t>
      </w:r>
      <w:r w:rsidR="00791BA4">
        <w:rPr>
          <w:rFonts w:cs="Arial"/>
        </w:rPr>
        <w:t xml:space="preserve">conditioned </w:t>
      </w:r>
      <w:r w:rsidRPr="00AB45CA">
        <w:rPr>
          <w:rFonts w:cs="Arial"/>
        </w:rPr>
        <w:t>media from cells cultured in high glucose in the presence of fibrin. M</w:t>
      </w:r>
      <w:r w:rsidR="00242C4A">
        <w:rPr>
          <w:rFonts w:cs="Arial"/>
        </w:rPr>
        <w:t>esangial cells had</w:t>
      </w:r>
      <w:r w:rsidRPr="00AB45CA">
        <w:rPr>
          <w:rFonts w:cs="Arial"/>
        </w:rPr>
        <w:t xml:space="preserve"> the least plasmin, uPA and tPA activity followed by epithelial</w:t>
      </w:r>
      <w:r w:rsidR="00127F6E">
        <w:rPr>
          <w:rFonts w:cs="Arial"/>
        </w:rPr>
        <w:t>-like</w:t>
      </w:r>
      <w:r w:rsidRPr="00AB45CA">
        <w:rPr>
          <w:rFonts w:cs="Arial"/>
        </w:rPr>
        <w:t xml:space="preserve"> cell</w:t>
      </w:r>
      <w:r w:rsidR="00127F6E">
        <w:rPr>
          <w:rFonts w:cs="Arial"/>
        </w:rPr>
        <w:t>s</w:t>
      </w:r>
      <w:r w:rsidRPr="00AB45CA">
        <w:rPr>
          <w:rFonts w:cs="Arial"/>
        </w:rPr>
        <w:t xml:space="preserve">. A reciprocal increase was found with CPB2 activity where there was a significant increase in the CPB2 activity in presence of high glucose in both epithelial and mesangial cells (Figure </w:t>
      </w:r>
      <w:r w:rsidR="00791BA4">
        <w:rPr>
          <w:rFonts w:cs="Arial"/>
        </w:rPr>
        <w:t>5.8</w:t>
      </w:r>
      <w:r w:rsidR="00941019">
        <w:rPr>
          <w:rFonts w:cs="Arial"/>
        </w:rPr>
        <w:t>).</w:t>
      </w:r>
    </w:p>
    <w:p w:rsidR="00C06DFA" w:rsidRPr="00A83A39" w:rsidRDefault="00C06DFA" w:rsidP="00D60AE1">
      <w:pPr>
        <w:spacing w:after="160" w:line="259" w:lineRule="auto"/>
        <w:jc w:val="left"/>
        <w:rPr>
          <w:rFonts w:cs="Arial"/>
        </w:rPr>
      </w:pPr>
    </w:p>
    <w:p w:rsidR="009A7933" w:rsidRDefault="005F600D" w:rsidP="005F600D">
      <w:pPr>
        <w:pStyle w:val="LegText"/>
        <w:ind w:left="720" w:firstLine="720"/>
      </w:pPr>
      <w:r>
        <w:rPr>
          <w:noProof/>
        </w:rPr>
        <mc:AlternateContent>
          <mc:Choice Requires="wps">
            <w:drawing>
              <wp:anchor distT="0" distB="0" distL="114300" distR="114300" simplePos="0" relativeHeight="251900928" behindDoc="0" locked="0" layoutInCell="1" hidden="0" allowOverlap="1" wp14:anchorId="7852B6D3" wp14:editId="183CC28D">
                <wp:simplePos x="0" y="0"/>
                <wp:positionH relativeFrom="margin">
                  <wp:posOffset>3262630</wp:posOffset>
                </wp:positionH>
                <wp:positionV relativeFrom="paragraph">
                  <wp:posOffset>837565</wp:posOffset>
                </wp:positionV>
                <wp:extent cx="215900" cy="190500"/>
                <wp:effectExtent l="0" t="0" r="0" b="0"/>
                <wp:wrapNone/>
                <wp:docPr id="172" name="Rectangle 172"/>
                <wp:cNvGraphicFramePr/>
                <a:graphic xmlns:a="http://schemas.openxmlformats.org/drawingml/2006/main">
                  <a:graphicData uri="http://schemas.microsoft.com/office/word/2010/wordprocessingShape">
                    <wps:wsp>
                      <wps:cNvSpPr/>
                      <wps:spPr>
                        <a:xfrm>
                          <a:off x="0" y="0"/>
                          <a:ext cx="215900" cy="190500"/>
                        </a:xfrm>
                        <a:prstGeom prst="rect">
                          <a:avLst/>
                        </a:prstGeom>
                        <a:noFill/>
                        <a:ln>
                          <a:noFill/>
                        </a:ln>
                      </wps:spPr>
                      <wps:txbx>
                        <w:txbxContent>
                          <w:p w:rsidR="00AD6A02" w:rsidRDefault="00AD6A02" w:rsidP="00EF6BC4">
                            <w:pPr>
                              <w:spacing w:after="0"/>
                              <w:textDirection w:val="btLr"/>
                            </w:pPr>
                            <w:r>
                              <w:t>*</w:t>
                            </w:r>
                          </w:p>
                          <w:p w:rsidR="00AD6A02" w:rsidRDefault="00AD6A02" w:rsidP="00EF6BC4">
                            <w:pPr>
                              <w:spacing w:after="0"/>
                              <w:textDirection w:val="btLr"/>
                            </w:pPr>
                          </w:p>
                        </w:txbxContent>
                      </wps:txbx>
                      <wps:bodyPr lIns="88900" tIns="38100" rIns="88900" bIns="38100" anchor="t" anchorCtr="0"/>
                    </wps:wsp>
                  </a:graphicData>
                </a:graphic>
              </wp:anchor>
            </w:drawing>
          </mc:Choice>
          <mc:Fallback>
            <w:pict>
              <v:rect w14:anchorId="7852B6D3" id="Rectangle 172" o:spid="_x0000_s1130" style="position:absolute;left:0;text-align:left;margin-left:256.9pt;margin-top:65.95pt;width:17pt;height:15pt;z-index:251900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9QowEAAEMDAAAOAAAAZHJzL2Uyb0RvYy54bWysUstO4zAU3Y/EP1jeUycFZkrUlAWIEdKI&#10;QTw+wHXsxpLta9meJv17rp1SyrBDbJz7cM495/gur0ZryFaGqMG1tJ5VlEgnoNNu09KX59vTBSUx&#10;cddxA062dCcjvVqd/FgOvpFz6MF0MhAEcbEZfEv7lHzDWBS9tDzOwEuHTQXB8oRp2LAu8AHRrWHz&#10;qvrJBgidDyBkjFi9mZp0VfCVkiL9VSrKRExLkVsqZyjnOp9steTNJnDfa7Gnwb/AwnLtcOgB6oYn&#10;Tv4F/QnKahEggkozAZaBUlrIogHV1NV/ap567mXRguZEf7Apfh+suN8+BKI7fLtfc0oct/hIj2gb&#10;dxsjSS6iRYOPDd588g9hn0UMs95RBZu/qISMxdbdwVY5JiKwOK8vLis0X2CrvqwuMEYU9v6zDzH9&#10;lmBJDloacHwxk2//xDRdfbuSZzm41cZgnTfGfSggZq6wzHdimKM0rsdJYnX+pmYN3Q6FmzuHZi4W&#10;hV8qydmizmTDcWd93OFO9IArlCiZwutUFioTzePwpYq6/VblVTjOy6333V+9AgAA//8DAFBLAwQU&#10;AAYACAAAACEAG5rwf94AAAALAQAADwAAAGRycy9kb3ducmV2LnhtbEyPwU7DMBBE70j8g7VI3KgT&#10;0hYIcaqCRC+oB1o+wImXxGq8DrGTBr6e5QTHnRnNvik2s+vEhEOwnhSkiwQEUu2NpUbB+/Hl5h5E&#10;iJqM7jyhgi8MsCkvLwqdG3+mN5wOsRFcQiHXCtoY+1zKULfodFj4Hom9Dz84HfkcGmkGfeZy18nb&#10;JFlLpy3xh1b3+NxifTqMTsH03S+fdtb40/ZzP1ev4y47WqfU9dW8fQQRcY5/YfjFZ3QomanyI5kg&#10;OgWrNGP0yEaWPoDgxGp5x0rFypoVWRby/4byBwAA//8DAFBLAQItABQABgAIAAAAIQC2gziS/gAA&#10;AOEBAAATAAAAAAAAAAAAAAAAAAAAAABbQ29udGVudF9UeXBlc10ueG1sUEsBAi0AFAAGAAgAAAAh&#10;ADj9If/WAAAAlAEAAAsAAAAAAAAAAAAAAAAALwEAAF9yZWxzLy5yZWxzUEsBAi0AFAAGAAgAAAAh&#10;AOBFD1CjAQAAQwMAAA4AAAAAAAAAAAAAAAAALgIAAGRycy9lMm9Eb2MueG1sUEsBAi0AFAAGAAgA&#10;AAAhABua8H/eAAAACwEAAA8AAAAAAAAAAAAAAAAA/QMAAGRycy9kb3ducmV2LnhtbFBLBQYAAAAA&#10;BAAEAPMAAAAIBQAAAAA=&#10;" filled="f" stroked="f">
                <v:textbox inset="7pt,3pt,7pt,3pt">
                  <w:txbxContent>
                    <w:p w:rsidR="00AD6A02" w:rsidRDefault="00AD6A02" w:rsidP="00EF6BC4">
                      <w:pPr>
                        <w:spacing w:after="0"/>
                        <w:textDirection w:val="btLr"/>
                      </w:pPr>
                      <w:r>
                        <w:t>*</w:t>
                      </w:r>
                    </w:p>
                    <w:p w:rsidR="00AD6A02" w:rsidRDefault="00AD6A02" w:rsidP="00EF6BC4">
                      <w:pPr>
                        <w:spacing w:after="0"/>
                        <w:textDirection w:val="btLr"/>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898880" behindDoc="0" locked="0" layoutInCell="1" allowOverlap="1" wp14:anchorId="35AAD0DB" wp14:editId="751B2238">
                <wp:simplePos x="0" y="0"/>
                <wp:positionH relativeFrom="margin">
                  <wp:posOffset>3342005</wp:posOffset>
                </wp:positionH>
                <wp:positionV relativeFrom="paragraph">
                  <wp:posOffset>813435</wp:posOffset>
                </wp:positionV>
                <wp:extent cx="100330" cy="585470"/>
                <wp:effectExtent l="5080" t="71120" r="19050" b="19050"/>
                <wp:wrapNone/>
                <wp:docPr id="90" name="Right Brace 1"/>
                <wp:cNvGraphicFramePr/>
                <a:graphic xmlns:a="http://schemas.openxmlformats.org/drawingml/2006/main">
                  <a:graphicData uri="http://schemas.microsoft.com/office/word/2010/wordprocessingShape">
                    <wps:wsp>
                      <wps:cNvSpPr/>
                      <wps:spPr>
                        <a:xfrm rot="16200000" flipV="1">
                          <a:off x="0" y="0"/>
                          <a:ext cx="100330" cy="58547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F2217CE" id="Right Brace 1" o:spid="_x0000_s1026" type="#_x0000_t88" style="position:absolute;margin-left:263.15pt;margin-top:64.05pt;width:7.9pt;height:46.1pt;rotation:90;flip:y;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WJ+gEAAPYDAAAOAAAAZHJzL2Uyb0RvYy54bWysU01vEzEQvSPxHyzfye42JIQom0o0ChcE&#10;FS3cp15715K/5DHZ5N8z9qahoTeED5a/5vm9NzOb26M17CAjau9a3sxqzqQTvtOub/mPx/27FWeY&#10;wHVgvJMtP0nkt9u3bzZjWMsbP3jTycgIxOF6DC0fUgrrqkIxSAs480E6ulQ+Wki0jX3VRRgJ3Zrq&#10;pq6X1ehjF6IXEpFOd9Ml3xZ8paRI35RCmZhpOXFLZY5lfspztd3Auo8QBi3ONOAfWFjQjj69QO0g&#10;AfsV9Ssoq0X06FWaCW8rr5QWsmggNU39l5qHAYIsWsgcDBeb8P/Biq+H+8h01/KPZI8DSzn6rvsh&#10;sU8RhGRNdmgMuKaHD+E+nndIyyz3qKJl0ZOtzZLSQYMzZXT4SQfFD1LIjsXu08VueUxM0GFT1/M5&#10;BQi6WqwW7z+UdFQTakYPEdNn6S3Li5bHzKvQKtBw+IKJ+FDA88MchN7obq+NKZsT3pnIDkDpp6rp&#10;/MiZAUx02PJ9GVkgQVyFGcfGli/ni8wOqCyVgURLG8godD1nYHqqd5FioXIVjK/+fCTFL/4tPj1r&#10;vQrNOnaAw0S4XE0VanWiNjHatnw12TyxNi6rlKXQz27kZE3pyasn350owTGZOz+1ADgxeFKfuWeQ&#10;/IqKq5hwboRcvS/35dWfdt3+BgAA//8DAFBLAwQUAAYACAAAACEA4gNhgd4AAAALAQAADwAAAGRy&#10;cy9kb3ducmV2LnhtbEyPwU7DMBBE70j8g7VI3KjjApGVxqkQAglxogVx3thuEhHbqe2m4e9ZTnDb&#10;3RnNvqm3ixvZbGMaglcgVgUw63Uwg+8UfLw/30hgKaM3OAZvFXzbBNvm8qLGyoSz39l5nztGIT5V&#10;qKDPeao4T7q3DtMqTNaTdgjRYaY1dtxEPFO4G/m6KErucPD0ocfJPvZWf+1PToHWZml34oifTy/H&#10;ULy+zSKWXKnrq+VhAyzbJf+Z4Ref0KEhpjacvElsVHAnpSArCWV5C4wc97KgoaWLXAvgTc3/d2h+&#10;AAAA//8DAFBLAQItABQABgAIAAAAIQC2gziS/gAAAOEBAAATAAAAAAAAAAAAAAAAAAAAAABbQ29u&#10;dGVudF9UeXBlc10ueG1sUEsBAi0AFAAGAAgAAAAhADj9If/WAAAAlAEAAAsAAAAAAAAAAAAAAAAA&#10;LwEAAF9yZWxzLy5yZWxzUEsBAi0AFAAGAAgAAAAhAGGIdYn6AQAA9gMAAA4AAAAAAAAAAAAAAAAA&#10;LgIAAGRycy9lMm9Eb2MueG1sUEsBAi0AFAAGAAgAAAAhAOIDYYHeAAAACwEAAA8AAAAAAAAAAAAA&#10;AAAAVAQAAGRycy9kb3ducmV2LnhtbFBLBQYAAAAABAAEAPMAAABfBQAAAAA=&#10;" adj="308" filled="t" fillcolor="window" strokecolor="windowText" strokeweight=".5pt">
                <v:stroke joinstyle="miter"/>
                <w10:wrap anchorx="margin"/>
              </v:shape>
            </w:pict>
          </mc:Fallback>
        </mc:AlternateContent>
      </w:r>
      <w:r>
        <w:rPr>
          <w:noProof/>
        </w:rPr>
        <mc:AlternateContent>
          <mc:Choice Requires="wps">
            <w:drawing>
              <wp:anchor distT="0" distB="0" distL="114300" distR="114300" simplePos="0" relativeHeight="251896832" behindDoc="0" locked="0" layoutInCell="1" hidden="0" allowOverlap="1" wp14:anchorId="63497332" wp14:editId="13D52E5E">
                <wp:simplePos x="0" y="0"/>
                <wp:positionH relativeFrom="margin">
                  <wp:posOffset>1871345</wp:posOffset>
                </wp:positionH>
                <wp:positionV relativeFrom="paragraph">
                  <wp:posOffset>208915</wp:posOffset>
                </wp:positionV>
                <wp:extent cx="457200" cy="215900"/>
                <wp:effectExtent l="0" t="0" r="0" b="0"/>
                <wp:wrapNone/>
                <wp:docPr id="192" name="Rectangle 192"/>
                <wp:cNvGraphicFramePr/>
                <a:graphic xmlns:a="http://schemas.openxmlformats.org/drawingml/2006/main">
                  <a:graphicData uri="http://schemas.microsoft.com/office/word/2010/wordprocessingShape">
                    <wps:wsp>
                      <wps:cNvSpPr/>
                      <wps:spPr>
                        <a:xfrm>
                          <a:off x="0" y="0"/>
                          <a:ext cx="457200" cy="215900"/>
                        </a:xfrm>
                        <a:prstGeom prst="rect">
                          <a:avLst/>
                        </a:prstGeom>
                        <a:noFill/>
                        <a:ln>
                          <a:noFill/>
                        </a:ln>
                      </wps:spPr>
                      <wps:txbx>
                        <w:txbxContent>
                          <w:p w:rsidR="00AD6A02" w:rsidRDefault="00AD6A02" w:rsidP="00941019">
                            <w:pPr>
                              <w:spacing w:after="0"/>
                              <w:textDirection w:val="btLr"/>
                            </w:pPr>
                            <w:r>
                              <w:t>**</w:t>
                            </w:r>
                          </w:p>
                          <w:p w:rsidR="00AD6A02" w:rsidRDefault="00AD6A02" w:rsidP="00941019">
                            <w:pPr>
                              <w:spacing w:after="0"/>
                              <w:textDirection w:val="btLr"/>
                            </w:pPr>
                          </w:p>
                        </w:txbxContent>
                      </wps:txbx>
                      <wps:bodyPr lIns="88900" tIns="38100" rIns="88900" bIns="38100" anchor="t" anchorCtr="0"/>
                    </wps:wsp>
                  </a:graphicData>
                </a:graphic>
              </wp:anchor>
            </w:drawing>
          </mc:Choice>
          <mc:Fallback>
            <w:pict>
              <v:rect w14:anchorId="63497332" id="Rectangle 192" o:spid="_x0000_s1131" style="position:absolute;left:0;text-align:left;margin-left:147.35pt;margin-top:16.45pt;width:36pt;height:17pt;z-index:251896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9HowEAAEMDAAAOAAAAZHJzL2Uyb0RvYy54bWysUk2P0zAQvSPxHyzfqdNCoRs13QOrRUgI&#10;VrvwA1zHbizZHmtsmvTfM3a63QI3xMWZr7yZ92a2t5N37KgxWQgdXy4aznRQ0Ntw6PiP7/dvNpyl&#10;LEMvHQTd8ZNO/Hb3+tV2jK1ewQCu18gIJKR2jB0fco6tEEkN2su0gKgDJQ2gl5lcPIge5Ujo3olV&#10;07wXI2AfEZROiaJ3c5LvKr4xWuVvxiSdmes4zZbri/Xdl1fstrI9oIyDVecx5D9M4aUN1PQCdSez&#10;ZD/R/gXlrUJIYPJCgRdgjFW6ciA2y+YPNk+DjLpyIXFSvMiU/h+s+np8QGZ72t3NirMgPS3pkWST&#10;4eA0K0GSaIyppcqn+IBnL5FZ+E4GffkSEzZVWU8XWfWUmaLgu/UHWhVnilKr5fqGbEIRLz9HTPmT&#10;Bs+K0XGk9lVMefyS8lz6XFJ6Bbi3zlFcti78FiDMEhFl3nnCYuVpP80Um/Uzmz30JyLuPgcSc7Mp&#10;M7FcnbebZXHwOrO/zsigBqATypzN5sdcD6oMWtrRpiq781WVU7j2a9XL7e9+AQAA//8DAFBLAwQU&#10;AAYACAAAACEA4BvdUN8AAAAJAQAADwAAAGRycy9kb3ducmV2LnhtbEyPQU7DMBBF90jcwRokdtQh&#10;qQxJ41QFiW4QC1oO4MTTxGo8DrGTBk6PWcFyZp7+vF9uF9uzGUdvHEm4XyXAkBqnDbUSPo4vd4/A&#10;fFCkVe8IJXyhh211fVWqQrsLveN8CC2LIeQLJaELYSg4902HVvmVG5Di7eRGq0Icx5brUV1iuO15&#10;miSCW2UofujUgM8dNufDZCXM38P6aW+0O+8+35b6ddpnR2OlvL1ZdhtgAZfwB8OvflSHKjrVbiLt&#10;WS8hzdcPEZWQpTmwCGRCxEUtQYgceFXy/w2qHwAAAP//AwBQSwECLQAUAAYACAAAACEAtoM4kv4A&#10;AADhAQAAEwAAAAAAAAAAAAAAAAAAAAAAW0NvbnRlbnRfVHlwZXNdLnhtbFBLAQItABQABgAIAAAA&#10;IQA4/SH/1gAAAJQBAAALAAAAAAAAAAAAAAAAAC8BAABfcmVscy8ucmVsc1BLAQItABQABgAIAAAA&#10;IQBZIg9HowEAAEMDAAAOAAAAAAAAAAAAAAAAAC4CAABkcnMvZTJvRG9jLnhtbFBLAQItABQABgAI&#10;AAAAIQDgG91Q3wAAAAkBAAAPAAAAAAAAAAAAAAAAAP0DAABkcnMvZG93bnJldi54bWxQSwUGAAAA&#10;AAQABADzAAAACQUAAAAA&#10;" filled="f" stroked="f">
                <v:textbox inset="7pt,3pt,7pt,3pt">
                  <w:txbxContent>
                    <w:p w:rsidR="00AD6A02" w:rsidRDefault="00AD6A02" w:rsidP="00941019">
                      <w:pPr>
                        <w:spacing w:after="0"/>
                        <w:textDirection w:val="btLr"/>
                      </w:pPr>
                      <w:r>
                        <w:t>**</w:t>
                      </w:r>
                    </w:p>
                    <w:p w:rsidR="00AD6A02" w:rsidRDefault="00AD6A02" w:rsidP="00941019">
                      <w:pPr>
                        <w:spacing w:after="0"/>
                        <w:textDirection w:val="btLr"/>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894784" behindDoc="0" locked="0" layoutInCell="1" allowOverlap="1" wp14:anchorId="56420DF8" wp14:editId="3F1ECDDE">
                <wp:simplePos x="0" y="0"/>
                <wp:positionH relativeFrom="column">
                  <wp:posOffset>2001520</wp:posOffset>
                </wp:positionH>
                <wp:positionV relativeFrom="paragraph">
                  <wp:posOffset>129539</wp:posOffset>
                </wp:positionV>
                <wp:extent cx="64989" cy="616267"/>
                <wp:effectExtent l="0" t="85090" r="21590" b="21590"/>
                <wp:wrapNone/>
                <wp:docPr id="305" name="Right Brace 1"/>
                <wp:cNvGraphicFramePr/>
                <a:graphic xmlns:a="http://schemas.openxmlformats.org/drawingml/2006/main">
                  <a:graphicData uri="http://schemas.microsoft.com/office/word/2010/wordprocessingShape">
                    <wps:wsp>
                      <wps:cNvSpPr/>
                      <wps:spPr>
                        <a:xfrm rot="16200000" flipV="1">
                          <a:off x="0" y="0"/>
                          <a:ext cx="64989" cy="616267"/>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0A259FE" id="Right Brace 1" o:spid="_x0000_s1026" type="#_x0000_t88" style="position:absolute;margin-left:157.6pt;margin-top:10.2pt;width:5.1pt;height:48.5pt;rotation:90;flip: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xE6+wEAAPYDAAAOAAAAZHJzL2Uyb0RvYy54bWysU01vEzEQvSPxHyzfyW5auqSrbCrRKFwQ&#10;VLRwn3rtXUv+ksdkk3/P2BtCQ28IHyx/zZv33ozXdwdr2F5G1N51fLmoOZNO+F67oePfn3bvVpxh&#10;AteD8U52/CiR323evllPoZVXfvSml5ERiMN2Ch0fUwptVaEYpQVc+CAdXSofLSTaxqHqI0yEbk11&#10;VddNNfnYh+iFRKTT7XzJNwVfKSnSV6VQJmY6TtxSmWOZn/NcbdbQDhHCqMWJBvwDCwvaUdIz1BYS&#10;sJ9Rv4KyWkSPXqWF8LbySmkhiwZSs6z/UvM4QpBFC5mD4WwT/j9Y8WX/EJnuO35d33DmwFKRvulh&#10;TOxjBCHZMls0BWzp5WN4iKcd0jLrPahoWfTk67KhetDgTBkdftBBMYQkskPx+3j2Wx4SE3TYvL9d&#10;3XIm6Kah8OZDzlXNoBk8REyfpLcsLzoeM63CqiDD/jOmOeD3wxyE3uh+p40pmyPem8j2QOWnrun9&#10;xJkBTHTY8V0Zp5wXYcaxiThd35AaAdSWykCipQ1kFLqBMzAD9btIsVC5CMZXOZ9I8Iu8xabSeqT1&#10;IjTr2AKOM+FylelBa3Wib2K07fhqdnkWbly+laXRT27kWs3Vyatn3x+pwDGZez9/AXBi9KQ+c88g&#10;+RU1VzH+9BFy977cl1d/vuvmFwAAAP//AwBQSwMEFAAGAAgAAAAhAPMlENbeAAAACQEAAA8AAABk&#10;cnMvZG93bnJldi54bWxMj0tPwzAQhO9I/AdrkbhRp2mVhhCnQrwOvbU8zk5skqj2Ooq3aeDXs5zg&#10;tDva0cy35Xb2Tkx2jH1ABctFAsJiE0yPrYK31+ebHEQkjUa7gFbBl42wrS4vSl2YcMa9nQ7UCg7B&#10;WGgFHdFQSBmbznodF2GwyLfPMHpNLMdWmlGfOdw7mSZJJr3ukRs6PdiHzjbHw8kreLr9/njfoTm+&#10;YJs+rusd5ZMjpa6v5vs7EGRn+jPDLz6jQ8VMdTihicIpSDdLRicF2YonG1ZZzkutYLNOQFal/P9B&#10;9QMAAP//AwBQSwECLQAUAAYACAAAACEAtoM4kv4AAADhAQAAEwAAAAAAAAAAAAAAAAAAAAAAW0Nv&#10;bnRlbnRfVHlwZXNdLnhtbFBLAQItABQABgAIAAAAIQA4/SH/1gAAAJQBAAALAAAAAAAAAAAAAAAA&#10;AC8BAABfcmVscy8ucmVsc1BLAQItABQABgAIAAAAIQD4dxE6+wEAAPYDAAAOAAAAAAAAAAAAAAAA&#10;AC4CAABkcnMvZTJvRG9jLnhtbFBLAQItABQABgAIAAAAIQDzJRDW3gAAAAkBAAAPAAAAAAAAAAAA&#10;AAAAAFUEAABkcnMvZG93bnJldi54bWxQSwUGAAAAAAQABADzAAAAYAUAAAAA&#10;" adj="190" filled="t" fillcolor="window" strokecolor="windowText" strokeweight=".5pt">
                <v:stroke joinstyle="miter"/>
              </v:shape>
            </w:pict>
          </mc:Fallback>
        </mc:AlternateContent>
      </w:r>
      <w:r>
        <w:object w:dxaOrig="11199" w:dyaOrig="4243">
          <v:shape id="_x0000_i1048" type="#_x0000_t75" style="width:430.5pt;height:165.75pt" o:ole="">
            <v:imagedata r:id="rId127" o:title=""/>
          </v:shape>
          <o:OLEObject Type="Embed" ProgID="Prism7.Document" ShapeID="_x0000_i1048" DrawAspect="Content" ObjectID="_1583750218" r:id="rId128"/>
        </w:object>
      </w:r>
    </w:p>
    <w:p w:rsidR="00EF6BC4" w:rsidRDefault="00EF6BC4" w:rsidP="006B285C">
      <w:pPr>
        <w:pStyle w:val="LegText"/>
      </w:pPr>
    </w:p>
    <w:p w:rsidR="00EF6BC4" w:rsidRPr="00085329" w:rsidRDefault="00791BA4" w:rsidP="005F600D">
      <w:pPr>
        <w:pStyle w:val="LegText"/>
        <w:ind w:left="1440"/>
      </w:pPr>
      <w:bookmarkStart w:id="392" w:name="_Toc504640616"/>
      <w:r w:rsidRPr="00851FCE">
        <w:rPr>
          <w:rStyle w:val="SubtitleChar"/>
        </w:rPr>
        <w:t>Figure 5.5</w:t>
      </w:r>
      <w:r w:rsidR="00EF6BC4" w:rsidRPr="00851FCE">
        <w:rPr>
          <w:rStyle w:val="SubtitleChar"/>
        </w:rPr>
        <w:t xml:space="preserve"> Plasmin Activity in </w:t>
      </w:r>
      <w:r w:rsidR="004775DB" w:rsidRPr="00851FCE">
        <w:rPr>
          <w:rStyle w:val="SubtitleChar"/>
        </w:rPr>
        <w:t xml:space="preserve">cultured medium from </w:t>
      </w:r>
      <w:r w:rsidR="00EF6BC4" w:rsidRPr="00851FCE">
        <w:rPr>
          <w:rStyle w:val="SubtitleChar"/>
        </w:rPr>
        <w:t>cells cultured on fibrin in both high glucose and low glucose medium</w:t>
      </w:r>
      <w:r w:rsidR="00EF6BC4" w:rsidRPr="00085329">
        <w:rPr>
          <w:rStyle w:val="SubtitleChar"/>
          <w:sz w:val="22"/>
          <w:szCs w:val="22"/>
        </w:rPr>
        <w:t>.</w:t>
      </w:r>
      <w:bookmarkEnd w:id="392"/>
      <w:r w:rsidR="00EF6BC4" w:rsidRPr="00085329">
        <w:rPr>
          <w:rStyle w:val="SubtitleChar"/>
          <w:sz w:val="22"/>
          <w:szCs w:val="22"/>
        </w:rPr>
        <w:t xml:space="preserve"> </w:t>
      </w:r>
      <w:r w:rsidR="00EF6BC4" w:rsidRPr="00085329">
        <w:t xml:space="preserve"> </w:t>
      </w:r>
      <w:r w:rsidR="00A83A39" w:rsidRPr="00085329">
        <w:t xml:space="preserve">Plasmin activity in conditioned media from cells cultured in high glucose and low glucose. A one way ANOVA followed by Tukey’s multiple comparison test showed a significant difference of P&lt;0.001 in epithelial-like cell and P&lt;0.05 in mesangial cell, n=3.  </w:t>
      </w:r>
    </w:p>
    <w:p w:rsidR="005F600D" w:rsidRDefault="005F600D" w:rsidP="005F600D">
      <w:pPr>
        <w:pStyle w:val="LegText"/>
        <w:ind w:left="1440"/>
        <w:rPr>
          <w:rFonts w:eastAsia="Calibri"/>
          <w:sz w:val="24"/>
          <w:szCs w:val="24"/>
        </w:rPr>
      </w:pPr>
    </w:p>
    <w:p w:rsidR="005F600D" w:rsidRPr="00A83A39" w:rsidRDefault="005F600D" w:rsidP="005F600D">
      <w:pPr>
        <w:pStyle w:val="LegText"/>
        <w:ind w:left="1440"/>
        <w:rPr>
          <w:rFonts w:eastAsia="Calibri"/>
          <w:sz w:val="24"/>
          <w:szCs w:val="24"/>
        </w:rPr>
      </w:pPr>
    </w:p>
    <w:p w:rsidR="00EF6BC4" w:rsidRDefault="005F600D" w:rsidP="005F600D">
      <w:pPr>
        <w:pStyle w:val="LegText"/>
        <w:ind w:left="720" w:firstLine="720"/>
        <w:rPr>
          <w:rFonts w:asciiTheme="minorHAnsi" w:eastAsiaTheme="minorHAnsi" w:hAnsiTheme="minorHAnsi" w:cstheme="minorBidi"/>
        </w:rPr>
      </w:pPr>
      <w:r w:rsidRPr="00EF6BC4">
        <w:rPr>
          <w:rFonts w:asciiTheme="majorHAnsi" w:eastAsiaTheme="majorEastAsia" w:hAnsiTheme="majorHAnsi" w:cstheme="majorBidi"/>
          <w:noProof/>
          <w:color w:val="1F4D78" w:themeColor="accent1" w:themeShade="7F"/>
          <w:sz w:val="24"/>
          <w:szCs w:val="24"/>
        </w:rPr>
        <mc:AlternateContent>
          <mc:Choice Requires="wps">
            <w:drawing>
              <wp:anchor distT="0" distB="0" distL="114300" distR="114300" simplePos="0" relativeHeight="251905024" behindDoc="0" locked="0" layoutInCell="1" allowOverlap="1" wp14:anchorId="6ECB8522" wp14:editId="10BF4EF5">
                <wp:simplePos x="0" y="0"/>
                <wp:positionH relativeFrom="margin">
                  <wp:posOffset>1971675</wp:posOffset>
                </wp:positionH>
                <wp:positionV relativeFrom="paragraph">
                  <wp:posOffset>213994</wp:posOffset>
                </wp:positionV>
                <wp:extent cx="453970" cy="211015"/>
                <wp:effectExtent l="0" t="0" r="0" b="0"/>
                <wp:wrapNone/>
                <wp:docPr id="311"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EF6BC4">
                            <w:pPr>
                              <w:pStyle w:val="NormalWeb"/>
                            </w:pPr>
                            <w:r>
                              <w:rPr>
                                <w:rFonts w:asciiTheme="minorHAnsi" w:hAnsi="Calibri" w:cstheme="minorBidi"/>
                                <w:color w:val="000000" w:themeColor="text1"/>
                                <w:kern w:val="24"/>
                              </w:rPr>
                              <w:t>*</w:t>
                            </w:r>
                          </w:p>
                          <w:p w:rsidR="00AD6A02" w:rsidRPr="00902E9B" w:rsidRDefault="00AD6A02" w:rsidP="00EF6BC4">
                            <w:pPr>
                              <w:pStyle w:val="NormalWeb"/>
                            </w:pPr>
                          </w:p>
                        </w:txbxContent>
                      </wps:txbx>
                      <wps:bodyPr wrap="none">
                        <a:noAutofit/>
                      </wps:bodyPr>
                    </wps:wsp>
                  </a:graphicData>
                </a:graphic>
                <wp14:sizeRelV relativeFrom="margin">
                  <wp14:pctHeight>0</wp14:pctHeight>
                </wp14:sizeRelV>
              </wp:anchor>
            </w:drawing>
          </mc:Choice>
          <mc:Fallback>
            <w:pict>
              <v:rect w14:anchorId="6ECB8522" id="Rectangle 8" o:spid="_x0000_s1132" style="position:absolute;left:0;text-align:left;margin-left:155.25pt;margin-top:16.85pt;width:35.75pt;height:16.6pt;z-index:2519050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2ZDhQEAAPcCAAAOAAAAZHJzL2Uyb0RvYy54bWysUstOwzAQvCPxD5bvNElLS4maVkgVXBBU&#10;FD7AdezGUuy1bLdJ/561+wDBDXFZP3Y9OzPr2aLXLdkL5xWYihaDnBJhONTKbCv68f54M6XEB2Zq&#10;1oIRFT0ITxfz66tZZ0sxhAbaWjiCIMaXna1oE4Its8zzRmjmB2CFwaQEp1nAo9tmtWMdous2G+b5&#10;JOvA1dYBF97j7fKYpPOEL6Xg4VVKLwJpK4rcQoouxU2M2XzGyq1jtlH8RIP9gYVmymDTC9SSBUZ2&#10;Tv2C0oo78CDDgIPOQErFRdKAaor8h5p1w6xIWtAcby82+f+D5S/7lSOqruioKCgxTOOQ3tA2Zrat&#10;INNoUGd9iXVru3Knk8dtVNtLp+OKOkifTD1cTBV9IBwvb8ej+zu0nmNqWBR5MY6Y2ddj63x4EqBJ&#10;3FTUYfNkJds/+3AsPZfgu0jm2D7uQr/pE/sin5ypbqA+oKYOh1pRg78uoRl42AWQKiHGp8eyEyK6&#10;mzidfkIc3/dzqvr6r/NPAAAA//8DAFBLAwQUAAYACAAAACEADrY7YN4AAAAJAQAADwAAAGRycy9k&#10;b3ducmV2LnhtbEyPy07DMBBF90j8gzVI7KjdRg0lxKkACQmxQQ2v7TQ2SYRfsp02/XuGFexmNEd3&#10;zq23szXsoGMavZOwXAhg2nVeja6X8Pb6eLUBljI6hcY7LeGkE2yb87MaK+WPbqcPbe4ZhbhUoYQh&#10;51BxnrpBW0wLH7Sj25ePFjOtsecq4pHCreErIUpucXT0YcCgHwbdfbeTlTAVz7N5b+9VeBFPn9bG&#10;9ccJg5SXF/PdLbCs5/wHw68+qUNDTns/OZWYkVAsxZpQGoprYAQUmxWV20soyxvgTc3/N2h+AAAA&#10;//8DAFBLAQItABQABgAIAAAAIQC2gziS/gAAAOEBAAATAAAAAAAAAAAAAAAAAAAAAABbQ29udGVu&#10;dF9UeXBlc10ueG1sUEsBAi0AFAAGAAgAAAAhADj9If/WAAAAlAEAAAsAAAAAAAAAAAAAAAAALwEA&#10;AF9yZWxzLy5yZWxzUEsBAi0AFAAGAAgAAAAhAE3LZkOFAQAA9wIAAA4AAAAAAAAAAAAAAAAALgIA&#10;AGRycy9lMm9Eb2MueG1sUEsBAi0AFAAGAAgAAAAhAA62O2DeAAAACQEAAA8AAAAAAAAAAAAAAAAA&#10;3wMAAGRycy9kb3ducmV2LnhtbFBLBQYAAAAABAAEAPMAAADqBAAAAAA=&#10;" filled="f" stroked="f">
                <v:textbox>
                  <w:txbxContent>
                    <w:p w:rsidR="00AD6A02" w:rsidRPr="00902E9B" w:rsidRDefault="00AD6A02" w:rsidP="00EF6BC4">
                      <w:pPr>
                        <w:pStyle w:val="NormalWeb"/>
                      </w:pPr>
                      <w:r>
                        <w:rPr>
                          <w:rFonts w:asciiTheme="minorHAnsi" w:hAnsi="Calibri" w:cstheme="minorBidi"/>
                          <w:color w:val="000000" w:themeColor="text1"/>
                          <w:kern w:val="24"/>
                        </w:rPr>
                        <w:t>*</w:t>
                      </w:r>
                    </w:p>
                    <w:p w:rsidR="00AD6A02" w:rsidRPr="00902E9B" w:rsidRDefault="00AD6A02" w:rsidP="00EF6BC4">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02976" behindDoc="0" locked="0" layoutInCell="1" allowOverlap="1" wp14:anchorId="523245AF" wp14:editId="6DA838CB">
                <wp:simplePos x="0" y="0"/>
                <wp:positionH relativeFrom="column">
                  <wp:posOffset>2066290</wp:posOffset>
                </wp:positionH>
                <wp:positionV relativeFrom="paragraph">
                  <wp:posOffset>167004</wp:posOffset>
                </wp:positionV>
                <wp:extent cx="54610" cy="576849"/>
                <wp:effectExtent l="5715" t="70485" r="27305" b="27305"/>
                <wp:wrapNone/>
                <wp:docPr id="307" name="Right Brace 1"/>
                <wp:cNvGraphicFramePr/>
                <a:graphic xmlns:a="http://schemas.openxmlformats.org/drawingml/2006/main">
                  <a:graphicData uri="http://schemas.microsoft.com/office/word/2010/wordprocessingShape">
                    <wps:wsp>
                      <wps:cNvSpPr/>
                      <wps:spPr>
                        <a:xfrm rot="16200000" flipV="1">
                          <a:off x="0" y="0"/>
                          <a:ext cx="54610" cy="576849"/>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616D324" id="Right Brace 1" o:spid="_x0000_s1026" type="#_x0000_t88" style="position:absolute;margin-left:162.7pt;margin-top:13.15pt;width:4.3pt;height:45.4pt;rotation:90;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FU/AEAAPYDAAAOAAAAZHJzL2Uyb0RvYy54bWysU01v2zAMvQ/YfxB0Xxy3TZoZcQqsQXYZ&#10;tmLtdmdlyRagL4hanPz7UXKaNettmA6CJJKPfI/U+u5gDdvLiNq7ltezOWfSCd9p17f8x9Puw4oz&#10;TOA6MN7Jlh8l8rvN+3frMTTyyg/edDIyAnHYjKHlQ0qhqSoUg7SAMx+kI6Py0UKia+yrLsJI6NZU&#10;V/P5shp97EL0QiLS63Yy8k3BV0qK9E0plImZllNtqeyx7M95rzZraPoIYdDiVAb8QxUWtKOkZ6gt&#10;JGC/on4DZbWIHr1KM+Ft5ZXSQhYOxKae/8XmcYAgCxcSB8NZJvx/sOLr/iEy3bX8en7LmQNLTfqu&#10;+yGxTxGEZHWWaAzYkOdjeIinG9Ix8z2oaFn0pGu9pH7Q4kwZHX7SQxGEKLJD0ft41lseEhP0uLhZ&#10;1uQvyLK4Xa5uPuZc1QSawUPE9Fl6y/Kh5TGXVaoqyLD/gmkKeHHMQeiN7nbamHI54r2JbA/Ufpqa&#10;zo+cGcBEjy3flXXKeRFmHBtbvrxe5OqAxlIZSHS0gYRC13MGpqd5FymWUi6C8U3OJyL8Km+RqYwe&#10;cb0IzTy2gMNUcDHl8qCxOtE3Mdq2fDWpPBE3LltlGfSTGrlXU3fy6dl3R2pwTObeT18AnBg8sc+1&#10;Z5DsRcNVhD99hDy9r+/F68933fwGAAD//wMAUEsDBBQABgAIAAAAIQDZ3ZO24gAAAAkBAAAPAAAA&#10;ZHJzL2Rvd25yZXYueG1sTI9RS8MwFIXfBf9DuIIv4tJ2sx216RgF2YM4cIr4mDXXpKy5KU261X9v&#10;fNLHy/k457vVZrY9O+PoO0cC0kUCDKl1qiMt4P3t6X4NzAdJSvaOUMA3etjU11eVLJW70CueD0Gz&#10;WEK+lAJMCEPJuW8NWukXbkCK2ZcbrQzxHDVXo7zEctvzLElybmVHccHIARuD7ekwWQEfJt012e7l&#10;lDV7vf3Ud/v0eZqEuL2Zt4/AAs7hD4Zf/agOdXQ6uomUZ72AbL1aRlRAXqyARWBZPKTAjgKKPAFe&#10;V/z/B/UPAAAA//8DAFBLAQItABQABgAIAAAAIQC2gziS/gAAAOEBAAATAAAAAAAAAAAAAAAAAAAA&#10;AABbQ29udGVudF9UeXBlc10ueG1sUEsBAi0AFAAGAAgAAAAhADj9If/WAAAAlAEAAAsAAAAAAAAA&#10;AAAAAAAALwEAAF9yZWxzLy5yZWxzUEsBAi0AFAAGAAgAAAAhAI6q4VT8AQAA9gMAAA4AAAAAAAAA&#10;AAAAAAAALgIAAGRycy9lMm9Eb2MueG1sUEsBAi0AFAAGAAgAAAAhANndk7biAAAACQEAAA8AAAAA&#10;AAAAAAAAAAAAVgQAAGRycy9kb3ducmV2LnhtbFBLBQYAAAAABAAEAPMAAABlBQAAAAA=&#10;" adj="170" filled="t" fillcolor="window" strokecolor="windowText" strokeweight=".5pt">
                <v:stroke joinstyle="miter"/>
              </v:shape>
            </w:pict>
          </mc:Fallback>
        </mc:AlternateContent>
      </w:r>
      <w:r w:rsidRPr="00A93588">
        <w:rPr>
          <w:rFonts w:asciiTheme="minorHAnsi" w:eastAsiaTheme="minorHAnsi" w:hAnsiTheme="minorHAnsi" w:cstheme="minorBidi"/>
        </w:rPr>
        <w:object w:dxaOrig="11299" w:dyaOrig="4243">
          <v:shape id="_x0000_i1049" type="#_x0000_t75" style="width:428.25pt;height:156.75pt" o:ole="">
            <v:imagedata r:id="rId129" o:title=""/>
          </v:shape>
          <o:OLEObject Type="Embed" ProgID="Prism6.Document" ShapeID="_x0000_i1049" DrawAspect="Content" ObjectID="_1583750219" r:id="rId130"/>
        </w:object>
      </w:r>
    </w:p>
    <w:p w:rsidR="00A549F8" w:rsidRDefault="00A549F8" w:rsidP="00A549F8">
      <w:pPr>
        <w:pStyle w:val="LegText"/>
        <w:ind w:left="720"/>
        <w:rPr>
          <w:rStyle w:val="SubtitleChar"/>
        </w:rPr>
      </w:pPr>
    </w:p>
    <w:p w:rsidR="00A549F8" w:rsidRPr="00851FCE" w:rsidRDefault="00791BA4" w:rsidP="005F600D">
      <w:pPr>
        <w:pStyle w:val="LegText"/>
        <w:ind w:left="1440"/>
      </w:pPr>
      <w:bookmarkStart w:id="393" w:name="_Toc504640617"/>
      <w:r w:rsidRPr="00851FCE">
        <w:rPr>
          <w:rStyle w:val="SubtitleChar"/>
        </w:rPr>
        <w:t>Figure 5.6</w:t>
      </w:r>
      <w:r w:rsidR="00EF6BC4" w:rsidRPr="00851FCE">
        <w:rPr>
          <w:rStyle w:val="SubtitleChar"/>
        </w:rPr>
        <w:t xml:space="preserve"> </w:t>
      </w:r>
      <w:r w:rsidR="00A549F8" w:rsidRPr="00851FCE">
        <w:rPr>
          <w:rStyle w:val="SubtitleChar"/>
        </w:rPr>
        <w:t xml:space="preserve">tPA activity in </w:t>
      </w:r>
      <w:r w:rsidR="00851FCE" w:rsidRPr="00851FCE">
        <w:rPr>
          <w:rStyle w:val="SubtitleChar"/>
        </w:rPr>
        <w:t xml:space="preserve">cultured medium from </w:t>
      </w:r>
      <w:r w:rsidR="00A549F8" w:rsidRPr="00851FCE">
        <w:rPr>
          <w:rStyle w:val="SubtitleChar"/>
        </w:rPr>
        <w:t>cells cultured on fibrin in both high glucose and low glucose medium</w:t>
      </w:r>
      <w:r w:rsidR="00A549F8" w:rsidRPr="00851FCE">
        <w:rPr>
          <w:rStyle w:val="SubtitleChar"/>
          <w:sz w:val="22"/>
          <w:szCs w:val="22"/>
        </w:rPr>
        <w:t>.</w:t>
      </w:r>
      <w:bookmarkEnd w:id="393"/>
      <w:r w:rsidR="00A549F8" w:rsidRPr="00851FCE">
        <w:t xml:space="preserve"> </w:t>
      </w:r>
      <w:r w:rsidR="00A549F8" w:rsidRPr="00851FCE">
        <w:rPr>
          <w:rFonts w:eastAsiaTheme="minorHAnsi"/>
        </w:rPr>
        <w:t>Compares tPA activity in conditioned media from cells cultured on fibrin in both high glucose and low glucose. Assay</w:t>
      </w:r>
      <w:r w:rsidR="001364A6" w:rsidRPr="00851FCE">
        <w:rPr>
          <w:rFonts w:eastAsiaTheme="minorHAnsi"/>
        </w:rPr>
        <w:t>s were</w:t>
      </w:r>
      <w:r w:rsidR="00A549F8" w:rsidRPr="00851FCE">
        <w:rPr>
          <w:rFonts w:eastAsiaTheme="minorHAnsi"/>
        </w:rPr>
        <w:t xml:space="preserve"> done at ambient temperature, </w:t>
      </w:r>
      <w:r w:rsidR="001364A6" w:rsidRPr="00851FCE">
        <w:rPr>
          <w:rFonts w:eastAsiaTheme="minorHAnsi"/>
        </w:rPr>
        <w:t>with n=3</w:t>
      </w:r>
      <w:r w:rsidR="00A549F8" w:rsidRPr="00851FCE">
        <w:rPr>
          <w:rFonts w:eastAsiaTheme="minorHAnsi"/>
        </w:rPr>
        <w:t xml:space="preserve">. </w:t>
      </w:r>
      <w:r w:rsidR="00A549F8" w:rsidRPr="00851FCE">
        <w:t>A on</w:t>
      </w:r>
      <w:r w:rsidR="00A83A39" w:rsidRPr="00851FCE">
        <w:t>e way ANOVA test followed by Tu</w:t>
      </w:r>
      <w:r w:rsidR="00A549F8" w:rsidRPr="00851FCE">
        <w:t>key’</w:t>
      </w:r>
      <w:r w:rsidR="003A3366" w:rsidRPr="00851FCE">
        <w:t>s multiple comparison</w:t>
      </w:r>
      <w:r w:rsidR="00A549F8" w:rsidRPr="00851FCE">
        <w:t xml:space="preserve"> test showed a statistically significant differences </w:t>
      </w:r>
      <w:r w:rsidR="001364A6" w:rsidRPr="00851FCE">
        <w:t>of P&lt;0.0</w:t>
      </w:r>
      <w:r w:rsidR="00A549F8" w:rsidRPr="00851FCE">
        <w:t xml:space="preserve">5 in tPA activity in </w:t>
      </w:r>
      <w:r w:rsidR="001364A6" w:rsidRPr="00851FCE">
        <w:t xml:space="preserve">NRK52E medium from </w:t>
      </w:r>
      <w:r w:rsidR="00A549F8" w:rsidRPr="00851FCE">
        <w:t>low glucose and high glucose</w:t>
      </w:r>
      <w:r w:rsidR="001364A6" w:rsidRPr="00851FCE">
        <w:t>.</w:t>
      </w:r>
    </w:p>
    <w:p w:rsidR="00A83A39" w:rsidRDefault="00A83A39" w:rsidP="00A549F8">
      <w:pPr>
        <w:pStyle w:val="LegText"/>
        <w:ind w:left="720"/>
      </w:pPr>
    </w:p>
    <w:p w:rsidR="00A83A39" w:rsidRDefault="00A83A39" w:rsidP="00A549F8">
      <w:pPr>
        <w:pStyle w:val="LegText"/>
        <w:ind w:left="720"/>
      </w:pPr>
    </w:p>
    <w:p w:rsidR="001364A6" w:rsidRDefault="001364A6" w:rsidP="00A549F8">
      <w:pPr>
        <w:pStyle w:val="LegText"/>
        <w:ind w:left="720"/>
      </w:pPr>
    </w:p>
    <w:p w:rsidR="00A549F8" w:rsidRDefault="00A549F8" w:rsidP="00A549F8">
      <w:pPr>
        <w:pStyle w:val="LegText"/>
        <w:ind w:left="720"/>
      </w:pPr>
    </w:p>
    <w:p w:rsidR="00A549F8" w:rsidRDefault="005F600D" w:rsidP="005F600D">
      <w:pPr>
        <w:pStyle w:val="LegText"/>
        <w:ind w:left="720" w:firstLine="720"/>
      </w:pPr>
      <w:r w:rsidRPr="006D5A89">
        <w:rPr>
          <w:rFonts w:asciiTheme="majorHAnsi" w:eastAsiaTheme="minorHAnsi" w:hAnsiTheme="majorHAnsi" w:cstheme="majorBidi"/>
          <w:noProof/>
          <w:color w:val="1F4D78" w:themeColor="accent1" w:themeShade="7F"/>
          <w:sz w:val="24"/>
          <w:szCs w:val="24"/>
        </w:rPr>
        <w:lastRenderedPageBreak/>
        <mc:AlternateContent>
          <mc:Choice Requires="wps">
            <w:drawing>
              <wp:anchor distT="0" distB="0" distL="114300" distR="114300" simplePos="0" relativeHeight="251909120" behindDoc="0" locked="0" layoutInCell="1" allowOverlap="1" wp14:anchorId="6EB55D71" wp14:editId="3ECEBB8D">
                <wp:simplePos x="0" y="0"/>
                <wp:positionH relativeFrom="margin">
                  <wp:posOffset>1971675</wp:posOffset>
                </wp:positionH>
                <wp:positionV relativeFrom="paragraph">
                  <wp:posOffset>9525</wp:posOffset>
                </wp:positionV>
                <wp:extent cx="453970" cy="211015"/>
                <wp:effectExtent l="0" t="0" r="0" b="0"/>
                <wp:wrapNone/>
                <wp:docPr id="91"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6D5A89">
                            <w:pPr>
                              <w:pStyle w:val="NormalWeb"/>
                            </w:pPr>
                            <w:r>
                              <w:rPr>
                                <w:rFonts w:asciiTheme="minorHAnsi" w:hAnsi="Calibri" w:cstheme="minorBidi"/>
                                <w:color w:val="000000" w:themeColor="text1"/>
                                <w:kern w:val="24"/>
                              </w:rPr>
                              <w:t>*</w:t>
                            </w:r>
                          </w:p>
                          <w:p w:rsidR="00AD6A02" w:rsidRPr="00902E9B" w:rsidRDefault="00AD6A02" w:rsidP="006D5A89">
                            <w:pPr>
                              <w:pStyle w:val="NormalWeb"/>
                            </w:pPr>
                          </w:p>
                        </w:txbxContent>
                      </wps:txbx>
                      <wps:bodyPr wrap="none">
                        <a:noAutofit/>
                      </wps:bodyPr>
                    </wps:wsp>
                  </a:graphicData>
                </a:graphic>
                <wp14:sizeRelV relativeFrom="margin">
                  <wp14:pctHeight>0</wp14:pctHeight>
                </wp14:sizeRelV>
              </wp:anchor>
            </w:drawing>
          </mc:Choice>
          <mc:Fallback>
            <w:pict>
              <v:rect w14:anchorId="6EB55D71" id="_x0000_s1133" style="position:absolute;left:0;text-align:left;margin-left:155.25pt;margin-top:.75pt;width:35.75pt;height:16.6pt;z-index:2519091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bThAEAAPYCAAAOAAAAZHJzL2Uyb0RvYy54bWysUstOwzAQvCPxD5bvNEmh0EZNK6QKLggq&#10;Ch/gOnZjKfZattukf8/afSG4IS7rx65nZ2Y9nfe6JTvhvAJT0WKQUyIMh1qZTUU/P55uxpT4wEzN&#10;WjCionvh6Xx2fTXtbCmG0EBbC0cQxPiysxVtQrBllnneCM38AKwwmJTgNAt4dJusdqxDdN1mwzy/&#10;zzpwtXXAhfd4uzgk6SzhSyl4eJPSi0DaiiK3kKJLcR1jNpuycuOYbRQ/0mB/YKGZMtj0DLVggZGt&#10;U7+gtOIOPMgw4KAzkFJxkTSgmiL/oWbVMCuSFjTH27NN/v9g+etu6YiqKzopKDFM44ze0TVmNq0g&#10;4+hPZ32JZSu7dMeTx20U20un44oySJ883Z89FX0gHC/vRreTB3SeY2pYFHkxipjZ5bF1PjwL0CRu&#10;KuqweXKS7V58OJSeSvBdJHNoH3ehX/eJfJE/nKiuod6jpA5nWlGDny6hGXjcBpAqIcanh7IjIpqb&#10;OB0/Qpze93OqunzX2RcAAAD//wMAUEsDBBQABgAIAAAAIQCIgw253QAAAAgBAAAPAAAAZHJzL2Rv&#10;d25yZXYueG1sTI/NTsMwEITvSLyDtUjcqNOGQhXiVICEhLggwt91G5skwl5bttOmb89ygtPu6hvN&#10;ztTb2VmxNzGNnhQsFwUIQ53XI/UK3l4fLjYgUkbSaD0ZBUeTYNucntRYaX+gF7Nvcy/YhFKFCoac&#10;QyVl6gbjMC18MMTsy0eHmc/YSx3xwObOylVRXEmHI/GHAYO5H0z33U5OwVQ+zfa9vdPhuXj8dC6u&#10;P44YlDo/m29vQGQz5z8x/Mbn6NBwpp2fSCdhFZTLYs1SBjyYl5sVd9vxcnkNsqnl/wLNDwAAAP//&#10;AwBQSwECLQAUAAYACAAAACEAtoM4kv4AAADhAQAAEwAAAAAAAAAAAAAAAAAAAAAAW0NvbnRlbnRf&#10;VHlwZXNdLnhtbFBLAQItABQABgAIAAAAIQA4/SH/1gAAAJQBAAALAAAAAAAAAAAAAAAAAC8BAABf&#10;cmVscy8ucmVsc1BLAQItABQABgAIAAAAIQDmvRbThAEAAPYCAAAOAAAAAAAAAAAAAAAAAC4CAABk&#10;cnMvZTJvRG9jLnhtbFBLAQItABQABgAIAAAAIQCIgw253QAAAAgBAAAPAAAAAAAAAAAAAAAAAN4D&#10;AABkcnMvZG93bnJldi54bWxQSwUGAAAAAAQABADzAAAA6AQAAAAA&#10;" filled="f" stroked="f">
                <v:textbox>
                  <w:txbxContent>
                    <w:p w:rsidR="00AD6A02" w:rsidRPr="00902E9B" w:rsidRDefault="00AD6A02" w:rsidP="006D5A89">
                      <w:pPr>
                        <w:pStyle w:val="NormalWeb"/>
                      </w:pPr>
                      <w:r>
                        <w:rPr>
                          <w:rFonts w:asciiTheme="minorHAnsi" w:hAnsi="Calibri" w:cstheme="minorBidi"/>
                          <w:color w:val="000000" w:themeColor="text1"/>
                          <w:kern w:val="24"/>
                        </w:rPr>
                        <w:t>*</w:t>
                      </w:r>
                    </w:p>
                    <w:p w:rsidR="00AD6A02" w:rsidRPr="00902E9B" w:rsidRDefault="00AD6A02" w:rsidP="006D5A89">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07072" behindDoc="0" locked="0" layoutInCell="1" allowOverlap="1" wp14:anchorId="1E1A92F0" wp14:editId="7C83C020">
                <wp:simplePos x="0" y="0"/>
                <wp:positionH relativeFrom="column">
                  <wp:posOffset>2074545</wp:posOffset>
                </wp:positionH>
                <wp:positionV relativeFrom="paragraph">
                  <wp:posOffset>-19685</wp:posOffset>
                </wp:positionV>
                <wp:extent cx="54610" cy="576849"/>
                <wp:effectExtent l="5715" t="70485" r="27305" b="27305"/>
                <wp:wrapNone/>
                <wp:docPr id="308" name="Right Brace 1"/>
                <wp:cNvGraphicFramePr/>
                <a:graphic xmlns:a="http://schemas.openxmlformats.org/drawingml/2006/main">
                  <a:graphicData uri="http://schemas.microsoft.com/office/word/2010/wordprocessingShape">
                    <wps:wsp>
                      <wps:cNvSpPr/>
                      <wps:spPr>
                        <a:xfrm rot="16200000" flipV="1">
                          <a:off x="0" y="0"/>
                          <a:ext cx="54610" cy="576849"/>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231CAB5" id="Right Brace 1" o:spid="_x0000_s1026" type="#_x0000_t88" style="position:absolute;margin-left:163.35pt;margin-top:-1.55pt;width:4.3pt;height:45.4pt;rotation:90;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1n/AEAAPYDAAAOAAAAZHJzL2Uyb0RvYy54bWysU01v2zAMvQ/YfxB0Xxy3TZYZcQqsQXYZ&#10;tmLtdmdlyRagL4hanPz7UXKWNeutqA6CJJKPfI/U+vZgDdvLiNq7ltezOWfSCd9p17f85+Puw4oz&#10;TOA6MN7Jlh8l8tvN+3frMTTyyg/edDIyAnHYjKHlQ0qhqSoUg7SAMx+kI6Py0UKia+yrLsJI6NZU&#10;V/P5shp97EL0QiLS63Yy8k3BV0qK9F0plImZllNtqeyx7E95rzZraPoIYdDiVAa8ogoL2lHSM9QW&#10;ErDfUb+AslpEj16lmfC28kppIQsHYlPP/2PzMECQhQuJg+EsE74drPi2v49Mdy2/nlOrHFhq0g/d&#10;D4l9jiAkq7NEY8CGPB/CfTzdkI6Z70FFy6InXesl9YMWZ8ro8IseiiBEkR2K3sez3vKQmKDHxc2y&#10;Jn9BlsXH5ermU85VTaAZPERMX6S3LB9aHnNZpaqCDPuvmKaAv445CL3R3U4bUy5HvDOR7YHaT1PT&#10;+ZEzA5joseW7sk45L8KMY2PLl9eLXB3QWCoDiY42kFDoes7A9DTvIsVSykUwvsj5SISf5S0yldEj&#10;rhehmccWcJgKLqZcHjRWJ/omRtuWryaVJ+LGZassg35SI/dq6k4+PfnuSA2Oydz56QuAE4Mn9rn2&#10;DJK9aLiK8KePkKf3+b14/fuumz8AAAD//wMAUEsDBBQABgAIAAAAIQAzTqB64QAAAAkBAAAPAAAA&#10;ZHJzL2Rvd25yZXYueG1sTI9RS8MwFIXfBf9DuIIv4tJ2M5ba2zEKsgdx4BTxMWuvSVmTlCbd6r83&#10;Ps3Hy/045zvlejY9O9HoO2cR0kUCjGzj2s4qhI/35/scmA/StrJ3lhB+yMO6ur4qZdG6s32j0z4o&#10;FkOsLySCDmEoOPeNJiP9wg1k4+/bjUaGeI6Kt6M8x3DT8yxJBDeys7FBy4FqTc1xPxmET51u62z7&#10;eszqndp8qbtd+jJNiLc38+YJWKA5XGD404/qUEWng5ts61mPkOUPIqIIyzxuisDyUayAHRBWQgCv&#10;Sv5/QfULAAD//wMAUEsBAi0AFAAGAAgAAAAhALaDOJL+AAAA4QEAABMAAAAAAAAAAAAAAAAAAAAA&#10;AFtDb250ZW50X1R5cGVzXS54bWxQSwECLQAUAAYACAAAACEAOP0h/9YAAACUAQAACwAAAAAAAAAA&#10;AAAAAAAvAQAAX3JlbHMvLnJlbHNQSwECLQAUAAYACAAAACEAzWDtZ/wBAAD2AwAADgAAAAAAAAAA&#10;AAAAAAAuAgAAZHJzL2Uyb0RvYy54bWxQSwECLQAUAAYACAAAACEAM06geuEAAAAJAQAADwAAAAAA&#10;AAAAAAAAAABWBAAAZHJzL2Rvd25yZXYueG1sUEsFBgAAAAAEAAQA8wAAAGQFAAAAAA==&#10;" adj="170" filled="t" fillcolor="window" strokecolor="windowText" strokeweight=".5pt">
                <v:stroke joinstyle="miter"/>
              </v:shape>
            </w:pict>
          </mc:Fallback>
        </mc:AlternateContent>
      </w:r>
      <w:r w:rsidR="00A549F8" w:rsidRPr="00A93588">
        <w:rPr>
          <w:rFonts w:asciiTheme="minorHAnsi" w:eastAsiaTheme="minorHAnsi" w:hAnsiTheme="minorHAnsi" w:cstheme="minorBidi"/>
        </w:rPr>
        <w:object w:dxaOrig="11246" w:dyaOrig="4215">
          <v:shape id="_x0000_i1050" type="#_x0000_t75" style="width:6in;height:158.25pt" o:ole="">
            <v:imagedata r:id="rId131" o:title=""/>
          </v:shape>
          <o:OLEObject Type="Embed" ProgID="Prism6.Document" ShapeID="_x0000_i1050" DrawAspect="Content" ObjectID="_1583750220" r:id="rId132"/>
        </w:object>
      </w:r>
      <w:r w:rsidR="00A549F8" w:rsidRPr="00A549F8">
        <w:t xml:space="preserve"> </w:t>
      </w:r>
    </w:p>
    <w:p w:rsidR="00A549F8" w:rsidRDefault="00A549F8" w:rsidP="00A549F8">
      <w:pPr>
        <w:pStyle w:val="LegText"/>
        <w:ind w:left="720"/>
        <w:rPr>
          <w:rStyle w:val="SubtitleChar"/>
        </w:rPr>
      </w:pPr>
    </w:p>
    <w:p w:rsidR="00A549F8" w:rsidRPr="00851FCE" w:rsidRDefault="00791BA4" w:rsidP="005F600D">
      <w:pPr>
        <w:pStyle w:val="LegText"/>
        <w:ind w:left="1440"/>
      </w:pPr>
      <w:bookmarkStart w:id="394" w:name="_Toc504640618"/>
      <w:r w:rsidRPr="00851FCE">
        <w:rPr>
          <w:rStyle w:val="SubtitleChar"/>
        </w:rPr>
        <w:t>Figure 5.7</w:t>
      </w:r>
      <w:r w:rsidR="00A549F8" w:rsidRPr="00851FCE">
        <w:rPr>
          <w:rStyle w:val="SubtitleChar"/>
        </w:rPr>
        <w:t xml:space="preserve"> uPA activity in </w:t>
      </w:r>
      <w:r w:rsidR="00851FCE" w:rsidRPr="00851FCE">
        <w:rPr>
          <w:rStyle w:val="SubtitleChar"/>
        </w:rPr>
        <w:t xml:space="preserve">cultured medium from </w:t>
      </w:r>
      <w:r w:rsidR="00A549F8" w:rsidRPr="00851FCE">
        <w:rPr>
          <w:rStyle w:val="SubtitleChar"/>
        </w:rPr>
        <w:t>cells cultured on fibrin in both high glucose and low glucose medium.</w:t>
      </w:r>
      <w:bookmarkEnd w:id="394"/>
      <w:r w:rsidR="00A549F8" w:rsidRPr="00851FCE">
        <w:rPr>
          <w:rFonts w:eastAsiaTheme="minorHAnsi"/>
        </w:rPr>
        <w:t xml:space="preserve"> uPA activity in conditioned media from cells cultured on fibrin in both high glucose and low glucose. Assays were done at ambient temperature</w:t>
      </w:r>
      <w:r w:rsidR="001364A6" w:rsidRPr="00851FCE">
        <w:rPr>
          <w:rFonts w:eastAsiaTheme="minorHAnsi"/>
        </w:rPr>
        <w:t xml:space="preserve"> with n=3</w:t>
      </w:r>
      <w:r w:rsidR="00A549F8" w:rsidRPr="00851FCE">
        <w:rPr>
          <w:rFonts w:eastAsiaTheme="minorHAnsi"/>
        </w:rPr>
        <w:t>.</w:t>
      </w:r>
      <w:r w:rsidR="00A549F8" w:rsidRPr="00851FCE">
        <w:t xml:space="preserve"> </w:t>
      </w:r>
      <w:r w:rsidR="001364A6" w:rsidRPr="00851FCE">
        <w:t>A on</w:t>
      </w:r>
      <w:r w:rsidR="00A83A39" w:rsidRPr="00851FCE">
        <w:t>e way ANOVA test followed by Tu</w:t>
      </w:r>
      <w:r w:rsidR="001364A6" w:rsidRPr="00851FCE">
        <w:t>key’s multiple comparis</w:t>
      </w:r>
      <w:r w:rsidR="003A3366" w:rsidRPr="00851FCE">
        <w:t>on</w:t>
      </w:r>
      <w:r w:rsidR="001364A6" w:rsidRPr="00851FCE">
        <w:t xml:space="preserve"> test showed a statistically significant </w:t>
      </w:r>
      <w:r w:rsidR="00A549F8" w:rsidRPr="00851FCE">
        <w:t xml:space="preserve">differences </w:t>
      </w:r>
      <w:r w:rsidR="001364A6" w:rsidRPr="00851FCE">
        <w:t xml:space="preserve">of P&lt;0.05 in </w:t>
      </w:r>
      <w:r w:rsidR="00A549F8" w:rsidRPr="00851FCE">
        <w:t xml:space="preserve">uPA activity </w:t>
      </w:r>
      <w:r w:rsidR="001364A6" w:rsidRPr="00851FCE">
        <w:t xml:space="preserve">in NRK52E medium containing </w:t>
      </w:r>
      <w:r w:rsidR="00A549F8" w:rsidRPr="00851FCE">
        <w:t>low glucose and high glucose</w:t>
      </w:r>
      <w:r w:rsidR="001364A6" w:rsidRPr="00851FCE">
        <w:t>.</w:t>
      </w:r>
      <w:r w:rsidR="00A549F8" w:rsidRPr="00851FCE">
        <w:t xml:space="preserve"> </w:t>
      </w:r>
    </w:p>
    <w:p w:rsidR="00C225BE" w:rsidRDefault="00C225BE" w:rsidP="00A549F8">
      <w:pPr>
        <w:pStyle w:val="LegText"/>
        <w:ind w:left="720"/>
      </w:pPr>
    </w:p>
    <w:p w:rsidR="00C225BE" w:rsidRDefault="00C225BE" w:rsidP="00A549F8">
      <w:pPr>
        <w:pStyle w:val="LegText"/>
        <w:ind w:left="720"/>
      </w:pPr>
    </w:p>
    <w:p w:rsidR="00C225BE" w:rsidRDefault="00C225BE" w:rsidP="005F600D">
      <w:pPr>
        <w:pStyle w:val="LegText"/>
      </w:pPr>
    </w:p>
    <w:p w:rsidR="00C225BE" w:rsidRDefault="005F600D" w:rsidP="005F600D">
      <w:pPr>
        <w:pStyle w:val="LegText"/>
        <w:ind w:left="720" w:firstLine="720"/>
        <w:rPr>
          <w:rFonts w:asciiTheme="minorHAnsi" w:eastAsiaTheme="minorHAnsi" w:hAnsiTheme="minorHAnsi" w:cstheme="minorBidi"/>
        </w:rPr>
      </w:pPr>
      <w:r w:rsidRPr="000B276C">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15264" behindDoc="0" locked="0" layoutInCell="1" allowOverlap="1" wp14:anchorId="32712458" wp14:editId="398C0EE6">
                <wp:simplePos x="0" y="0"/>
                <wp:positionH relativeFrom="margin">
                  <wp:posOffset>3180715</wp:posOffset>
                </wp:positionH>
                <wp:positionV relativeFrom="paragraph">
                  <wp:posOffset>518159</wp:posOffset>
                </wp:positionV>
                <wp:extent cx="453970" cy="211015"/>
                <wp:effectExtent l="0" t="0" r="0" b="0"/>
                <wp:wrapNone/>
                <wp:docPr id="288"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0B276C">
                            <w:pPr>
                              <w:pStyle w:val="NormalWeb"/>
                            </w:pPr>
                            <w:r>
                              <w:rPr>
                                <w:rFonts w:asciiTheme="minorHAnsi" w:hAnsi="Calibri" w:cstheme="minorBidi"/>
                                <w:color w:val="000000" w:themeColor="text1"/>
                                <w:kern w:val="24"/>
                              </w:rPr>
                              <w:t>*</w:t>
                            </w:r>
                          </w:p>
                          <w:p w:rsidR="00AD6A02" w:rsidRPr="00902E9B" w:rsidRDefault="00AD6A02" w:rsidP="000B276C">
                            <w:pPr>
                              <w:pStyle w:val="NormalWeb"/>
                            </w:pPr>
                          </w:p>
                        </w:txbxContent>
                      </wps:txbx>
                      <wps:bodyPr wrap="none">
                        <a:noAutofit/>
                      </wps:bodyPr>
                    </wps:wsp>
                  </a:graphicData>
                </a:graphic>
                <wp14:sizeRelV relativeFrom="margin">
                  <wp14:pctHeight>0</wp14:pctHeight>
                </wp14:sizeRelV>
              </wp:anchor>
            </w:drawing>
          </mc:Choice>
          <mc:Fallback>
            <w:pict>
              <v:rect w14:anchorId="32712458" id="_x0000_s1134" style="position:absolute;left:0;text-align:left;margin-left:250.45pt;margin-top:40.8pt;width:35.75pt;height:16.6pt;z-index:2519152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ZpgwEAAPcCAAAOAAAAZHJzL2Uyb0RvYy54bWysUstOwzAQvCPxD5bvNEmhUKKmFVIFFwQV&#10;hQ9wHTuxFHst223Sv2ftlhbBDXFZP3Z3PDPr2WLQHdkJ5xWYihajnBJhONTKNBX9eH+8mlLiAzM1&#10;68CIiu6Fp4v55cWst6UYQwtdLRxBEOPL3la0DcGWWeZ5KzTzI7DCYFKC0yzg0TVZ7ViP6LrLxnl+&#10;m/XgauuAC+/xdnlI0nnCl1Lw8CqlF4F0FUVuIUWX4ibGbD5jZeOYbRU/0mB/YKGZMvjoCWrJAiNb&#10;p35BacUdeJBhxEFnIKXiImlANUX+Q826ZVYkLWiOtyeb/P/B8pfdyhFVV3Q8xVEZpnFIb2gbM00n&#10;yDQa1FtfYt3artzx5HEb1Q7S6biiDjIkU/cnU8UQCMfLm8n1/R1azzE1Loq8mETM7NxsnQ9PAjSJ&#10;m4o6fDxZyXbPPhxKv0qwL5I5PB93YdgMiX2Rn6huoN6jph6HWlGDvy6hGXjYBpAqIcbWQ9kREd1N&#10;nI4/IY7v+zlVnf/r/BMAAP//AwBQSwMEFAAGAAgAAAAhALtMunDfAAAACgEAAA8AAABkcnMvZG93&#10;bnJldi54bWxMj8FOwzAQRO9I/IO1SNyondKUEOJUgISEuCACLddtbJIIex3ZTpv+PeYEx9U8zbyt&#10;NrM17KB9GBxJyBYCmKbWqYE6CR/vT1cFsBCRFBpHWsJJB9jU52cVlsod6U0fmtixVEKhRAl9jGPJ&#10;eWh7bTEs3KgpZV/OW4zp9B1XHo+p3Bq+FGLNLQ6UFnoc9WOv2+9mshKm65fZbJsHNb6K509rfb47&#10;4Sjl5cV8fwcs6jn+wfCrn9ShTk57N5EKzEjIhbhNqIQiWwNLQH6zXAHbJzJbFcDriv9/of4BAAD/&#10;/wMAUEsBAi0AFAAGAAgAAAAhALaDOJL+AAAA4QEAABMAAAAAAAAAAAAAAAAAAAAAAFtDb250ZW50&#10;X1R5cGVzXS54bWxQSwECLQAUAAYACAAAACEAOP0h/9YAAACUAQAACwAAAAAAAAAAAAAAAAAvAQAA&#10;X3JlbHMvLnJlbHNQSwECLQAUAAYACAAAACEA2RqGaYMBAAD3AgAADgAAAAAAAAAAAAAAAAAuAgAA&#10;ZHJzL2Uyb0RvYy54bWxQSwECLQAUAAYACAAAACEAu0y6cN8AAAAKAQAADwAAAAAAAAAAAAAAAADd&#10;AwAAZHJzL2Rvd25yZXYueG1sUEsFBgAAAAAEAAQA8wAAAOkEAAAAAA==&#10;" filled="f" stroked="f">
                <v:textbox>
                  <w:txbxContent>
                    <w:p w:rsidR="00AD6A02" w:rsidRPr="00902E9B" w:rsidRDefault="00AD6A02" w:rsidP="000B276C">
                      <w:pPr>
                        <w:pStyle w:val="NormalWeb"/>
                      </w:pPr>
                      <w:r>
                        <w:rPr>
                          <w:rFonts w:asciiTheme="minorHAnsi" w:hAnsi="Calibri" w:cstheme="minorBidi"/>
                          <w:color w:val="000000" w:themeColor="text1"/>
                          <w:kern w:val="24"/>
                        </w:rPr>
                        <w:t>*</w:t>
                      </w:r>
                    </w:p>
                    <w:p w:rsidR="00AD6A02" w:rsidRPr="00902E9B" w:rsidRDefault="00AD6A02" w:rsidP="000B276C">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17312" behindDoc="0" locked="0" layoutInCell="1" allowOverlap="1" wp14:anchorId="0081E553" wp14:editId="124762CB">
                <wp:simplePos x="0" y="0"/>
                <wp:positionH relativeFrom="column">
                  <wp:posOffset>3294380</wp:posOffset>
                </wp:positionH>
                <wp:positionV relativeFrom="paragraph">
                  <wp:posOffset>461010</wp:posOffset>
                </wp:positionV>
                <wp:extent cx="54610" cy="576849"/>
                <wp:effectExtent l="5715" t="70485" r="27305" b="27305"/>
                <wp:wrapNone/>
                <wp:docPr id="289" name="Right Brace 1"/>
                <wp:cNvGraphicFramePr/>
                <a:graphic xmlns:a="http://schemas.openxmlformats.org/drawingml/2006/main">
                  <a:graphicData uri="http://schemas.microsoft.com/office/word/2010/wordprocessingShape">
                    <wps:wsp>
                      <wps:cNvSpPr/>
                      <wps:spPr>
                        <a:xfrm rot="16200000" flipV="1">
                          <a:off x="0" y="0"/>
                          <a:ext cx="54610" cy="576849"/>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10FC20D3" id="Right Brace 1" o:spid="_x0000_s1026" type="#_x0000_t88" style="position:absolute;margin-left:259.4pt;margin-top:36.3pt;width:4.3pt;height:45.4pt;rotation:90;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AXs/AEAAPYDAAAOAAAAZHJzL2Uyb0RvYy54bWysU01vEzEQvSPxHyzfyWZDE9JVNpVoFC4I&#10;Klq4T732riV/yWOyyb9n7A2hoTeED5btmXkz7814c3e0hh1kRO1dy+vZnDPphO+061v+/Wn/bs0Z&#10;JnAdGO9ky08S+d327ZvNGBq58IM3nYyMQBw2Y2j5kFJoqgrFIC3gzAfpyKh8tJDoGvuqizASujXV&#10;Yj5fVaOPXYheSER63U1Gvi34SkmRviqFMjHTcqotlT2W/Tnv1XYDTR8hDFqcy4B/qMKCdpT0ArWD&#10;BOxn1K+grBbRo1dpJrytvFJayMKB2NTzv9g8DhBk4ULiYLjIhP8PVnw5PESmu5Yv1recObDUpG+6&#10;HxL7GEFIVmeJxoANeT6Gh3i+IR0z36OKlkVPutYr6gctzpTR4Qc9FEGIIjsWvU8XveUxMUGPy5tV&#10;Tf6CLMsPq/XNbc5VTaAZPERMn6S3LB9aHnNZpaqCDIfPmKaA3445CL3R3V4bUy4nvDeRHYDaT1PT&#10;+ZEzA5joseX7ss45r8KMY2PLV++XuTqgsVQGEh1tIKHQ9ZyB6WneRYqllKtgfJXziQi/yFtkKqNH&#10;XK9CM48d4DAVXEy5PGisTvRNjLYtX08qT8SNy1ZZBv2sRu7V1J18evbdiRock7n30xcAJwZP7HPt&#10;GSR70XAV4c8fIU/vy3vx+vNdt78AAAD//wMAUEsDBBQABgAIAAAAIQBynYYa4wAAAAsBAAAPAAAA&#10;ZHJzL2Rvd25yZXYueG1sTI9BS8NAEIXvgv9hGcGLtJuktikxm1IC0oNYsBbxuM2uu6HZ2ZDdtPHf&#10;O570NjPv8eZ75WZyHbvoIbQeBaTzBJjGxqsWjYDj+/NsDSxEiUp2HrWAbx1gU93elLJQ/opv+nKI&#10;hlEIhkIKsDH2BeehsdrJMPe9RtK+/OBkpHUwXA3ySuGu41mSrLiTLdIHK3tdW92cD6MT8GHTXZ3t&#10;Xs9ZvTfbT/OwT1/GUYj7u2n7BCzqKf6Z4Ref0KEippMfUQXWCXjM85ysJKQLGsixXK2XwE50ybIF&#10;8Krk/ztUPwAAAP//AwBQSwECLQAUAAYACAAAACEAtoM4kv4AAADhAQAAEwAAAAAAAAAAAAAAAAAA&#10;AAAAW0NvbnRlbnRfVHlwZXNdLnhtbFBLAQItABQABgAIAAAAIQA4/SH/1gAAAJQBAAALAAAAAAAA&#10;AAAAAAAAAC8BAABfcmVscy8ucmVsc1BLAQItABQABgAIAAAAIQA0VAXs/AEAAPYDAAAOAAAAAAAA&#10;AAAAAAAAAC4CAABkcnMvZTJvRG9jLnhtbFBLAQItABQABgAIAAAAIQBynYYa4wAAAAsBAAAPAAAA&#10;AAAAAAAAAAAAAFYEAABkcnMvZG93bnJldi54bWxQSwUGAAAAAAQABADzAAAAZgUAAAAA&#10;" adj="170" filled="t" fillcolor="window" strokecolor="windowText" strokeweight=".5pt">
                <v:stroke joinstyle="miter"/>
              </v:shape>
            </w:pict>
          </mc:Fallback>
        </mc:AlternateContent>
      </w:r>
      <w:r w:rsidRPr="000B276C">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13216" behindDoc="0" locked="0" layoutInCell="1" allowOverlap="1" wp14:anchorId="32712458" wp14:editId="398C0EE6">
                <wp:simplePos x="0" y="0"/>
                <wp:positionH relativeFrom="margin">
                  <wp:posOffset>1962150</wp:posOffset>
                </wp:positionH>
                <wp:positionV relativeFrom="paragraph">
                  <wp:posOffset>173355</wp:posOffset>
                </wp:positionV>
                <wp:extent cx="453970" cy="211015"/>
                <wp:effectExtent l="0" t="0" r="0" b="0"/>
                <wp:wrapNone/>
                <wp:docPr id="94"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0B276C">
                            <w:pPr>
                              <w:pStyle w:val="NormalWeb"/>
                            </w:pPr>
                            <w:r>
                              <w:rPr>
                                <w:rFonts w:asciiTheme="minorHAnsi" w:hAnsi="Calibri" w:cstheme="minorBidi"/>
                                <w:color w:val="000000" w:themeColor="text1"/>
                                <w:kern w:val="24"/>
                              </w:rPr>
                              <w:t>*</w:t>
                            </w:r>
                          </w:p>
                          <w:p w:rsidR="00AD6A02" w:rsidRPr="00902E9B" w:rsidRDefault="00AD6A02" w:rsidP="000B276C">
                            <w:pPr>
                              <w:pStyle w:val="NormalWeb"/>
                            </w:pPr>
                          </w:p>
                        </w:txbxContent>
                      </wps:txbx>
                      <wps:bodyPr wrap="none">
                        <a:noAutofit/>
                      </wps:bodyPr>
                    </wps:wsp>
                  </a:graphicData>
                </a:graphic>
                <wp14:sizeRelV relativeFrom="margin">
                  <wp14:pctHeight>0</wp14:pctHeight>
                </wp14:sizeRelV>
              </wp:anchor>
            </w:drawing>
          </mc:Choice>
          <mc:Fallback>
            <w:pict>
              <v:rect w14:anchorId="32712458" id="_x0000_s1135" style="position:absolute;left:0;text-align:left;margin-left:154.5pt;margin-top:13.65pt;width:35.75pt;height:16.6pt;z-index:2519132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FuhAEAAPYCAAAOAAAAZHJzL2Uyb0RvYy54bWysUk1PAjEQvZv4H5reZXcRFDYsxIToxSgR&#10;/QGl27JNtp2mLezy750WBKM342X6MdM3773pbNHrluyF8wpMRYtBTokwHGplthX9eH+8mVDiAzM1&#10;a8GIih6Ep4v59dWss6UYQgNtLRxBEOPLzla0CcGWWeZ5IzTzA7DCYFKC0yzg0W2z2rEO0XWbDfP8&#10;LuvA1dYBF97j7fKYpPOEL6Xg4VVKLwJpK4rcQoouxU2M2XzGyq1jtlH8RIP9gYVmymDTM9SSBUZ2&#10;Tv2C0oo78CDDgIPOQErFRdKAaor8h5p1w6xIWtAcb882+f+D5S/7lSOqruh0RIlhGmf0hq4xs20F&#10;mUR/OutLLFvblTudPG6j2F46HVeUQfrk6eHsqegD4Xg5Gt9O79F5jqlhUeTFOGJml8fW+fAkQJO4&#10;qajD5slJtn/24Vj6VYLvIplj+7gL/aZP5It8+kV1A/UBJXU404oa/HQJzcDDLoBUCTE+PZadENHc&#10;xOn0EeL0vp9T1eW7zj8BAAD//wMAUEsDBBQABgAIAAAAIQDaec2R3wAAAAkBAAAPAAAAZHJzL2Rv&#10;d25yZXYueG1sTI/NTsMwEITvSLyDtUjcqE2jlhKyqQAJCXFBhL+rGy9JhL22YqdN3x5zgtNoNaPZ&#10;b6rt7KzY0xgHzwiXCwWCuPVm4A7h7fXhYgMiJs1GW8+EcKQI2/r0pNKl8Qd+oX2TOpFLOJYaoU8p&#10;lFLGtien48IH4ux9+dHplM+xk2bUh1zurFwqtZZOD5w/9DrQfU/tdzM5hKl4mu17c2fCs3r8dG5c&#10;fRx1QDw/m29vQCSa018YfvEzOtSZaecnNlFYhEJd5y0JYXlVgMiBYqNWIHYI66yyruT/BfUPAAAA&#10;//8DAFBLAQItABQABgAIAAAAIQC2gziS/gAAAOEBAAATAAAAAAAAAAAAAAAAAAAAAABbQ29udGVu&#10;dF9UeXBlc10ueG1sUEsBAi0AFAAGAAgAAAAhADj9If/WAAAAlAEAAAsAAAAAAAAAAAAAAAAALwEA&#10;AF9yZWxzLy5yZWxzUEsBAi0AFAAGAAgAAAAhAGOAwW6EAQAA9gIAAA4AAAAAAAAAAAAAAAAALgIA&#10;AGRycy9lMm9Eb2MueG1sUEsBAi0AFAAGAAgAAAAhANp5zZHfAAAACQEAAA8AAAAAAAAAAAAAAAAA&#10;3gMAAGRycy9kb3ducmV2LnhtbFBLBQYAAAAABAAEAPMAAADqBAAAAAA=&#10;" filled="f" stroked="f">
                <v:textbox>
                  <w:txbxContent>
                    <w:p w:rsidR="00AD6A02" w:rsidRPr="00902E9B" w:rsidRDefault="00AD6A02" w:rsidP="000B276C">
                      <w:pPr>
                        <w:pStyle w:val="NormalWeb"/>
                      </w:pPr>
                      <w:r>
                        <w:rPr>
                          <w:rFonts w:asciiTheme="minorHAnsi" w:hAnsi="Calibri" w:cstheme="minorBidi"/>
                          <w:color w:val="000000" w:themeColor="text1"/>
                          <w:kern w:val="24"/>
                        </w:rPr>
                        <w:t>*</w:t>
                      </w:r>
                    </w:p>
                    <w:p w:rsidR="00AD6A02" w:rsidRPr="00902E9B" w:rsidRDefault="00AD6A02" w:rsidP="000B276C">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11168" behindDoc="0" locked="0" layoutInCell="1" allowOverlap="1" wp14:anchorId="3EF4E014" wp14:editId="5345361B">
                <wp:simplePos x="0" y="0"/>
                <wp:positionH relativeFrom="column">
                  <wp:posOffset>2065020</wp:posOffset>
                </wp:positionH>
                <wp:positionV relativeFrom="paragraph">
                  <wp:posOffset>126365</wp:posOffset>
                </wp:positionV>
                <wp:extent cx="54610" cy="576849"/>
                <wp:effectExtent l="5715" t="70485" r="27305" b="27305"/>
                <wp:wrapNone/>
                <wp:docPr id="92" name="Right Brace 1"/>
                <wp:cNvGraphicFramePr/>
                <a:graphic xmlns:a="http://schemas.openxmlformats.org/drawingml/2006/main">
                  <a:graphicData uri="http://schemas.microsoft.com/office/word/2010/wordprocessingShape">
                    <wps:wsp>
                      <wps:cNvSpPr/>
                      <wps:spPr>
                        <a:xfrm rot="16200000" flipV="1">
                          <a:off x="0" y="0"/>
                          <a:ext cx="54610" cy="576849"/>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01291042" id="Right Brace 1" o:spid="_x0000_s1026" type="#_x0000_t88" style="position:absolute;margin-left:162.6pt;margin-top:9.95pt;width:4.3pt;height:45.4pt;rotation:90;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Xn3+wEAAPUDAAAOAAAAZHJzL2Uyb0RvYy54bWysU01vEzEQvSPxHyzfyWZDE9JVNpVoFC4I&#10;Klq4T732riV/yWOyyb9n7A2hoTeED5btmXkz7814c3e0hh1kRO1dy+vZnDPphO+061v+/Wn/bs0Z&#10;JnAdGO9ky08S+d327ZvNGBq58IM3nYyMQBw2Y2j5kFJoqgrFIC3gzAfpyKh8tJDoGvuqizASujXV&#10;Yj5fVaOPXYheSER63U1Gvi34SkmRviqFMjHTcqotlT2W/Tnv1XYDTR8hDFqcy4B/qMKCdpT0ArWD&#10;BOxn1K+grBbRo1dpJrytvFJayMKB2NTzv9g8DhBk4ULiYLjIhP8PVnw5PESmu5bfLjhzYKlH33Q/&#10;JPYxgpCszgqNARtyfAwP8XxDOma6RxUti55krVfUDlqcKaPDD3ooehBDdixyny5yy2Nigh6XN6ua&#10;/AVZlh9W65vbnKuaQDN4iJg+SW9ZPrQ85rJKVQUZDp8xTQG/HXMQeqO7vTamXE54byI7AHWfhqbz&#10;I2cGMNFjy/dlnXNehRnHxpav3i9zdUBTqQwkOtpAOqHrOQPT07iLFEspV8H4KucTEX6Rt8hUJo+4&#10;XoVmHjvAYSq4mHJ50Fid6JcYbVu+nlSeiBuXrbLM+VmN3KupO/n07LsT9Tcmc++nHwBODJ7Y59oz&#10;SPai2SrCn/9BHt6X9+L157dufwEAAP//AwBQSwMEFAAGAAgAAAAhAHFY/9PhAAAACQEAAA8AAABk&#10;cnMvZG93bnJldi54bWxMj8FKw0AQhu+C77CM4EXaTWKJbcymlID0IBasRTxus+NuaHY3ZDdtfHvH&#10;Uz3OzMc/31+uJ9uxMw6h9U5AOk+AoWu8ap0WcPh4mS2BhSidkp13KOAHA6yr25tSFspf3Due91Ez&#10;CnGhkAJMjH3BeWgMWhnmvkdHt28/WBlpHDRXg7xQuO14liQ5t7J19MHIHmuDzWk/WgGfJt3W2fbt&#10;lNU7vfnSD7v0dRyFuL+bNs/AIk7xCsOfPqlDRU5HPzoVWCcgWy5SQgXkKXUi4PFpsQJ2pMUqB16V&#10;/H+D6hcAAP//AwBQSwECLQAUAAYACAAAACEAtoM4kv4AAADhAQAAEwAAAAAAAAAAAAAAAAAAAAAA&#10;W0NvbnRlbnRfVHlwZXNdLnhtbFBLAQItABQABgAIAAAAIQA4/SH/1gAAAJQBAAALAAAAAAAAAAAA&#10;AAAAAC8BAABfcmVscy8ucmVsc1BLAQItABQABgAIAAAAIQBLzXn3+wEAAPUDAAAOAAAAAAAAAAAA&#10;AAAAAC4CAABkcnMvZTJvRG9jLnhtbFBLAQItABQABgAIAAAAIQBxWP/T4QAAAAkBAAAPAAAAAAAA&#10;AAAAAAAAAFUEAABkcnMvZG93bnJldi54bWxQSwUGAAAAAAQABADzAAAAYwUAAAAA&#10;" adj="170" filled="t" fillcolor="window" strokecolor="windowText" strokeweight=".5pt">
                <v:stroke joinstyle="miter"/>
              </v:shape>
            </w:pict>
          </mc:Fallback>
        </mc:AlternateContent>
      </w:r>
      <w:r w:rsidRPr="00A93588">
        <w:rPr>
          <w:rFonts w:asciiTheme="minorHAnsi" w:eastAsiaTheme="minorHAnsi" w:hAnsiTheme="minorHAnsi" w:cstheme="minorBidi"/>
        </w:rPr>
        <w:object w:dxaOrig="11292" w:dyaOrig="4243">
          <v:shape id="_x0000_i1051" type="#_x0000_t75" style="width:400.5pt;height:147pt" o:ole="">
            <v:imagedata r:id="rId133" o:title=""/>
          </v:shape>
          <o:OLEObject Type="Embed" ProgID="Prism7.Document" ShapeID="_x0000_i1051" DrawAspect="Content" ObjectID="_1583750221" r:id="rId134"/>
        </w:object>
      </w:r>
    </w:p>
    <w:p w:rsidR="00C225BE" w:rsidRDefault="00C225BE" w:rsidP="00A549F8">
      <w:pPr>
        <w:pStyle w:val="LegText"/>
        <w:ind w:left="720"/>
        <w:rPr>
          <w:rFonts w:asciiTheme="minorHAnsi" w:eastAsiaTheme="minorHAnsi" w:hAnsiTheme="minorHAnsi" w:cstheme="minorBidi"/>
        </w:rPr>
      </w:pPr>
    </w:p>
    <w:p w:rsidR="00C225BE" w:rsidRDefault="00791BA4" w:rsidP="005F600D">
      <w:pPr>
        <w:pStyle w:val="LegText"/>
        <w:ind w:left="1440"/>
        <w:rPr>
          <w:rFonts w:eastAsiaTheme="minorHAnsi"/>
        </w:rPr>
      </w:pPr>
      <w:bookmarkStart w:id="395" w:name="_Toc504640619"/>
      <w:r>
        <w:rPr>
          <w:rStyle w:val="SubtitleChar"/>
        </w:rPr>
        <w:t>Figure 5.8</w:t>
      </w:r>
      <w:r w:rsidR="00C225BE" w:rsidRPr="00C225BE">
        <w:rPr>
          <w:rStyle w:val="SubtitleChar"/>
        </w:rPr>
        <w:t xml:space="preserve"> CPB2 activity in </w:t>
      </w:r>
      <w:r w:rsidR="00851FCE">
        <w:rPr>
          <w:rStyle w:val="SubtitleChar"/>
          <w:lang w:val="en-GB"/>
        </w:rPr>
        <w:t xml:space="preserve">cultured medium from </w:t>
      </w:r>
      <w:r w:rsidR="00C225BE" w:rsidRPr="00C225BE">
        <w:rPr>
          <w:rStyle w:val="SubtitleChar"/>
        </w:rPr>
        <w:t>cells cultured on both high glucose and low glucose on fibrin</w:t>
      </w:r>
      <w:r w:rsidR="003A3366">
        <w:rPr>
          <w:rStyle w:val="SubtitleChar"/>
        </w:rPr>
        <w:t>.</w:t>
      </w:r>
      <w:bookmarkEnd w:id="395"/>
      <w:r w:rsidR="00C225BE" w:rsidRPr="00C225BE">
        <w:rPr>
          <w:rFonts w:eastAsiaTheme="minorHAnsi"/>
        </w:rPr>
        <w:t xml:space="preserve"> CPB2 activity in conditioned media from cells cult</w:t>
      </w:r>
      <w:r w:rsidR="009B3CC6">
        <w:rPr>
          <w:rFonts w:eastAsiaTheme="minorHAnsi"/>
        </w:rPr>
        <w:t>ured in both high and low glucose</w:t>
      </w:r>
      <w:r w:rsidR="00C225BE" w:rsidRPr="00C225BE">
        <w:rPr>
          <w:rFonts w:eastAsiaTheme="minorHAnsi"/>
        </w:rPr>
        <w:t>.</w:t>
      </w:r>
      <w:r w:rsidR="009B3CC6" w:rsidRPr="00C225BE">
        <w:rPr>
          <w:rFonts w:eastAsiaTheme="minorHAnsi"/>
        </w:rPr>
        <w:t xml:space="preserve"> </w:t>
      </w:r>
      <w:r w:rsidR="009B3CC6">
        <w:rPr>
          <w:rFonts w:eastAsiaTheme="minorHAnsi"/>
        </w:rPr>
        <w:t>D</w:t>
      </w:r>
      <w:r w:rsidR="009B3CC6" w:rsidRPr="00C225BE">
        <w:rPr>
          <w:rFonts w:eastAsiaTheme="minorHAnsi"/>
        </w:rPr>
        <w:t xml:space="preserve">ata were mean </w:t>
      </w:r>
      <w:r w:rsidR="009B3CC6">
        <w:rPr>
          <w:rFonts w:eastAsiaTheme="minorHAnsi"/>
        </w:rPr>
        <w:t xml:space="preserve">+/- SEM </w:t>
      </w:r>
      <w:r w:rsidR="009B3CC6" w:rsidRPr="00C225BE">
        <w:rPr>
          <w:rFonts w:eastAsiaTheme="minorHAnsi"/>
        </w:rPr>
        <w:t>of triplicates</w:t>
      </w:r>
      <w:r w:rsidR="009B3CC6">
        <w:rPr>
          <w:rFonts w:eastAsiaTheme="minorHAnsi"/>
        </w:rPr>
        <w:t xml:space="preserve">. </w:t>
      </w:r>
      <w:r w:rsidR="003A3366">
        <w:t>A on</w:t>
      </w:r>
      <w:r w:rsidR="009B3CC6">
        <w:t>e way ANOVA test followed by Tu</w:t>
      </w:r>
      <w:r w:rsidR="003A3366">
        <w:t xml:space="preserve">key’s multiple comparison showed a significant </w:t>
      </w:r>
      <w:r w:rsidR="00C225BE" w:rsidRPr="00C225BE">
        <w:t xml:space="preserve">differences </w:t>
      </w:r>
      <w:r w:rsidR="009B3CC6">
        <w:t xml:space="preserve">of P &lt; 0.05 in </w:t>
      </w:r>
      <w:r w:rsidR="00C225BE" w:rsidRPr="00C225BE">
        <w:t>CP</w:t>
      </w:r>
      <w:r w:rsidR="009B3CC6">
        <w:t>B2 activity</w:t>
      </w:r>
      <w:r w:rsidR="00C225BE" w:rsidRPr="00C225BE">
        <w:t xml:space="preserve"> between cells cultured in low glucose and high glucose in both NRK52E and CRL2573</w:t>
      </w:r>
      <w:r w:rsidR="009B3CC6">
        <w:t>.</w:t>
      </w:r>
    </w:p>
    <w:p w:rsidR="005F600D" w:rsidRDefault="005F600D">
      <w:pPr>
        <w:spacing w:after="160" w:line="259" w:lineRule="auto"/>
        <w:jc w:val="left"/>
        <w:rPr>
          <w:color w:val="000000"/>
          <w:sz w:val="22"/>
          <w:szCs w:val="22"/>
          <w:lang w:eastAsia="en-GB"/>
        </w:rPr>
      </w:pPr>
      <w:r>
        <w:br w:type="page"/>
      </w:r>
    </w:p>
    <w:p w:rsidR="00DF75DE" w:rsidRDefault="00DF75DE" w:rsidP="005F600D">
      <w:pPr>
        <w:pStyle w:val="LegText"/>
        <w:rPr>
          <w:rFonts w:eastAsiaTheme="minorHAnsi"/>
        </w:rPr>
      </w:pPr>
    </w:p>
    <w:p w:rsidR="00DF75DE" w:rsidRPr="00DF75DE" w:rsidRDefault="00DF75DE" w:rsidP="005E174B">
      <w:pPr>
        <w:pStyle w:val="Heading4"/>
        <w:ind w:left="720" w:firstLine="720"/>
      </w:pPr>
      <w:bookmarkStart w:id="396" w:name="_Toc506232409"/>
      <w:r>
        <w:t>5</w:t>
      </w:r>
      <w:r w:rsidRPr="00DF75DE">
        <w:t>.5.</w:t>
      </w:r>
      <w:r>
        <w:t>2</w:t>
      </w:r>
      <w:r w:rsidRPr="00DF75DE">
        <w:t xml:space="preserve"> Discussion</w:t>
      </w:r>
      <w:bookmarkEnd w:id="396"/>
    </w:p>
    <w:p w:rsidR="00171FAB" w:rsidRDefault="00171FAB" w:rsidP="00A71557">
      <w:pPr>
        <w:ind w:left="1440"/>
      </w:pPr>
      <w:r>
        <w:t xml:space="preserve">These results might suggest that in the presence of fibrin a high glucose environment inhibits the activity of the serine proteinases and increases the activity of CBP2, which would favour a possible increase in ECM build-up in a high glucose mileu. Previously </w:t>
      </w:r>
      <w:r w:rsidRPr="00905887">
        <w:rPr>
          <w:rFonts w:eastAsia="Calibri" w:cs="Arial"/>
        </w:rPr>
        <w:fldChar w:fldCharType="begin"/>
      </w:r>
      <w:r w:rsidRPr="00905887">
        <w:rPr>
          <w:rFonts w:eastAsia="Calibri" w:cs="Arial"/>
        </w:rPr>
        <w:instrText xml:space="preserve"> ADDIN EN.CITE &lt;EndNote&gt;&lt;Cite&gt;&lt;Author&gt;Farquhar&lt;/Author&gt;&lt;Year&gt;1972&lt;/Year&gt;&lt;IDText&gt;The role of fibrin deposition in diabetic glomerulosclerosis: a light, electron and immunofluorescence microscopy study&lt;/IDText&gt;&lt;DisplayText&gt;(Farquhar et al., 1972)&lt;/DisplayText&gt;&lt;record&gt;&lt;isbn&gt;0021-9746&lt;/isbn&gt;&lt;titles&gt;&lt;title&gt;The role of fibrin deposition in diabetic glomerulosclerosis: a light, electron and immunofluorescence microscopy study&lt;/title&gt;&lt;secondary-title&gt;Journal of clinical pathology&lt;/secondary-title&gt;&lt;/titles&gt;&lt;pages&gt;657-667&lt;/pages&gt;&lt;number&gt;8&lt;/number&gt;&lt;contributors&gt;&lt;authors&gt;&lt;author&gt;Farquhar, A&lt;/author&gt;&lt;author&gt;MacDonald, Mary K&lt;/author&gt;&lt;author&gt;Ireland, JT&lt;/author&gt;&lt;/authors&gt;&lt;/contributors&gt;&lt;added-date format="utc"&gt;1499541286&lt;/added-date&gt;&lt;ref-type name="Journal Article"&gt;17&lt;/ref-type&gt;&lt;dates&gt;&lt;year&gt;1972&lt;/year&gt;&lt;/dates&gt;&lt;rec-number&gt;1939&lt;/rec-number&gt;&lt;last-updated-date format="utc"&gt;1499541286&lt;/last-updated-date&gt;&lt;volume&gt;25&lt;/volume&gt;&lt;/record&gt;&lt;/Cite&gt;&lt;/EndNote&gt;</w:instrText>
      </w:r>
      <w:r w:rsidRPr="00905887">
        <w:rPr>
          <w:rFonts w:eastAsia="Calibri" w:cs="Arial"/>
        </w:rPr>
        <w:fldChar w:fldCharType="separate"/>
      </w:r>
      <w:r w:rsidRPr="00905887">
        <w:rPr>
          <w:rFonts w:eastAsia="Calibri" w:cs="Arial"/>
        </w:rPr>
        <w:t xml:space="preserve">Farquhar et al., </w:t>
      </w:r>
      <w:r>
        <w:rPr>
          <w:rFonts w:eastAsia="Calibri" w:cs="Arial"/>
        </w:rPr>
        <w:t>(</w:t>
      </w:r>
      <w:r w:rsidRPr="00905887">
        <w:rPr>
          <w:rFonts w:eastAsia="Calibri" w:cs="Arial"/>
        </w:rPr>
        <w:t>1972)</w:t>
      </w:r>
      <w:r w:rsidRPr="00905887">
        <w:rPr>
          <w:rFonts w:eastAsia="Calibri" w:cs="Arial"/>
          <w:lang w:val="en-US"/>
        </w:rPr>
        <w:fldChar w:fldCharType="end"/>
      </w:r>
      <w:r w:rsidR="007466EA">
        <w:rPr>
          <w:rFonts w:eastAsia="Calibri" w:cs="Arial"/>
          <w:lang w:val="en-US"/>
        </w:rPr>
        <w:t xml:space="preserve"> h</w:t>
      </w:r>
      <w:r>
        <w:rPr>
          <w:rFonts w:eastAsia="Calibri" w:cs="Arial"/>
          <w:lang w:val="en-US"/>
        </w:rPr>
        <w:t>ad reported that</w:t>
      </w:r>
      <w:r>
        <w:t xml:space="preserve"> fibrin deposits were implicated in the development of glomerulosclerosis, where fibrin was responsible for mesangial expansion, nodule formation and disruption in basement membrane architecture (</w:t>
      </w:r>
      <w:r w:rsidRPr="00905887">
        <w:rPr>
          <w:rFonts w:eastAsia="Calibri" w:cs="Arial"/>
        </w:rPr>
        <w:fldChar w:fldCharType="begin"/>
      </w:r>
      <w:r w:rsidRPr="00905887">
        <w:rPr>
          <w:rFonts w:eastAsia="Calibri" w:cs="Arial"/>
        </w:rPr>
        <w:instrText xml:space="preserve"> ADDIN EN.CITE &lt;EndNote&gt;&lt;Cite&gt;&lt;Author&gt;Farquhar&lt;/Author&gt;&lt;Year&gt;1972&lt;/Year&gt;&lt;IDText&gt;The role of fibrin deposition in diabetic glomerulosclerosis: a light, electron and immunofluorescence microscopy study&lt;/IDText&gt;&lt;DisplayText&gt;(Farquhar et al., 1972)&lt;/DisplayText&gt;&lt;record&gt;&lt;isbn&gt;0021-9746&lt;/isbn&gt;&lt;titles&gt;&lt;title&gt;The role of fibrin deposition in diabetic glomerulosclerosis: a light, electron and immunofluorescence microscopy study&lt;/title&gt;&lt;secondary-title&gt;Journal of clinical pathology&lt;/secondary-title&gt;&lt;/titles&gt;&lt;pages&gt;657-667&lt;/pages&gt;&lt;number&gt;8&lt;/number&gt;&lt;contributors&gt;&lt;authors&gt;&lt;author&gt;Farquhar, A&lt;/author&gt;&lt;author&gt;MacDonald, Mary K&lt;/author&gt;&lt;author&gt;Ireland, JT&lt;/author&gt;&lt;/authors&gt;&lt;/contributors&gt;&lt;added-date format="utc"&gt;1499541286&lt;/added-date&gt;&lt;ref-type name="Journal Article"&gt;17&lt;/ref-type&gt;&lt;dates&gt;&lt;year&gt;1972&lt;/year&gt;&lt;/dates&gt;&lt;rec-number&gt;1939&lt;/rec-number&gt;&lt;last-updated-date format="utc"&gt;1499541286&lt;/last-updated-date&gt;&lt;volume&gt;25&lt;/volume&gt;&lt;/record&gt;&lt;/Cite&gt;&lt;/EndNote&gt;</w:instrText>
      </w:r>
      <w:r w:rsidRPr="00905887">
        <w:rPr>
          <w:rFonts w:eastAsia="Calibri" w:cs="Arial"/>
        </w:rPr>
        <w:fldChar w:fldCharType="separate"/>
      </w:r>
      <w:r w:rsidRPr="00905887">
        <w:rPr>
          <w:rFonts w:eastAsia="Calibri" w:cs="Arial"/>
        </w:rPr>
        <w:t>Farquhar et al., 1972)</w:t>
      </w:r>
      <w:r w:rsidRPr="00905887">
        <w:rPr>
          <w:rFonts w:eastAsia="Calibri" w:cs="Arial"/>
          <w:lang w:val="en-US"/>
        </w:rPr>
        <w:fldChar w:fldCharType="end"/>
      </w:r>
      <w:r>
        <w:rPr>
          <w:rFonts w:eastAsia="Calibri" w:cs="Arial"/>
          <w:lang w:val="en-US"/>
        </w:rPr>
        <w:t>.</w:t>
      </w:r>
      <w:r>
        <w:t xml:space="preserve"> </w:t>
      </w:r>
      <w:r w:rsidRPr="00DF75DE">
        <w:t>A</w:t>
      </w:r>
      <w:r>
        <w:t xml:space="preserve">nother </w:t>
      </w:r>
      <w:r w:rsidRPr="00DF75DE">
        <w:t xml:space="preserve">possible explanation for the reduced activity </w:t>
      </w:r>
      <w:r>
        <w:t>of proteinases might be the role of PAI-1</w:t>
      </w:r>
      <w:r w:rsidRPr="00DF75DE">
        <w:t xml:space="preserve"> in</w:t>
      </w:r>
      <w:r>
        <w:t xml:space="preserve"> the</w:t>
      </w:r>
      <w:r w:rsidRPr="00DF75DE">
        <w:t xml:space="preserve"> pathological state. </w:t>
      </w:r>
      <w:r>
        <w:t xml:space="preserve">A study reported </w:t>
      </w:r>
      <w:r w:rsidRPr="00DF75DE">
        <w:t xml:space="preserve">increased synthesis </w:t>
      </w:r>
      <w:r w:rsidRPr="002A4448">
        <w:rPr>
          <w:rFonts w:cs="Arial"/>
        </w:rPr>
        <w:t xml:space="preserve">of PAI-1 in diabetes </w:t>
      </w:r>
      <w:r w:rsidRPr="002A4448">
        <w:rPr>
          <w:rFonts w:cs="Arial"/>
        </w:rPr>
        <w:fldChar w:fldCharType="begin"/>
      </w:r>
      <w:r w:rsidRPr="002A4448">
        <w:rPr>
          <w:rFonts w:cs="Arial"/>
        </w:rPr>
        <w:instrText xml:space="preserve"> ADDIN EN.CITE &lt;EndNote&gt;&lt;Cite&gt;&lt;Author&gt;Lyon&lt;/Author&gt;&lt;Year&gt;2003&lt;/Year&gt;&lt;IDText&gt;Effect of plasminogen activator inhibitor–1 in diabetes mellitus and cardiovascular disease&lt;/IDText&gt;&lt;DisplayText&gt;(Lyon and Hsueh, 2003)&lt;/DisplayText&gt;&lt;record&gt;&lt;isbn&gt;0002-9343&lt;/isbn&gt;&lt;titles&gt;&lt;title&gt;Effect of plasminogen activator inhibitor–1 in diabetes mellitus and cardiovascular disease&lt;/title&gt;&lt;secondary-title&gt;The American journal of medicine&lt;/secondary-title&gt;&lt;/titles&gt;&lt;pages&gt;62-68&lt;/pages&gt;&lt;number&gt;8&lt;/number&gt;&lt;contributors&gt;&lt;authors&gt;&lt;author&gt;Lyon, Christopher J&lt;/author&gt;&lt;author&gt;Hsueh, Willa A&lt;/author&gt;&lt;/authors&gt;&lt;/contributors&gt;&lt;added-date format="utc"&gt;1499533414&lt;/added-date&gt;&lt;ref-type name="Journal Article"&gt;17&lt;/ref-type&gt;&lt;dates&gt;&lt;year&gt;2003&lt;/year&gt;&lt;/dates&gt;&lt;rec-number&gt;1938&lt;/rec-number&gt;&lt;last-updated-date format="utc"&gt;1499533414&lt;/last-updated-date&gt;&lt;volume&gt;115&lt;/volume&gt;&lt;/record&gt;&lt;/Cite&gt;&lt;/EndNote&gt;</w:instrText>
      </w:r>
      <w:r w:rsidRPr="002A4448">
        <w:rPr>
          <w:rFonts w:cs="Arial"/>
        </w:rPr>
        <w:fldChar w:fldCharType="separate"/>
      </w:r>
      <w:r w:rsidRPr="002A4448">
        <w:rPr>
          <w:rFonts w:cs="Arial"/>
          <w:noProof/>
        </w:rPr>
        <w:t>(Lyon and Hsueh, 2003)</w:t>
      </w:r>
      <w:r w:rsidRPr="002A4448">
        <w:rPr>
          <w:rFonts w:cs="Arial"/>
        </w:rPr>
        <w:fldChar w:fldCharType="end"/>
      </w:r>
      <w:r>
        <w:rPr>
          <w:rFonts w:cs="Arial"/>
        </w:rPr>
        <w:t>, while a</w:t>
      </w:r>
      <w:r>
        <w:t>nother study</w:t>
      </w:r>
      <w:r w:rsidRPr="00DF75DE">
        <w:t xml:space="preserve"> also confirmed that PAI-1 inhibits uPA and tPA</w:t>
      </w:r>
      <w:r>
        <w:t xml:space="preserve"> activities</w:t>
      </w:r>
      <w:r w:rsidRPr="00DF75DE">
        <w:t xml:space="preserve"> </w:t>
      </w:r>
      <w:r w:rsidRPr="00DF75DE">
        <w:fldChar w:fldCharType="begin"/>
      </w:r>
      <w:r w:rsidRPr="00DF75DE">
        <w:instrText xml:space="preserve"> ADDIN EN.CITE &lt;EndNote&gt;&lt;Cite&gt;&lt;Author&gt;Damare&lt;/Author&gt;&lt;Year&gt;2014&lt;/Year&gt;&lt;IDText&gt;Inhibition of PAI-1 Antiproteolytic Activity Against tPA by RNA Aptamers&lt;/IDText&gt;&lt;DisplayText&gt;(Damare et al., 2014)&lt;/DisplayText&gt;&lt;record&gt;&lt;dates&gt;&lt;pub-dates&gt;&lt;date&gt;11/27/received&amp;#xD;04/29/accepted&lt;/date&gt;&lt;/pub-dates&gt;&lt;year&gt;2014&lt;/year&gt;&lt;/dates&gt;&lt;urls&gt;&lt;related-urls&gt;&lt;url&gt;http://www.ncbi.nlm.nih.gov/pmc/articles/PMC4106377/&lt;/url&gt;&lt;/related-urls&gt;&lt;/urls&gt;&lt;isbn&gt;2159-3337&amp;#xD;2159-3345&lt;/isbn&gt;&lt;titles&gt;&lt;title&gt;Inhibition of PAI-1 Antiproteolytic Activity Against tPA by RNA Aptamers&lt;/title&gt;&lt;secondary-title&gt;Nucleic Acid Therapeutics&lt;/secondary-title&gt;&lt;/titles&gt;&lt;pages&gt;239-249&lt;/pages&gt;&lt;number&gt;4&lt;/number&gt;&lt;contributors&gt;&lt;authors&gt;&lt;author&gt;Damare, Jared&lt;/author&gt;&lt;author&gt;Brandal, Stephanie&lt;/author&gt;&lt;author&gt;Fortenberry, Yolanda M.&lt;/author&gt;&lt;/authors&gt;&lt;/contributors&gt;&lt;added-date format="utc"&gt;1492033742&lt;/added-date&gt;&lt;pub-location&gt;140 Huguenot Street, 3rd FloorNew Rochelle, NY 10801USA&lt;/pub-location&gt;&lt;ref-type name="Journal Article"&gt;17&lt;/ref-type&gt;&lt;rec-number&gt;1668&lt;/rec-number&gt;&lt;publisher&gt;Mary Ann Liebert, Inc.&lt;/publisher&gt;&lt;last-updated-date format="utc"&gt;1492033742&lt;/last-updated-date&gt;&lt;accession-num&gt;PMC4106377&lt;/accession-num&gt;&lt;electronic-resource-num&gt;10.1089/nat.2013.0475&lt;/electronic-resource-num&gt;&lt;volume&gt;24&lt;/volume&gt;&lt;remote-database-name&gt;PMC&lt;/remote-database-name&gt;&lt;/record&gt;&lt;/Cite&gt;&lt;/EndNote&gt;</w:instrText>
      </w:r>
      <w:r w:rsidRPr="00DF75DE">
        <w:fldChar w:fldCharType="separate"/>
      </w:r>
      <w:r w:rsidRPr="00DF75DE">
        <w:rPr>
          <w:noProof/>
        </w:rPr>
        <w:t>(Damare et al., 2014)</w:t>
      </w:r>
      <w:r w:rsidRPr="00DF75DE">
        <w:fldChar w:fldCharType="end"/>
      </w:r>
      <w:r w:rsidRPr="00DF75DE">
        <w:t>.</w:t>
      </w:r>
      <w:r w:rsidRPr="00DF75DE">
        <w:rPr>
          <w:color w:val="FF0000"/>
        </w:rPr>
        <w:t xml:space="preserve"> </w:t>
      </w:r>
      <w:r w:rsidRPr="00DF75DE">
        <w:t>Another possible explanation was the corresponding increase in CPB2</w:t>
      </w:r>
      <w:r>
        <w:t xml:space="preserve"> </w:t>
      </w:r>
      <w:r w:rsidRPr="00DF75DE">
        <w:t>activity</w:t>
      </w:r>
      <w:r>
        <w:t xml:space="preserve"> (Fig 5</w:t>
      </w:r>
      <w:r w:rsidRPr="00DF75DE">
        <w:t>.</w:t>
      </w:r>
      <w:r w:rsidR="00A71557">
        <w:t>8</w:t>
      </w:r>
      <w:r w:rsidRPr="00DF75DE">
        <w:t>)</w:t>
      </w:r>
      <w:r>
        <w:t xml:space="preserve"> which will down-</w:t>
      </w:r>
      <w:r w:rsidRPr="00DF75DE">
        <w:t>regulate the plasminogen-plasmin cascade and subsequently lead to ECM bu</w:t>
      </w:r>
      <w:r>
        <w:t>ild-up.</w:t>
      </w:r>
    </w:p>
    <w:p w:rsidR="001F21C2" w:rsidRPr="001F21C2" w:rsidRDefault="001F21C2" w:rsidP="00CE0BBC">
      <w:pPr>
        <w:pStyle w:val="Heading3"/>
        <w:ind w:left="1440"/>
      </w:pPr>
      <w:bookmarkStart w:id="397" w:name="_Toc506232410"/>
      <w:r>
        <w:t>5</w:t>
      </w:r>
      <w:r w:rsidRPr="001F21C2">
        <w:t xml:space="preserve">.6 The role of UK-396082 in up regulating plasminogen-plasmin activity in </w:t>
      </w:r>
      <w:r w:rsidR="00171FAB">
        <w:t xml:space="preserve">an </w:t>
      </w:r>
      <w:r w:rsidR="00171FAB" w:rsidRPr="00171FAB">
        <w:rPr>
          <w:i/>
        </w:rPr>
        <w:t>in vitro</w:t>
      </w:r>
      <w:r w:rsidR="00171FAB">
        <w:t xml:space="preserve"> model of diabetes.</w:t>
      </w:r>
      <w:bookmarkEnd w:id="397"/>
    </w:p>
    <w:p w:rsidR="001F21C2" w:rsidRPr="001F21C2" w:rsidRDefault="00736A8C" w:rsidP="00CE0BBC">
      <w:pPr>
        <w:pStyle w:val="Heading4"/>
        <w:ind w:left="720" w:firstLine="720"/>
      </w:pPr>
      <w:bookmarkStart w:id="398" w:name="_Toc506232411"/>
      <w:r>
        <w:t>5</w:t>
      </w:r>
      <w:r w:rsidR="001F21C2" w:rsidRPr="001F21C2">
        <w:t>.6.1 Introduction</w:t>
      </w:r>
      <w:bookmarkEnd w:id="398"/>
    </w:p>
    <w:p w:rsidR="00CB1EFD" w:rsidRDefault="00CB1EFD" w:rsidP="00CE0BBC">
      <w:pPr>
        <w:ind w:left="1440"/>
      </w:pPr>
      <w:r w:rsidRPr="001F21C2">
        <w:t xml:space="preserve">Our results in Section 5.5 showed downward regulation of </w:t>
      </w:r>
      <w:r>
        <w:t>enzymes involved in the plasminogen activation cascade serine</w:t>
      </w:r>
      <w:r w:rsidRPr="001F21C2">
        <w:t xml:space="preserve"> in th</w:t>
      </w:r>
      <w:r>
        <w:t>e presence of high glucose</w:t>
      </w:r>
      <w:r w:rsidRPr="001F21C2">
        <w:t xml:space="preserve"> as well as an upward regula</w:t>
      </w:r>
      <w:r>
        <w:t xml:space="preserve">tion of CBP2 activity. We next </w:t>
      </w:r>
      <w:r w:rsidRPr="001F21C2">
        <w:t>investigate</w:t>
      </w:r>
      <w:r>
        <w:t>d</w:t>
      </w:r>
      <w:r w:rsidRPr="001F21C2">
        <w:t xml:space="preserve"> if the in</w:t>
      </w:r>
      <w:r>
        <w:t>hibition of CPB2 by</w:t>
      </w:r>
      <w:r w:rsidRPr="001F21C2">
        <w:t xml:space="preserve"> UK-396082 will lead to upward regulation of serine proteinase activities in our </w:t>
      </w:r>
      <w:r w:rsidRPr="001F21C2">
        <w:rPr>
          <w:i/>
        </w:rPr>
        <w:t xml:space="preserve">in vitro </w:t>
      </w:r>
      <w:r w:rsidRPr="001F21C2">
        <w:t>model.</w:t>
      </w:r>
      <w:r w:rsidR="00564852">
        <w:t xml:space="preserve"> We therefore cultured our cells NRK52E, NRK4</w:t>
      </w:r>
      <w:r w:rsidR="00E95F2E">
        <w:t>9</w:t>
      </w:r>
      <w:r w:rsidR="00564852">
        <w:t xml:space="preserve">F and CRL 2573 on fibrin gel after which they were conditioned </w:t>
      </w:r>
      <w:r w:rsidR="00E95F2E">
        <w:t>for 24 hours.</w:t>
      </w:r>
      <w:r w:rsidR="00564852">
        <w:t xml:space="preserve"> </w:t>
      </w:r>
      <w:r w:rsidRPr="001F21C2">
        <w:t xml:space="preserve"> </w:t>
      </w:r>
    </w:p>
    <w:p w:rsidR="00A14695" w:rsidRDefault="00CB1EFD" w:rsidP="00CE0BBC">
      <w:pPr>
        <w:ind w:left="1440"/>
      </w:pPr>
      <w:r>
        <w:t>There</w:t>
      </w:r>
      <w:r w:rsidRPr="00736A8C">
        <w:t xml:space="preserve"> was more plasmin activity from </w:t>
      </w:r>
      <w:r w:rsidR="008F056D">
        <w:t xml:space="preserve">conditioned </w:t>
      </w:r>
      <w:r w:rsidRPr="00736A8C">
        <w:t>medium from cells cultured in the presence of UK-396082</w:t>
      </w:r>
      <w:r>
        <w:t>,</w:t>
      </w:r>
      <w:r w:rsidRPr="00736A8C">
        <w:t xml:space="preserve"> with epithelial</w:t>
      </w:r>
      <w:r>
        <w:t xml:space="preserve">-like cells </w:t>
      </w:r>
      <w:r w:rsidRPr="00736A8C">
        <w:t>having the most activity followed by mesangial cells (</w:t>
      </w:r>
      <w:r w:rsidR="00A14695">
        <w:rPr>
          <w:rFonts w:eastAsiaTheme="majorEastAsia"/>
          <w:color w:val="000000" w:themeColor="text1"/>
        </w:rPr>
        <w:t>Fig 5.9</w:t>
      </w:r>
      <w:r w:rsidRPr="00736A8C">
        <w:rPr>
          <w:rFonts w:eastAsiaTheme="majorEastAsia"/>
          <w:color w:val="000000" w:themeColor="text1"/>
        </w:rPr>
        <w:t>)</w:t>
      </w:r>
      <w:r w:rsidRPr="00736A8C">
        <w:rPr>
          <w:rFonts w:eastAsia="Times New Roman"/>
          <w:lang w:eastAsia="en-GB"/>
        </w:rPr>
        <w:t>.</w:t>
      </w:r>
      <w:r w:rsidRPr="00736A8C">
        <w:t xml:space="preserve"> </w:t>
      </w:r>
    </w:p>
    <w:p w:rsidR="00CB1EFD" w:rsidRDefault="00CB1EFD" w:rsidP="00CE0BBC">
      <w:pPr>
        <w:ind w:left="1440"/>
      </w:pPr>
      <w:r>
        <w:t>Fig 5.1</w:t>
      </w:r>
      <w:r w:rsidR="00A14695">
        <w:t>0</w:t>
      </w:r>
      <w:r>
        <w:t xml:space="preserve"> also shows an</w:t>
      </w:r>
      <w:r w:rsidRPr="00736A8C">
        <w:t xml:space="preserve"> increase in tPA activity in the presence of </w:t>
      </w:r>
      <w:r w:rsidR="007466EA">
        <w:t xml:space="preserve">1 </w:t>
      </w:r>
      <w:r w:rsidR="007466EA">
        <w:rPr>
          <w:rFonts w:cs="Arial"/>
        </w:rPr>
        <w:t>µ</w:t>
      </w:r>
      <w:r w:rsidR="007466EA">
        <w:t xml:space="preserve">M </w:t>
      </w:r>
      <w:r w:rsidRPr="00736A8C">
        <w:t>UK-396082</w:t>
      </w:r>
      <w:r>
        <w:t xml:space="preserve"> </w:t>
      </w:r>
      <w:r w:rsidRPr="00736A8C">
        <w:t>cultured on fibrin gel in</w:t>
      </w:r>
      <w:r>
        <w:t xml:space="preserve"> a diabetic model. Similarly</w:t>
      </w:r>
      <w:r w:rsidRPr="00736A8C">
        <w:t xml:space="preserve"> more uPA </w:t>
      </w:r>
      <w:r w:rsidRPr="00736A8C">
        <w:lastRenderedPageBreak/>
        <w:t xml:space="preserve">activity </w:t>
      </w:r>
      <w:r>
        <w:t xml:space="preserve">was present </w:t>
      </w:r>
      <w:r w:rsidRPr="00736A8C">
        <w:t xml:space="preserve">in </w:t>
      </w:r>
      <w:r w:rsidR="00A14695">
        <w:t xml:space="preserve">conditioned </w:t>
      </w:r>
      <w:r w:rsidRPr="00736A8C">
        <w:t>medium from cells cultured in the presence of UK-396082 with mesangial cell</w:t>
      </w:r>
      <w:r w:rsidR="004775DB">
        <w:t>s</w:t>
      </w:r>
      <w:r w:rsidRPr="00736A8C">
        <w:t xml:space="preserve"> having the most activity followed by epithelial</w:t>
      </w:r>
      <w:r w:rsidR="007466EA">
        <w:t>-like cells (Fig</w:t>
      </w:r>
      <w:r w:rsidR="0020436E">
        <w:t xml:space="preserve"> 5.11</w:t>
      </w:r>
      <w:r>
        <w:t>).</w:t>
      </w:r>
      <w:r w:rsidRPr="00736A8C">
        <w:t xml:space="preserve"> </w:t>
      </w:r>
      <w:r>
        <w:t>T</w:t>
      </w:r>
      <w:r w:rsidRPr="00736A8C">
        <w:t xml:space="preserve">here was </w:t>
      </w:r>
      <w:r w:rsidR="007466EA">
        <w:t xml:space="preserve">significantly </w:t>
      </w:r>
      <w:r w:rsidRPr="00736A8C">
        <w:t xml:space="preserve">less CPB2 activity in </w:t>
      </w:r>
      <w:r w:rsidR="0020436E">
        <w:t xml:space="preserve">conditioned </w:t>
      </w:r>
      <w:r w:rsidRPr="00736A8C">
        <w:t>medium from cells cultured in the presence of UK-396082</w:t>
      </w:r>
      <w:r>
        <w:t xml:space="preserve"> (</w:t>
      </w:r>
      <w:r w:rsidR="007466EA">
        <w:t xml:space="preserve">Fig </w:t>
      </w:r>
      <w:r w:rsidR="0020436E">
        <w:t>5.12</w:t>
      </w:r>
      <w:r>
        <w:t>).</w:t>
      </w:r>
      <w:r w:rsidRPr="00736A8C">
        <w:t xml:space="preserve"> </w:t>
      </w:r>
    </w:p>
    <w:p w:rsidR="00AD7431" w:rsidRDefault="00CE0BBC" w:rsidP="00CE0BBC">
      <w:pPr>
        <w:ind w:left="1440"/>
      </w:pPr>
      <w:r w:rsidRPr="007A45B7">
        <w:rPr>
          <w:rFonts w:asciiTheme="majorHAnsi" w:hAnsiTheme="majorHAnsi" w:cstheme="majorBidi"/>
          <w:noProof/>
          <w:color w:val="1F4D78" w:themeColor="accent1" w:themeShade="7F"/>
          <w:lang w:eastAsia="en-GB"/>
        </w:rPr>
        <mc:AlternateContent>
          <mc:Choice Requires="wps">
            <w:drawing>
              <wp:anchor distT="0" distB="0" distL="114300" distR="114300" simplePos="0" relativeHeight="251935744" behindDoc="0" locked="0" layoutInCell="1" allowOverlap="1" wp14:anchorId="5AA8F33E" wp14:editId="1E886F7C">
                <wp:simplePos x="0" y="0"/>
                <wp:positionH relativeFrom="margin">
                  <wp:posOffset>1609725</wp:posOffset>
                </wp:positionH>
                <wp:positionV relativeFrom="paragraph">
                  <wp:posOffset>377190</wp:posOffset>
                </wp:positionV>
                <wp:extent cx="453970" cy="211015"/>
                <wp:effectExtent l="0" t="0" r="0" b="0"/>
                <wp:wrapNone/>
                <wp:docPr id="298"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794483">
                            <w:pPr>
                              <w:pStyle w:val="NormalWeb"/>
                            </w:pPr>
                            <w:r>
                              <w:rPr>
                                <w:rFonts w:asciiTheme="minorHAnsi" w:hAnsi="Calibri" w:cstheme="minorBidi"/>
                                <w:color w:val="000000" w:themeColor="text1"/>
                                <w:kern w:val="24"/>
                              </w:rPr>
                              <w:t>****</w:t>
                            </w:r>
                          </w:p>
                          <w:p w:rsidR="00AD6A02" w:rsidRPr="00902E9B" w:rsidRDefault="00AD6A02" w:rsidP="00794483">
                            <w:pPr>
                              <w:pStyle w:val="NormalWeb"/>
                            </w:pPr>
                          </w:p>
                          <w:p w:rsidR="00AD6A02" w:rsidRPr="00902E9B" w:rsidRDefault="00AD6A02" w:rsidP="007A45B7">
                            <w:pPr>
                              <w:pStyle w:val="NormalWeb"/>
                            </w:pPr>
                          </w:p>
                          <w:p w:rsidR="00AD6A02" w:rsidRPr="00902E9B" w:rsidRDefault="00AD6A02" w:rsidP="007A45B7">
                            <w:pPr>
                              <w:pStyle w:val="NormalWeb"/>
                            </w:pPr>
                          </w:p>
                        </w:txbxContent>
                      </wps:txbx>
                      <wps:bodyPr wrap="none">
                        <a:noAutofit/>
                      </wps:bodyPr>
                    </wps:wsp>
                  </a:graphicData>
                </a:graphic>
                <wp14:sizeRelV relativeFrom="margin">
                  <wp14:pctHeight>0</wp14:pctHeight>
                </wp14:sizeRelV>
              </wp:anchor>
            </w:drawing>
          </mc:Choice>
          <mc:Fallback>
            <w:pict>
              <v:rect w14:anchorId="5AA8F33E" id="_x0000_s1136" style="position:absolute;left:0;text-align:left;margin-left:126.75pt;margin-top:29.7pt;width:35.75pt;height:16.6pt;z-index:2519357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N1gwEAAPcCAAAOAAAAZHJzL2Uyb0RvYy54bWysUstOwzAQvCPxD5bvNEmh0EZNK6QKLggq&#10;Ch/gOnZjKfZattukf8/afSG4IS7rx+6OZ2Y9nfe6JTvhvAJT0WKQUyIMh1qZTUU/P55uxpT4wEzN&#10;WjCionvh6Xx2fTXtbCmG0EBbC0cQxPiysxVtQrBllnneCM38AKwwmJTgNAt4dJusdqxDdN1mwzy/&#10;zzpwtXXAhfd4uzgk6SzhSyl4eJPSi0DaiiK3kKJLcR1jNpuycuOYbRQ/0mB/YKGZMvjoGWrBAiNb&#10;p35BacUdeJBhwEFnIKXiImlANUX+Q82qYVYkLWiOt2eb/P/B8tfd0hFVV3Q4wVEZpnFI72gbM5tW&#10;kHE0qLO+xLqVXbrjyeM2qu2l03FFHaRPpu7Ppoo+EI6Xd6PbyQNazzE1LIq8GEXM7NJsnQ/PAjSJ&#10;m4o6fDxZyXYvPhxKTyXYF8kcno+70K/7xB6BT1TXUO9RU4dDrajBX5fQDDxuA0iVEGProeyIiO4m&#10;TsefEMf3/ZyqLv919gUAAP//AwBQSwMEFAAGAAgAAAAhAMIjZMbeAAAACQEAAA8AAABkcnMvZG93&#10;bnJldi54bWxMj8tOwzAQRfdI/IM1SOyoQ4IrGjKpAAkJsUGE19aNTRLhl2ynTf+eYQXL0Rzde26z&#10;Xaxhex3T5B3C5aoApl3v1eQGhLfXh4trYClLp6TxTiMcdYJte3rSyFr5g3vR+y4PjEJcqiXCmHOo&#10;OU/9qK1MKx+0o9+Xj1ZmOuPAVZQHCreGl0Wx5lZOjhpGGfT9qPvvbrYIc/W0mPfuToXn4vHT2ig+&#10;jjIgnp8ttzfAsl7yHwy/+qQOLTnt/OxUYgahFJUgFEFsroARUJWCxu0QNuUaeNvw/wvaHwAAAP//&#10;AwBQSwECLQAUAAYACAAAACEAtoM4kv4AAADhAQAAEwAAAAAAAAAAAAAAAAAAAAAAW0NvbnRlbnRf&#10;VHlwZXNdLnhtbFBLAQItABQABgAIAAAAIQA4/SH/1gAAAJQBAAALAAAAAAAAAAAAAAAAAC8BAABf&#10;cmVscy8ucmVsc1BLAQItABQABgAIAAAAIQBXdyN1gwEAAPcCAAAOAAAAAAAAAAAAAAAAAC4CAABk&#10;cnMvZTJvRG9jLnhtbFBLAQItABQABgAIAAAAIQDCI2TG3gAAAAkBAAAPAAAAAAAAAAAAAAAAAN0D&#10;AABkcnMvZG93bnJldi54bWxQSwUGAAAAAAQABADzAAAA6AQAAAAA&#10;" filled="f" stroked="f">
                <v:textbox>
                  <w:txbxContent>
                    <w:p w:rsidR="00AD6A02" w:rsidRPr="00902E9B" w:rsidRDefault="00AD6A02" w:rsidP="00794483">
                      <w:pPr>
                        <w:pStyle w:val="NormalWeb"/>
                      </w:pPr>
                      <w:r>
                        <w:rPr>
                          <w:rFonts w:asciiTheme="minorHAnsi" w:hAnsi="Calibri" w:cstheme="minorBidi"/>
                          <w:color w:val="000000" w:themeColor="text1"/>
                          <w:kern w:val="24"/>
                        </w:rPr>
                        <w:t>****</w:t>
                      </w:r>
                    </w:p>
                    <w:p w:rsidR="00AD6A02" w:rsidRPr="00902E9B" w:rsidRDefault="00AD6A02" w:rsidP="00794483">
                      <w:pPr>
                        <w:pStyle w:val="NormalWeb"/>
                      </w:pPr>
                    </w:p>
                    <w:p w:rsidR="00AD6A02" w:rsidRPr="00902E9B" w:rsidRDefault="00AD6A02" w:rsidP="007A45B7">
                      <w:pPr>
                        <w:pStyle w:val="NormalWeb"/>
                      </w:pPr>
                    </w:p>
                    <w:p w:rsidR="00AD6A02" w:rsidRPr="00902E9B" w:rsidRDefault="00AD6A02" w:rsidP="007A45B7">
                      <w:pPr>
                        <w:pStyle w:val="NormalWeb"/>
                      </w:pPr>
                    </w:p>
                  </w:txbxContent>
                </v:textbox>
                <w10:wrap anchorx="margin"/>
              </v:rect>
            </w:pict>
          </mc:Fallback>
        </mc:AlternateContent>
      </w:r>
      <w:r w:rsidRPr="00A93588">
        <w:rPr>
          <w:rFonts w:asciiTheme="minorHAnsi" w:hAnsiTheme="minorHAnsi" w:cstheme="minorBidi"/>
          <w:noProof/>
          <w:lang w:eastAsia="en-GB"/>
        </w:rPr>
        <mc:AlternateContent>
          <mc:Choice Requires="wps">
            <w:drawing>
              <wp:anchor distT="0" distB="0" distL="114300" distR="114300" simplePos="0" relativeHeight="251921408" behindDoc="0" locked="0" layoutInCell="1" allowOverlap="1" wp14:anchorId="436C7ACA" wp14:editId="33AF7485">
                <wp:simplePos x="0" y="0"/>
                <wp:positionH relativeFrom="column">
                  <wp:posOffset>1809115</wp:posOffset>
                </wp:positionH>
                <wp:positionV relativeFrom="paragraph">
                  <wp:posOffset>449580</wp:posOffset>
                </wp:positionV>
                <wp:extent cx="54611" cy="403860"/>
                <wp:effectExtent l="0" t="79375" r="18415" b="18415"/>
                <wp:wrapNone/>
                <wp:docPr id="291" name="Right Brace 1"/>
                <wp:cNvGraphicFramePr/>
                <a:graphic xmlns:a="http://schemas.openxmlformats.org/drawingml/2006/main">
                  <a:graphicData uri="http://schemas.microsoft.com/office/word/2010/wordprocessingShape">
                    <wps:wsp>
                      <wps:cNvSpPr/>
                      <wps:spPr>
                        <a:xfrm rot="16200000" flipV="1">
                          <a:off x="0" y="0"/>
                          <a:ext cx="54611" cy="40386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CC2DA4B" id="Right Brace 1" o:spid="_x0000_s1026" type="#_x0000_t88" style="position:absolute;margin-left:142.45pt;margin-top:35.4pt;width:4.3pt;height:31.8pt;rotation:90;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5N+wEAAPYDAAAOAAAAZHJzL2Uyb0RvYy54bWysU8tu2zAQvBfoPxC815KcxHANywEaw70U&#10;bdCkuW8oUiLAF7isZf99l5Tjxs2tCA8EXzucmd1d3x6sYXsZUXvX8mZWcyad8J12fct/Pe4+LTnD&#10;BK4D451s+VEiv918/LAew0rO/eBNJyMjEIerMbR8SCmsqgrFIC3gzAfp6FL5aCHRNvZVF2EkdGuq&#10;eV0vqtHHLkQvJCKdbqdLvin4SkmRfiiFMjHTcuKWyhzL/JznarOGVR8hDFqcaMB/sLCgHX16htpC&#10;AvY76jdQVovo0as0E95WXiktZNFAapr6HzUPAwRZtJA5GM424fvBiu/7+8h01/L554YzB5aS9FP3&#10;Q2JfIgjJmmzRGHBFLx/CfTztkJZZ70FFy6InX5sF5YMGZ8ro8EQHxRCSyA7F7+PZb3lITNDhzfWi&#10;oU8F3VzXV8tFSUc1gWbwEDF9ld6yvGh5zLQKq4IM+2+YiA4FvDzMQeiN7nbamLI54p2JbA+Ufqqa&#10;zo+cGcBEhy3flZH1EcRFmHFsbPni6obUCKCyVAYSLW0go9D1nIHpqd5FioXKRTC++fORBL/6t9j0&#10;ovUiNOvYAg4T4XI1VajVidrEaNvy5eTyxNq4rFKWQj+5kXM1ZSevnn13pATHZO781ALgxOBJfeae&#10;QfIrKq5iwqkRcvW+3pdXf9t18wcAAP//AwBQSwMEFAAGAAgAAAAhAF0e8grfAAAACgEAAA8AAABk&#10;cnMvZG93bnJldi54bWxMj8FOwzAMhu9IvENkJG4sbTfGVppOCAkxoR22Ue5Za5pqiVM12da9PeYE&#10;R8uff39/sRqdFWccQudJQTpJQCDVvumoVVB9vj0sQISoqdHWEyq4YoBVeXtT6LzxF9rheR9bwSEU&#10;cq3AxNjnUobaoNNh4nsk3n37wenI49DKZtAXDndWZkkyl053xB+M7vHVYH3cnxxrzKorVvYY6+17&#10;ipvtbv1hvtZK3d+NL88gIo7xD4Zffb6Bkp0O/kRNEFZB9vg0Y1TBcjEFwcA0S7ncgclkvgRZFvJ/&#10;hfIHAAD//wMAUEsBAi0AFAAGAAgAAAAhALaDOJL+AAAA4QEAABMAAAAAAAAAAAAAAAAAAAAAAFtD&#10;b250ZW50X1R5cGVzXS54bWxQSwECLQAUAAYACAAAACEAOP0h/9YAAACUAQAACwAAAAAAAAAAAAAA&#10;AAAvAQAAX3JlbHMvLnJlbHNQSwECLQAUAAYACAAAACEA3ZV+TfsBAAD2AwAADgAAAAAAAAAAAAAA&#10;AAAuAgAAZHJzL2Uyb0RvYy54bWxQSwECLQAUAAYACAAAACEAXR7yCt8AAAAKAQAADwAAAAAAAAAA&#10;AAAAAABVBAAAZHJzL2Rvd25yZXYueG1sUEsFBgAAAAAEAAQA8wAAAGEFAAAAAA==&#10;" adj="243" filled="t" fillcolor="window" strokecolor="windowText" strokeweight=".5pt">
                <v:stroke joinstyle="miter"/>
              </v:shape>
            </w:pict>
          </mc:Fallback>
        </mc:AlternateContent>
      </w:r>
      <w:r w:rsidRPr="00794483">
        <w:rPr>
          <w:rFonts w:asciiTheme="majorHAnsi" w:hAnsiTheme="majorHAnsi" w:cstheme="majorBidi"/>
          <w:noProof/>
          <w:color w:val="1F4D78" w:themeColor="accent1" w:themeShade="7F"/>
          <w:lang w:eastAsia="en-GB"/>
        </w:rPr>
        <mc:AlternateContent>
          <mc:Choice Requires="wps">
            <w:drawing>
              <wp:anchor distT="0" distB="0" distL="114300" distR="114300" simplePos="0" relativeHeight="251937792" behindDoc="0" locked="0" layoutInCell="1" allowOverlap="1" wp14:anchorId="70DD101F" wp14:editId="6BC079F5">
                <wp:simplePos x="0" y="0"/>
                <wp:positionH relativeFrom="margin">
                  <wp:posOffset>3281997</wp:posOffset>
                </wp:positionH>
                <wp:positionV relativeFrom="paragraph">
                  <wp:posOffset>749617</wp:posOffset>
                </wp:positionV>
                <wp:extent cx="453970" cy="211015"/>
                <wp:effectExtent l="0" t="0" r="0" b="0"/>
                <wp:wrapNone/>
                <wp:docPr id="299"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794483">
                            <w:pPr>
                              <w:pStyle w:val="NormalWeb"/>
                            </w:pPr>
                            <w:r>
                              <w:rPr>
                                <w:rFonts w:asciiTheme="minorHAnsi" w:hAnsi="Calibri" w:cstheme="minorBidi"/>
                                <w:color w:val="000000" w:themeColor="text1"/>
                                <w:kern w:val="24"/>
                              </w:rPr>
                              <w:t>***</w:t>
                            </w:r>
                          </w:p>
                          <w:p w:rsidR="00AD6A02" w:rsidRPr="00902E9B" w:rsidRDefault="00AD6A02" w:rsidP="00794483">
                            <w:pPr>
                              <w:pStyle w:val="NormalWeb"/>
                            </w:pPr>
                          </w:p>
                          <w:p w:rsidR="00AD6A02" w:rsidRPr="00902E9B" w:rsidRDefault="00AD6A02" w:rsidP="00794483">
                            <w:pPr>
                              <w:pStyle w:val="NormalWeb"/>
                            </w:pPr>
                          </w:p>
                          <w:p w:rsidR="00AD6A02" w:rsidRPr="00902E9B" w:rsidRDefault="00AD6A02" w:rsidP="00794483">
                            <w:pPr>
                              <w:pStyle w:val="NormalWeb"/>
                            </w:pPr>
                          </w:p>
                        </w:txbxContent>
                      </wps:txbx>
                      <wps:bodyPr wrap="none">
                        <a:noAutofit/>
                      </wps:bodyPr>
                    </wps:wsp>
                  </a:graphicData>
                </a:graphic>
                <wp14:sizeRelV relativeFrom="margin">
                  <wp14:pctHeight>0</wp14:pctHeight>
                </wp14:sizeRelV>
              </wp:anchor>
            </w:drawing>
          </mc:Choice>
          <mc:Fallback>
            <w:pict>
              <v:rect w14:anchorId="70DD101F" id="_x0000_s1137" style="position:absolute;left:0;text-align:left;margin-left:258.4pt;margin-top:59pt;width:35.75pt;height:16.6pt;z-index:2519377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ThhAEAAPcCAAAOAAAAZHJzL2Uyb0RvYy54bWysUstOwzAQvCPxD5bvNEmh0EZNK6QKLggq&#10;Ch/gOnZjKfZattukf8/afSG4IS7rx65nZ2Y9nfe6JTvhvAJT0WKQUyIMh1qZTUU/P55uxpT4wEzN&#10;WjCionvh6Xx2fTXtbCmG0EBbC0cQxPiysxVtQrBllnneCM38AKwwmJTgNAt4dJusdqxDdN1mwzy/&#10;zzpwtXXAhfd4uzgk6SzhSyl4eJPSi0DaiiK3kKJLcR1jNpuycuOYbRQ/0mB/YKGZMtj0DLVggZGt&#10;U7+gtOIOPMgw4KAzkFJxkTSgmiL/oWbVMCuSFjTH27NN/v9g+etu6YiqKzqcTCgxTOOQ3tE2Zjat&#10;IONoUGd9iXUru3THk8dtVNtLp+OKOkifTN2fTRV9IBwv70a3kwe0nmNqWBR5MYqY2eWxdT48C9Ak&#10;birqsHmyku1efDiUnkrwXSRzaB93oV/3iX1RFCeqa6j3qKnDoVbU4K9LaAYetwGkSojx6aHsiIju&#10;Jk7HnxDH9/2cqi7/dfYFAAD//wMAUEsDBBQABgAIAAAAIQBAmu643wAAAAsBAAAPAAAAZHJzL2Rv&#10;d25yZXYueG1sTI/NTsMwEITvSLyDtUjcqJNWqaIQpwIkJMQFkfJzdeMlibDXke206duznOC4M6PZ&#10;b+rd4qw4YoijJwX5KgOB1HkzUq/gbf94U4KISZPR1hMqOGOEXXN5UevK+BO94rFNveASipVWMKQ0&#10;VVLGbkCn48pPSOx9+eB04jP00gR94nJn5TrLttLpkfjDoCd8GLD7bmenYN48L/a9vTfTS/b06Vwo&#10;Ps56Uur6arm7BZFwSX9h+MVndGiY6eBnMlFYBUW+ZfTERl7yKE4UZbkBcWClyNcgm1r+39D8AAAA&#10;//8DAFBLAQItABQABgAIAAAAIQC2gziS/gAAAOEBAAATAAAAAAAAAAAAAAAAAAAAAABbQ29udGVu&#10;dF9UeXBlc10ueG1sUEsBAi0AFAAGAAgAAAAhADj9If/WAAAAlAEAAAsAAAAAAAAAAAAAAAAALwEA&#10;AF9yZWxzLy5yZWxzUEsBAi0AFAAGAAgAAAAhABXAdOGEAQAA9wIAAA4AAAAAAAAAAAAAAAAALgIA&#10;AGRycy9lMm9Eb2MueG1sUEsBAi0AFAAGAAgAAAAhAECa7rjfAAAACwEAAA8AAAAAAAAAAAAAAAAA&#10;3gMAAGRycy9kb3ducmV2LnhtbFBLBQYAAAAABAAEAPMAAADqBAAAAAA=&#10;" filled="f" stroked="f">
                <v:textbox>
                  <w:txbxContent>
                    <w:p w:rsidR="00AD6A02" w:rsidRPr="00902E9B" w:rsidRDefault="00AD6A02" w:rsidP="00794483">
                      <w:pPr>
                        <w:pStyle w:val="NormalWeb"/>
                      </w:pPr>
                      <w:r>
                        <w:rPr>
                          <w:rFonts w:asciiTheme="minorHAnsi" w:hAnsi="Calibri" w:cstheme="minorBidi"/>
                          <w:color w:val="000000" w:themeColor="text1"/>
                          <w:kern w:val="24"/>
                        </w:rPr>
                        <w:t>***</w:t>
                      </w:r>
                    </w:p>
                    <w:p w:rsidR="00AD6A02" w:rsidRPr="00902E9B" w:rsidRDefault="00AD6A02" w:rsidP="00794483">
                      <w:pPr>
                        <w:pStyle w:val="NormalWeb"/>
                      </w:pPr>
                    </w:p>
                    <w:p w:rsidR="00AD6A02" w:rsidRPr="00902E9B" w:rsidRDefault="00AD6A02" w:rsidP="00794483">
                      <w:pPr>
                        <w:pStyle w:val="NormalWeb"/>
                      </w:pPr>
                    </w:p>
                    <w:p w:rsidR="00AD6A02" w:rsidRPr="00902E9B" w:rsidRDefault="00AD6A02" w:rsidP="00794483">
                      <w:pPr>
                        <w:pStyle w:val="NormalWeb"/>
                      </w:pPr>
                    </w:p>
                  </w:txbxContent>
                </v:textbox>
                <w10:wrap anchorx="margin"/>
              </v:rect>
            </w:pict>
          </mc:Fallback>
        </mc:AlternateContent>
      </w:r>
      <w:r w:rsidRPr="00A93588">
        <w:rPr>
          <w:rFonts w:asciiTheme="minorHAnsi" w:hAnsiTheme="minorHAnsi" w:cstheme="minorBidi"/>
          <w:noProof/>
          <w:lang w:eastAsia="en-GB"/>
        </w:rPr>
        <mc:AlternateContent>
          <mc:Choice Requires="wps">
            <w:drawing>
              <wp:anchor distT="0" distB="0" distL="114300" distR="114300" simplePos="0" relativeHeight="251919360" behindDoc="0" locked="0" layoutInCell="1" allowOverlap="1" wp14:anchorId="436C7ACA" wp14:editId="33AF7485">
                <wp:simplePos x="0" y="0"/>
                <wp:positionH relativeFrom="column">
                  <wp:posOffset>3473132</wp:posOffset>
                </wp:positionH>
                <wp:positionV relativeFrom="paragraph">
                  <wp:posOffset>760412</wp:posOffset>
                </wp:positionV>
                <wp:extent cx="54611" cy="448945"/>
                <wp:effectExtent l="0" t="82868" r="14923" b="14922"/>
                <wp:wrapNone/>
                <wp:docPr id="290" name="Right Brace 1"/>
                <wp:cNvGraphicFramePr/>
                <a:graphic xmlns:a="http://schemas.openxmlformats.org/drawingml/2006/main">
                  <a:graphicData uri="http://schemas.microsoft.com/office/word/2010/wordprocessingShape">
                    <wps:wsp>
                      <wps:cNvSpPr/>
                      <wps:spPr>
                        <a:xfrm rot="16200000" flipV="1">
                          <a:off x="0" y="0"/>
                          <a:ext cx="54611" cy="448945"/>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7B3BA31" id="Right Brace 1" o:spid="_x0000_s1026" type="#_x0000_t88" style="position:absolute;margin-left:273.45pt;margin-top:59.85pt;width:4.3pt;height:35.35pt;rotation:90;flip: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W2W/AEAAPYDAAAOAAAAZHJzL2Uyb0RvYy54bWysU01v2zAMvQ/YfxB0XxxnSdAacQqsQXYZ&#10;tmLtdmdlyRagL4hanPz7UXKaNettmA6CJIqPfI/k5u5oDTvIiNq7ltezOWfSCd9p17f8x9P+ww1n&#10;mMB1YLyTLT9J5Hfb9+82Y2jkwg/edDIyAnHYjKHlQ0qhqSoUg7SAMx+kI6Py0UKia+yrLsJI6NZU&#10;i/l8XY0+diF6IRHpdTcZ+bbgKyVF+qYUysRMyym3VPZY9ue8V9sNNH2EMGhxTgP+IQsL2lHQC9QO&#10;ErBfUb+BslpEj16lmfC28kppIQsHYlPP/2LzOECQhQuJg+EiE/4/WPH18BCZ7lq+uCV9HFgq0nfd&#10;D4l9iiAkq7NEY8CGfj6Gh3i+IR0z36OKlkVPutZrqgctzpTR4Sc9FEGIIjsWvU8XveUxMUGPq+W6&#10;rjkTZFkub26XqxyrmkAzeIiYPktvWT60POa0SlYFGQ5fME0OLx+zE3qju702plxOeG8iOwCVn7qm&#10;8yNnBjDRY8v3ZZ1jXrkZx8aWrz+uiI0AaktlINHRBhIKXc8ZmJ76XaRYUrlyxjcxn4jwq7hFptJ6&#10;xPXKNfPYAQ5TwsWU04PG6kRjYrRt+c2k8kTcuGyVpdHPauRaTdXJp2ffnajAMZl7P40AODF4Yp9z&#10;zyD5FzVXEf48CLl7X9/Lrz/juv0NAAD//wMAUEsDBBQABgAIAAAAIQAynUf73wAAAAsBAAAPAAAA&#10;ZHJzL2Rvd25yZXYueG1sTI8xT8MwEIV3JP6DdUhs1ClKohLiVKgSAwND2yxs19jEofY5it02/fdc&#10;J9ju7j29+169nr0TZzPFIZCC5SIDYagLeqBeQbt/f1qBiAlJowtkFFxNhHVzf1djpcOFtua8S73g&#10;EIoVKrApjZWUsbPGY1yE0RBr32HymHideqknvHC4d/I5y0rpcSD+YHE0G2u64+7kFRSbbWdz3Oc/&#10;+HntXXv8KMf2S6nHh/ntFUQyc/ozww2f0aFhpkM4kY7CccayYPTEQpHxwI5iVRYgDrfLSw6yqeX/&#10;Ds0vAAAA//8DAFBLAQItABQABgAIAAAAIQC2gziS/gAAAOEBAAATAAAAAAAAAAAAAAAAAAAAAABb&#10;Q29udGVudF9UeXBlc10ueG1sUEsBAi0AFAAGAAgAAAAhADj9If/WAAAAlAEAAAsAAAAAAAAAAAAA&#10;AAAALwEAAF9yZWxzLy5yZWxzUEsBAi0AFAAGAAgAAAAhAJ2xbZb8AQAA9gMAAA4AAAAAAAAAAAAA&#10;AAAALgIAAGRycy9lMm9Eb2MueG1sUEsBAi0AFAAGAAgAAAAhADKdR/vfAAAACwEAAA8AAAAAAAAA&#10;AAAAAAAAVgQAAGRycy9kb3ducmV2LnhtbFBLBQYAAAAABAAEAPMAAABiBQAAAAA=&#10;" adj="219" filled="t" fillcolor="window" strokecolor="windowText" strokeweight=".5pt">
                <v:stroke joinstyle="miter"/>
              </v:shape>
            </w:pict>
          </mc:Fallback>
        </mc:AlternateContent>
      </w:r>
      <w:r w:rsidR="00AD7431">
        <w:tab/>
      </w:r>
      <w:r>
        <w:object w:dxaOrig="11254" w:dyaOrig="4224">
          <v:shape id="_x0000_i1052" type="#_x0000_t75" style="width:428.25pt;height:162.75pt" o:ole="">
            <v:imagedata r:id="rId135" o:title=""/>
          </v:shape>
          <o:OLEObject Type="Embed" ProgID="Prism7.Document" ShapeID="_x0000_i1052" DrawAspect="Content" ObjectID="_1583750222" r:id="rId136"/>
        </w:object>
      </w:r>
    </w:p>
    <w:p w:rsidR="00C151E5" w:rsidRDefault="00A71557" w:rsidP="00CE0BBC">
      <w:pPr>
        <w:pStyle w:val="LegText"/>
        <w:ind w:left="1440"/>
      </w:pPr>
      <w:bookmarkStart w:id="399" w:name="_Toc504640620"/>
      <w:r>
        <w:rPr>
          <w:rStyle w:val="SubtitleChar"/>
        </w:rPr>
        <w:t>Figure 5.9</w:t>
      </w:r>
      <w:r w:rsidR="00AD7431" w:rsidRPr="00AD7431">
        <w:rPr>
          <w:rStyle w:val="SubtitleChar"/>
        </w:rPr>
        <w:t xml:space="preserve"> Plasmin activity in cells the </w:t>
      </w:r>
      <w:r w:rsidR="00CB1EFD">
        <w:rPr>
          <w:rStyle w:val="SubtitleChar"/>
        </w:rPr>
        <w:t xml:space="preserve">in </w:t>
      </w:r>
      <w:r w:rsidR="00AD7431" w:rsidRPr="00AD7431">
        <w:rPr>
          <w:rStyle w:val="SubtitleChar"/>
        </w:rPr>
        <w:t xml:space="preserve">presence and absence of </w:t>
      </w:r>
      <w:r w:rsidR="00CB1EFD">
        <w:rPr>
          <w:rStyle w:val="SubtitleChar"/>
        </w:rPr>
        <w:t xml:space="preserve">UK-396082 </w:t>
      </w:r>
      <w:r w:rsidR="00AD7431" w:rsidRPr="00AD7431">
        <w:rPr>
          <w:rStyle w:val="SubtitleChar"/>
        </w:rPr>
        <w:t>inhibitor in a diabetic mode</w:t>
      </w:r>
      <w:r w:rsidR="00CB1EFD">
        <w:rPr>
          <w:rStyle w:val="SubtitleChar"/>
        </w:rPr>
        <w:t>l</w:t>
      </w:r>
      <w:r w:rsidR="00E95F2E">
        <w:rPr>
          <w:rStyle w:val="SubtitleChar"/>
        </w:rPr>
        <w:t xml:space="preserve"> cultured on fibrin</w:t>
      </w:r>
      <w:r w:rsidR="00AD7431">
        <w:rPr>
          <w:rStyle w:val="SubtitleChar"/>
        </w:rPr>
        <w:t>.</w:t>
      </w:r>
      <w:bookmarkEnd w:id="399"/>
      <w:r w:rsidR="00AD7431">
        <w:rPr>
          <w:rFonts w:eastAsiaTheme="majorEastAsia"/>
          <w:color w:val="000000" w:themeColor="text1"/>
        </w:rPr>
        <w:t xml:space="preserve"> </w:t>
      </w:r>
      <w:r w:rsidR="00CB1EFD">
        <w:t>A one way ANOVA test followed by Tukey’s multiple comparison test showed a significant difference of P&lt;0.00001 in epithelial-like cell and P&lt;0.0001 in mesangial cell. n=3.</w:t>
      </w:r>
    </w:p>
    <w:p w:rsidR="00202D5D" w:rsidRPr="00483E3A" w:rsidRDefault="00202D5D" w:rsidP="00CE0BBC">
      <w:pPr>
        <w:pStyle w:val="LegText"/>
        <w:ind w:left="1440"/>
        <w:rPr>
          <w:rFonts w:eastAsia="Calibri"/>
          <w:sz w:val="24"/>
          <w:szCs w:val="24"/>
        </w:rPr>
      </w:pPr>
    </w:p>
    <w:p w:rsidR="00AD7431" w:rsidRDefault="00AD7431" w:rsidP="00AD7431">
      <w:pPr>
        <w:pStyle w:val="LegText"/>
        <w:ind w:left="720"/>
        <w:rPr>
          <w:rFonts w:eastAsiaTheme="majorEastAsia"/>
          <w:color w:val="000000" w:themeColor="text1"/>
        </w:rPr>
      </w:pPr>
    </w:p>
    <w:p w:rsidR="00E46B22" w:rsidRDefault="00E46B22" w:rsidP="00AD7431">
      <w:pPr>
        <w:pStyle w:val="LegText"/>
        <w:ind w:left="720"/>
        <w:rPr>
          <w:rFonts w:eastAsiaTheme="majorEastAsia"/>
          <w:color w:val="000000" w:themeColor="text1"/>
        </w:rPr>
      </w:pPr>
    </w:p>
    <w:p w:rsidR="00AD7431" w:rsidRDefault="00CE0BBC" w:rsidP="00CE0BBC">
      <w:pPr>
        <w:pStyle w:val="LegText"/>
        <w:ind w:left="720" w:firstLine="720"/>
      </w:pPr>
      <w:r w:rsidRPr="007B3F82">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39840" behindDoc="0" locked="0" layoutInCell="1" allowOverlap="1" wp14:anchorId="70DD101F" wp14:editId="6BC079F5">
                <wp:simplePos x="0" y="0"/>
                <wp:positionH relativeFrom="margin">
                  <wp:posOffset>1600200</wp:posOffset>
                </wp:positionH>
                <wp:positionV relativeFrom="paragraph">
                  <wp:posOffset>172719</wp:posOffset>
                </wp:positionV>
                <wp:extent cx="453970" cy="211015"/>
                <wp:effectExtent l="0" t="0" r="0" b="0"/>
                <wp:wrapNone/>
                <wp:docPr id="300"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7B3F82">
                            <w:pPr>
                              <w:pStyle w:val="NormalWeb"/>
                            </w:pPr>
                            <w:r>
                              <w:rPr>
                                <w:rFonts w:asciiTheme="minorHAnsi" w:hAnsi="Calibri" w:cstheme="minorBidi"/>
                                <w:color w:val="000000" w:themeColor="text1"/>
                                <w:kern w:val="24"/>
                              </w:rPr>
                              <w:t>****</w:t>
                            </w:r>
                          </w:p>
                          <w:p w:rsidR="00AD6A02" w:rsidRPr="00902E9B" w:rsidRDefault="00AD6A02" w:rsidP="007B3F82">
                            <w:pPr>
                              <w:pStyle w:val="NormalWeb"/>
                            </w:pPr>
                          </w:p>
                          <w:p w:rsidR="00AD6A02" w:rsidRPr="00902E9B" w:rsidRDefault="00AD6A02" w:rsidP="007B3F82">
                            <w:pPr>
                              <w:pStyle w:val="NormalWeb"/>
                            </w:pPr>
                          </w:p>
                          <w:p w:rsidR="00AD6A02" w:rsidRPr="00902E9B" w:rsidRDefault="00AD6A02" w:rsidP="007B3F82">
                            <w:pPr>
                              <w:pStyle w:val="NormalWeb"/>
                            </w:pPr>
                          </w:p>
                        </w:txbxContent>
                      </wps:txbx>
                      <wps:bodyPr wrap="none">
                        <a:noAutofit/>
                      </wps:bodyPr>
                    </wps:wsp>
                  </a:graphicData>
                </a:graphic>
                <wp14:sizeRelV relativeFrom="margin">
                  <wp14:pctHeight>0</wp14:pctHeight>
                </wp14:sizeRelV>
              </wp:anchor>
            </w:drawing>
          </mc:Choice>
          <mc:Fallback>
            <w:pict>
              <v:rect w14:anchorId="70DD101F" id="_x0000_s1138" style="position:absolute;left:0;text-align:left;margin-left:126pt;margin-top:13.6pt;width:35.75pt;height:16.6pt;z-index:2519398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fQmhAEAAPcCAAAOAAAAZHJzL2Uyb0RvYy54bWysUstOwzAQvCPxD5bvNElLoURNK6QKLggq&#10;Ch/gOnZjKfZattukf8/afSG4IS7rx65nZ2Y9nfe6JTvhvAJT0WKQUyIMh1qZTUU/P55uJpT4wEzN&#10;WjCionvh6Xx2fTXtbCmG0EBbC0cQxPiysxVtQrBllnneCM38AKwwmJTgNAt4dJusdqxDdN1mwzy/&#10;yzpwtXXAhfd4uzgk6SzhSyl4eJPSi0DaiiK3kKJLcR1jNpuycuOYbRQ/0mB/YKGZMtj0DLVggZGt&#10;U7+gtOIOPMgw4KAzkFJxkTSgmiL/oWbVMCuSFjTH27NN/v9g+etu6YiqKzrK0R/DNA7pHW1jZtMK&#10;MokGddaXWLeyS3c8edxGtb10Oq6og/TJ1P3ZVNEHwvHydjx6uEdojqlhUeTFOGJml8fW+fAsQJO4&#10;qajD5slKtnvx4VB6KsF3kcyhfdyFft0n9kUxPFFdQ71HTR0OtaIGf11CM/C4DSBVQoxPD2VHRHQ3&#10;cTr+hDi+7+dUdfmvsy8AAAD//wMAUEsDBBQABgAIAAAAIQATipio3gAAAAkBAAAPAAAAZHJzL2Rv&#10;d25yZXYueG1sTI/NTsMwEITvSLyDtUjcqI1DCgpxKkBCQlxQw991G5skwl5HttOmb485wW1WM5r9&#10;pt4szrK9CXH0pOByJYAZ6rweqVfw9vp4cQMsJiSN1pNRcDQRNs3pSY2V9gfamn2bepZLKFaoYEhp&#10;qjiP3WAcxpWfDGXvyweHKZ+h5zrgIZc7y6UQa+5wpPxhwMk8DKb7bmenYC6eF/ve3uvpRTx9OhfK&#10;jyNOSp2fLXe3wJJZ0l8YfvEzOjSZaedn0pFZBbKUeUvK4loCy4FCFiWwnYK1uALe1Pz/guYHAAD/&#10;/wMAUEsBAi0AFAAGAAgAAAAhALaDOJL+AAAA4QEAABMAAAAAAAAAAAAAAAAAAAAAAFtDb250ZW50&#10;X1R5cGVzXS54bWxQSwECLQAUAAYACAAAACEAOP0h/9YAAACUAQAACwAAAAAAAAAAAAAAAAAvAQAA&#10;X3JlbHMvLnJlbHNQSwECLQAUAAYACAAAACEA3sX0JoQBAAD3AgAADgAAAAAAAAAAAAAAAAAuAgAA&#10;ZHJzL2Uyb0RvYy54bWxQSwECLQAUAAYACAAAACEAE4qYqN4AAAAJAQAADwAAAAAAAAAAAAAAAADe&#10;AwAAZHJzL2Rvd25yZXYueG1sUEsFBgAAAAAEAAQA8wAAAOkEAAAAAA==&#10;" filled="f" stroked="f">
                <v:textbox>
                  <w:txbxContent>
                    <w:p w:rsidR="00AD6A02" w:rsidRPr="00902E9B" w:rsidRDefault="00AD6A02" w:rsidP="007B3F82">
                      <w:pPr>
                        <w:pStyle w:val="NormalWeb"/>
                      </w:pPr>
                      <w:r>
                        <w:rPr>
                          <w:rFonts w:asciiTheme="minorHAnsi" w:hAnsi="Calibri" w:cstheme="minorBidi"/>
                          <w:color w:val="000000" w:themeColor="text1"/>
                          <w:kern w:val="24"/>
                        </w:rPr>
                        <w:t>****</w:t>
                      </w:r>
                    </w:p>
                    <w:p w:rsidR="00AD6A02" w:rsidRPr="00902E9B" w:rsidRDefault="00AD6A02" w:rsidP="007B3F82">
                      <w:pPr>
                        <w:pStyle w:val="NormalWeb"/>
                      </w:pPr>
                    </w:p>
                    <w:p w:rsidR="00AD6A02" w:rsidRPr="00902E9B" w:rsidRDefault="00AD6A02" w:rsidP="007B3F82">
                      <w:pPr>
                        <w:pStyle w:val="NormalWeb"/>
                      </w:pPr>
                    </w:p>
                    <w:p w:rsidR="00AD6A02" w:rsidRPr="00902E9B" w:rsidRDefault="00AD6A02" w:rsidP="007B3F82">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25504" behindDoc="0" locked="0" layoutInCell="1" allowOverlap="1" wp14:anchorId="436C7ACA" wp14:editId="33AF7485">
                <wp:simplePos x="0" y="0"/>
                <wp:positionH relativeFrom="column">
                  <wp:posOffset>1837690</wp:posOffset>
                </wp:positionH>
                <wp:positionV relativeFrom="paragraph">
                  <wp:posOffset>220346</wp:posOffset>
                </wp:positionV>
                <wp:extent cx="54611" cy="384810"/>
                <wp:effectExtent l="6350" t="69850" r="27940" b="27940"/>
                <wp:wrapNone/>
                <wp:docPr id="293" name="Right Brace 1"/>
                <wp:cNvGraphicFramePr/>
                <a:graphic xmlns:a="http://schemas.openxmlformats.org/drawingml/2006/main">
                  <a:graphicData uri="http://schemas.microsoft.com/office/word/2010/wordprocessingShape">
                    <wps:wsp>
                      <wps:cNvSpPr/>
                      <wps:spPr>
                        <a:xfrm rot="16200000" flipV="1">
                          <a:off x="0" y="0"/>
                          <a:ext cx="54611" cy="38481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6ECAF65" id="Right Brace 1" o:spid="_x0000_s1026" type="#_x0000_t88" style="position:absolute;margin-left:144.7pt;margin-top:17.35pt;width:4.3pt;height:30.3pt;rotation:90;flip: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Kr/AEAAPYDAAAOAAAAZHJzL2Uyb0RvYy54bWysU01vEzEQvSPxHyzfyWaTNgqrbCrRKFwQ&#10;VLRwn3rtXUv+ksdkk3/P2JuGht4QPlj+muf33sxs7o7WsIOMqL1reT2bcyad8J12fct/PO0/rDnD&#10;BK4D451s+Ukiv9u+f7cZQyMXfvCmk5ERiMNmDC0fUgpNVaEYpAWc+SAdXSofLSTaxr7qIoyEbk21&#10;mM9X1ehjF6IXEpFOd9Ml3xZ8paRI35RCmZhpOXFLZY5lfs5ztd1A00cIgxZnGvAPLCxoR59eoHaQ&#10;gP2K+g2U1SJ69CrNhLeVV0oLWTSQmnr+l5rHAYIsWsgcDBeb8P/Biq+Hh8h01/LFxyVnDiwl6bvu&#10;h8Q+RRCS1dmiMWBDLx/DQzzvkJZZ71FFy6InX+sV5YMGZ8ro8JMOiiEkkR2L36eL3/KYmKDD25tV&#10;XXMm6Ga5vlnXJR3VBJrBQ8T0WXrL8qLlMdMqrAoyHL5gIjoU8PIwB6E3uttrY8rmhPcmsgNQ+qlq&#10;Oj9yZgATHbZ8X0bWRxBXYcaxseWr5S2pEUBlqQwkWtpARqHrOQPTU72LFAuVq2B88+cTCX71b7Hp&#10;RetVaNaxAxwmwuVqqlCrE7WJ0bbl68nlibVxWaUshX52I+dqyk5ePfvuRAmOydz7qQXAicGT+sw9&#10;g+RXVFzFhHMj5Op9vS+v/rTr9jcAAAD//wMAUEsDBBQABgAIAAAAIQCHFqu43gAAAAkBAAAPAAAA&#10;ZHJzL2Rvd25yZXYueG1sTI/BToNAEIbvJr7DZky82UVoUJGlIRq9mGho9b6wIxDZWcJuKfbpOz3p&#10;cWa+/PP9+Waxg5hx8r0jBberCARS40xPrYLP3cvNPQgfNBk9OEIFv+hhU1xe5Doz7kAVztvQCg4h&#10;n2kFXQhjJqVvOrTar9yIxLdvN1kdeJxaaSZ94HA7yDiKUml1T/yh0yM+ddj8bPdWQfX8vpQ7dPNr&#10;NcdvQ32U5fHrQ6nrq6V8BBFwCX8wnPVZHQp2qt2ejBeDgjhN1owqSKM7EAwk8ZrL1bx4SEAWufzf&#10;oDgBAAD//wMAUEsBAi0AFAAGAAgAAAAhALaDOJL+AAAA4QEAABMAAAAAAAAAAAAAAAAAAAAAAFtD&#10;b250ZW50X1R5cGVzXS54bWxQSwECLQAUAAYACAAAACEAOP0h/9YAAACUAQAACwAAAAAAAAAAAAAA&#10;AAAvAQAAX3JlbHMvLnJlbHNQSwECLQAUAAYACAAAACEAWsoSq/wBAAD2AwAADgAAAAAAAAAAAAAA&#10;AAAuAgAAZHJzL2Uyb0RvYy54bWxQSwECLQAUAAYACAAAACEAhxaruN4AAAAJAQAADwAAAAAAAAAA&#10;AAAAAABWBAAAZHJzL2Rvd25yZXYueG1sUEsFBgAAAAAEAAQA8wAAAGEFAAAAAA==&#10;" adj="255" filled="t" fillcolor="window" strokecolor="windowText" strokeweight=".5pt">
                <v:stroke joinstyle="miter"/>
              </v:shape>
            </w:pict>
          </mc:Fallback>
        </mc:AlternateContent>
      </w:r>
      <w:r w:rsidRPr="007B3F82">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41888" behindDoc="0" locked="0" layoutInCell="1" allowOverlap="1" wp14:anchorId="70DD101F" wp14:editId="6BC079F5">
                <wp:simplePos x="0" y="0"/>
                <wp:positionH relativeFrom="margin">
                  <wp:posOffset>3446145</wp:posOffset>
                </wp:positionH>
                <wp:positionV relativeFrom="paragraph">
                  <wp:posOffset>409574</wp:posOffset>
                </wp:positionV>
                <wp:extent cx="453970" cy="211015"/>
                <wp:effectExtent l="0" t="0" r="0" b="0"/>
                <wp:wrapNone/>
                <wp:docPr id="301"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7B3F82">
                            <w:pPr>
                              <w:pStyle w:val="NormalWeb"/>
                            </w:pPr>
                            <w:r>
                              <w:rPr>
                                <w:rFonts w:asciiTheme="minorHAnsi" w:hAnsi="Calibri" w:cstheme="minorBidi"/>
                                <w:color w:val="000000" w:themeColor="text1"/>
                                <w:kern w:val="24"/>
                              </w:rPr>
                              <w:t>***</w:t>
                            </w:r>
                          </w:p>
                          <w:p w:rsidR="00AD6A02" w:rsidRPr="00902E9B" w:rsidRDefault="00AD6A02" w:rsidP="007B3F82">
                            <w:pPr>
                              <w:pStyle w:val="NormalWeb"/>
                            </w:pPr>
                          </w:p>
                          <w:p w:rsidR="00AD6A02" w:rsidRPr="00902E9B" w:rsidRDefault="00AD6A02" w:rsidP="007B3F82">
                            <w:pPr>
                              <w:pStyle w:val="NormalWeb"/>
                            </w:pPr>
                          </w:p>
                          <w:p w:rsidR="00AD6A02" w:rsidRPr="00902E9B" w:rsidRDefault="00AD6A02" w:rsidP="007B3F82">
                            <w:pPr>
                              <w:pStyle w:val="NormalWeb"/>
                            </w:pPr>
                          </w:p>
                        </w:txbxContent>
                      </wps:txbx>
                      <wps:bodyPr wrap="none">
                        <a:noAutofit/>
                      </wps:bodyPr>
                    </wps:wsp>
                  </a:graphicData>
                </a:graphic>
                <wp14:sizeRelV relativeFrom="margin">
                  <wp14:pctHeight>0</wp14:pctHeight>
                </wp14:sizeRelV>
              </wp:anchor>
            </w:drawing>
          </mc:Choice>
          <mc:Fallback>
            <w:pict>
              <v:rect w14:anchorId="70DD101F" id="_x0000_s1139" style="position:absolute;left:0;text-align:left;margin-left:271.35pt;margin-top:32.25pt;width:35.75pt;height:16.6pt;z-index:2519418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OyhAEAAPcCAAAOAAAAZHJzL2Uyb0RvYy54bWysUstOwzAQvCPxD5bvNElLoURNK6QKLggq&#10;Ch/gOnZjKfZattukf8/afSG4IS7rx65nZ2Y9nfe6JTvhvAJT0WKQUyIMh1qZTUU/P55uJpT4wEzN&#10;WjCionvh6Xx2fTXtbCmG0EBbC0cQxPiysxVtQrBllnneCM38AKwwmJTgNAt4dJusdqxDdN1mwzy/&#10;yzpwtXXAhfd4uzgk6SzhSyl4eJPSi0DaiiK3kKJLcR1jNpuycuOYbRQ/0mB/YKGZMtj0DLVggZGt&#10;U7+gtOIOPMgw4KAzkFJxkTSgmiL/oWbVMCuSFjTH27NN/v9g+etu6YiqKzrKC0oM0zikd7SNmU0r&#10;yCQa1FlfYt3KLt3x5HEb1fbS6biiDtInU/dnU0UfCMfL2/Ho4R6t55gaFkVejCNmdnlsnQ/PAjSJ&#10;m4o6bJ6sZLsXHw6lpxJ8F8kc2sdd6Nd9Yl8UoxPVNdR71NThUCtq8NclNAOP2wBSJcT49FB2RER3&#10;E6fjT4jj+35OVZf/OvsCAAD//wMAUEsDBBQABgAIAAAAIQATccYp3wAAAAkBAAAPAAAAZHJzL2Rv&#10;d25yZXYueG1sTI/LTsMwEEX3SPyDNUjsqNOQRwmZVICEhNggApStGw9JhB+R7bTp32NWsBzdo3vP&#10;1NtFK3Yg50drENarBBiZzsrR9Ajvb49XG2A+CCOFsoYQTuRh25yf1aKS9mhe6dCGnsUS4yuBMIQw&#10;VZz7biAt/MpOZGL2ZZ0WIZ6u59KJYyzXiqdJUnAtRhMXBjHRw0DddztrhPn6eVEf7b2cXpKnT61d&#10;vjuJCfHyYrm7BRZoCX8w/OpHdWii097ORnqmEPIsLSOKUGQ5sAgU6ywFtke4KUvgTc3/f9D8AAAA&#10;//8DAFBLAQItABQABgAIAAAAIQC2gziS/gAAAOEBAAATAAAAAAAAAAAAAAAAAAAAAABbQ29udGVu&#10;dF9UeXBlc10ueG1sUEsBAi0AFAAGAAgAAAAhADj9If/WAAAAlAEAAAsAAAAAAAAAAAAAAAAALwEA&#10;AF9yZWxzLy5yZWxzUEsBAi0AFAAGAAgAAAAhAJxyo7KEAQAA9wIAAA4AAAAAAAAAAAAAAAAALgIA&#10;AGRycy9lMm9Eb2MueG1sUEsBAi0AFAAGAAgAAAAhABNxxinfAAAACQEAAA8AAAAAAAAAAAAAAAAA&#10;3gMAAGRycy9kb3ducmV2LnhtbFBLBQYAAAAABAAEAPMAAADqBAAAAAA=&#10;" filled="f" stroked="f">
                <v:textbox>
                  <w:txbxContent>
                    <w:p w:rsidR="00AD6A02" w:rsidRPr="00902E9B" w:rsidRDefault="00AD6A02" w:rsidP="007B3F82">
                      <w:pPr>
                        <w:pStyle w:val="NormalWeb"/>
                      </w:pPr>
                      <w:r>
                        <w:rPr>
                          <w:rFonts w:asciiTheme="minorHAnsi" w:hAnsi="Calibri" w:cstheme="minorBidi"/>
                          <w:color w:val="000000" w:themeColor="text1"/>
                          <w:kern w:val="24"/>
                        </w:rPr>
                        <w:t>***</w:t>
                      </w:r>
                    </w:p>
                    <w:p w:rsidR="00AD6A02" w:rsidRPr="00902E9B" w:rsidRDefault="00AD6A02" w:rsidP="007B3F82">
                      <w:pPr>
                        <w:pStyle w:val="NormalWeb"/>
                      </w:pPr>
                    </w:p>
                    <w:p w:rsidR="00AD6A02" w:rsidRPr="00902E9B" w:rsidRDefault="00AD6A02" w:rsidP="007B3F82">
                      <w:pPr>
                        <w:pStyle w:val="NormalWeb"/>
                      </w:pPr>
                    </w:p>
                    <w:p w:rsidR="00AD6A02" w:rsidRPr="00902E9B" w:rsidRDefault="00AD6A02" w:rsidP="007B3F82">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23456" behindDoc="0" locked="0" layoutInCell="1" allowOverlap="1" wp14:anchorId="436C7ACA" wp14:editId="33AF7485">
                <wp:simplePos x="0" y="0"/>
                <wp:positionH relativeFrom="column">
                  <wp:posOffset>3630930</wp:posOffset>
                </wp:positionH>
                <wp:positionV relativeFrom="paragraph">
                  <wp:posOffset>437517</wp:posOffset>
                </wp:positionV>
                <wp:extent cx="54611" cy="420370"/>
                <wp:effectExtent l="7620" t="68580" r="10160" b="10160"/>
                <wp:wrapNone/>
                <wp:docPr id="292" name="Right Brace 1"/>
                <wp:cNvGraphicFramePr/>
                <a:graphic xmlns:a="http://schemas.openxmlformats.org/drawingml/2006/main">
                  <a:graphicData uri="http://schemas.microsoft.com/office/word/2010/wordprocessingShape">
                    <wps:wsp>
                      <wps:cNvSpPr/>
                      <wps:spPr>
                        <a:xfrm rot="16200000" flipV="1">
                          <a:off x="0" y="0"/>
                          <a:ext cx="54611" cy="42037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00E25B02" id="Right Brace 1" o:spid="_x0000_s1026" type="#_x0000_t88" style="position:absolute;margin-left:285.9pt;margin-top:34.45pt;width:4.3pt;height:33.1pt;rotation:90;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G7/AEAAPYDAAAOAAAAZHJzL2Uyb0RvYy54bWysU8tu2zAQvBfoPxC817KcxE0EywEaw70U&#10;bZBH7xuKlAjwBS5r2X/fJeW4cXMrygPB1w5nZndXt3tr2E5G1N61vJ7NOZNO+E67vuXPT9tP15xh&#10;AteB8U62/CCR364/fliNoZELP3jTycgIxGEzhpYPKYWmqlAM0gLOfJCOLpWPFhJtY191EUZCt6Za&#10;zOfLavSxC9ELiUinm+mSrwu+UlKkH0qhTMy0nLilMscyv+S5Wq+g6SOEQYsjDfgHFha0o09PUBtI&#10;wH5F/Q7KahE9epVmwtvKK6WFLBpITT3/S83jAEEWLWQOhpNN+P9gxffdfWS6a/niZsGZA0tJetD9&#10;kNiXCEKyOls0Bmzo5WO4j8cd0jLr3atoWfTka72kfNDgTBkdftJBMYQksn3x+3DyW+4TE3R4dbms&#10;a84E3Vwu5hefSzqqCTSDh4jpq/SW5UXLY6ZVWBVk2H3DRHQo4PVhDkJvdLfVxpTNAe9MZDug9FPV&#10;dH7kzAAmOmz5toysjyDOwoxjY8uXF1ekRgCVpTKQaGkDGYWu5wxMT/UuUixUzoLx3Z9PJPjNv8Wm&#10;V61noVnHBnCYCJerqUKtTtQmRtuWX08uT6yNyyplKfSjGzlXU3by6sV3B0pwTObOTy0ATgye1Gfu&#10;GSS/ouIqJhwbIVfv23159add178BAAD//wMAUEsDBBQABgAIAAAAIQAaGbnU3gAAAAoBAAAPAAAA&#10;ZHJzL2Rvd25yZXYueG1sTI9BTsMwEEX3SNzBGiR21CaBtA1xKoRgQXcUDuDGkzgQj6PYbQOnZ1jR&#10;5Wie/n+/2sx+EEecYh9Iw+1CgUBqgu2p0/Dx/nKzAhGTIWuGQKjhGyNs6suLypQ2nOgNj7vUCQ6h&#10;WBoNLqWxlDI2Dr2JizAi8a8NkzeJz6mTdjInDveDzJQqpDc9cYMzIz45bL52B69Btdvm9dnhZ77F&#10;lLcr2WY/qtX6+mp+fACRcE7/MPzpszrU7LQPB7JRDBru73LekjSsl0sQDBRqnYHYM6mKHGRdyfMJ&#10;9S8AAAD//wMAUEsBAi0AFAAGAAgAAAAhALaDOJL+AAAA4QEAABMAAAAAAAAAAAAAAAAAAAAAAFtD&#10;b250ZW50X1R5cGVzXS54bWxQSwECLQAUAAYACAAAACEAOP0h/9YAAACUAQAACwAAAAAAAAAAAAAA&#10;AAAvAQAAX3JlbHMvLnJlbHNQSwECLQAUAAYACAAAACEAjGExu/wBAAD2AwAADgAAAAAAAAAAAAAA&#10;AAAuAgAAZHJzL2Uyb0RvYy54bWxQSwECLQAUAAYACAAAACEAGhm51N4AAAAKAQAADwAAAAAAAAAA&#10;AAAAAABWBAAAZHJzL2Rvd25yZXYueG1sUEsFBgAAAAAEAAQA8wAAAGEFAAAAAA==&#10;" adj="234" filled="t" fillcolor="window" strokecolor="windowText" strokeweight=".5pt">
                <v:stroke joinstyle="miter"/>
              </v:shape>
            </w:pict>
          </mc:Fallback>
        </mc:AlternateContent>
      </w:r>
      <w:r w:rsidR="00202D5D">
        <w:object w:dxaOrig="11297" w:dyaOrig="4243">
          <v:shape id="_x0000_i1053" type="#_x0000_t75" style="width:423.75pt;height:154.5pt" o:ole="">
            <v:imagedata r:id="rId137" o:title=""/>
          </v:shape>
          <o:OLEObject Type="Embed" ProgID="Prism7.Document" ShapeID="_x0000_i1053" DrawAspect="Content" ObjectID="_1583750223" r:id="rId138"/>
        </w:object>
      </w:r>
    </w:p>
    <w:p w:rsidR="00C151E5" w:rsidRPr="00483E3A" w:rsidRDefault="00A71557" w:rsidP="00CE0BBC">
      <w:pPr>
        <w:pStyle w:val="LegText"/>
        <w:ind w:left="1440"/>
        <w:rPr>
          <w:rFonts w:eastAsia="Calibri"/>
          <w:sz w:val="24"/>
          <w:szCs w:val="24"/>
        </w:rPr>
      </w:pPr>
      <w:bookmarkStart w:id="400" w:name="_Toc504640621"/>
      <w:r>
        <w:rPr>
          <w:rStyle w:val="SubtitleChar"/>
        </w:rPr>
        <w:t>Figure 5.10</w:t>
      </w:r>
      <w:r w:rsidR="00AD7431" w:rsidRPr="00AD7431">
        <w:rPr>
          <w:rStyle w:val="SubtitleChar"/>
        </w:rPr>
        <w:t xml:space="preserve"> tPA activity in cells the presence and absence of inhibitor in a diabetic model</w:t>
      </w:r>
      <w:r w:rsidR="00E95F2E">
        <w:rPr>
          <w:rStyle w:val="SubtitleChar"/>
        </w:rPr>
        <w:t xml:space="preserve"> cultured on fibrin</w:t>
      </w:r>
      <w:bookmarkEnd w:id="400"/>
      <w:r w:rsidR="00AD7431">
        <w:rPr>
          <w:rFonts w:eastAsiaTheme="majorEastAsia"/>
          <w:color w:val="000000" w:themeColor="text1"/>
        </w:rPr>
        <w:t>.</w:t>
      </w:r>
      <w:r w:rsidR="00CB1EFD" w:rsidRPr="00CB1EFD">
        <w:t xml:space="preserve"> </w:t>
      </w:r>
      <w:r w:rsidR="00CB1EFD">
        <w:t>A one way ANOVA test followed by Tukey’s multiple comparison test showed a significant difference of P&lt;0.00001 in epithelial-like cells and P&lt;0.0001 in mesangial cells. n=3.</w:t>
      </w:r>
    </w:p>
    <w:p w:rsidR="00AD7431" w:rsidRPr="00AD7431" w:rsidRDefault="00AD7431" w:rsidP="00AD7431">
      <w:pPr>
        <w:pStyle w:val="LegText"/>
        <w:ind w:left="720"/>
        <w:rPr>
          <w:rFonts w:eastAsiaTheme="majorEastAsia"/>
          <w:color w:val="000000" w:themeColor="text1"/>
        </w:rPr>
      </w:pPr>
    </w:p>
    <w:p w:rsidR="00AD7431" w:rsidRDefault="00AD7431" w:rsidP="00AD7431">
      <w:pPr>
        <w:ind w:left="720"/>
      </w:pPr>
    </w:p>
    <w:p w:rsidR="00AD7431" w:rsidRDefault="00AD7431" w:rsidP="00AD7431">
      <w:pPr>
        <w:ind w:left="720"/>
      </w:pPr>
    </w:p>
    <w:p w:rsidR="00AD7431" w:rsidRDefault="003C4454" w:rsidP="003C4454">
      <w:pPr>
        <w:ind w:left="720" w:firstLine="720"/>
      </w:pPr>
      <w:r w:rsidRPr="00017C72">
        <w:rPr>
          <w:rFonts w:asciiTheme="majorHAnsi" w:hAnsiTheme="majorHAnsi" w:cstheme="majorBidi"/>
          <w:noProof/>
          <w:color w:val="1F4D78" w:themeColor="accent1" w:themeShade="7F"/>
          <w:lang w:eastAsia="en-GB"/>
        </w:rPr>
        <mc:AlternateContent>
          <mc:Choice Requires="wps">
            <w:drawing>
              <wp:anchor distT="0" distB="0" distL="114300" distR="114300" simplePos="0" relativeHeight="251943936" behindDoc="0" locked="0" layoutInCell="1" allowOverlap="1" wp14:anchorId="70DD101F" wp14:editId="6BC079F5">
                <wp:simplePos x="0" y="0"/>
                <wp:positionH relativeFrom="margin">
                  <wp:posOffset>3333750</wp:posOffset>
                </wp:positionH>
                <wp:positionV relativeFrom="paragraph">
                  <wp:posOffset>46990</wp:posOffset>
                </wp:positionV>
                <wp:extent cx="453970" cy="211015"/>
                <wp:effectExtent l="0" t="0" r="0" b="0"/>
                <wp:wrapNone/>
                <wp:docPr id="302"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017C72">
                            <w:pPr>
                              <w:pStyle w:val="NormalWeb"/>
                            </w:pPr>
                            <w:r>
                              <w:rPr>
                                <w:rFonts w:asciiTheme="minorHAnsi" w:hAnsi="Calibri" w:cstheme="minorBidi"/>
                                <w:color w:val="000000" w:themeColor="text1"/>
                                <w:kern w:val="24"/>
                              </w:rPr>
                              <w:t>****</w:t>
                            </w:r>
                          </w:p>
                          <w:p w:rsidR="00AD6A02" w:rsidRPr="00902E9B" w:rsidRDefault="00AD6A02" w:rsidP="00017C72">
                            <w:pPr>
                              <w:pStyle w:val="NormalWeb"/>
                            </w:pPr>
                          </w:p>
                          <w:p w:rsidR="00AD6A02" w:rsidRPr="00902E9B" w:rsidRDefault="00AD6A02" w:rsidP="00017C72">
                            <w:pPr>
                              <w:pStyle w:val="NormalWeb"/>
                            </w:pPr>
                          </w:p>
                          <w:p w:rsidR="00AD6A02" w:rsidRPr="00902E9B" w:rsidRDefault="00AD6A02" w:rsidP="00017C72">
                            <w:pPr>
                              <w:pStyle w:val="NormalWeb"/>
                            </w:pPr>
                          </w:p>
                        </w:txbxContent>
                      </wps:txbx>
                      <wps:bodyPr wrap="none">
                        <a:noAutofit/>
                      </wps:bodyPr>
                    </wps:wsp>
                  </a:graphicData>
                </a:graphic>
                <wp14:sizeRelV relativeFrom="margin">
                  <wp14:pctHeight>0</wp14:pctHeight>
                </wp14:sizeRelV>
              </wp:anchor>
            </w:drawing>
          </mc:Choice>
          <mc:Fallback>
            <w:pict>
              <v:rect w14:anchorId="70DD101F" id="_x0000_s1140" style="position:absolute;left:0;text-align:left;margin-left:262.5pt;margin-top:3.7pt;width:35.75pt;height:16.6pt;z-index:2519439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N6hQEAAPcCAAAOAAAAZHJzL2Uyb0RvYy54bWysUstOwzAQvCPxD5bvNEkfUKKmFVIFFwQV&#10;hQ9wHbuxFHst223Sv2ftPkBwQ1zWj13Pzsx6tuh1S/bCeQWmosUgp0QYDrUy24p+vD/eTCnxgZma&#10;tWBERQ/C08X8+mrW2VIMoYG2Fo4giPFlZyvahGDLLPO8EZr5AVhhMCnBaRbw6LZZ7ViH6LrNhnl+&#10;m3XgauuAC+/xdnlM0nnCl1Lw8CqlF4G0FUVuIUWX4ibGbD5j5dYx2yh+osH+wEIzZbDpBWrJAiM7&#10;p35BacUdeJBhwEFnIKXiImlANUX+Q826YVYkLWiOtxeb/P/B8pf9yhFVV3SUDykxTOOQ3tA2Zrat&#10;INNoUGd9iXVru3Knk8dtVNtLp+OKOkifTD1cTBV9IBwvx5PR/R1azzE1LIq8mETM7OuxdT48CdAk&#10;birqsHmyku2ffTiWnkvwXSRzbB93od/0iX1RjM9UN1AfUFOHQ62owV+X0Aw87AJIlRDj02PZCRHd&#10;TZxOPyGO7/s5VX391/knAAAA//8DAFBLAwQUAAYACAAAACEA4gCibd0AAAAIAQAADwAAAGRycy9k&#10;b3ducmV2LnhtbEyPzU7DMBCE70i8g7VI3KhNaUIJ2VSAhIS4IAKFqxsvSYT/ZDtt+vaYExxHM5r5&#10;pt7MRrM9hTg6i3C5EMDIdk6Ntkd4f3u8WAOLSVoltbOEcKQIm+b0pJaVcgf7Svs29SyX2FhJhCEl&#10;X3Eeu4GMjAvnyWbvywUjU5ah5yrIQy43mi+FKLmRo80Lg/T0MFD33U4GYbp6nvW2vVf+RTx9GhOK&#10;j6P0iOdn890tsERz+gvDL35GhyYz7dxkVWQaoVgW+UtCuF4By35xUxbAdggrUQJvav7/QPMDAAD/&#10;/wMAUEsBAi0AFAAGAAgAAAAhALaDOJL+AAAA4QEAABMAAAAAAAAAAAAAAAAAAAAAAFtDb250ZW50&#10;X1R5cGVzXS54bWxQSwECLQAUAAYACAAAACEAOP0h/9YAAACUAQAACwAAAAAAAAAAAAAAAAAvAQAA&#10;X3JlbHMvLnJlbHNQSwECLQAUAAYACAAAACEAeaPjeoUBAAD3AgAADgAAAAAAAAAAAAAAAAAuAgAA&#10;ZHJzL2Uyb0RvYy54bWxQSwECLQAUAAYACAAAACEA4gCibd0AAAAIAQAADwAAAAAAAAAAAAAAAADf&#10;AwAAZHJzL2Rvd25yZXYueG1sUEsFBgAAAAAEAAQA8wAAAOkEAAAAAA==&#10;" filled="f" stroked="f">
                <v:textbox>
                  <w:txbxContent>
                    <w:p w:rsidR="00AD6A02" w:rsidRPr="00902E9B" w:rsidRDefault="00AD6A02" w:rsidP="00017C72">
                      <w:pPr>
                        <w:pStyle w:val="NormalWeb"/>
                      </w:pPr>
                      <w:r>
                        <w:rPr>
                          <w:rFonts w:asciiTheme="minorHAnsi" w:hAnsi="Calibri" w:cstheme="minorBidi"/>
                          <w:color w:val="000000" w:themeColor="text1"/>
                          <w:kern w:val="24"/>
                        </w:rPr>
                        <w:t>****</w:t>
                      </w:r>
                    </w:p>
                    <w:p w:rsidR="00AD6A02" w:rsidRPr="00902E9B" w:rsidRDefault="00AD6A02" w:rsidP="00017C72">
                      <w:pPr>
                        <w:pStyle w:val="NormalWeb"/>
                      </w:pPr>
                    </w:p>
                    <w:p w:rsidR="00AD6A02" w:rsidRPr="00902E9B" w:rsidRDefault="00AD6A02" w:rsidP="00017C72">
                      <w:pPr>
                        <w:pStyle w:val="NormalWeb"/>
                      </w:pPr>
                    </w:p>
                    <w:p w:rsidR="00AD6A02" w:rsidRPr="00902E9B" w:rsidRDefault="00AD6A02" w:rsidP="00017C72">
                      <w:pPr>
                        <w:pStyle w:val="NormalWeb"/>
                      </w:pPr>
                    </w:p>
                  </w:txbxContent>
                </v:textbox>
                <w10:wrap anchorx="margin"/>
              </v:rect>
            </w:pict>
          </mc:Fallback>
        </mc:AlternateContent>
      </w:r>
      <w:r w:rsidRPr="00A93588">
        <w:rPr>
          <w:rFonts w:asciiTheme="minorHAnsi" w:hAnsiTheme="minorHAnsi" w:cstheme="minorBidi"/>
          <w:noProof/>
          <w:lang w:eastAsia="en-GB"/>
        </w:rPr>
        <mc:AlternateContent>
          <mc:Choice Requires="wps">
            <w:drawing>
              <wp:anchor distT="0" distB="0" distL="114300" distR="114300" simplePos="0" relativeHeight="251927552" behindDoc="0" locked="0" layoutInCell="1" allowOverlap="1" wp14:anchorId="436C7ACA" wp14:editId="33AF7485">
                <wp:simplePos x="0" y="0"/>
                <wp:positionH relativeFrom="column">
                  <wp:posOffset>3564255</wp:posOffset>
                </wp:positionH>
                <wp:positionV relativeFrom="paragraph">
                  <wp:posOffset>117474</wp:posOffset>
                </wp:positionV>
                <wp:extent cx="54611" cy="363220"/>
                <wp:effectExtent l="0" t="78105" r="19685" b="19685"/>
                <wp:wrapNone/>
                <wp:docPr id="294" name="Right Brace 1"/>
                <wp:cNvGraphicFramePr/>
                <a:graphic xmlns:a="http://schemas.openxmlformats.org/drawingml/2006/main">
                  <a:graphicData uri="http://schemas.microsoft.com/office/word/2010/wordprocessingShape">
                    <wps:wsp>
                      <wps:cNvSpPr/>
                      <wps:spPr>
                        <a:xfrm rot="16200000" flipV="1">
                          <a:off x="0" y="0"/>
                          <a:ext cx="54611" cy="36322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36DAB0C" id="Right Brace 1" o:spid="_x0000_s1026" type="#_x0000_t88" style="position:absolute;margin-left:280.65pt;margin-top:9.25pt;width:4.3pt;height:28.6pt;rotation:90;flip: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3Hz/AEAAPYDAAAOAAAAZHJzL2Uyb0RvYy54bWysU8tu2zAQvBfoPxC817LkxEgNywEaw70U&#10;bdCkuW8oUiLAF7isZf99l5Tjxs2tCA8EXzucmd1d3x6sYXsZUXvX8no250w64Tvt+pb/etx9uuEM&#10;E7gOjHey5UeJ/Hbz8cN6DCvZ+MGbTkZGIA5XY2j5kFJYVRWKQVrAmQ/S0aXy0UKibeyrLsJI6NZU&#10;zXy+rEYfuxC9kIh0up0u+abgKyVF+qEUysRMy4lbKnMs83Oeq80aVn2EMGhxogH/wcKCdvTpGWoL&#10;CdjvqN9AWS2iR6/STHhbeaW0kEUDqann/6h5GCDIooXMwXC2Cd8PVnzf30emu5Y3n684c2ApST91&#10;PyT2JYKQrM4WjQFX9PIh3MfTDmmZ9R5UtCx68rVeUj5ocKaMDk90UAwhiexQ/D6e/ZaHxAQdXl8t&#10;65ozQTeL5aJpSjqqCTSDh4jpq/SW5UXLY6ZVWBVk2H/DRHQo4OVhDkJvdLfTxpTNEe9MZHug9FPV&#10;dH7kzAAmOmz5roysjyAuwoxjY8uXi2tSI4DKUhlItLSBjELXcwamp3oXKRYqF8H45s9HEvzq32LT&#10;i9aL0KxjCzhMhMvVVKFWJ2oTo23LbyaXJ9bGZZWyFPrJjZyrKTt59ey7IyU4JnPnpxYAJwZP6jP3&#10;DJJfUXEVE06NkKv39b68+tuumz8AAAD//wMAUEsDBBQABgAIAAAAIQAMA2CP3wAAAAkBAAAPAAAA&#10;ZHJzL2Rvd25yZXYueG1sTI/BTsMwDIbvSLxDZCRuLF3p6FaaTggJJo4raBK3tMmSisSpmmwrb485&#10;wc2Wf/3+vno7e8fOeopDQAHLRQZMYx/UgEbAx/vL3RpYTBKVdAG1gG8dYdtcX9WyUuGCe31uk2FU&#10;grGSAmxKY8V57K32Mi7CqJFuxzB5mWidDFeTvFC5dzzPsgfu5YD0wcpRP1vdf7UnL+DQ7vLXz5K/&#10;8Y1y3cHY0rS7Uojbm/npEVjSc/oLwy8+oUNDTF04oYrMCVjdl+SSBBQ5KVBgtSlyYB0NywJ4U/P/&#10;Bs0PAAAA//8DAFBLAQItABQABgAIAAAAIQC2gziS/gAAAOEBAAATAAAAAAAAAAAAAAAAAAAAAABb&#10;Q29udGVudF9UeXBlc10ueG1sUEsBAi0AFAAGAAgAAAAhADj9If/WAAAAlAEAAAsAAAAAAAAAAAAA&#10;AAAALwEAAF9yZWxzLy5yZWxzUEsBAi0AFAAGAAgAAAAhAKDjcfP8AQAA9gMAAA4AAAAAAAAAAAAA&#10;AAAALgIAAGRycy9lMm9Eb2MueG1sUEsBAi0AFAAGAAgAAAAhAAwDYI/fAAAACQEAAA8AAAAAAAAA&#10;AAAAAAAAVgQAAGRycy9kb3ducmV2LnhtbFBLBQYAAAAABAAEAPMAAABiBQAAAAA=&#10;" adj="271" filled="t" fillcolor="window" strokecolor="windowText" strokeweight=".5pt">
                <v:stroke joinstyle="miter"/>
              </v:shape>
            </w:pict>
          </mc:Fallback>
        </mc:AlternateContent>
      </w:r>
      <w:r w:rsidRPr="00017C72">
        <w:rPr>
          <w:rFonts w:asciiTheme="majorHAnsi" w:hAnsiTheme="majorHAnsi" w:cstheme="majorBidi"/>
          <w:noProof/>
          <w:color w:val="1F4D78" w:themeColor="accent1" w:themeShade="7F"/>
          <w:lang w:eastAsia="en-GB"/>
        </w:rPr>
        <mc:AlternateContent>
          <mc:Choice Requires="wps">
            <w:drawing>
              <wp:anchor distT="0" distB="0" distL="114300" distR="114300" simplePos="0" relativeHeight="251945984" behindDoc="0" locked="0" layoutInCell="1" allowOverlap="1" wp14:anchorId="70DD101F" wp14:editId="6BC079F5">
                <wp:simplePos x="0" y="0"/>
                <wp:positionH relativeFrom="margin">
                  <wp:posOffset>1647825</wp:posOffset>
                </wp:positionH>
                <wp:positionV relativeFrom="paragraph">
                  <wp:posOffset>685165</wp:posOffset>
                </wp:positionV>
                <wp:extent cx="453970" cy="211015"/>
                <wp:effectExtent l="0" t="0" r="0" b="0"/>
                <wp:wrapNone/>
                <wp:docPr id="303"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017C72">
                            <w:pPr>
                              <w:pStyle w:val="NormalWeb"/>
                            </w:pPr>
                            <w:r>
                              <w:rPr>
                                <w:rFonts w:asciiTheme="minorHAnsi" w:hAnsi="Calibri" w:cstheme="minorBidi"/>
                                <w:color w:val="000000" w:themeColor="text1"/>
                                <w:kern w:val="24"/>
                              </w:rPr>
                              <w:t>*</w:t>
                            </w:r>
                          </w:p>
                          <w:p w:rsidR="00AD6A02" w:rsidRPr="00902E9B" w:rsidRDefault="00AD6A02" w:rsidP="00017C72">
                            <w:pPr>
                              <w:pStyle w:val="NormalWeb"/>
                            </w:pPr>
                          </w:p>
                          <w:p w:rsidR="00AD6A02" w:rsidRPr="00902E9B" w:rsidRDefault="00AD6A02" w:rsidP="00017C72">
                            <w:pPr>
                              <w:pStyle w:val="NormalWeb"/>
                            </w:pPr>
                          </w:p>
                          <w:p w:rsidR="00AD6A02" w:rsidRPr="00902E9B" w:rsidRDefault="00AD6A02" w:rsidP="00017C72">
                            <w:pPr>
                              <w:pStyle w:val="NormalWeb"/>
                            </w:pPr>
                          </w:p>
                        </w:txbxContent>
                      </wps:txbx>
                      <wps:bodyPr wrap="none">
                        <a:noAutofit/>
                      </wps:bodyPr>
                    </wps:wsp>
                  </a:graphicData>
                </a:graphic>
                <wp14:sizeRelV relativeFrom="margin">
                  <wp14:pctHeight>0</wp14:pctHeight>
                </wp14:sizeRelV>
              </wp:anchor>
            </w:drawing>
          </mc:Choice>
          <mc:Fallback>
            <w:pict>
              <v:rect w14:anchorId="70DD101F" id="_x0000_s1141" style="position:absolute;left:0;text-align:left;margin-left:129.75pt;margin-top:53.95pt;width:35.75pt;height:16.6pt;z-index:2519459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LTugwEAAPcCAAAOAAAAZHJzL2Uyb0RvYy54bWysUk1PwzAMvSPxH6LcWduN8VGtm5AmuCCY&#10;GPyALE3aSE0cJdna/XucbGwIbohL4tjOs9+zZ4tBd2QnnFdgKlqMckqE4VAr01T04/3x6o4SH5ip&#10;WQdGVHQvPF3MLy9mvS3FGFroauEIghhf9raibQi2zDLPW6GZH4EVBoMSnGYBn67Jasd6RNddNs7z&#10;m6wHV1sHXHiP3uUhSOcJX0rBw6uUXgTSVRR7C+l06dzEM5vPWNk4ZlvFj22wP3ShmTJY9AS1ZIGR&#10;rVO/oLTiDjzIMOKgM5BScZE4IJsi/8Fm3TIrEhcUx9uTTP7/YPnLbuWIqis6ySeUGKZxSG8oGzNN&#10;J8hdFKi3vsS8tV2548ujGdkO0ul4Iw8yJFH3J1HFEAhH5/V0cn+L0nMMjYsiL6YRMzt/ts6HJwGa&#10;RKOiDosnKdnu2YdD6lcK/ovNHMpHKwybIXVfHGCjbwP1Hjn1ONSKGty6hGbgYRtAqoR4Tjsiorqp&#10;p+MmxPF9f6es877OPwEAAP//AwBQSwMEFAAGAAgAAAAhAIRLr2XfAAAACwEAAA8AAABkcnMvZG93&#10;bnJldi54bWxMj81OwzAQhO9IvIO1SNyonYYADXEqQEJCXCpCC9dtbJKI+Ee206Zvz3KC4858mp2p&#10;1rMZ2UGHODgrIVsIYNq2Tg22k7B9f766AxYTWoWjs1rCSUdY1+dnFZbKHe2bPjSpYxRiY4kS+pR8&#10;yXlse20wLpzXlrwvFwwmOkPHVcAjhZuRL4W44QYHSx969Pqp1+13MxkJU/46j7vmUfmNePk0JhQf&#10;J/RSXl7MD/fAkp7THwy/9ak61NRp7yarIhslLItVQSgZ4nYFjIg8z2jdnpTrLANeV/z/hvoHAAD/&#10;/wMAUEsBAi0AFAAGAAgAAAAhALaDOJL+AAAA4QEAABMAAAAAAAAAAAAAAAAAAAAAAFtDb250ZW50&#10;X1R5cGVzXS54bWxQSwECLQAUAAYACAAAACEAOP0h/9YAAACUAQAACwAAAAAAAAAAAAAAAAAvAQAA&#10;X3JlbHMvLnJlbHNQSwECLQAUAAYACAAAACEAOxS07oMBAAD3AgAADgAAAAAAAAAAAAAAAAAuAgAA&#10;ZHJzL2Uyb0RvYy54bWxQSwECLQAUAAYACAAAACEAhEuvZd8AAAALAQAADwAAAAAAAAAAAAAAAADd&#10;AwAAZHJzL2Rvd25yZXYueG1sUEsFBgAAAAAEAAQA8wAAAOkEAAAAAA==&#10;" filled="f" stroked="f">
                <v:textbox>
                  <w:txbxContent>
                    <w:p w:rsidR="00AD6A02" w:rsidRPr="00902E9B" w:rsidRDefault="00AD6A02" w:rsidP="00017C72">
                      <w:pPr>
                        <w:pStyle w:val="NormalWeb"/>
                      </w:pPr>
                      <w:r>
                        <w:rPr>
                          <w:rFonts w:asciiTheme="minorHAnsi" w:hAnsi="Calibri" w:cstheme="minorBidi"/>
                          <w:color w:val="000000" w:themeColor="text1"/>
                          <w:kern w:val="24"/>
                        </w:rPr>
                        <w:t>*</w:t>
                      </w:r>
                    </w:p>
                    <w:p w:rsidR="00AD6A02" w:rsidRPr="00902E9B" w:rsidRDefault="00AD6A02" w:rsidP="00017C72">
                      <w:pPr>
                        <w:pStyle w:val="NormalWeb"/>
                      </w:pPr>
                    </w:p>
                    <w:p w:rsidR="00AD6A02" w:rsidRPr="00902E9B" w:rsidRDefault="00AD6A02" w:rsidP="00017C72">
                      <w:pPr>
                        <w:pStyle w:val="NormalWeb"/>
                      </w:pPr>
                    </w:p>
                    <w:p w:rsidR="00AD6A02" w:rsidRPr="00902E9B" w:rsidRDefault="00AD6A02" w:rsidP="00017C72">
                      <w:pPr>
                        <w:pStyle w:val="NormalWeb"/>
                      </w:pPr>
                    </w:p>
                  </w:txbxContent>
                </v:textbox>
                <w10:wrap anchorx="margin"/>
              </v:rect>
            </w:pict>
          </mc:Fallback>
        </mc:AlternateContent>
      </w:r>
      <w:r w:rsidRPr="00A93588">
        <w:rPr>
          <w:rFonts w:asciiTheme="minorHAnsi" w:hAnsiTheme="minorHAnsi" w:cstheme="minorBidi"/>
          <w:noProof/>
          <w:lang w:eastAsia="en-GB"/>
        </w:rPr>
        <mc:AlternateContent>
          <mc:Choice Requires="wps">
            <w:drawing>
              <wp:anchor distT="0" distB="0" distL="114300" distR="114300" simplePos="0" relativeHeight="251929600" behindDoc="0" locked="0" layoutInCell="1" allowOverlap="1" wp14:anchorId="436C7ACA" wp14:editId="33AF7485">
                <wp:simplePos x="0" y="0"/>
                <wp:positionH relativeFrom="column">
                  <wp:posOffset>1765300</wp:posOffset>
                </wp:positionH>
                <wp:positionV relativeFrom="paragraph">
                  <wp:posOffset>764539</wp:posOffset>
                </wp:positionV>
                <wp:extent cx="45719" cy="375285"/>
                <wp:effectExtent l="6350" t="69850" r="18415" b="18415"/>
                <wp:wrapNone/>
                <wp:docPr id="295" name="Right Brace 1"/>
                <wp:cNvGraphicFramePr/>
                <a:graphic xmlns:a="http://schemas.openxmlformats.org/drawingml/2006/main">
                  <a:graphicData uri="http://schemas.microsoft.com/office/word/2010/wordprocessingShape">
                    <wps:wsp>
                      <wps:cNvSpPr/>
                      <wps:spPr>
                        <a:xfrm rot="16200000" flipV="1">
                          <a:off x="0" y="0"/>
                          <a:ext cx="45719" cy="375285"/>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E0B512F" id="Right Brace 1" o:spid="_x0000_s1026" type="#_x0000_t88" style="position:absolute;margin-left:139pt;margin-top:60.2pt;width:3.6pt;height:29.55pt;rotation:90;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bVC/QEAAPYDAAAOAAAAZHJzL2Uyb0RvYy54bWysU01v2zAMvQ/YfxB0X5ykS5oacQqsQXYZ&#10;tmLtdmdlyRagL4hanPz7UXKaNeutqA6CJIqPfI/k+vZgDdvLiNq7hs8mU86kE77Vrmv4r8fdpxVn&#10;mMC1YLyTDT9K5Lebjx/WQ6jl3PfetDIyAnFYD6HhfUqhrioUvbSAEx+kI6Py0UKia+yqNsJA6NZU&#10;8+l0WQ0+tiF6IRHpdTsa+abgKyVF+qEUysRMwym3VPZY9qe8V5s11F2E0GtxSgPekIUF7SjoGWoL&#10;CdifqF9BWS2iR6/SRHhbeaW0kIUDsZlN/2Pz0EOQhQuJg+EsE74frPi+v49Mtw2f3yw4c2CpSD91&#10;1yf2JYKQbJYlGgLW9PMh3MfTDemY+R5UtCx60nW2pHrQ4kwZHX7TQxGEKLJD0ft41lseEhP0+Hlx&#10;PbvhTJDl6noxXy1yrGoEzeAhYvoqvWX50PCY0ypZFWTYf8M0Ojx/zE7ojW532phyOeKdiWwPVH7q&#10;mtYPnBnARI8N35V1innhZhwbGr68WhAbAdSWykCiow0kFLqOMzAd9btIsaRy4YyvYj4S4Rdxi0yl&#10;9YjrhWvmsQXsx4SLKacHtdWJxsRo2/DVqPJI3LhslaXRT2rkWo3Vyacn3x6pwDGZOz+OADjRe2Kf&#10;c88g+Rc1VxH+NAi5e1/ey69/47r5CwAA//8DAFBLAwQUAAYACAAAACEAli2gCOAAAAALAQAADwAA&#10;AGRycy9kb3ducmV2LnhtbEyPMU/DMBCFdyT+g3VIbNRJmkQoxKlQJQYGhrZZ2K7xEYfGdhS7bfrv&#10;OSYY772nd9+rN4sdxYXmMHinIF0lIMh1Xg+uV9Ae3p6eQYSITuPoHSm4UYBNc39XY6X91e3oso+9&#10;4BIXKlRgYpwqKUNnyGJY+Ykce19+thj5nHupZ7xyuR1lliSltDg4/mBwoq2h7rQ/WwXFdteZHA/5&#10;N37c+rE9vZdT+6nU48Py+gIi0hL/wvCLz+jQMNPRn50OYlSQFRlviWzkZQ6CE+s0TUEcWSnWJcim&#10;lv83ND8AAAD//wMAUEsBAi0AFAAGAAgAAAAhALaDOJL+AAAA4QEAABMAAAAAAAAAAAAAAAAAAAAA&#10;AFtDb250ZW50X1R5cGVzXS54bWxQSwECLQAUAAYACAAAACEAOP0h/9YAAACUAQAACwAAAAAAAAAA&#10;AAAAAAAvAQAAX3JlbHMvLnJlbHNQSwECLQAUAAYACAAAACEAD+G1Qv0BAAD2AwAADgAAAAAAAAAA&#10;AAAAAAAuAgAAZHJzL2Uyb0RvYy54bWxQSwECLQAUAAYACAAAACEAli2gCOAAAAALAQAADwAAAAAA&#10;AAAAAAAAAABXBAAAZHJzL2Rvd25yZXYueG1sUEsFBgAAAAAEAAQA8wAAAGQFAAAAAA==&#10;" adj="219" filled="t" fillcolor="window" strokecolor="windowText" strokeweight=".5pt">
                <v:stroke joinstyle="miter"/>
              </v:shape>
            </w:pict>
          </mc:Fallback>
        </mc:AlternateContent>
      </w:r>
      <w:r>
        <w:object w:dxaOrig="11290" w:dyaOrig="4243">
          <v:shape id="_x0000_i1054" type="#_x0000_t75" style="width:425.25pt;height:165pt" o:ole="">
            <v:imagedata r:id="rId139" o:title=""/>
          </v:shape>
          <o:OLEObject Type="Embed" ProgID="Prism7.Document" ShapeID="_x0000_i1054" DrawAspect="Content" ObjectID="_1583750224" r:id="rId140"/>
        </w:object>
      </w:r>
    </w:p>
    <w:p w:rsidR="003C4454" w:rsidRDefault="00A71557" w:rsidP="00202D5D">
      <w:pPr>
        <w:pStyle w:val="LegText"/>
        <w:ind w:left="1440"/>
      </w:pPr>
      <w:bookmarkStart w:id="401" w:name="_Toc504640622"/>
      <w:r>
        <w:rPr>
          <w:rStyle w:val="SubtitleChar"/>
        </w:rPr>
        <w:t>Figure 5.11</w:t>
      </w:r>
      <w:r w:rsidR="00AD7431" w:rsidRPr="00AD7431">
        <w:rPr>
          <w:rStyle w:val="SubtitleChar"/>
        </w:rPr>
        <w:t xml:space="preserve"> uPA activity in cells the presence and absence of inhibitor in a diabetic model</w:t>
      </w:r>
      <w:r w:rsidR="00E95F2E">
        <w:rPr>
          <w:rStyle w:val="SubtitleChar"/>
        </w:rPr>
        <w:t xml:space="preserve"> cultured on fibrin</w:t>
      </w:r>
      <w:r w:rsidR="00AD7431" w:rsidRPr="00AD7431">
        <w:rPr>
          <w:rStyle w:val="SubtitleChar"/>
        </w:rPr>
        <w:t>.</w:t>
      </w:r>
      <w:bookmarkEnd w:id="401"/>
      <w:r w:rsidR="00AD7431">
        <w:rPr>
          <w:rFonts w:eastAsiaTheme="majorEastAsia"/>
          <w:color w:val="000000" w:themeColor="text1"/>
        </w:rPr>
        <w:t xml:space="preserve"> </w:t>
      </w:r>
      <w:r w:rsidR="00CB1EFD">
        <w:t xml:space="preserve">A one way ANOVA test followed by Tukey’s multiple comparison test showed a significant difference of P&lt;0.05 in epithelial-like cells and P&lt;0.00001 in mesangial cells, n=3. </w:t>
      </w:r>
    </w:p>
    <w:p w:rsidR="00C151E5" w:rsidRPr="00483E3A" w:rsidRDefault="00CB1EFD" w:rsidP="003C4454">
      <w:pPr>
        <w:pStyle w:val="LegText"/>
        <w:ind w:left="1440"/>
        <w:rPr>
          <w:rFonts w:eastAsia="Calibri"/>
          <w:sz w:val="24"/>
          <w:szCs w:val="24"/>
        </w:rPr>
      </w:pPr>
      <w:r>
        <w:t xml:space="preserve"> </w:t>
      </w:r>
    </w:p>
    <w:p w:rsidR="00E46B22" w:rsidRDefault="00E46B22" w:rsidP="00AD7431">
      <w:pPr>
        <w:pStyle w:val="LegText"/>
        <w:ind w:left="720"/>
        <w:rPr>
          <w:rFonts w:eastAsiaTheme="majorEastAsia"/>
          <w:color w:val="000000" w:themeColor="text1"/>
          <w:lang w:eastAsia="en-US"/>
        </w:rPr>
      </w:pPr>
    </w:p>
    <w:p w:rsidR="00AD7431" w:rsidRDefault="003C4454" w:rsidP="00AD7431">
      <w:pPr>
        <w:pStyle w:val="LegText"/>
        <w:ind w:left="720"/>
        <w:rPr>
          <w:rFonts w:eastAsiaTheme="majorEastAsia"/>
          <w:color w:val="000000" w:themeColor="text1"/>
          <w:lang w:eastAsia="en-US"/>
        </w:rPr>
      </w:pPr>
      <w:r w:rsidRPr="00C151E5">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48032" behindDoc="0" locked="0" layoutInCell="1" allowOverlap="1" wp14:anchorId="187806DB" wp14:editId="4FABAC11">
                <wp:simplePos x="0" y="0"/>
                <wp:positionH relativeFrom="margin">
                  <wp:posOffset>1664970</wp:posOffset>
                </wp:positionH>
                <wp:positionV relativeFrom="paragraph">
                  <wp:posOffset>189230</wp:posOffset>
                </wp:positionV>
                <wp:extent cx="453970" cy="211015"/>
                <wp:effectExtent l="0" t="0" r="0" b="0"/>
                <wp:wrapNone/>
                <wp:docPr id="304"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C151E5">
                            <w:pPr>
                              <w:pStyle w:val="NormalWeb"/>
                            </w:pPr>
                            <w:r>
                              <w:rPr>
                                <w:rFonts w:asciiTheme="minorHAnsi" w:hAnsi="Calibri" w:cstheme="minorBidi"/>
                                <w:color w:val="000000" w:themeColor="text1"/>
                                <w:kern w:val="24"/>
                              </w:rPr>
                              <w:t>***</w:t>
                            </w:r>
                          </w:p>
                          <w:p w:rsidR="00AD6A02" w:rsidRPr="00902E9B" w:rsidRDefault="00AD6A02" w:rsidP="00C151E5">
                            <w:pPr>
                              <w:pStyle w:val="NormalWeb"/>
                            </w:pPr>
                          </w:p>
                          <w:p w:rsidR="00AD6A02" w:rsidRPr="00902E9B" w:rsidRDefault="00AD6A02" w:rsidP="00C151E5">
                            <w:pPr>
                              <w:pStyle w:val="NormalWeb"/>
                            </w:pPr>
                          </w:p>
                          <w:p w:rsidR="00AD6A02" w:rsidRPr="00902E9B" w:rsidRDefault="00AD6A02" w:rsidP="00C151E5">
                            <w:pPr>
                              <w:pStyle w:val="NormalWeb"/>
                            </w:pPr>
                          </w:p>
                        </w:txbxContent>
                      </wps:txbx>
                      <wps:bodyPr wrap="none">
                        <a:noAutofit/>
                      </wps:bodyPr>
                    </wps:wsp>
                  </a:graphicData>
                </a:graphic>
                <wp14:sizeRelV relativeFrom="margin">
                  <wp14:pctHeight>0</wp14:pctHeight>
                </wp14:sizeRelV>
              </wp:anchor>
            </w:drawing>
          </mc:Choice>
          <mc:Fallback>
            <w:pict>
              <v:rect w14:anchorId="187806DB" id="_x0000_s1142" style="position:absolute;left:0;text-align:left;margin-left:131.1pt;margin-top:14.9pt;width:35.75pt;height:16.6pt;z-index:2519480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kahQEAAPcCAAAOAAAAZHJzL2Uyb0RvYy54bWysUslOwzAQvSPxD5bvNEnLUqImCAnBBUHF&#10;8gGuYzeWYo9lu03694ydLghuiMt4mfGb9954cTfojmyF8wpMRYtJTokwHBpl1hX9/Hi8mFPiAzMN&#10;68CIiu6Ep3f1+dmit6WYQgtdIxxBEOPL3la0DcGWWeZ5KzTzE7DCYFKC0yzg0a2zxrEe0XWXTfP8&#10;OuvBNdYBF97j7cOYpHXCl1Lw8CqlF4F0FUVuIUWX4irGrF6wcu2YbRXf02B/YKGZMtj0CPXAAiMb&#10;p35BacUdeJBhwkFnIKXiImlANUX+Q817y6xIWtAcb482+f+D5S/bpSOqqegsv6TEMI1DekPbmFl3&#10;gsyjQb31Jda926Xbnzxuo9pBOh1X1EGGZOruaKoYAuF4eXk1u71B6zmmpkWRF1cRMzs9ts6HJwGa&#10;xE1FHTZPVrLtsw9j6aEE30UyY/u4C8NqSOyL4vpAdQXNDjX1ONSKGvx1Cc3A/SaAVAkxPh3L9ojo&#10;buK0/wlxfN/Pqer0X+svAAAA//8DAFBLAwQUAAYACAAAACEAFzQYbd4AAAAJAQAADwAAAGRycy9k&#10;b3ducmV2LnhtbEyPTUvEMBCG74L/IYzgzU1ssGptuqggiBexuus124xtsfkgSXe7/97xpLcZ5uGd&#10;563Xi53YHmMavVNwuRLA0HXejK5X8PH+dHEDLGXtjJ68QwVHTLBuTk9qXRl/cG+4b3PPKMSlSisY&#10;cg4V56kb0Oq08gEd3b58tDrTGntuoj5QuJ14IUTJrR4dfRh0wMcBu+92tgpm+bJMm/bBhFfx/Glt&#10;vNoedVDq/Gy5vwOWccl/MPzqkzo05LTzszOJTQqKsigIpeGWKhAgpbwGtlNQSgG8qfn/Bs0PAAAA&#10;//8DAFBLAQItABQABgAIAAAAIQC2gziS/gAAAOEBAAATAAAAAAAAAAAAAAAAAAAAAABbQ29udGVu&#10;dF9UeXBlc10ueG1sUEsBAi0AFAAGAAgAAAAhADj9If/WAAAAlAEAAAsAAAAAAAAAAAAAAAAALwEA&#10;AF9yZWxzLy5yZWxzUEsBAi0AFAAGAAgAAAAhABUSORqFAQAA9wIAAA4AAAAAAAAAAAAAAAAALgIA&#10;AGRycy9lMm9Eb2MueG1sUEsBAi0AFAAGAAgAAAAhABc0GG3eAAAACQEAAA8AAAAAAAAAAAAAAAAA&#10;3wMAAGRycy9kb3ducmV2LnhtbFBLBQYAAAAABAAEAPMAAADqBAAAAAA=&#10;" filled="f" stroked="f">
                <v:textbox>
                  <w:txbxContent>
                    <w:p w:rsidR="00AD6A02" w:rsidRPr="00902E9B" w:rsidRDefault="00AD6A02" w:rsidP="00C151E5">
                      <w:pPr>
                        <w:pStyle w:val="NormalWeb"/>
                      </w:pPr>
                      <w:r>
                        <w:rPr>
                          <w:rFonts w:asciiTheme="minorHAnsi" w:hAnsi="Calibri" w:cstheme="minorBidi"/>
                          <w:color w:val="000000" w:themeColor="text1"/>
                          <w:kern w:val="24"/>
                        </w:rPr>
                        <w:t>***</w:t>
                      </w:r>
                    </w:p>
                    <w:p w:rsidR="00AD6A02" w:rsidRPr="00902E9B" w:rsidRDefault="00AD6A02" w:rsidP="00C151E5">
                      <w:pPr>
                        <w:pStyle w:val="NormalWeb"/>
                      </w:pPr>
                    </w:p>
                    <w:p w:rsidR="00AD6A02" w:rsidRPr="00902E9B" w:rsidRDefault="00AD6A02" w:rsidP="00C151E5">
                      <w:pPr>
                        <w:pStyle w:val="NormalWeb"/>
                      </w:pPr>
                    </w:p>
                    <w:p w:rsidR="00AD6A02" w:rsidRPr="00902E9B" w:rsidRDefault="00AD6A02" w:rsidP="00C151E5">
                      <w:pPr>
                        <w:pStyle w:val="NormalWeb"/>
                      </w:pPr>
                    </w:p>
                  </w:txbxContent>
                </v:textbox>
                <w10:wrap anchorx="margin"/>
              </v:rect>
            </w:pict>
          </mc:Fallback>
        </mc:AlternateContent>
      </w:r>
    </w:p>
    <w:p w:rsidR="00AD7431" w:rsidRDefault="003C4454" w:rsidP="003C4454">
      <w:pPr>
        <w:pStyle w:val="LegText"/>
        <w:ind w:left="720" w:firstLine="720"/>
      </w:pPr>
      <w:r w:rsidRPr="00C151E5">
        <w:rPr>
          <w:rFonts w:asciiTheme="majorHAnsi" w:eastAsiaTheme="minorHAnsi" w:hAnsiTheme="majorHAnsi" w:cstheme="majorBidi"/>
          <w:noProof/>
          <w:color w:val="1F4D78" w:themeColor="accent1" w:themeShade="7F"/>
          <w:sz w:val="24"/>
          <w:szCs w:val="24"/>
        </w:rPr>
        <mc:AlternateContent>
          <mc:Choice Requires="wps">
            <w:drawing>
              <wp:anchor distT="0" distB="0" distL="114300" distR="114300" simplePos="0" relativeHeight="251950080" behindDoc="0" locked="0" layoutInCell="1" allowOverlap="1" wp14:anchorId="187806DB" wp14:editId="4FABAC11">
                <wp:simplePos x="0" y="0"/>
                <wp:positionH relativeFrom="margin">
                  <wp:posOffset>3466782</wp:posOffset>
                </wp:positionH>
                <wp:positionV relativeFrom="paragraph">
                  <wp:posOffset>819150</wp:posOffset>
                </wp:positionV>
                <wp:extent cx="453970" cy="211015"/>
                <wp:effectExtent l="0" t="0" r="0" b="0"/>
                <wp:wrapNone/>
                <wp:docPr id="306" name="Rectangle 8"/>
                <wp:cNvGraphicFramePr/>
                <a:graphic xmlns:a="http://schemas.openxmlformats.org/drawingml/2006/main">
                  <a:graphicData uri="http://schemas.microsoft.com/office/word/2010/wordprocessingShape">
                    <wps:wsp>
                      <wps:cNvSpPr/>
                      <wps:spPr>
                        <a:xfrm>
                          <a:off x="0" y="0"/>
                          <a:ext cx="453970" cy="211015"/>
                        </a:xfrm>
                        <a:prstGeom prst="rect">
                          <a:avLst/>
                        </a:prstGeom>
                      </wps:spPr>
                      <wps:txbx>
                        <w:txbxContent>
                          <w:p w:rsidR="00AD6A02" w:rsidRPr="00902E9B" w:rsidRDefault="00AD6A02" w:rsidP="00C151E5">
                            <w:pPr>
                              <w:pStyle w:val="NormalWeb"/>
                            </w:pPr>
                            <w:r>
                              <w:rPr>
                                <w:rFonts w:asciiTheme="minorHAnsi" w:hAnsi="Calibri" w:cstheme="minorBidi"/>
                                <w:color w:val="000000" w:themeColor="text1"/>
                                <w:kern w:val="24"/>
                              </w:rPr>
                              <w:t>*</w:t>
                            </w:r>
                          </w:p>
                          <w:p w:rsidR="00AD6A02" w:rsidRPr="00902E9B" w:rsidRDefault="00AD6A02" w:rsidP="00C151E5">
                            <w:pPr>
                              <w:pStyle w:val="NormalWeb"/>
                            </w:pPr>
                          </w:p>
                          <w:p w:rsidR="00AD6A02" w:rsidRPr="00902E9B" w:rsidRDefault="00AD6A02" w:rsidP="00C151E5">
                            <w:pPr>
                              <w:pStyle w:val="NormalWeb"/>
                            </w:pPr>
                          </w:p>
                          <w:p w:rsidR="00AD6A02" w:rsidRPr="00902E9B" w:rsidRDefault="00AD6A02" w:rsidP="00C151E5">
                            <w:pPr>
                              <w:pStyle w:val="NormalWeb"/>
                            </w:pPr>
                          </w:p>
                        </w:txbxContent>
                      </wps:txbx>
                      <wps:bodyPr wrap="none">
                        <a:noAutofit/>
                      </wps:bodyPr>
                    </wps:wsp>
                  </a:graphicData>
                </a:graphic>
                <wp14:sizeRelV relativeFrom="margin">
                  <wp14:pctHeight>0</wp14:pctHeight>
                </wp14:sizeRelV>
              </wp:anchor>
            </w:drawing>
          </mc:Choice>
          <mc:Fallback>
            <w:pict>
              <v:rect w14:anchorId="187806DB" id="_x0000_s1143" style="position:absolute;left:0;text-align:left;margin-left:272.95pt;margin-top:64.5pt;width:35.75pt;height:16.6pt;z-index:2519500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l4hAEAAPcCAAAOAAAAZHJzL2Uyb0RvYy54bWysUstOwzAQvCPxD5bvNEkLbYmaIqQKLggq&#10;Hh/gOnZiKfZatmnSv2ftvhDcEJf1Y9ezM7Ne3A26I1vhvAJT0WKUUyIMh1qZpqIf7w9Xc0p8YKZm&#10;HRhR0Z3w9G55ebHobSnG0EJXC0cQxPiytxVtQ7BllnneCs38CKwwmJTgNAt4dE1WO9Yjuu6ycZ5P&#10;sx5cbR1w4T3ervZJukz4UgoeXqT0IpCuosgtpOhS3MSYLResbByzreIHGuwPLDRTBpueoFYsMPLp&#10;1C8orbgDDzKMOOgMpFRcJA2opsh/qHlrmRVJC5rj7ckm/3+w/Hm7dkTVFZ3kU0oM0zikV7SNmaYT&#10;ZB4N6q0vse7Nrt3h5HEb1Q7S6biiDjIkU3cnU8UQCMfL65vJ7Qyt55gaF0Ve3ETM7PzYOh8eBWgS&#10;NxV12DxZybZPPuxLjyX4LpLZt4+7MGyGxL4oZkeqG6h3qKnHoVbU4K9LaAbuPwNIlRDj033ZARHd&#10;TZwOPyGO7/s5VZ3/6/ILAAD//wMAUEsDBBQABgAIAAAAIQDWlvNy3wAAAAsBAAAPAAAAZHJzL2Rv&#10;d25yZXYueG1sTI/NTsMwEITvSLyDtUjcqNPQhDbEqQAJCXFBBApXN16SCP/Jdtr07VlOcNyZT7Mz&#10;9XY2mh0wxNFZActFBgxt59RoewHvb49Xa2AxSaukdhYFnDDCtjk/q2Wl3NG+4qFNPaMQGyspYEjJ&#10;V5zHbkAj48J5tOR9uWBkojP0XAV5pHCjeZ5lJTdytPRhkB4fBuy+28kImK6fZ71r75V/yZ4+jQnF&#10;x0l6IS4v5rtbYAnn9AfDb32qDg112rvJqsi0gGJVbAglI9/QKCLK5c0K2J6UMs+BNzX/v6H5AQAA&#10;//8DAFBLAQItABQABgAIAAAAIQC2gziS/gAAAOEBAAATAAAAAAAAAAAAAAAAAAAAAABbQ29udGVu&#10;dF9UeXBlc10ueG1sUEsBAi0AFAAGAAgAAAAhADj9If/WAAAAlAEAAAsAAAAAAAAAAAAAAAAALwEA&#10;AF9yZWxzLy5yZWxzUEsBAi0AFAAGAAgAAAAhAFk9SXiEAQAA9wIAAA4AAAAAAAAAAAAAAAAALgIA&#10;AGRycy9lMm9Eb2MueG1sUEsBAi0AFAAGAAgAAAAhANaW83LfAAAACwEAAA8AAAAAAAAAAAAAAAAA&#10;3gMAAGRycy9kb3ducmV2LnhtbFBLBQYAAAAABAAEAPMAAADqBAAAAAA=&#10;" filled="f" stroked="f">
                <v:textbox>
                  <w:txbxContent>
                    <w:p w:rsidR="00AD6A02" w:rsidRPr="00902E9B" w:rsidRDefault="00AD6A02" w:rsidP="00C151E5">
                      <w:pPr>
                        <w:pStyle w:val="NormalWeb"/>
                      </w:pPr>
                      <w:r>
                        <w:rPr>
                          <w:rFonts w:asciiTheme="minorHAnsi" w:hAnsi="Calibri" w:cstheme="minorBidi"/>
                          <w:color w:val="000000" w:themeColor="text1"/>
                          <w:kern w:val="24"/>
                        </w:rPr>
                        <w:t>*</w:t>
                      </w:r>
                    </w:p>
                    <w:p w:rsidR="00AD6A02" w:rsidRPr="00902E9B" w:rsidRDefault="00AD6A02" w:rsidP="00C151E5">
                      <w:pPr>
                        <w:pStyle w:val="NormalWeb"/>
                      </w:pPr>
                    </w:p>
                    <w:p w:rsidR="00AD6A02" w:rsidRPr="00902E9B" w:rsidRDefault="00AD6A02" w:rsidP="00C151E5">
                      <w:pPr>
                        <w:pStyle w:val="NormalWeb"/>
                      </w:pPr>
                    </w:p>
                    <w:p w:rsidR="00AD6A02" w:rsidRPr="00902E9B" w:rsidRDefault="00AD6A02" w:rsidP="00C151E5">
                      <w:pPr>
                        <w:pStyle w:val="NormalWeb"/>
                      </w:pPr>
                    </w:p>
                  </w:txbxContent>
                </v:textbox>
                <w10:wrap anchorx="margin"/>
              </v:rect>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33696" behindDoc="0" locked="0" layoutInCell="1" allowOverlap="1" wp14:anchorId="436C7ACA" wp14:editId="33AF7485">
                <wp:simplePos x="0" y="0"/>
                <wp:positionH relativeFrom="column">
                  <wp:posOffset>3558539</wp:posOffset>
                </wp:positionH>
                <wp:positionV relativeFrom="paragraph">
                  <wp:posOffset>865187</wp:posOffset>
                </wp:positionV>
                <wp:extent cx="45719" cy="365760"/>
                <wp:effectExtent l="0" t="84137" r="23177" b="23178"/>
                <wp:wrapNone/>
                <wp:docPr id="297" name="Right Brace 1"/>
                <wp:cNvGraphicFramePr/>
                <a:graphic xmlns:a="http://schemas.openxmlformats.org/drawingml/2006/main">
                  <a:graphicData uri="http://schemas.microsoft.com/office/word/2010/wordprocessingShape">
                    <wps:wsp>
                      <wps:cNvSpPr/>
                      <wps:spPr>
                        <a:xfrm rot="16200000" flipV="1">
                          <a:off x="0" y="0"/>
                          <a:ext cx="45719" cy="36576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8FFC21F" id="Right Brace 1" o:spid="_x0000_s1026" type="#_x0000_t88" style="position:absolute;margin-left:280.2pt;margin-top:68.1pt;width:3.6pt;height:28.8pt;rotation:90;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k/AEAAPYDAAAOAAAAZHJzL2Uyb0RvYy54bWysU01vGjEQvVfqf7B8LwukQLJiidQgeqna&#10;qEl7n3jtXUv+ksdl4d937CU0NLcoPlj+muf33sysbw/WsL2MqL1r+Gwy5Uw64Vvtuob/etx9uuYM&#10;E7gWjHey4UeJ/Hbz8cN6CLWc+96bVkZGIA7rITS8TynUVYWilxZw4oN0dKl8tJBoG7uqjTAQujXV&#10;fDpdVoOPbYheSEQ63Y6XfFPwlZIi/VAKZWKm4cQtlTmW+SnP1WYNdRch9FqcaMAbWFjQjj49Q20h&#10;AfsT9Ssoq0X06FWaCG8rr5QWsmggNbPpf2oeegiyaCFzMJxtwveDFd/395HptuHzmxVnDiwl6afu&#10;+sS+RBCSzbJFQ8CaXj6E+3jaIS2z3oOKlkVPvs6WlA8anCmjw286KIaQRHYofh/PfstDYoIOPy9W&#10;sxvOBN1cLRerZUlHNYJm8BAxfZXesrxoeMy0CquCDPtvmIgOBTw/zEHojW532piyOeKdiWwPlH6q&#10;mtYPnBnARIcN35WR9RHERZhxbGj48mpBagRQWSoDiZY2kFHoOs7AdFTvIsVC5SIYX/35SIJf/Fts&#10;etZ6EZp1bAH7kXC5GivU6kRtYrRt+PXo8sjauKxSlkI/uZFzNWYnr558e6QEx2Tu/NgC4ETvSX3m&#10;nkHyKyquYsKpEXL1vtyXV//adfMXAAD//wMAUEsDBBQABgAIAAAAIQCR92Bn3AAAAAsBAAAPAAAA&#10;ZHJzL2Rvd25yZXYueG1sTI9BT4QwEIXvJv6HZky8uWVRCCJlY0y8cRGNex1olxLpFGl3F/+9syc9&#10;zntf3rxX7VY3iZNZwuhJwXaTgDDUez3SoODj/fWuABEiksbJk1HwYwLs6uurCkvtz/RmTm0cBIdQ&#10;KFGBjXEupQy9NQ7Dxs+G2Dv4xWHkcxmkXvDM4W6SaZLk0uFI/MHibF6s6b/ao+OUQ/HpbGbb77g0&#10;XYGu2ff7Rqnbm/X5CUQ0a/yD4VKfq0PNnTp/JB3EpCC7z1JG2ci3DyCYyB5THtNdlCIHWVfy/4b6&#10;FwAA//8DAFBLAQItABQABgAIAAAAIQC2gziS/gAAAOEBAAATAAAAAAAAAAAAAAAAAAAAAABbQ29u&#10;dGVudF9UeXBlc10ueG1sUEsBAi0AFAAGAAgAAAAhADj9If/WAAAAlAEAAAsAAAAAAAAAAAAAAAAA&#10;LwEAAF9yZWxzLy5yZWxzUEsBAi0AFAAGAAgAAAAhAG8j+uT8AQAA9gMAAA4AAAAAAAAAAAAAAAAA&#10;LgIAAGRycy9lMm9Eb2MueG1sUEsBAi0AFAAGAAgAAAAhAJH3YGfcAAAACwEAAA8AAAAAAAAAAAAA&#10;AAAAVgQAAGRycy9kb3ducmV2LnhtbFBLBQYAAAAABAAEAPMAAABfBQAAAAA=&#10;" adj="225" filled="t" fillcolor="window" strokecolor="windowText" strokeweight=".5pt">
                <v:stroke joinstyle="miter"/>
              </v:shape>
            </w:pict>
          </mc:Fallback>
        </mc:AlternateContent>
      </w:r>
      <w:r w:rsidRPr="00A93588">
        <w:rPr>
          <w:rFonts w:asciiTheme="minorHAnsi" w:eastAsiaTheme="minorHAnsi" w:hAnsiTheme="minorHAnsi" w:cstheme="minorBidi"/>
          <w:noProof/>
        </w:rPr>
        <mc:AlternateContent>
          <mc:Choice Requires="wps">
            <w:drawing>
              <wp:anchor distT="0" distB="0" distL="114300" distR="114300" simplePos="0" relativeHeight="251931648" behindDoc="0" locked="0" layoutInCell="1" allowOverlap="1" wp14:anchorId="436C7ACA" wp14:editId="33AF7485">
                <wp:simplePos x="0" y="0"/>
                <wp:positionH relativeFrom="column">
                  <wp:posOffset>1866582</wp:posOffset>
                </wp:positionH>
                <wp:positionV relativeFrom="paragraph">
                  <wp:posOffset>33656</wp:posOffset>
                </wp:positionV>
                <wp:extent cx="45719" cy="346710"/>
                <wp:effectExtent l="1588" t="74612" r="13652" b="13653"/>
                <wp:wrapNone/>
                <wp:docPr id="296" name="Right Brace 1"/>
                <wp:cNvGraphicFramePr/>
                <a:graphic xmlns:a="http://schemas.openxmlformats.org/drawingml/2006/main">
                  <a:graphicData uri="http://schemas.microsoft.com/office/word/2010/wordprocessingShape">
                    <wps:wsp>
                      <wps:cNvSpPr/>
                      <wps:spPr>
                        <a:xfrm rot="16200000" flipV="1">
                          <a:off x="0" y="0"/>
                          <a:ext cx="45719" cy="346710"/>
                        </a:xfrm>
                        <a:prstGeom prst="rightBrace">
                          <a:avLst/>
                        </a:prstGeom>
                        <a:solidFill>
                          <a:sysClr val="window" lastClr="FFFFFF"/>
                        </a:solidFill>
                        <a:ln w="6350" cap="flat" cmpd="sng" algn="ctr">
                          <a:solidFill>
                            <a:sysClr val="windowText" lastClr="00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73CE6D0" id="Right Brace 1" o:spid="_x0000_s1026" type="#_x0000_t88" style="position:absolute;margin-left:146.95pt;margin-top:2.65pt;width:3.6pt;height:27.3pt;rotation:90;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3QV/AEAAPYDAAAOAAAAZHJzL2Uyb0RvYy54bWysU8tu2zAQvBfoPxC817KcREkMywEaw70U&#10;bZCkvW8oUiLAF7isZf99l5Tjxs2tKA8EXzucmd1d3e2tYTsZUXvX8no250w64Tvt+pb/eN5+uuEM&#10;E7gOjHey5QeJ/G798cNqDEu58IM3nYyMQBwux9DyIaWwrCoUg7SAMx+ko0vlo4VE29hXXYSR0K2p&#10;FvN5U40+diF6IRHpdDNd8nXBV0qK9F0plImZlhO3VOZY5pc8V+sVLPsIYdDiSAP+gYUF7ejTE9QG&#10;ErBfUb+DslpEj16lmfC28kppIYsGUlPP/1LzNECQRQuZg+FkE/4/WPFt9xCZ7lq+uG04c2ApSY+6&#10;HxL7HEFIVmeLxoBLevkUHuJxh7TMevcqWhY9+Vo3lA8anCmjw086KIaQRLYvfh9Ofst9YoIOL6+u&#10;61vOBN1cXDbXdUlHNYFm8BAxfZHesrxoecy0CquCDLuvmIgOBbw+zEHoje622piyOeC9iWwHlH6q&#10;ms6PnBnARIct35aR9RHEWZhxbGx5c3FFagRQWSoDiZY2kFHoes7A9FTvIsVC5SwY3/35TILf/Fts&#10;etV6Fpp1bACHiXC5mirU6kRtYrRt+c3k8sTauKxSlkI/upFzNWUnr158d6AEx2Tu/dQC4MTgSX3m&#10;nkHyKyquYsKxEXL1vt2XV3/adf0bAAD//wMAUEsDBBQABgAIAAAAIQA0G1Z+3gAAAAkBAAAPAAAA&#10;ZHJzL2Rvd25yZXYueG1sTI/BTsMwEETvSPyDtUhcEHUw0NIQp0pB3JBQA4cet/GSBGI7st02/XuW&#10;E9xmtE+zM8VqsoM4UIi9dxpuZhkIco03vWs1fLy/XD+AiAmdwcE70nCiCKvy/KzA3Pij29ChTq3g&#10;EBdz1NClNOZSxqYji3HmR3J8+/TBYmIbWmkCHjncDlJl2Vxa7B1/6HCkp46a73pvNWyu1tXz2J6w&#10;X97H8PW2jXW1ftX68mKqHkEkmtIfDL/1uTqU3Gnn985EMWhQi0wxymLJmxi4VXe8ZcdirkCWhfy/&#10;oPwBAAD//wMAUEsBAi0AFAAGAAgAAAAhALaDOJL+AAAA4QEAABMAAAAAAAAAAAAAAAAAAAAAAFtD&#10;b250ZW50X1R5cGVzXS54bWxQSwECLQAUAAYACAAAACEAOP0h/9YAAACUAQAACwAAAAAAAAAAAAAA&#10;AAAvAQAAX3JlbHMvLnJlbHNQSwECLQAUAAYACAAAACEAn090FfwBAAD2AwAADgAAAAAAAAAAAAAA&#10;AAAuAgAAZHJzL2Uyb0RvYy54bWxQSwECLQAUAAYACAAAACEANBtWft4AAAAJAQAADwAAAAAAAAAA&#10;AAAAAABWBAAAZHJzL2Rvd25yZXYueG1sUEsFBgAAAAAEAAQA8wAAAGEFAAAAAA==&#10;" adj="237" filled="t" fillcolor="window" strokecolor="windowText" strokeweight=".5pt">
                <v:stroke joinstyle="miter"/>
              </v:shape>
            </w:pict>
          </mc:Fallback>
        </mc:AlternateContent>
      </w:r>
      <w:r>
        <w:object w:dxaOrig="11337" w:dyaOrig="4186">
          <v:shape id="_x0000_i1055" type="#_x0000_t75" style="width:423pt;height:154.5pt" o:ole="">
            <v:imagedata r:id="rId141" o:title=""/>
          </v:shape>
          <o:OLEObject Type="Embed" ProgID="Prism7.Document" ShapeID="_x0000_i1055" DrawAspect="Content" ObjectID="_1583750225" r:id="rId142"/>
        </w:object>
      </w:r>
    </w:p>
    <w:p w:rsidR="00A02603" w:rsidRDefault="00A71557" w:rsidP="003C4454">
      <w:pPr>
        <w:pStyle w:val="LegText"/>
        <w:ind w:left="1440"/>
      </w:pPr>
      <w:bookmarkStart w:id="402" w:name="_Toc504640623"/>
      <w:r>
        <w:rPr>
          <w:rStyle w:val="SubtitleChar"/>
        </w:rPr>
        <w:t>Figure 5.12</w:t>
      </w:r>
      <w:r w:rsidR="00736A8C" w:rsidRPr="00736A8C">
        <w:rPr>
          <w:rStyle w:val="SubtitleChar"/>
        </w:rPr>
        <w:t xml:space="preserve"> CPB2 activity in cells in the presence and absence of inhibitor in a diabetic mode</w:t>
      </w:r>
      <w:r w:rsidR="00E95F2E">
        <w:rPr>
          <w:rStyle w:val="SubtitleChar"/>
        </w:rPr>
        <w:t>l cultured on fibrin</w:t>
      </w:r>
      <w:r w:rsidR="00736A8C" w:rsidRPr="00736A8C">
        <w:rPr>
          <w:rStyle w:val="SubtitleChar"/>
        </w:rPr>
        <w:t>.</w:t>
      </w:r>
      <w:bookmarkEnd w:id="402"/>
      <w:r w:rsidR="001C1866" w:rsidRPr="001C1866">
        <w:t xml:space="preserve"> </w:t>
      </w:r>
      <w:r w:rsidR="001C1866" w:rsidRPr="001271B4">
        <w:t>A one way ANOVA test followed by Tukey’s multiple comparison test showed a significant diffe</w:t>
      </w:r>
      <w:r w:rsidR="001C1866">
        <w:t>rence of P&lt;0.0001 in epithelial-</w:t>
      </w:r>
      <w:r w:rsidR="001C1866" w:rsidRPr="001271B4">
        <w:t>like cells and P&lt;0.05 in mesangial cells. n=3.</w:t>
      </w:r>
    </w:p>
    <w:p w:rsidR="00A02603" w:rsidRDefault="00A02603">
      <w:pPr>
        <w:spacing w:after="160" w:line="259" w:lineRule="auto"/>
        <w:jc w:val="left"/>
        <w:rPr>
          <w:rFonts w:eastAsia="Times New Roman"/>
          <w:color w:val="000000"/>
          <w:sz w:val="22"/>
          <w:szCs w:val="22"/>
          <w:lang w:eastAsia="en-GB"/>
        </w:rPr>
      </w:pPr>
      <w:r>
        <w:br w:type="page"/>
      </w:r>
    </w:p>
    <w:p w:rsidR="00C151E5" w:rsidRPr="00483E3A" w:rsidRDefault="001C1866" w:rsidP="00C65F9F">
      <w:pPr>
        <w:pStyle w:val="LegText"/>
        <w:ind w:left="1440"/>
        <w:rPr>
          <w:rFonts w:eastAsia="Calibri"/>
          <w:sz w:val="24"/>
          <w:szCs w:val="24"/>
        </w:rPr>
      </w:pPr>
      <w:r>
        <w:lastRenderedPageBreak/>
        <w:t xml:space="preserve">  </w:t>
      </w:r>
    </w:p>
    <w:p w:rsidR="00736A8C" w:rsidRPr="00736A8C" w:rsidRDefault="00736A8C" w:rsidP="005E174B">
      <w:pPr>
        <w:pStyle w:val="Heading4"/>
        <w:ind w:left="720" w:firstLine="720"/>
        <w:rPr>
          <w:sz w:val="20"/>
          <w:szCs w:val="20"/>
        </w:rPr>
      </w:pPr>
      <w:bookmarkStart w:id="403" w:name="_Toc506232412"/>
      <w:r>
        <w:t>5</w:t>
      </w:r>
      <w:r w:rsidRPr="00736A8C">
        <w:t>.6.</w:t>
      </w:r>
      <w:r>
        <w:t>2</w:t>
      </w:r>
      <w:r w:rsidRPr="00736A8C">
        <w:t xml:space="preserve"> Discussion</w:t>
      </w:r>
      <w:bookmarkEnd w:id="403"/>
      <w:r w:rsidRPr="00736A8C">
        <w:t xml:space="preserve"> </w:t>
      </w:r>
    </w:p>
    <w:p w:rsidR="001C1866" w:rsidRDefault="001C1866" w:rsidP="003C4454">
      <w:pPr>
        <w:ind w:left="1440"/>
      </w:pPr>
      <w:r>
        <w:t>The data suggest that the components required for plasmin activation were present in kidney cell. The effects of fibrin and high glucose are in line with the hypothesis that plasmin activation is increased by fibrin which was our starting hypothesis and that high glucose may favour the build-up of fibrotic material.</w:t>
      </w:r>
    </w:p>
    <w:p w:rsidR="001C1866" w:rsidRPr="00C13F0D" w:rsidRDefault="001C1866" w:rsidP="003C4454">
      <w:pPr>
        <w:ind w:left="1440"/>
      </w:pPr>
      <w:r>
        <w:t>Drawbacks</w:t>
      </w:r>
      <w:r w:rsidR="002D5756">
        <w:t>: one of the drawbacks in the</w:t>
      </w:r>
      <w:r>
        <w:t xml:space="preserve"> </w:t>
      </w:r>
      <w:r w:rsidRPr="001271B4">
        <w:rPr>
          <w:i/>
        </w:rPr>
        <w:t>in vitro</w:t>
      </w:r>
      <w:r w:rsidR="002D5756">
        <w:rPr>
          <w:i/>
        </w:rPr>
        <w:t xml:space="preserve"> </w:t>
      </w:r>
      <w:r w:rsidR="002D5756">
        <w:t xml:space="preserve">study was the question of if the </w:t>
      </w:r>
      <w:r>
        <w:t xml:space="preserve">cell lines </w:t>
      </w:r>
      <w:r w:rsidR="002D5756">
        <w:t xml:space="preserve">are </w:t>
      </w:r>
      <w:r>
        <w:t xml:space="preserve">really representative? There were also some things missing e.g. the presence of blood derived immune cells which undoubtedly plays a major role </w:t>
      </w:r>
      <w:r w:rsidRPr="001271B4">
        <w:rPr>
          <w:i/>
        </w:rPr>
        <w:t>in vivo</w:t>
      </w:r>
      <w:r w:rsidR="00A26D00">
        <w:rPr>
          <w:i/>
        </w:rPr>
        <w:t xml:space="preserve"> </w:t>
      </w:r>
    </w:p>
    <w:p w:rsidR="003420C6" w:rsidRDefault="00A26D00" w:rsidP="00522CAA">
      <w:pPr>
        <w:ind w:left="1440"/>
        <w:rPr>
          <w:rFonts w:cs="Arial"/>
        </w:rPr>
      </w:pPr>
      <w:r>
        <w:rPr>
          <w:rFonts w:cs="Arial"/>
        </w:rPr>
        <w:t>A similar study by Atkinson et al., (2013)</w:t>
      </w:r>
      <w:r w:rsidR="00DC78C1">
        <w:rPr>
          <w:rFonts w:cs="Arial"/>
        </w:rPr>
        <w:t xml:space="preserve"> </w:t>
      </w:r>
      <w:r w:rsidR="00E46B22">
        <w:rPr>
          <w:rFonts w:cs="Arial"/>
        </w:rPr>
        <w:t>was carried</w:t>
      </w:r>
      <w:r w:rsidR="00497D93">
        <w:rPr>
          <w:rFonts w:cs="Arial"/>
        </w:rPr>
        <w:t xml:space="preserve"> in our department. These two studies had some differences and similarities. The cells use</w:t>
      </w:r>
      <w:r w:rsidR="003B2F22">
        <w:rPr>
          <w:rFonts w:cs="Arial"/>
        </w:rPr>
        <w:t>d</w:t>
      </w:r>
      <w:r w:rsidR="00497D93">
        <w:rPr>
          <w:rFonts w:cs="Arial"/>
        </w:rPr>
        <w:t xml:space="preserve"> by Atkinson et al., (2013) were</w:t>
      </w:r>
      <w:r w:rsidR="00DC78C1">
        <w:rPr>
          <w:rFonts w:cs="Arial"/>
        </w:rPr>
        <w:t xml:space="preserve"> NRK52E, NRK49F and 1097, while we used NRK52E, NRK49F and CRL2573</w:t>
      </w:r>
      <w:r w:rsidR="00497D93">
        <w:rPr>
          <w:rFonts w:cs="Arial"/>
        </w:rPr>
        <w:t>.</w:t>
      </w:r>
      <w:r w:rsidR="00E46B22">
        <w:rPr>
          <w:rFonts w:cs="Arial"/>
        </w:rPr>
        <w:t xml:space="preserve"> </w:t>
      </w:r>
    </w:p>
    <w:p w:rsidR="002D5756" w:rsidRDefault="00E46B22" w:rsidP="00522CAA">
      <w:pPr>
        <w:ind w:left="1440"/>
        <w:rPr>
          <w:rFonts w:cs="Arial"/>
        </w:rPr>
      </w:pPr>
      <w:r>
        <w:rPr>
          <w:rFonts w:cs="Arial"/>
        </w:rPr>
        <w:t xml:space="preserve">They </w:t>
      </w:r>
      <w:r w:rsidR="00712563">
        <w:rPr>
          <w:rFonts w:cs="Arial"/>
        </w:rPr>
        <w:t xml:space="preserve">conditioned their confluent cell cultures for 24 hours in phenol red medium </w:t>
      </w:r>
      <w:r w:rsidR="008E483A">
        <w:rPr>
          <w:rFonts w:cs="Arial"/>
        </w:rPr>
        <w:t>with foetal bovine</w:t>
      </w:r>
      <w:r w:rsidR="00712563">
        <w:rPr>
          <w:rFonts w:cs="Arial"/>
        </w:rPr>
        <w:t xml:space="preserve"> serum. This was different from our protocol as we cultured our confluent cell cultures for 24 hours in phenol red free/ serum f</w:t>
      </w:r>
      <w:r>
        <w:rPr>
          <w:rFonts w:cs="Arial"/>
        </w:rPr>
        <w:t>ree medium. The</w:t>
      </w:r>
      <w:r w:rsidR="00277EC9">
        <w:rPr>
          <w:rFonts w:cs="Arial"/>
        </w:rPr>
        <w:t>re are two main</w:t>
      </w:r>
      <w:r w:rsidR="002D5756">
        <w:rPr>
          <w:rFonts w:cs="Arial"/>
        </w:rPr>
        <w:t xml:space="preserve"> reasons for our choice:</w:t>
      </w:r>
    </w:p>
    <w:p w:rsidR="001B6FB4" w:rsidRDefault="002D5756" w:rsidP="00B702A5">
      <w:pPr>
        <w:pStyle w:val="ListParagraph"/>
        <w:numPr>
          <w:ilvl w:val="0"/>
          <w:numId w:val="31"/>
        </w:numPr>
        <w:rPr>
          <w:rFonts w:cs="Arial"/>
        </w:rPr>
      </w:pPr>
      <w:r>
        <w:rPr>
          <w:rFonts w:cs="Arial"/>
        </w:rPr>
        <w:t>The phenol red colo</w:t>
      </w:r>
      <w:r w:rsidR="00332FC3">
        <w:rPr>
          <w:rFonts w:cs="Arial"/>
        </w:rPr>
        <w:t>ur will have a biased effect on</w:t>
      </w:r>
      <w:r w:rsidR="001B6FB4">
        <w:rPr>
          <w:rFonts w:cs="Arial"/>
        </w:rPr>
        <w:t xml:space="preserve"> </w:t>
      </w:r>
      <w:r>
        <w:rPr>
          <w:rFonts w:cs="Arial"/>
        </w:rPr>
        <w:t xml:space="preserve">the reading of </w:t>
      </w:r>
      <w:r w:rsidR="001B6FB4">
        <w:rPr>
          <w:rFonts w:cs="Arial"/>
        </w:rPr>
        <w:t xml:space="preserve">absorbance </w:t>
      </w:r>
    </w:p>
    <w:p w:rsidR="003420C6" w:rsidRPr="002D5756" w:rsidRDefault="001B6FB4" w:rsidP="00B702A5">
      <w:pPr>
        <w:pStyle w:val="ListParagraph"/>
        <w:numPr>
          <w:ilvl w:val="0"/>
          <w:numId w:val="31"/>
        </w:numPr>
        <w:rPr>
          <w:rFonts w:cs="Arial"/>
        </w:rPr>
      </w:pPr>
      <w:r>
        <w:rPr>
          <w:rFonts w:cs="Arial"/>
        </w:rPr>
        <w:t xml:space="preserve">Secondly </w:t>
      </w:r>
      <w:r w:rsidR="00A64F59" w:rsidRPr="002D5756">
        <w:rPr>
          <w:rFonts w:cs="Arial"/>
        </w:rPr>
        <w:t xml:space="preserve"> </w:t>
      </w:r>
      <w:r w:rsidR="008E483A" w:rsidRPr="002D5756">
        <w:rPr>
          <w:rFonts w:cs="Arial"/>
        </w:rPr>
        <w:t>foetal</w:t>
      </w:r>
      <w:r w:rsidR="00712563" w:rsidRPr="002D5756">
        <w:rPr>
          <w:rFonts w:cs="Arial"/>
        </w:rPr>
        <w:t xml:space="preserve"> </w:t>
      </w:r>
      <w:r w:rsidR="00A64F59" w:rsidRPr="002D5756">
        <w:rPr>
          <w:rFonts w:cs="Arial"/>
        </w:rPr>
        <w:t xml:space="preserve">bovine </w:t>
      </w:r>
      <w:r w:rsidR="00712563" w:rsidRPr="002D5756">
        <w:rPr>
          <w:rFonts w:cs="Arial"/>
        </w:rPr>
        <w:t xml:space="preserve">serum contains </w:t>
      </w:r>
      <w:r w:rsidR="00A64F59" w:rsidRPr="002D5756">
        <w:rPr>
          <w:rFonts w:cs="Arial"/>
        </w:rPr>
        <w:t xml:space="preserve">proteinase inhibitors such as inter-α-trypsin inhibitor </w:t>
      </w:r>
      <w:r w:rsidR="00A64F59" w:rsidRPr="002D5756">
        <w:rPr>
          <w:rFonts w:cs="Arial"/>
        </w:rPr>
        <w:fldChar w:fldCharType="begin"/>
      </w:r>
      <w:r w:rsidR="00A64F59" w:rsidRPr="002D5756">
        <w:rPr>
          <w:rFonts w:cs="Arial"/>
        </w:rPr>
        <w:instrText xml:space="preserve"> ADDIN EN.CITE &lt;EndNote&gt;&lt;Cite&gt;&lt;Author&gt;Ermakova&lt;/Author&gt;&lt;Year&gt;2011&lt;/Year&gt;&lt;IDText&gt;Major chondroitin sulfate proteoglycans identified in L6J1 myoblast culture&lt;/IDText&gt;&lt;DisplayText&gt;(Ermakova et al., 2011)&lt;/DisplayText&gt;&lt;record&gt;&lt;isbn&gt;0006-2979&lt;/isbn&gt;&lt;titles&gt;&lt;title&gt;Major chondroitin sulfate proteoglycans identified in L6J1 myoblast culture&lt;/title&gt;&lt;secondary-title&gt;Biochemistry (Moscow)&lt;/secondary-title&gt;&lt;/titles&gt;&lt;pages&gt;359-365&lt;/pages&gt;&lt;number&gt;3&lt;/number&gt;&lt;contributors&gt;&lt;authors&gt;&lt;author&gt;Ermakova, II&lt;/author&gt;&lt;author&gt;Sakuta, GA&lt;/author&gt;&lt;author&gt;Potekhina, MA&lt;/author&gt;&lt;author&gt;Fedorova, MA&lt;/author&gt;&lt;author&gt;Hoffmann, R&lt;/author&gt;&lt;author&gt;Morozov, VI&lt;/author&gt;&lt;/authors&gt;&lt;/contributors&gt;&lt;added-date format="utc"&gt;1503482411&lt;/added-date&gt;&lt;ref-type name="Journal Article"&gt;17&lt;/ref-type&gt;&lt;dates&gt;&lt;year&gt;2011&lt;/year&gt;&lt;/dates&gt;&lt;rec-number&gt;1952&lt;/rec-number&gt;&lt;last-updated-date format="utc"&gt;1503482411&lt;/last-updated-date&gt;&lt;volume&gt;76&lt;/volume&gt;&lt;/record&gt;&lt;/Cite&gt;&lt;/EndNote&gt;</w:instrText>
      </w:r>
      <w:r w:rsidR="00A64F59" w:rsidRPr="002D5756">
        <w:rPr>
          <w:rFonts w:cs="Arial"/>
        </w:rPr>
        <w:fldChar w:fldCharType="separate"/>
      </w:r>
      <w:r w:rsidR="00A64F59" w:rsidRPr="002D5756">
        <w:rPr>
          <w:rFonts w:cs="Arial"/>
          <w:noProof/>
        </w:rPr>
        <w:t>(Ermakova et al., 2011)</w:t>
      </w:r>
      <w:r w:rsidR="00A64F59" w:rsidRPr="002D5756">
        <w:rPr>
          <w:rFonts w:cs="Arial"/>
        </w:rPr>
        <w:fldChar w:fldCharType="end"/>
      </w:r>
      <w:r w:rsidR="008E483A" w:rsidRPr="002D5756">
        <w:rPr>
          <w:rFonts w:cs="Arial"/>
        </w:rPr>
        <w:t xml:space="preserve">. These inhibitors are known to affect serine proteinase activities. </w:t>
      </w:r>
    </w:p>
    <w:p w:rsidR="003420C6" w:rsidRDefault="003420C6" w:rsidP="00522CAA">
      <w:pPr>
        <w:ind w:left="1440"/>
        <w:rPr>
          <w:rFonts w:cs="Arial"/>
        </w:rPr>
      </w:pPr>
      <w:r>
        <w:rPr>
          <w:rFonts w:cs="Arial"/>
        </w:rPr>
        <w:t>We</w:t>
      </w:r>
      <w:r w:rsidR="00E46B22">
        <w:rPr>
          <w:rFonts w:cs="Arial"/>
        </w:rPr>
        <w:t xml:space="preserve"> </w:t>
      </w:r>
      <w:r w:rsidR="008E483A" w:rsidRPr="008E483A">
        <w:rPr>
          <w:rFonts w:cs="Arial"/>
        </w:rPr>
        <w:t xml:space="preserve">went </w:t>
      </w:r>
      <w:r w:rsidR="008E483A">
        <w:rPr>
          <w:rFonts w:cs="Arial"/>
        </w:rPr>
        <w:t>further to culture on both plastic and fibrin as the effect of fibrin on plasmin activation was one of our hypothesis</w:t>
      </w:r>
      <w:r w:rsidR="00497D93">
        <w:rPr>
          <w:rFonts w:cs="Arial"/>
        </w:rPr>
        <w:t xml:space="preserve"> and our res</w:t>
      </w:r>
      <w:r w:rsidR="004F7379">
        <w:rPr>
          <w:rFonts w:cs="Arial"/>
        </w:rPr>
        <w:t>ults confirmed this (Section 5.2</w:t>
      </w:r>
      <w:r w:rsidR="00497D93">
        <w:rPr>
          <w:rFonts w:cs="Arial"/>
        </w:rPr>
        <w:t>)</w:t>
      </w:r>
      <w:r w:rsidR="008E483A">
        <w:rPr>
          <w:rFonts w:cs="Arial"/>
        </w:rPr>
        <w:t xml:space="preserve">. </w:t>
      </w:r>
    </w:p>
    <w:p w:rsidR="004A6988" w:rsidRPr="006E57F1" w:rsidRDefault="001E1755" w:rsidP="00522CAA">
      <w:pPr>
        <w:ind w:left="1440"/>
        <w:rPr>
          <w:rStyle w:val="SubtitleChar"/>
          <w:rFonts w:eastAsiaTheme="minorHAnsi"/>
        </w:rPr>
      </w:pPr>
      <w:r>
        <w:rPr>
          <w:rFonts w:cs="Arial"/>
        </w:rPr>
        <w:t xml:space="preserve">There was also a major difference in the </w:t>
      </w:r>
      <w:r w:rsidR="00522CAA">
        <w:rPr>
          <w:rFonts w:cs="Arial"/>
        </w:rPr>
        <w:t>substrates used to assay tPA and uPA activities.</w:t>
      </w:r>
      <w:r w:rsidR="00522CAA" w:rsidRPr="00522CAA">
        <w:rPr>
          <w:lang w:val="en-US"/>
        </w:rPr>
        <w:t xml:space="preserve"> </w:t>
      </w:r>
      <w:r w:rsidR="00522CAA" w:rsidRPr="00552859">
        <w:rPr>
          <w:noProof/>
          <w:lang w:val="en-US"/>
        </w:rPr>
        <w:t xml:space="preserve">Atkinson et al., </w:t>
      </w:r>
      <w:r w:rsidR="0031422A">
        <w:rPr>
          <w:noProof/>
          <w:lang w:val="en-US"/>
        </w:rPr>
        <w:t>(</w:t>
      </w:r>
      <w:r w:rsidR="00522CAA" w:rsidRPr="00552859">
        <w:rPr>
          <w:noProof/>
          <w:lang w:val="en-US"/>
        </w:rPr>
        <w:t>2013</w:t>
      </w:r>
      <w:r w:rsidR="0031422A">
        <w:rPr>
          <w:noProof/>
          <w:lang w:val="en-US"/>
        </w:rPr>
        <w:t>)</w:t>
      </w:r>
      <w:r w:rsidR="00E24B58">
        <w:rPr>
          <w:lang w:val="en-US"/>
        </w:rPr>
        <w:t xml:space="preserve"> used</w:t>
      </w:r>
      <w:r w:rsidR="00522CAA" w:rsidRPr="00552859">
        <w:rPr>
          <w:lang w:val="en-US"/>
        </w:rPr>
        <w:t xml:space="preserve"> H-D-Isoleucyl-L-Pro-L-Arg-</w:t>
      </w:r>
      <w:r w:rsidR="00522CAA" w:rsidRPr="00552859">
        <w:rPr>
          <w:i/>
          <w:lang w:val="en-US"/>
        </w:rPr>
        <w:t>p</w:t>
      </w:r>
      <w:r w:rsidR="00522CAA" w:rsidRPr="00552859">
        <w:rPr>
          <w:lang w:val="en-US"/>
        </w:rPr>
        <w:t xml:space="preserve">-nitroanilide </w:t>
      </w:r>
      <w:r w:rsidR="00522CAA">
        <w:rPr>
          <w:lang w:val="en-US"/>
        </w:rPr>
        <w:t>for tPA</w:t>
      </w:r>
      <w:r w:rsidR="00E24B58">
        <w:rPr>
          <w:lang w:val="en-US"/>
        </w:rPr>
        <w:t xml:space="preserve"> and </w:t>
      </w:r>
      <w:r w:rsidR="00522CAA" w:rsidRPr="00552859">
        <w:rPr>
          <w:lang w:val="en-US"/>
        </w:rPr>
        <w:t>pyro-Glu-Gly-Arg-</w:t>
      </w:r>
      <w:r w:rsidR="00522CAA" w:rsidRPr="00552859">
        <w:rPr>
          <w:i/>
          <w:lang w:val="en-US"/>
        </w:rPr>
        <w:t xml:space="preserve"> p</w:t>
      </w:r>
      <w:r w:rsidR="00522CAA" w:rsidRPr="00552859">
        <w:rPr>
          <w:lang w:val="en-US"/>
        </w:rPr>
        <w:t>-nitroanilide</w:t>
      </w:r>
      <w:r w:rsidR="00E24B58">
        <w:rPr>
          <w:lang w:val="en-US"/>
        </w:rPr>
        <w:t xml:space="preserve"> for uPA</w:t>
      </w:r>
      <w:r>
        <w:rPr>
          <w:rFonts w:cs="Arial"/>
        </w:rPr>
        <w:t xml:space="preserve">. </w:t>
      </w:r>
      <w:r>
        <w:rPr>
          <w:rFonts w:cs="Arial"/>
        </w:rPr>
        <w:lastRenderedPageBreak/>
        <w:t>Optimization of both substrates</w:t>
      </w:r>
      <w:r w:rsidR="00522CAA" w:rsidRPr="00522CAA">
        <w:rPr>
          <w:rFonts w:eastAsiaTheme="majorEastAsia" w:cstheme="majorBidi"/>
        </w:rPr>
        <w:t xml:space="preserve"> </w:t>
      </w:r>
      <w:r w:rsidR="00522CAA">
        <w:rPr>
          <w:rFonts w:eastAsiaTheme="majorEastAsia" w:cstheme="majorBidi"/>
        </w:rPr>
        <w:t>(</w:t>
      </w:r>
      <w:r w:rsidR="00522CAA" w:rsidRPr="00522CAA">
        <w:rPr>
          <w:rFonts w:eastAsiaTheme="majorEastAsia" w:cstheme="majorBidi"/>
        </w:rPr>
        <w:t>Section 2.7.6</w:t>
      </w:r>
      <w:r w:rsidR="00522CAA">
        <w:rPr>
          <w:rFonts w:eastAsiaTheme="majorEastAsia" w:cstheme="majorBidi"/>
        </w:rPr>
        <w:t>)</w:t>
      </w:r>
      <w:r w:rsidR="00522CAA" w:rsidRPr="00522CAA">
        <w:rPr>
          <w:rFonts w:eastAsiaTheme="majorEastAsia" w:cstheme="majorBidi"/>
        </w:rPr>
        <w:t xml:space="preserve"> </w:t>
      </w:r>
      <w:r>
        <w:rPr>
          <w:rFonts w:cs="Arial"/>
        </w:rPr>
        <w:t>showed that</w:t>
      </w:r>
      <w:r w:rsidR="00497D93">
        <w:rPr>
          <w:rFonts w:cs="Arial"/>
        </w:rPr>
        <w:t xml:space="preserve"> these</w:t>
      </w:r>
      <w:r>
        <w:rPr>
          <w:rFonts w:cs="Arial"/>
        </w:rPr>
        <w:t xml:space="preserve"> substrate</w:t>
      </w:r>
      <w:r w:rsidR="00522CAA">
        <w:rPr>
          <w:rFonts w:cs="Arial"/>
        </w:rPr>
        <w:t>s</w:t>
      </w:r>
      <w:r>
        <w:rPr>
          <w:rFonts w:cs="Arial"/>
        </w:rPr>
        <w:t xml:space="preserve"> were not spe</w:t>
      </w:r>
      <w:r w:rsidR="003420C6">
        <w:rPr>
          <w:rFonts w:cs="Arial"/>
        </w:rPr>
        <w:t>cific for</w:t>
      </w:r>
      <w:r w:rsidR="00522CAA">
        <w:rPr>
          <w:lang w:val="en-US"/>
        </w:rPr>
        <w:t xml:space="preserve"> tPA</w:t>
      </w:r>
      <w:r w:rsidR="00522CAA" w:rsidRPr="00552859">
        <w:rPr>
          <w:lang w:val="en-US"/>
        </w:rPr>
        <w:t xml:space="preserve"> and uPA </w:t>
      </w:r>
      <w:r w:rsidR="003420C6">
        <w:rPr>
          <w:lang w:val="en-US"/>
        </w:rPr>
        <w:t>as assumed (</w:t>
      </w:r>
      <w:r w:rsidR="003420C6" w:rsidRPr="006E57F1">
        <w:rPr>
          <w:lang w:val="en-US"/>
        </w:rPr>
        <w:t>Fig.</w:t>
      </w:r>
      <w:r w:rsidR="00497D93" w:rsidRPr="006E57F1">
        <w:rPr>
          <w:rStyle w:val="SubtitleChar"/>
          <w:rFonts w:eastAsiaTheme="minorHAnsi"/>
        </w:rPr>
        <w:t xml:space="preserve"> </w:t>
      </w:r>
      <w:r w:rsidR="004F7379" w:rsidRPr="006E57F1">
        <w:rPr>
          <w:rStyle w:val="SubtitleChar"/>
          <w:rFonts w:eastAsiaTheme="minorHAnsi"/>
        </w:rPr>
        <w:t>2.20</w:t>
      </w:r>
      <w:r w:rsidR="00497D93" w:rsidRPr="006E57F1">
        <w:rPr>
          <w:rStyle w:val="SubtitleChar"/>
          <w:rFonts w:eastAsiaTheme="minorHAnsi"/>
        </w:rPr>
        <w:t>)</w:t>
      </w:r>
      <w:r w:rsidR="004A6988" w:rsidRPr="006E57F1">
        <w:rPr>
          <w:rStyle w:val="SubtitleChar"/>
          <w:rFonts w:eastAsiaTheme="minorHAnsi"/>
        </w:rPr>
        <w:t xml:space="preserve">. </w:t>
      </w:r>
    </w:p>
    <w:p w:rsidR="008E483A" w:rsidRPr="006E57F1" w:rsidRDefault="004A6988" w:rsidP="00522CAA">
      <w:pPr>
        <w:ind w:left="1440"/>
        <w:rPr>
          <w:lang w:val="en-US"/>
        </w:rPr>
      </w:pPr>
      <w:bookmarkStart w:id="404" w:name="_Toc494733019"/>
      <w:bookmarkStart w:id="405" w:name="_Toc504640624"/>
      <w:r w:rsidRPr="006E57F1">
        <w:rPr>
          <w:rStyle w:val="SubtitleChar"/>
          <w:rFonts w:eastAsiaTheme="minorHAnsi"/>
        </w:rPr>
        <w:t xml:space="preserve">With regards to </w:t>
      </w:r>
      <w:r w:rsidRPr="006E57F1">
        <w:rPr>
          <w:rStyle w:val="SubtitleChar"/>
          <w:rFonts w:eastAsiaTheme="minorHAnsi"/>
          <w:i/>
        </w:rPr>
        <w:t>in vivo</w:t>
      </w:r>
      <w:r w:rsidRPr="006E57F1">
        <w:rPr>
          <w:rStyle w:val="SubtitleChar"/>
          <w:rFonts w:eastAsiaTheme="minorHAnsi"/>
        </w:rPr>
        <w:t xml:space="preserve"> studies we used unilateral nephrectomised diabetic model over eight month period while they used Snx.</w:t>
      </w:r>
      <w:bookmarkEnd w:id="404"/>
      <w:bookmarkEnd w:id="405"/>
      <w:r w:rsidR="00497D93" w:rsidRPr="006E57F1">
        <w:rPr>
          <w:rStyle w:val="SubtitleChar"/>
          <w:rFonts w:eastAsiaTheme="minorHAnsi"/>
        </w:rPr>
        <w:t xml:space="preserve"> </w:t>
      </w:r>
      <w:r w:rsidR="003420C6" w:rsidRPr="006E57F1">
        <w:rPr>
          <w:lang w:val="en-US"/>
        </w:rPr>
        <w:t xml:space="preserve"> </w:t>
      </w:r>
    </w:p>
    <w:p w:rsidR="0031422A" w:rsidRDefault="008E483A" w:rsidP="003D2D07">
      <w:pPr>
        <w:ind w:left="1440"/>
        <w:rPr>
          <w:rFonts w:cs="Arial"/>
        </w:rPr>
      </w:pPr>
      <w:r>
        <w:rPr>
          <w:rFonts w:cs="Arial"/>
        </w:rPr>
        <w:t xml:space="preserve">In as much as there were differences between our </w:t>
      </w:r>
      <w:r w:rsidRPr="000761F4">
        <w:rPr>
          <w:rFonts w:cs="Arial"/>
          <w:i/>
        </w:rPr>
        <w:t>i</w:t>
      </w:r>
      <w:r w:rsidR="000761F4">
        <w:rPr>
          <w:rFonts w:cs="Arial"/>
          <w:i/>
        </w:rPr>
        <w:t>n</w:t>
      </w:r>
      <w:r w:rsidRPr="000761F4">
        <w:rPr>
          <w:rFonts w:cs="Arial"/>
          <w:i/>
        </w:rPr>
        <w:t xml:space="preserve"> vitro</w:t>
      </w:r>
      <w:r>
        <w:rPr>
          <w:rFonts w:cs="Arial"/>
        </w:rPr>
        <w:t xml:space="preserve"> model and that of A</w:t>
      </w:r>
      <w:r w:rsidR="00DC78C1">
        <w:rPr>
          <w:rFonts w:cs="Arial"/>
        </w:rPr>
        <w:t>t</w:t>
      </w:r>
      <w:r>
        <w:rPr>
          <w:rFonts w:cs="Arial"/>
        </w:rPr>
        <w:t>kinson et al., (2013)</w:t>
      </w:r>
      <w:r w:rsidR="000761F4">
        <w:rPr>
          <w:rFonts w:cs="Arial"/>
        </w:rPr>
        <w:t xml:space="preserve">, there were similarities in our findings. </w:t>
      </w:r>
    </w:p>
    <w:p w:rsidR="00DC78C1" w:rsidRDefault="00DC78C1" w:rsidP="003D2D07">
      <w:pPr>
        <w:ind w:left="1440"/>
        <w:rPr>
          <w:rFonts w:cs="Arial"/>
        </w:rPr>
      </w:pPr>
      <w:r>
        <w:rPr>
          <w:rFonts w:cs="Arial"/>
        </w:rPr>
        <w:t>Both studies reported</w:t>
      </w:r>
      <w:r w:rsidR="00974892">
        <w:rPr>
          <w:rFonts w:cs="Arial"/>
        </w:rPr>
        <w:t xml:space="preserve"> plasmin, tPA, uPA and CBP2 activities in all three rat kidney cell lines cultured on plastic, with NRK52E having the highest plasmin activity and NRK49F having the highest tPA and uPA activity. However </w:t>
      </w:r>
      <w:r w:rsidR="0031422A">
        <w:rPr>
          <w:rFonts w:cs="Arial"/>
        </w:rPr>
        <w:t>we reported NRK49F as having the</w:t>
      </w:r>
      <w:r>
        <w:rPr>
          <w:rFonts w:cs="Arial"/>
        </w:rPr>
        <w:t xml:space="preserve"> highest CBP2 activity on plastic while Atkinson et al reported highest CBP2 activity in 1097. </w:t>
      </w:r>
      <w:r w:rsidR="00712563" w:rsidRPr="008E483A">
        <w:rPr>
          <w:rFonts w:cs="Arial"/>
        </w:rPr>
        <w:t xml:space="preserve"> </w:t>
      </w:r>
    </w:p>
    <w:p w:rsidR="00DB2E61" w:rsidRPr="00C9536D" w:rsidRDefault="00DB2E61" w:rsidP="003D2D07">
      <w:pPr>
        <w:ind w:left="1440"/>
        <w:rPr>
          <w:rFonts w:cs="Arial"/>
        </w:rPr>
      </w:pPr>
      <w:r w:rsidRPr="008E483A">
        <w:rPr>
          <w:rFonts w:cs="Arial"/>
        </w:rPr>
        <w:t xml:space="preserve">Previous study reported thrombin as a key component in the activation of CPB2 in fibrinolysis </w:t>
      </w:r>
      <w:r w:rsidRPr="008E483A">
        <w:rPr>
          <w:rFonts w:cs="Arial"/>
        </w:rPr>
        <w:fldChar w:fldCharType="begin"/>
      </w:r>
      <w:r w:rsidRPr="008E483A">
        <w:rPr>
          <w:rFonts w:cs="Arial"/>
        </w:rPr>
        <w:instrText xml:space="preserve"> ADDIN EN.CITE &lt;EndNote&gt;&lt;Cite&gt;&lt;Author&gt;Bouma&lt;/Author&gt;&lt;Year&gt;2006&lt;/Year&gt;&lt;IDText&gt;Thrombin activatable fibrinolysis inhibitor (TAFI)—How does thrombin regulate fibrinolysis?&lt;/IDText&gt;&lt;DisplayText&gt;(Bouma and Mosnier, 2006b)&lt;/DisplayText&gt;&lt;record&gt;&lt;isbn&gt;0785-3890&lt;/isbn&gt;&lt;titles&gt;&lt;title&gt;Thrombin activatable fibrinolysis inhibitor (TAFI)—How does thrombin regulate fibrinolysis?&lt;/title&gt;&lt;secondary-title&gt;Annals of medicine&lt;/secondary-title&gt;&lt;/titles&gt;&lt;pages&gt;378-388&lt;/pages&gt;&lt;number&gt;6&lt;/number&gt;&lt;contributors&gt;&lt;authors&gt;&lt;author&gt;Bouma, Bonno N&lt;/author&gt;&lt;author&gt;Mosnier, Laurent O&lt;/author&gt;&lt;/authors&gt;&lt;/contributors&gt;&lt;added-date format="utc"&gt;1499590673&lt;/added-date&gt;&lt;ref-type name="Journal Article"&gt;17&lt;/ref-type&gt;&lt;dates&gt;&lt;year&gt;2006&lt;/year&gt;&lt;/dates&gt;&lt;rec-number&gt;1940&lt;/rec-number&gt;&lt;last-updated-date format="utc"&gt;1499590673&lt;/last-updated-date&gt;&lt;volume&gt;38&lt;/volume&gt;&lt;/record&gt;&lt;/Cite&gt;&lt;/EndNote&gt;</w:instrText>
      </w:r>
      <w:r w:rsidRPr="008E483A">
        <w:rPr>
          <w:rFonts w:cs="Arial"/>
        </w:rPr>
        <w:fldChar w:fldCharType="separate"/>
      </w:r>
      <w:r w:rsidR="006219EA">
        <w:rPr>
          <w:rFonts w:cs="Arial"/>
          <w:noProof/>
        </w:rPr>
        <w:t>(Bouma and Mosnier, 2006</w:t>
      </w:r>
      <w:r w:rsidRPr="008E483A">
        <w:rPr>
          <w:rFonts w:cs="Arial"/>
          <w:noProof/>
        </w:rPr>
        <w:t>)</w:t>
      </w:r>
      <w:r w:rsidRPr="008E483A">
        <w:rPr>
          <w:rFonts w:cs="Arial"/>
        </w:rPr>
        <w:fldChar w:fldCharType="end"/>
      </w:r>
      <w:r w:rsidRPr="00C9536D">
        <w:rPr>
          <w:rFonts w:cs="Arial"/>
        </w:rPr>
        <w:t>, this report went further to explain that activated CPB2 protected fibrin clot from lysis, therefore inhibition of CPB2 will r</w:t>
      </w:r>
      <w:r w:rsidR="00CA4DB1">
        <w:rPr>
          <w:rFonts w:cs="Arial"/>
        </w:rPr>
        <w:t>esult in</w:t>
      </w:r>
      <w:r w:rsidRPr="00C9536D">
        <w:rPr>
          <w:rFonts w:cs="Arial"/>
        </w:rPr>
        <w:t xml:space="preserve"> severe bleeding with a failure to achieve haemostasis. Another study went further to </w:t>
      </w:r>
      <w:r w:rsidR="00332FC3">
        <w:rPr>
          <w:rFonts w:cs="Arial"/>
        </w:rPr>
        <w:t>state that</w:t>
      </w:r>
      <w:r w:rsidRPr="00C9536D">
        <w:rPr>
          <w:rFonts w:cs="Arial"/>
        </w:rPr>
        <w:t xml:space="preserve"> the activity of CPB2 was responsible for pulmonary fibrosis because it altered the process of fibrin degradation </w:t>
      </w:r>
      <w:r w:rsidRPr="00C9536D">
        <w:rPr>
          <w:rFonts w:cs="Arial"/>
        </w:rPr>
        <w:fldChar w:fldCharType="begin"/>
      </w:r>
      <w:r w:rsidRPr="00C9536D">
        <w:rPr>
          <w:rFonts w:cs="Arial"/>
        </w:rPr>
        <w:instrText xml:space="preserve"> ADDIN EN.CITE &lt;EndNote&gt;&lt;Cite&gt;&lt;Author&gt;Fujimoto&lt;/Author&gt;&lt;Year&gt;2006&lt;/Year&gt;&lt;IDText&gt;Thrombin-activatable fibrinolysis inhibitor deficiency attenuates bleomycin-induced lung fibrosis&lt;/IDText&gt;&lt;DisplayText&gt;(Fujimoto et al., 2006)&lt;/DisplayText&gt;&lt;record&gt;&lt;isbn&gt;0002-9440&lt;/isbn&gt;&lt;titles&gt;&lt;title&gt;Thrombin-activatable fibrinolysis inhibitor deficiency attenuates bleomycin-induced lung fibrosis&lt;/title&gt;&lt;secondary-title&gt;The American journal of pathology&lt;/secondary-title&gt;&lt;/titles&gt;&lt;pages&gt;1086-1096&lt;/pages&gt;&lt;number&gt;4&lt;/number&gt;&lt;contributors&gt;&lt;authors&gt;&lt;author&gt;Fujimoto, Hajime&lt;/author&gt;&lt;author&gt;Gabazza, Esteban C&lt;/author&gt;&lt;author&gt;Taguchi, Osamu&lt;/author&gt;&lt;author&gt;Nishii, Yoichi&lt;/author&gt;&lt;author&gt;Nakahara, Hiroki&lt;/author&gt;&lt;author&gt;Bruno, Nelson E&lt;/author&gt;&lt;author&gt;D&amp;apos;Alessandro-Gabazza, Corina N&lt;/author&gt;&lt;author&gt;Kasper, Michael&lt;/author&gt;&lt;author&gt;Yano, Yutaka&lt;/author&gt;&lt;author&gt;Nagashima, Mariko&lt;/author&gt;&lt;/authors&gt;&lt;/contributors&gt;&lt;added-date format="utc"&gt;1499591347&lt;/added-date&gt;&lt;ref-type name="Journal Article"&gt;17&lt;/ref-type&gt;&lt;dates&gt;&lt;year&gt;2006&lt;/year&gt;&lt;/dates&gt;&lt;rec-number&gt;1941&lt;/rec-number&gt;&lt;last-updated-date format="utc"&gt;1499591347&lt;/last-updated-date&gt;&lt;volume&gt;168&lt;/volume&gt;&lt;/record&gt;&lt;/Cite&gt;&lt;/EndNote&gt;</w:instrText>
      </w:r>
      <w:r w:rsidRPr="00C9536D">
        <w:rPr>
          <w:rFonts w:cs="Arial"/>
        </w:rPr>
        <w:fldChar w:fldCharType="separate"/>
      </w:r>
      <w:r w:rsidRPr="00C9536D">
        <w:rPr>
          <w:rFonts w:cs="Arial"/>
          <w:noProof/>
        </w:rPr>
        <w:t>(Fujimoto et al., 2006)</w:t>
      </w:r>
      <w:r w:rsidRPr="00C9536D">
        <w:rPr>
          <w:rFonts w:cs="Arial"/>
        </w:rPr>
        <w:fldChar w:fldCharType="end"/>
      </w:r>
      <w:r w:rsidRPr="00C9536D">
        <w:rPr>
          <w:rFonts w:cs="Arial"/>
        </w:rPr>
        <w:t xml:space="preserve">. </w:t>
      </w:r>
    </w:p>
    <w:p w:rsidR="00DB2E61" w:rsidRPr="00C9536D" w:rsidRDefault="00DB2E61" w:rsidP="00FC49E1">
      <w:pPr>
        <w:ind w:left="1440"/>
        <w:rPr>
          <w:rFonts w:cs="Arial"/>
        </w:rPr>
      </w:pPr>
      <w:r w:rsidRPr="00C9536D">
        <w:rPr>
          <w:rFonts w:cs="Arial"/>
        </w:rPr>
        <w:t>These above reports may also explain our findings, that UK-396082 (a selective CPB2 inhibitor) may actually inhibit fibrosis based on our findings:</w:t>
      </w:r>
    </w:p>
    <w:p w:rsidR="00DB2E61" w:rsidRPr="00C9536D" w:rsidRDefault="001B6FB4" w:rsidP="00B702A5">
      <w:pPr>
        <w:pStyle w:val="ListParagraph"/>
        <w:numPr>
          <w:ilvl w:val="0"/>
          <w:numId w:val="22"/>
        </w:numPr>
        <w:rPr>
          <w:rFonts w:cs="Arial"/>
          <w:lang w:eastAsia="x-none"/>
        </w:rPr>
      </w:pPr>
      <w:r>
        <w:rPr>
          <w:rFonts w:cs="Arial"/>
          <w:lang w:eastAsia="x-none"/>
        </w:rPr>
        <w:t xml:space="preserve">Plasmin, tPA, uPA and CPB2 activities </w:t>
      </w:r>
      <w:r w:rsidR="00DB2E61" w:rsidRPr="00C9536D">
        <w:rPr>
          <w:rFonts w:cs="Arial"/>
          <w:lang w:eastAsia="x-none"/>
        </w:rPr>
        <w:t>were increased in the presence of fibrin</w:t>
      </w:r>
    </w:p>
    <w:p w:rsidR="00DB2E61" w:rsidRPr="00C9536D" w:rsidRDefault="001B6FB4" w:rsidP="00B702A5">
      <w:pPr>
        <w:pStyle w:val="ListParagraph"/>
        <w:numPr>
          <w:ilvl w:val="0"/>
          <w:numId w:val="22"/>
        </w:numPr>
        <w:rPr>
          <w:rFonts w:cs="Arial"/>
          <w:lang w:eastAsia="x-none"/>
        </w:rPr>
      </w:pPr>
      <w:r>
        <w:rPr>
          <w:rFonts w:cs="Arial"/>
          <w:lang w:eastAsia="x-none"/>
        </w:rPr>
        <w:t xml:space="preserve">Plasmin, tPA, and uPA </w:t>
      </w:r>
      <w:r w:rsidR="00DB2E61" w:rsidRPr="00C9536D">
        <w:rPr>
          <w:rFonts w:cs="Arial"/>
          <w:lang w:eastAsia="x-none"/>
        </w:rPr>
        <w:t xml:space="preserve">activities were reduced in diabetic state while </w:t>
      </w:r>
      <w:r>
        <w:rPr>
          <w:rFonts w:cs="Arial"/>
          <w:lang w:eastAsia="x-none"/>
        </w:rPr>
        <w:t xml:space="preserve">CPB2 </w:t>
      </w:r>
      <w:r w:rsidR="00C9536D" w:rsidRPr="00C9536D">
        <w:rPr>
          <w:rFonts w:cs="Arial"/>
          <w:lang w:eastAsia="x-none"/>
        </w:rPr>
        <w:t xml:space="preserve">activity was increased </w:t>
      </w:r>
      <w:r w:rsidR="00DB2E61" w:rsidRPr="00C9536D">
        <w:rPr>
          <w:rFonts w:cs="Arial"/>
          <w:lang w:eastAsia="x-none"/>
        </w:rPr>
        <w:t>in the presence of fibrin</w:t>
      </w:r>
    </w:p>
    <w:p w:rsidR="00DB2E61" w:rsidRDefault="00DB2E61" w:rsidP="00B702A5">
      <w:pPr>
        <w:pStyle w:val="ListParagraph"/>
        <w:numPr>
          <w:ilvl w:val="0"/>
          <w:numId w:val="22"/>
        </w:numPr>
        <w:rPr>
          <w:rFonts w:cs="Arial"/>
          <w:lang w:eastAsia="x-none"/>
        </w:rPr>
      </w:pPr>
      <w:r w:rsidRPr="00C9536D">
        <w:rPr>
          <w:rFonts w:cs="Arial"/>
          <w:lang w:eastAsia="x-none"/>
        </w:rPr>
        <w:t xml:space="preserve">In the presence of UK-396082 </w:t>
      </w:r>
      <w:r w:rsidR="001B6FB4">
        <w:rPr>
          <w:rFonts w:cs="Arial"/>
          <w:lang w:eastAsia="x-none"/>
        </w:rPr>
        <w:t xml:space="preserve">Plasmin, tPA, and uPA </w:t>
      </w:r>
      <w:r w:rsidRPr="00C9536D">
        <w:rPr>
          <w:rFonts w:cs="Arial"/>
          <w:lang w:eastAsia="x-none"/>
        </w:rPr>
        <w:t xml:space="preserve">activities were significantly increased in both epithelial and mesangial cells while </w:t>
      </w:r>
      <w:r w:rsidR="004E5F43">
        <w:rPr>
          <w:rFonts w:cs="Arial"/>
          <w:lang w:eastAsia="x-none"/>
        </w:rPr>
        <w:t xml:space="preserve">CPB2 </w:t>
      </w:r>
      <w:r w:rsidRPr="00C9536D">
        <w:rPr>
          <w:rFonts w:cs="Arial"/>
          <w:lang w:eastAsia="x-none"/>
        </w:rPr>
        <w:t xml:space="preserve">activity </w:t>
      </w:r>
      <w:r w:rsidR="001B6FB4">
        <w:rPr>
          <w:rFonts w:cs="Arial"/>
          <w:lang w:eastAsia="x-none"/>
        </w:rPr>
        <w:t>w</w:t>
      </w:r>
      <w:r w:rsidRPr="00C9536D">
        <w:rPr>
          <w:rFonts w:cs="Arial"/>
          <w:lang w:eastAsia="x-none"/>
        </w:rPr>
        <w:t xml:space="preserve">as concurrently </w:t>
      </w:r>
      <w:r w:rsidR="004E5F43">
        <w:rPr>
          <w:rFonts w:cs="Arial"/>
          <w:lang w:eastAsia="x-none"/>
        </w:rPr>
        <w:t xml:space="preserve">and </w:t>
      </w:r>
      <w:r w:rsidRPr="00C9536D">
        <w:rPr>
          <w:rFonts w:cs="Arial"/>
          <w:lang w:eastAsia="x-none"/>
        </w:rPr>
        <w:t>significantly reduced in epithelial and mesangial cells.</w:t>
      </w:r>
    </w:p>
    <w:p w:rsidR="00AD7930" w:rsidRDefault="00AD7930" w:rsidP="00233AE7">
      <w:pPr>
        <w:ind w:left="1440"/>
        <w:rPr>
          <w:rFonts w:cs="Arial"/>
        </w:rPr>
      </w:pPr>
      <w:r w:rsidRPr="00AD7930">
        <w:rPr>
          <w:rFonts w:cs="Arial"/>
        </w:rPr>
        <w:lastRenderedPageBreak/>
        <w:t xml:space="preserve">This combined significant increase in </w:t>
      </w:r>
      <w:r w:rsidR="004E5F43">
        <w:rPr>
          <w:rFonts w:cs="Arial"/>
          <w:lang w:eastAsia="x-none"/>
        </w:rPr>
        <w:t xml:space="preserve">Plasmin, tPA, and uPA </w:t>
      </w:r>
      <w:r w:rsidRPr="00AD7930">
        <w:rPr>
          <w:rFonts w:cs="Arial"/>
        </w:rPr>
        <w:t xml:space="preserve">activities in epithelial and mesangial cells </w:t>
      </w:r>
      <w:r>
        <w:rPr>
          <w:rFonts w:cs="Arial"/>
        </w:rPr>
        <w:t xml:space="preserve">activity </w:t>
      </w:r>
      <w:r w:rsidRPr="00AD7930">
        <w:rPr>
          <w:rFonts w:cs="Arial"/>
        </w:rPr>
        <w:t xml:space="preserve">in this model in the presence of UK-396082 with concomitant reduction in the activity of CPB2 in epithelial and mesangial cells in the presence of UK-396082 may explain how the inhibitor is having a prophylactic effect as observed in our </w:t>
      </w:r>
      <w:r w:rsidRPr="00A770FE">
        <w:rPr>
          <w:rFonts w:cs="Arial"/>
          <w:i/>
        </w:rPr>
        <w:t>in vivo</w:t>
      </w:r>
      <w:r w:rsidRPr="00AD7930">
        <w:rPr>
          <w:rFonts w:cs="Arial"/>
        </w:rPr>
        <w:t xml:space="preserve"> results.</w:t>
      </w:r>
    </w:p>
    <w:p w:rsidR="00333D07" w:rsidRDefault="00333D07" w:rsidP="00AD7930">
      <w:pPr>
        <w:ind w:left="720"/>
        <w:rPr>
          <w:rFonts w:cs="Arial"/>
        </w:rPr>
      </w:pPr>
    </w:p>
    <w:p w:rsidR="00333D07" w:rsidRDefault="00333D07" w:rsidP="00AD7930">
      <w:pPr>
        <w:ind w:left="720"/>
        <w:rPr>
          <w:rFonts w:cs="Arial"/>
        </w:rPr>
      </w:pPr>
      <w:r>
        <w:rPr>
          <w:rFonts w:cs="Arial"/>
        </w:rPr>
        <w:br w:type="page"/>
      </w:r>
    </w:p>
    <w:p w:rsidR="00451B4C" w:rsidRPr="00E10ECA" w:rsidRDefault="00451B4C" w:rsidP="006D474A">
      <w:pPr>
        <w:pStyle w:val="Title1"/>
        <w:ind w:left="720" w:firstLine="720"/>
        <w:jc w:val="left"/>
        <w:rPr>
          <w:rFonts w:ascii="Arial" w:eastAsia="Calibri" w:hAnsi="Arial" w:cs="Arial"/>
          <w:lang w:val="en-US"/>
        </w:rPr>
      </w:pPr>
      <w:r w:rsidRPr="00E10ECA">
        <w:rPr>
          <w:rFonts w:ascii="Arial" w:eastAsia="Calibri" w:hAnsi="Arial" w:cs="Arial"/>
          <w:b/>
          <w:lang w:val="en-US"/>
        </w:rPr>
        <w:lastRenderedPageBreak/>
        <w:t>Chapter Six</w:t>
      </w:r>
      <w:r w:rsidR="00CE46AE" w:rsidRPr="00E10ECA">
        <w:rPr>
          <w:rFonts w:ascii="Arial" w:eastAsia="Calibri" w:hAnsi="Arial" w:cs="Arial"/>
          <w:b/>
          <w:lang w:val="en-US"/>
        </w:rPr>
        <w:br/>
      </w:r>
      <w:r w:rsidR="00CE46AE" w:rsidRPr="00E10ECA">
        <w:rPr>
          <w:rFonts w:ascii="Arial" w:eastAsia="Calibri" w:hAnsi="Arial" w:cs="Arial"/>
          <w:lang w:val="en-US"/>
        </w:rPr>
        <w:t xml:space="preserve">    </w:t>
      </w:r>
      <w:r w:rsidR="006D474A">
        <w:rPr>
          <w:rFonts w:ascii="Arial" w:eastAsia="Calibri" w:hAnsi="Arial" w:cs="Arial"/>
          <w:lang w:val="en-US"/>
        </w:rPr>
        <w:tab/>
      </w:r>
      <w:r w:rsidR="00CE46AE" w:rsidRPr="00E10ECA">
        <w:rPr>
          <w:rFonts w:ascii="Arial" w:eastAsia="Calibri" w:hAnsi="Arial" w:cs="Arial"/>
          <w:lang w:val="en-US"/>
        </w:rPr>
        <w:t>Discussion</w:t>
      </w:r>
    </w:p>
    <w:p w:rsidR="00333D07" w:rsidRDefault="00333D07" w:rsidP="00AD7930">
      <w:pPr>
        <w:ind w:left="720"/>
        <w:rPr>
          <w:rFonts w:cs="Arial"/>
          <w:lang w:eastAsia="x-none"/>
        </w:rPr>
      </w:pPr>
      <w:r>
        <w:rPr>
          <w:rFonts w:cs="Arial"/>
          <w:lang w:eastAsia="x-none"/>
        </w:rPr>
        <w:br w:type="page"/>
      </w:r>
    </w:p>
    <w:p w:rsidR="00607065" w:rsidRDefault="00607065" w:rsidP="007F61BF">
      <w:pPr>
        <w:pStyle w:val="Heading3"/>
        <w:ind w:left="720" w:firstLine="720"/>
        <w:rPr>
          <w:rFonts w:eastAsia="Calibri"/>
          <w:lang w:val="en-US"/>
        </w:rPr>
      </w:pPr>
      <w:bookmarkStart w:id="406" w:name="_Toc506232413"/>
      <w:r>
        <w:rPr>
          <w:rFonts w:eastAsia="Calibri"/>
          <w:lang w:val="en-US"/>
        </w:rPr>
        <w:lastRenderedPageBreak/>
        <w:t>6.1 Introduction</w:t>
      </w:r>
      <w:bookmarkEnd w:id="406"/>
    </w:p>
    <w:p w:rsidR="007F64D7" w:rsidRPr="000464B6" w:rsidRDefault="000464B6" w:rsidP="000464B6">
      <w:pPr>
        <w:ind w:left="1440"/>
      </w:pPr>
      <w:r w:rsidRPr="00333D07">
        <w:rPr>
          <w:rFonts w:eastAsia="Calibri" w:cs="Arial"/>
          <w:lang w:val="en-US"/>
        </w:rPr>
        <w:t xml:space="preserve">Carboxypeptidase B2 (CPB2), plays a vital role in the mechanism that down regulates plasmin generation in the plasminogen-plasmin complex in fibrinolysis and the coagulation cascade </w:t>
      </w:r>
      <w:r w:rsidRPr="00333D07">
        <w:rPr>
          <w:rFonts w:eastAsia="Calibri" w:cs="Arial"/>
          <w:lang w:val="en-US"/>
        </w:rPr>
        <w:fldChar w:fldCharType="begin"/>
      </w:r>
      <w:r w:rsidRPr="00333D07">
        <w:rPr>
          <w:rFonts w:eastAsia="Calibri" w:cs="Arial"/>
          <w:lang w:val="en-US"/>
        </w:rPr>
        <w:instrText xml:space="preserve"> ADDIN EN.CITE &lt;EndNote&gt;&lt;Cite&gt;&lt;Author&gt;Stasko&lt;/Author&gt;&lt;Year&gt;2004&lt;/Year&gt;&lt;IDText&gt;[Thrombin activatable fibrinolysis inhibitor (TAFI) and its importance in the regulation of fibrinolysis]&lt;/IDText&gt;&lt;DisplayText&gt;(Stasko et al., 2004)&lt;/DisplayText&gt;&lt;record&gt;&lt;dates&gt;&lt;pub-dates&gt;&lt;date&gt;Jan&lt;/date&gt;&lt;/pub-dates&gt;&lt;year&gt;2004&lt;/year&gt;&lt;/dates&gt;&lt;keywords&gt;&lt;keyword&gt;Blood Coagulation/physiology&lt;/keyword&gt;&lt;keyword&gt;Blood Coagulation Disorders/blood/physiopathology&lt;/keyword&gt;&lt;keyword&gt;Carboxypeptidase B2/*physiology&lt;/keyword&gt;&lt;keyword&gt;Fibrinolysis/*physiology&lt;/keyword&gt;&lt;keyword&gt;Hemorrhagic Disorders/blood/physiopathology&lt;/keyword&gt;&lt;keyword&gt;Humans&lt;/keyword&gt;&lt;/keywords&gt;&lt;isbn&gt;0042-773X (Print)&amp;#xD;0042-773x&lt;/isbn&gt;&lt;titles&gt;&lt;title&gt;[Thrombin activatable fibrinolysis inhibitor (TAFI) and its importance in the regulation of fibrinolysis]&lt;/title&gt;&lt;secondary-title&gt;Vnitr Lek&lt;/secondary-title&gt;&lt;alt-title&gt;Vnitrni lekarstvi&lt;/alt-title&gt;&lt;/titles&gt;&lt;pages&gt;36-44&lt;/pages&gt;&lt;number&gt;1&lt;/number&gt;&lt;contributors&gt;&lt;authors&gt;&lt;author&gt;Stasko, J.&lt;/author&gt;&lt;author&gt;Hudecek, J.&lt;/author&gt;&lt;author&gt;Kubisz, P.&lt;/author&gt;&lt;/authors&gt;&lt;/contributors&gt;&lt;edition&gt;2004/03/16&lt;/edition&gt;&lt;language&gt;slo&lt;/language&gt;&lt;added-date format="utc"&gt;1496484145&lt;/added-date&gt;&lt;ref-type name="Journal Article"&gt;17&lt;/ref-type&gt;&lt;auth-address&gt;Klinika hematologie a transfuziologie Jesseniovej lekarskej fakulty UK a Martinskej FN a Narodne centrum hemostazy a trombozy Martinskej FN, Martin, Slovenska republika.&lt;/auth-address&gt;&lt;remote-database-provider&gt;NLM&lt;/remote-database-provider&gt;&lt;rec-number&gt;1864&lt;/rec-number&gt;&lt;last-updated-date format="utc"&gt;1496484145&lt;/last-updated-date&gt;&lt;accession-num&gt;15015228&lt;/accession-num&gt;&lt;orig-pub&gt;Trombinom aktivovatel&amp;apos;ny inhibitor fibrinolyzy (TAFI) a jeho vyznam v regulacii fibrinolyzy.&lt;/orig-pub&gt;&lt;volume&gt;50&lt;/volume&gt;&lt;/record&gt;&lt;/Cite&gt;&lt;/EndNote&gt;</w:instrText>
      </w:r>
      <w:r w:rsidRPr="00333D07">
        <w:rPr>
          <w:rFonts w:eastAsia="Calibri" w:cs="Arial"/>
          <w:lang w:val="en-US"/>
        </w:rPr>
        <w:fldChar w:fldCharType="separate"/>
      </w:r>
      <w:r w:rsidRPr="00333D07">
        <w:rPr>
          <w:rFonts w:eastAsia="Calibri" w:cs="Arial"/>
          <w:noProof/>
          <w:lang w:val="en-US"/>
        </w:rPr>
        <w:t>(Stasko et al., 2004)</w:t>
      </w:r>
      <w:r w:rsidRPr="00333D07">
        <w:rPr>
          <w:rFonts w:eastAsia="Calibri" w:cs="Arial"/>
          <w:lang w:val="en-US"/>
        </w:rPr>
        <w:fldChar w:fldCharType="end"/>
      </w:r>
      <w:r w:rsidRPr="00333D07">
        <w:rPr>
          <w:rFonts w:eastAsia="Calibri" w:cs="Arial"/>
          <w:lang w:val="en-US"/>
        </w:rPr>
        <w:t>. Activated CPB2 cleaves off terminal lysine residues from fibrin resulting in non-functionality of tPA in the catalysis of plasminogen to plasmin.</w:t>
      </w:r>
      <w:r>
        <w:rPr>
          <w:lang w:val="en-US"/>
        </w:rPr>
        <w:t xml:space="preserve"> </w:t>
      </w:r>
      <w:r w:rsidR="00333D07" w:rsidRPr="00333D07">
        <w:rPr>
          <w:lang w:val="en-US"/>
        </w:rPr>
        <w:t xml:space="preserve">The plasminogen/plasmin cascade is an area with </w:t>
      </w:r>
      <w:r w:rsidR="00A276CB">
        <w:rPr>
          <w:lang w:val="en-US"/>
        </w:rPr>
        <w:t>frequent discoveries</w:t>
      </w:r>
      <w:r w:rsidR="00333D07" w:rsidRPr="00333D07">
        <w:rPr>
          <w:lang w:val="en-US"/>
        </w:rPr>
        <w:t xml:space="preserve">. This cascade is involved in fibrin degradation, proteolytic events and activation of collagenases </w:t>
      </w:r>
      <w:r w:rsidR="00333D07" w:rsidRPr="00333D07">
        <w:rPr>
          <w:lang w:val="en-US"/>
        </w:rPr>
        <w:fldChar w:fldCharType="begin"/>
      </w:r>
      <w:r w:rsidR="00333D07" w:rsidRPr="00333D07">
        <w:rPr>
          <w:lang w:val="en-US"/>
        </w:rPr>
        <w:instrText xml:space="preserve"> ADDIN EN.CITE &lt;EndNote&gt;&lt;Cite&gt;&lt;Author&gt;Stoppelli&lt;/Author&gt;&lt;Year&gt;2013&lt;/Year&gt;&lt;IDText&gt;The plasminogen activation system in cell invasion&lt;/IDText&gt;&lt;DisplayText&gt;(Stoppelli, 2013)&lt;/DisplayText&gt;&lt;record&gt;&lt;titles&gt;&lt;title&gt;The plasminogen activation system in cell invasion&lt;/title&gt;&lt;/titles&gt;&lt;contributors&gt;&lt;authors&gt;&lt;author&gt;Stoppelli, M Patrizia&lt;/author&gt;&lt;/authors&gt;&lt;/contributors&gt;&lt;added-date format="utc"&gt;1499705617&lt;/added-date&gt;&lt;ref-type name="Journal Article"&gt;17&lt;/ref-type&gt;&lt;dates&gt;&lt;year&gt;2013&lt;/year&gt;&lt;/dates&gt;&lt;rec-number&gt;1943&lt;/rec-number&gt;&lt;last-updated-date format="utc"&gt;1499705617&lt;/last-updated-date&gt;&lt;/record&gt;&lt;/Cite&gt;&lt;/EndNote&gt;</w:instrText>
      </w:r>
      <w:r w:rsidR="00333D07" w:rsidRPr="00333D07">
        <w:rPr>
          <w:lang w:val="en-US"/>
        </w:rPr>
        <w:fldChar w:fldCharType="separate"/>
      </w:r>
      <w:r w:rsidR="00333D07" w:rsidRPr="00333D07">
        <w:rPr>
          <w:noProof/>
          <w:lang w:val="en-US"/>
        </w:rPr>
        <w:t>(Stoppelli, 2013)</w:t>
      </w:r>
      <w:r w:rsidR="00333D07" w:rsidRPr="00333D07">
        <w:rPr>
          <w:lang w:val="en-US"/>
        </w:rPr>
        <w:fldChar w:fldCharType="end"/>
      </w:r>
      <w:r w:rsidR="00333D07" w:rsidRPr="00333D07">
        <w:rPr>
          <w:lang w:val="en-US"/>
        </w:rPr>
        <w:t xml:space="preserve">. </w:t>
      </w:r>
      <w:r w:rsidR="00A276CB">
        <w:rPr>
          <w:lang w:val="en-US"/>
        </w:rPr>
        <w:t>A p</w:t>
      </w:r>
      <w:r w:rsidR="00333D07" w:rsidRPr="00333D07">
        <w:rPr>
          <w:lang w:val="en-US"/>
        </w:rPr>
        <w:t xml:space="preserve">revious </w:t>
      </w:r>
      <w:r w:rsidR="00333D07" w:rsidRPr="00333D07">
        <w:rPr>
          <w:i/>
          <w:lang w:val="en-US"/>
        </w:rPr>
        <w:t>in vivo</w:t>
      </w:r>
      <w:r w:rsidR="00333D07" w:rsidRPr="00333D07">
        <w:rPr>
          <w:lang w:val="en-US"/>
        </w:rPr>
        <w:t xml:space="preserve"> study reported that there is an interaction between plasminogen/plasmin and the metalloprotease cascade in wound healing (scarification)</w:t>
      </w:r>
      <w:r w:rsidR="00333D07">
        <w:rPr>
          <w:lang w:val="en-US"/>
        </w:rPr>
        <w:t xml:space="preserve"> (Lund et al., 1999).</w:t>
      </w:r>
      <w:r w:rsidR="00333D07" w:rsidRPr="00333D07">
        <w:rPr>
          <w:lang w:val="en-US"/>
        </w:rPr>
        <w:t xml:space="preserve"> In another study it was reported that there was a correlation between plasminogen activation and the activation of the compliment system in inflammatory diseases </w:t>
      </w:r>
      <w:r w:rsidR="00333D07" w:rsidRPr="00333D07">
        <w:rPr>
          <w:lang w:val="en-US"/>
        </w:rPr>
        <w:fldChar w:fldCharType="begin"/>
      </w:r>
      <w:r w:rsidR="00333D07" w:rsidRPr="00333D07">
        <w:rPr>
          <w:lang w:val="en-US"/>
        </w:rPr>
        <w:instrText xml:space="preserve"> ADDIN EN.CITE &lt;EndNote&gt;&lt;Cite&gt;&lt;Author&gt;Li&lt;/Author&gt;&lt;Year&gt;2005&lt;/Year&gt;&lt;IDText&gt;Multifunctional roles of plasmin in inflammation: Studies of animal models on rheumatoid arthritis, multiple sclerosis, wound healing and infection&lt;/IDText&gt;&lt;DisplayText&gt;(Li, 2005)&lt;/DisplayText&gt;&lt;record&gt;&lt;titles&gt;&lt;title&gt;Multifunctional roles of plasmin in inflammation: Studies of animal models on rheumatoid arthritis, multiple sclerosis, wound healing and infection&lt;/title&gt;&lt;/titles&gt;&lt;contributors&gt;&lt;authors&gt;&lt;author&gt;Li, Jinan&lt;/author&gt;&lt;/authors&gt;&lt;/contributors&gt;&lt;added-date format="utc"&gt;1499706526&lt;/added-date&gt;&lt;ref-type name="Thesis"&gt;32&lt;/ref-type&gt;&lt;dates&gt;&lt;year&gt;2005&lt;/year&gt;&lt;/dates&gt;&lt;rec-number&gt;1944&lt;/rec-number&gt;&lt;last-updated-date format="utc"&gt;1499706526&lt;/last-updated-date&gt;&lt;/record&gt;&lt;/Cite&gt;&lt;/EndNote&gt;</w:instrText>
      </w:r>
      <w:r w:rsidR="00333D07" w:rsidRPr="00333D07">
        <w:rPr>
          <w:lang w:val="en-US"/>
        </w:rPr>
        <w:fldChar w:fldCharType="separate"/>
      </w:r>
      <w:r w:rsidR="00333D07" w:rsidRPr="00333D07">
        <w:rPr>
          <w:noProof/>
          <w:lang w:val="en-US"/>
        </w:rPr>
        <w:t>(Li, 2005)</w:t>
      </w:r>
      <w:r w:rsidR="00333D07" w:rsidRPr="00333D07">
        <w:rPr>
          <w:lang w:val="en-US"/>
        </w:rPr>
        <w:fldChar w:fldCharType="end"/>
      </w:r>
      <w:r w:rsidR="00333D07" w:rsidRPr="00333D07">
        <w:rPr>
          <w:lang w:val="en-US"/>
        </w:rPr>
        <w:t xml:space="preserve">. </w:t>
      </w:r>
      <w:r w:rsidR="00333D07" w:rsidRPr="00333D07">
        <w:rPr>
          <w:rFonts w:eastAsia="Times New Roman"/>
          <w:lang w:eastAsia="en-GB"/>
        </w:rPr>
        <w:t xml:space="preserve">Plasmin has also been reported to impede excessive accumulation of ECM in the lungs by either direct degradation of ECM or by indirectly activation of matrix metalloproteinases </w:t>
      </w:r>
      <w:r w:rsidR="00333D07" w:rsidRPr="00333D07">
        <w:rPr>
          <w:rFonts w:eastAsia="Times New Roman"/>
          <w:lang w:eastAsia="en-GB"/>
        </w:rPr>
        <w:fldChar w:fldCharType="begin"/>
      </w:r>
      <w:r w:rsidR="00333D07" w:rsidRPr="00333D07">
        <w:rPr>
          <w:rFonts w:eastAsia="Times New Roman"/>
          <w:lang w:eastAsia="en-GB"/>
        </w:rPr>
        <w:instrText xml:space="preserve"> ADDIN EN.CITE &lt;EndNote&gt;&lt;Cite&gt;&lt;Author&gt;Saksela&lt;/Author&gt;&lt;Year&gt;1988&lt;/Year&gt;&lt;IDText&gt;Cell-associated plasminogen activation: regulation and physiological functions&lt;/IDText&gt;&lt;DisplayText&gt;(Saksela and Rifkin, 1988)&lt;/DisplayText&gt;&lt;record&gt;&lt;isbn&gt;0743-4634&lt;/isbn&gt;&lt;titles&gt;&lt;title&gt;Cell-associated plasminogen activation: regulation and physiological functions&lt;/title&gt;&lt;secondary-title&gt;Annual review of cell biology&lt;/secondary-title&gt;&lt;/titles&gt;&lt;pages&gt;93-120&lt;/pages&gt;&lt;number&gt;1&lt;/number&gt;&lt;contributors&gt;&lt;authors&gt;&lt;author&gt;Saksela, Olli&lt;/author&gt;&lt;author&gt;Rifkin, Daniel B&lt;/author&gt;&lt;/authors&gt;&lt;/contributors&gt;&lt;added-date format="utc"&gt;1499769487&lt;/added-date&gt;&lt;ref-type name="Journal Article"&gt;17&lt;/ref-type&gt;&lt;dates&gt;&lt;year&gt;1988&lt;/year&gt;&lt;/dates&gt;&lt;rec-number&gt;1945&lt;/rec-number&gt;&lt;last-updated-date format="utc"&gt;1499769487&lt;/last-updated-date&gt;&lt;volume&gt;4&lt;/volume&gt;&lt;/record&gt;&lt;/Cite&gt;&lt;/EndNote&gt;</w:instrText>
      </w:r>
      <w:r w:rsidR="00333D07" w:rsidRPr="00333D07">
        <w:rPr>
          <w:rFonts w:eastAsia="Times New Roman"/>
          <w:lang w:eastAsia="en-GB"/>
        </w:rPr>
        <w:fldChar w:fldCharType="separate"/>
      </w:r>
      <w:r w:rsidR="00333D07" w:rsidRPr="00333D07">
        <w:rPr>
          <w:rFonts w:eastAsia="Times New Roman"/>
          <w:noProof/>
          <w:lang w:eastAsia="en-GB"/>
        </w:rPr>
        <w:t>(Saksela and Rifkin, 1988)</w:t>
      </w:r>
      <w:r w:rsidR="00333D07" w:rsidRPr="00333D07">
        <w:rPr>
          <w:rFonts w:eastAsia="Times New Roman"/>
          <w:lang w:eastAsia="en-GB"/>
        </w:rPr>
        <w:fldChar w:fldCharType="end"/>
      </w:r>
      <w:r w:rsidR="00333D07" w:rsidRPr="00333D07">
        <w:rPr>
          <w:rFonts w:eastAsia="Times New Roman"/>
          <w:lang w:eastAsia="en-GB"/>
        </w:rPr>
        <w:t xml:space="preserve">. </w:t>
      </w:r>
      <w:r w:rsidR="00333D07" w:rsidRPr="00333D07">
        <w:t xml:space="preserve">CPB2 has also been reported as a potent inhibitor in plasmin generation </w:t>
      </w:r>
      <w:r w:rsidR="00333D07" w:rsidRPr="00333D07">
        <w:fldChar w:fldCharType="begin"/>
      </w:r>
      <w:r w:rsidR="00333D07" w:rsidRPr="00333D07">
        <w:instrText xml:space="preserve"> ADDIN EN.CITE &lt;EndNote&gt;&lt;Cite&gt;&lt;Author&gt;Bajzar&lt;/Author&gt;&lt;Year&gt;2000&lt;/Year&gt;&lt;IDText&gt;Thrombin activatable fibrinolysis inhibitor and an antifibrinolytic pathway&lt;/IDText&gt;&lt;DisplayText&gt;(Bajzar, 2000b)&lt;/DisplayText&gt;&lt;record&gt;&lt;isbn&gt;1079-5642&lt;/isbn&gt;&lt;titles&gt;&lt;title&gt;Thrombin activatable fibrinolysis inhibitor and an antifibrinolytic pathway&lt;/title&gt;&lt;secondary-title&gt;Arteriosclerosis, thrombosis, and vascular biology&lt;/secondary-title&gt;&lt;/titles&gt;&lt;pages&gt;2511-2518&lt;/pages&gt;&lt;number&gt;12&lt;/number&gt;&lt;contributors&gt;&lt;authors&gt;&lt;author&gt;Bajzar, Laszlo&lt;/author&gt;&lt;/authors&gt;&lt;/contributors&gt;&lt;added-date format="utc"&gt;1499799088&lt;/added-date&gt;&lt;ref-type name="Journal Article"&gt;17&lt;/ref-type&gt;&lt;dates&gt;&lt;year&gt;2000&lt;/year&gt;&lt;/dates&gt;&lt;rec-number&gt;1947&lt;/rec-number&gt;&lt;last-updated-date format="utc"&gt;1499799088&lt;/last-updated-date&gt;&lt;volume&gt;20&lt;/volume&gt;&lt;/record&gt;&lt;/Cite&gt;&lt;/EndNote&gt;</w:instrText>
      </w:r>
      <w:r w:rsidR="00333D07" w:rsidRPr="00333D07">
        <w:fldChar w:fldCharType="separate"/>
      </w:r>
      <w:r w:rsidR="00333D07" w:rsidRPr="00333D07">
        <w:rPr>
          <w:noProof/>
        </w:rPr>
        <w:t>(Bajzar, 2000)</w:t>
      </w:r>
      <w:r w:rsidR="00333D07" w:rsidRPr="00333D07">
        <w:fldChar w:fldCharType="end"/>
      </w:r>
      <w:r w:rsidR="00333D07" w:rsidRPr="00333D07">
        <w:t>.</w:t>
      </w:r>
    </w:p>
    <w:p w:rsidR="007F64D7" w:rsidRPr="00333D07" w:rsidRDefault="007F64D7" w:rsidP="007F64D7">
      <w:pPr>
        <w:spacing w:after="160"/>
        <w:ind w:left="1440"/>
        <w:jc w:val="left"/>
        <w:rPr>
          <w:rFonts w:cs="Arial"/>
        </w:rPr>
      </w:pPr>
      <w:r w:rsidRPr="00333D07">
        <w:rPr>
          <w:rFonts w:cs="Arial"/>
        </w:rPr>
        <w:t>Further studies on humans have shown that plasminogen and fibrinogen are key determinants in inf</w:t>
      </w:r>
      <w:r>
        <w:rPr>
          <w:rFonts w:cs="Arial"/>
        </w:rPr>
        <w:t>lammatory response</w:t>
      </w:r>
      <w:r w:rsidRPr="00333D07">
        <w:rPr>
          <w:rFonts w:cs="Arial"/>
        </w:rPr>
        <w:t xml:space="preserve"> </w:t>
      </w:r>
      <w:r w:rsidRPr="00333D07">
        <w:rPr>
          <w:rFonts w:cs="Arial"/>
        </w:rPr>
        <w:fldChar w:fldCharType="begin"/>
      </w:r>
      <w:r w:rsidRPr="00333D07">
        <w:rPr>
          <w:rFonts w:cs="Arial"/>
        </w:rPr>
        <w:instrText xml:space="preserve"> ADDIN EN.CITE &lt;EndNote&gt;&lt;Cite&gt;&lt;Author&gt;Degen&lt;/Author&gt;&lt;Year&gt;2007&lt;/Year&gt;&lt;IDText&gt;Fibrin and fibrinolysis in infection and host defense&lt;/IDText&gt;&lt;DisplayText&gt;(Degen et al., 2007)&lt;/DisplayText&gt;&lt;record&gt;&lt;dates&gt;&lt;pub-dates&gt;&lt;date&gt;Jul&lt;/date&gt;&lt;/pub-dates&gt;&lt;year&gt;2007&lt;/year&gt;&lt;/dates&gt;&lt;keywords&gt;&lt;keyword&gt;Animals&lt;/keyword&gt;&lt;keyword&gt;Bacterial Infections/immunology/microbiology/*physiopathology&lt;/keyword&gt;&lt;keyword&gt;Fibrin/*physiology&lt;/keyword&gt;&lt;keyword&gt;Fibrinolysis&lt;/keyword&gt;&lt;keyword&gt;Humans&lt;/keyword&gt;&lt;keyword&gt;Mice&lt;/keyword&gt;&lt;keyword&gt;Plasminogen/physiology&lt;/keyword&gt;&lt;keyword&gt;Yersinia pestis/physiology&lt;/keyword&gt;&lt;/keywords&gt;&lt;isbn&gt;1538-7933 (Print)&amp;#xD;1538-7836&lt;/isbn&gt;&lt;titles&gt;&lt;title&gt;Fibrin and fibrinolysis in infection and host defense&lt;/title&gt;&lt;secondary-title&gt;J Thromb Haemost&lt;/secondary-title&gt;&lt;alt-title&gt;Journal of thrombosis and haemostasis : JTH&lt;/alt-title&gt;&lt;/titles&gt;&lt;pages&gt;24-31&lt;/pages&gt;&lt;contributors&gt;&lt;authors&gt;&lt;author&gt;Degen, J. L.&lt;/author&gt;&lt;author&gt;Bugge, T. H.&lt;/author&gt;&lt;author&gt;Goguen, J. D.&lt;/author&gt;&lt;/authors&gt;&lt;/contributors&gt;&lt;edition&gt;2007/08/01&lt;/edition&gt;&lt;language&gt;eng&lt;/language&gt;&lt;added-date format="utc"&gt;1496491789&lt;/added-date&gt;&lt;ref-type name="Journal Article"&gt;17&lt;/ref-type&gt;&lt;auth-address&gt;Division of Developmental Biology, Children&amp;apos;s Hospital Research Foundation and the University of Cincinnati College of Medicine, Cincinnati, OH, USA. jay.degen@chmcc.org&lt;/auth-address&gt;&lt;remote-database-provider&gt;NLM&lt;/remote-database-provider&gt;&lt;rec-number&gt;1868&lt;/rec-number&gt;&lt;last-updated-date format="utc"&gt;1496491789&lt;/last-updated-date&gt;&lt;accession-num&gt;17635705&lt;/accession-num&gt;&lt;electronic-resource-num&gt;10.1111/j.1538-7836.2007.02519.x&lt;/electronic-resource-num&gt;&lt;volume&gt;5 Suppl 1&lt;/volume&gt;&lt;/record&gt;&lt;/Cite&gt;&lt;/EndNote&gt;</w:instrText>
      </w:r>
      <w:r w:rsidRPr="00333D07">
        <w:rPr>
          <w:rFonts w:cs="Arial"/>
        </w:rPr>
        <w:fldChar w:fldCharType="separate"/>
      </w:r>
      <w:r w:rsidRPr="00333D07">
        <w:rPr>
          <w:rFonts w:cs="Arial"/>
          <w:noProof/>
        </w:rPr>
        <w:t>(Degen et al., 2007)</w:t>
      </w:r>
      <w:r w:rsidRPr="00333D07">
        <w:rPr>
          <w:rFonts w:cs="Arial"/>
        </w:rPr>
        <w:fldChar w:fldCharType="end"/>
      </w:r>
      <w:r>
        <w:rPr>
          <w:rFonts w:cs="Arial"/>
        </w:rPr>
        <w:t xml:space="preserve"> and fibrosis is an inflammatory reaction.</w:t>
      </w:r>
    </w:p>
    <w:p w:rsidR="007F64D7" w:rsidRDefault="007F64D7" w:rsidP="007F64D7">
      <w:pPr>
        <w:spacing w:after="160"/>
        <w:ind w:left="1440"/>
        <w:jc w:val="left"/>
        <w:rPr>
          <w:rFonts w:eastAsia="Calibri" w:cs="Arial"/>
          <w:lang w:val="en-US"/>
        </w:rPr>
      </w:pPr>
      <w:r w:rsidRPr="00333D07">
        <w:rPr>
          <w:rFonts w:eastAsia="Calibri" w:cs="Arial"/>
          <w:lang w:val="en-US"/>
        </w:rPr>
        <w:t>We also discovered that there are very few data on the role of fibrin in the activity of plasmin, tPA, uPA and CPB2 in epithelial, fibroblast and mesangial renal cells in plasminogen-plasmin cascade. Secondly there was no information o</w:t>
      </w:r>
      <w:r w:rsidR="009C6AC5">
        <w:rPr>
          <w:rFonts w:eastAsia="Calibri" w:cs="Arial"/>
          <w:lang w:val="en-US"/>
        </w:rPr>
        <w:t>n the effect of CPB2</w:t>
      </w:r>
      <w:r w:rsidRPr="00333D07">
        <w:rPr>
          <w:rFonts w:eastAsia="Calibri" w:cs="Arial"/>
          <w:lang w:val="en-US"/>
        </w:rPr>
        <w:t xml:space="preserve"> in renal fibrosis.</w:t>
      </w:r>
    </w:p>
    <w:p w:rsidR="007F64D7" w:rsidRPr="00333D07" w:rsidRDefault="007F64D7" w:rsidP="007F64D7">
      <w:pPr>
        <w:spacing w:after="160"/>
        <w:ind w:left="1440"/>
        <w:jc w:val="left"/>
        <w:rPr>
          <w:rFonts w:cs="Arial"/>
        </w:rPr>
      </w:pPr>
      <w:r w:rsidRPr="00333D07">
        <w:rPr>
          <w:rFonts w:cs="Arial"/>
        </w:rPr>
        <w:t>Therefore putting all the above together we decided to design the aims of our studies as follows:</w:t>
      </w:r>
    </w:p>
    <w:p w:rsidR="007F64D7" w:rsidRPr="00333D07" w:rsidRDefault="007F64D7" w:rsidP="007F64D7">
      <w:pPr>
        <w:numPr>
          <w:ilvl w:val="0"/>
          <w:numId w:val="25"/>
        </w:numPr>
        <w:contextualSpacing/>
        <w:jc w:val="left"/>
        <w:rPr>
          <w:rFonts w:eastAsia="Calibri" w:cs="Arial"/>
          <w:lang w:val="x-none" w:eastAsia="en-GB"/>
        </w:rPr>
      </w:pPr>
      <w:r w:rsidRPr="00333D07">
        <w:rPr>
          <w:rFonts w:eastAsia="Calibri" w:cs="Arial"/>
          <w:lang w:val="x-none" w:eastAsia="en-GB"/>
        </w:rPr>
        <w:t>To determine if long term treatment</w:t>
      </w:r>
      <w:r w:rsidRPr="00333D07">
        <w:rPr>
          <w:rFonts w:eastAsia="Calibri" w:cs="Arial"/>
          <w:lang w:eastAsia="en-GB"/>
        </w:rPr>
        <w:t xml:space="preserve"> of an</w:t>
      </w:r>
      <w:r w:rsidRPr="00333D07">
        <w:rPr>
          <w:rFonts w:eastAsia="Calibri" w:cs="Arial"/>
          <w:lang w:val="x-none" w:eastAsia="en-GB"/>
        </w:rPr>
        <w:t xml:space="preserve"> </w:t>
      </w:r>
      <w:r w:rsidRPr="00333D07">
        <w:rPr>
          <w:rFonts w:eastAsia="Calibri" w:cs="Arial"/>
          <w:i/>
          <w:iCs/>
          <w:lang w:val="x-none" w:eastAsia="en-GB"/>
        </w:rPr>
        <w:t xml:space="preserve">in vivo </w:t>
      </w:r>
      <w:r w:rsidRPr="00333D07">
        <w:rPr>
          <w:rFonts w:eastAsia="Calibri" w:cs="Arial"/>
          <w:lang w:val="x-none" w:eastAsia="en-GB"/>
        </w:rPr>
        <w:t>models of diabetic nephropathy with UK-396082 will result in reduction of fibrosis.</w:t>
      </w:r>
    </w:p>
    <w:p w:rsidR="007F64D7" w:rsidRPr="00451B4C" w:rsidRDefault="007F64D7" w:rsidP="007F64D7">
      <w:pPr>
        <w:pStyle w:val="ListParagraph"/>
        <w:numPr>
          <w:ilvl w:val="0"/>
          <w:numId w:val="25"/>
        </w:numPr>
        <w:jc w:val="left"/>
        <w:rPr>
          <w:rFonts w:eastAsia="Calibri" w:cs="Arial"/>
          <w:lang w:val="x-none" w:eastAsia="en-GB"/>
        </w:rPr>
      </w:pPr>
      <w:r w:rsidRPr="00451B4C">
        <w:rPr>
          <w:rFonts w:eastAsia="Calibri" w:cs="Arial"/>
          <w:lang w:val="x-none" w:eastAsia="en-GB"/>
        </w:rPr>
        <w:lastRenderedPageBreak/>
        <w:t>To assay the levels of uPA, t</w:t>
      </w:r>
      <w:r>
        <w:rPr>
          <w:rFonts w:eastAsia="Calibri" w:cs="Arial"/>
          <w:lang w:val="x-none" w:eastAsia="en-GB"/>
        </w:rPr>
        <w:t>PA, plasmin and CP</w:t>
      </w:r>
      <w:r w:rsidRPr="00451B4C">
        <w:rPr>
          <w:rFonts w:eastAsia="Calibri" w:cs="Arial"/>
          <w:lang w:val="x-none" w:eastAsia="en-GB"/>
        </w:rPr>
        <w:t>B2, in rat kidney epithelial, fibroblast and mesangial cells, in the presence and absence of fibrin.</w:t>
      </w:r>
    </w:p>
    <w:p w:rsidR="007F64D7" w:rsidRPr="00451B4C" w:rsidRDefault="007F64D7" w:rsidP="007F64D7">
      <w:pPr>
        <w:pStyle w:val="ListParagraph"/>
        <w:numPr>
          <w:ilvl w:val="0"/>
          <w:numId w:val="25"/>
        </w:numPr>
        <w:jc w:val="left"/>
        <w:rPr>
          <w:rFonts w:eastAsia="Calibri" w:cs="Arial"/>
          <w:lang w:val="x-none" w:eastAsia="en-GB"/>
        </w:rPr>
      </w:pPr>
      <w:r w:rsidRPr="00451B4C">
        <w:rPr>
          <w:rFonts w:eastAsia="Calibri" w:cs="Arial"/>
          <w:lang w:val="x-none" w:eastAsia="en-GB"/>
        </w:rPr>
        <w:t xml:space="preserve">To determine plasmin level in the presence of UK-396082 in </w:t>
      </w:r>
      <w:r w:rsidRPr="00451B4C">
        <w:rPr>
          <w:rFonts w:eastAsia="Calibri" w:cs="Arial"/>
          <w:i/>
          <w:lang w:val="x-none" w:eastAsia="en-GB"/>
        </w:rPr>
        <w:t>in vitro</w:t>
      </w:r>
      <w:r w:rsidRPr="00451B4C">
        <w:rPr>
          <w:rFonts w:eastAsia="Calibri" w:cs="Arial"/>
          <w:lang w:val="x-none" w:eastAsia="en-GB"/>
        </w:rPr>
        <w:t xml:space="preserve"> model of </w:t>
      </w:r>
      <w:r w:rsidRPr="00451B4C">
        <w:rPr>
          <w:rFonts w:eastAsia="Calibri" w:cs="Arial"/>
          <w:lang w:eastAsia="en-GB"/>
        </w:rPr>
        <w:t>diabetes.</w:t>
      </w:r>
    </w:p>
    <w:p w:rsidR="007F64D7" w:rsidRPr="00333D07" w:rsidRDefault="007F64D7" w:rsidP="007F64D7">
      <w:pPr>
        <w:ind w:left="1440"/>
        <w:jc w:val="left"/>
        <w:rPr>
          <w:rFonts w:eastAsia="Calibri" w:cs="Arial"/>
          <w:lang w:val="en-US" w:eastAsia="en-GB"/>
        </w:rPr>
      </w:pPr>
      <w:r w:rsidRPr="00333D07">
        <w:rPr>
          <w:rFonts w:eastAsia="Calibri" w:cs="Arial"/>
          <w:lang w:val="en-US" w:eastAsia="en-GB"/>
        </w:rPr>
        <w:t xml:space="preserve">In other to achieve the first aim we designed an </w:t>
      </w:r>
      <w:r w:rsidRPr="00333D07">
        <w:rPr>
          <w:rFonts w:eastAsia="Calibri" w:cs="Arial"/>
          <w:i/>
          <w:lang w:val="en-US" w:eastAsia="en-GB"/>
        </w:rPr>
        <w:t>in vivo</w:t>
      </w:r>
      <w:r w:rsidRPr="00333D07">
        <w:rPr>
          <w:rFonts w:eastAsia="Calibri" w:cs="Arial"/>
          <w:lang w:val="en-US" w:eastAsia="en-GB"/>
        </w:rPr>
        <w:t xml:space="preserve"> model of diabetic nephropathy and investigated the effect of UK-396082 in prophylaxis and therapeutic circumstances. The results obtained propelled us to investigate the possibility of designing an early, cheap and non-invasive test in the diagnosis and management of diabetic nephropathy. To further substantiate our </w:t>
      </w:r>
      <w:r w:rsidRPr="00333D07">
        <w:rPr>
          <w:rFonts w:eastAsia="Calibri" w:cs="Arial"/>
          <w:i/>
          <w:lang w:val="en-US" w:eastAsia="en-GB"/>
        </w:rPr>
        <w:t>in vivo</w:t>
      </w:r>
      <w:r w:rsidRPr="00333D07">
        <w:rPr>
          <w:rFonts w:eastAsia="Calibri" w:cs="Arial"/>
          <w:lang w:val="en-US" w:eastAsia="en-GB"/>
        </w:rPr>
        <w:t xml:space="preserve"> results we investigated the effect of UK-396082 in an </w:t>
      </w:r>
      <w:r w:rsidRPr="00333D07">
        <w:rPr>
          <w:rFonts w:eastAsia="Calibri" w:cs="Arial"/>
          <w:i/>
          <w:lang w:val="en-US" w:eastAsia="en-GB"/>
        </w:rPr>
        <w:t>in vitro</w:t>
      </w:r>
      <w:r w:rsidRPr="00333D07">
        <w:rPr>
          <w:rFonts w:eastAsia="Calibri" w:cs="Arial"/>
          <w:lang w:val="en-US" w:eastAsia="en-GB"/>
        </w:rPr>
        <w:t xml:space="preserve"> diabetic model and the role of fibrin in the plasminogen plasmin cascade in kidney cells in culture.</w:t>
      </w:r>
    </w:p>
    <w:p w:rsidR="007F64D7" w:rsidRDefault="007F64D7" w:rsidP="007F61BF">
      <w:pPr>
        <w:ind w:left="1440"/>
      </w:pPr>
    </w:p>
    <w:p w:rsidR="0043043A" w:rsidRPr="00406CDC" w:rsidRDefault="0043043A" w:rsidP="007F61BF">
      <w:pPr>
        <w:pStyle w:val="Heading3"/>
        <w:ind w:left="720" w:firstLine="720"/>
      </w:pPr>
      <w:bookmarkStart w:id="407" w:name="_Toc506232414"/>
      <w:r w:rsidRPr="00406CDC">
        <w:rPr>
          <w:rStyle w:val="Heading3Char1"/>
          <w:b/>
        </w:rPr>
        <w:t>6.2 Physiological state of the rats</w:t>
      </w:r>
      <w:r w:rsidRPr="00406CDC">
        <w:t>.</w:t>
      </w:r>
      <w:bookmarkEnd w:id="407"/>
    </w:p>
    <w:p w:rsidR="003661B5" w:rsidRPr="00480BE7" w:rsidRDefault="00B91CA6" w:rsidP="003661B5">
      <w:pPr>
        <w:spacing w:after="160"/>
        <w:ind w:left="1440"/>
        <w:jc w:val="left"/>
        <w:rPr>
          <w:rFonts w:cs="Arial"/>
        </w:rPr>
      </w:pPr>
      <w:r w:rsidRPr="009C6AC5">
        <w:rPr>
          <w:rFonts w:cs="Arial"/>
        </w:rPr>
        <w:t xml:space="preserve">There was no mortality observed throughout our study. </w:t>
      </w:r>
      <w:r w:rsidR="003B2A0D" w:rsidRPr="009C6AC5">
        <w:rPr>
          <w:rFonts w:cs="Arial"/>
        </w:rPr>
        <w:t>Food and water consumption at the beginning of the study kept in line with normal values so also was urine output</w:t>
      </w:r>
      <w:r w:rsidR="00F557B5" w:rsidRPr="009C6AC5">
        <w:t xml:space="preserve"> (</w:t>
      </w:r>
      <w:r w:rsidR="00F557B5" w:rsidRPr="009C6AC5">
        <w:rPr>
          <w:rFonts w:cs="Arial"/>
        </w:rPr>
        <w:t>http://www.rmca.org/Rescue/ratmedhelp.pdf).</w:t>
      </w:r>
      <w:r w:rsidR="003B2A0D" w:rsidRPr="009C6AC5">
        <w:rPr>
          <w:rFonts w:cs="Arial"/>
        </w:rPr>
        <w:t xml:space="preserve"> Baseline urinalysis </w:t>
      </w:r>
      <w:r w:rsidR="005776AC" w:rsidRPr="009C6AC5">
        <w:rPr>
          <w:rFonts w:cs="Arial"/>
        </w:rPr>
        <w:t xml:space="preserve">and blood test </w:t>
      </w:r>
      <w:r w:rsidR="003B2A0D" w:rsidRPr="009C6AC5">
        <w:rPr>
          <w:rFonts w:cs="Arial"/>
        </w:rPr>
        <w:t xml:space="preserve">reflected absence of dehydration, </w:t>
      </w:r>
      <w:r w:rsidR="005776AC" w:rsidRPr="009C6AC5">
        <w:rPr>
          <w:rFonts w:cs="Arial"/>
        </w:rPr>
        <w:t>UTI, hepatic</w:t>
      </w:r>
      <w:r w:rsidR="003B2A0D" w:rsidRPr="009C6AC5">
        <w:rPr>
          <w:rFonts w:cs="Arial"/>
        </w:rPr>
        <w:t xml:space="preserve"> or renal pathology</w:t>
      </w:r>
      <w:r w:rsidR="005776AC" w:rsidRPr="009C6AC5">
        <w:rPr>
          <w:rFonts w:cs="Arial"/>
        </w:rPr>
        <w:t>.</w:t>
      </w:r>
      <w:r w:rsidR="003B2A0D" w:rsidRPr="009C6AC5">
        <w:rPr>
          <w:rFonts w:cs="Arial"/>
        </w:rPr>
        <w:t xml:space="preserve"> </w:t>
      </w:r>
      <w:r w:rsidR="003661B5" w:rsidRPr="00333D07">
        <w:rPr>
          <w:rFonts w:eastAsia="Calibri" w:cs="Arial"/>
          <w:lang w:val="en-US" w:eastAsia="en-GB"/>
        </w:rPr>
        <w:t xml:space="preserve">In our </w:t>
      </w:r>
      <w:r w:rsidR="003661B5" w:rsidRPr="00333D07">
        <w:rPr>
          <w:rFonts w:eastAsia="Calibri" w:cs="Arial"/>
          <w:i/>
          <w:lang w:val="en-US" w:eastAsia="en-GB"/>
        </w:rPr>
        <w:t>in vivo</w:t>
      </w:r>
      <w:r w:rsidR="003661B5" w:rsidRPr="00333D07">
        <w:rPr>
          <w:rFonts w:eastAsia="Calibri" w:cs="Arial"/>
          <w:lang w:val="en-US" w:eastAsia="en-GB"/>
        </w:rPr>
        <w:t xml:space="preserve"> experiments we investigated the possible effect of 0.3mg/kg of UK-396082 on vital parameters such as food consumption, water consumption, urine output, weight gain and well-being.  Proteinase inhibitors are known as anti-nutrient factors and do contribute to growth suppression however carboxypeptidase inhibitors have little or no contribution in growth suppression or mortality </w:t>
      </w:r>
      <w:r w:rsidR="003661B5" w:rsidRPr="00333D07">
        <w:rPr>
          <w:rFonts w:eastAsia="Calibri" w:cs="Arial"/>
          <w:lang w:val="en-US" w:eastAsia="en-GB"/>
        </w:rPr>
        <w:fldChar w:fldCharType="begin"/>
      </w:r>
      <w:r w:rsidR="003661B5" w:rsidRPr="00333D07">
        <w:rPr>
          <w:rFonts w:eastAsia="Calibri" w:cs="Arial"/>
          <w:lang w:val="en-US" w:eastAsia="en-GB"/>
        </w:rPr>
        <w:instrText xml:space="preserve"> ADDIN EN.CITE &lt;EndNote&gt;&lt;Cite&gt;&lt;Author&gt;Pearce&lt;/Author&gt;&lt;Year&gt;1984&lt;/Year&gt;&lt;IDText&gt;NUTRITIONAL STUDIES OF A CARBOXYPEPTIDASE INHIBITOR FROM POTATO-TUBERS&lt;/IDText&gt;&lt;DisplayText&gt;(Pearce et al., 1984)&lt;/DisplayText&gt;&lt;record&gt;&lt;urls&gt;&lt;related-urls&gt;&lt;url&gt;&amp;lt;Go to ISI&amp;gt;://WOS:A1984TH64800016&lt;/url&gt;&lt;/related-urls&gt;&lt;/urls&gt;&lt;isbn&gt;0065-2598&lt;/isbn&gt;&lt;titles&gt;&lt;title&gt;NUTRITIONAL STUDIES OF A CARBOXYPEPTIDASE INHIBITOR FROM POTATO-TUBERS&lt;/title&gt;&lt;secondary-title&gt;Advances in Experimental Medicine and Biology&lt;/secondary-title&gt;&lt;/titles&gt;&lt;pages&gt;321-332&lt;/pages&gt;&lt;contributors&gt;&lt;authors&gt;&lt;author&gt;Pearce, G.&lt;/author&gt;&lt;author&gt;McGinnis, J.&lt;/author&gt;&lt;author&gt;Ryan, C. A.&lt;/author&gt;&lt;/authors&gt;&lt;/contributors&gt;&lt;added-date format="utc"&gt;1496511191&lt;/added-date&gt;&lt;ref-type name="Journal Article"&gt;17&lt;/ref-type&gt;&lt;dates&gt;&lt;year&gt;1984&lt;/year&gt;&lt;/dates&gt;&lt;rec-number&gt;1869&lt;/rec-number&gt;&lt;last-updated-date format="utc"&gt;1496511191&lt;/last-updated-date&gt;&lt;accession-num&gt;WOS:A1984TH64800016&lt;/accession-num&gt;&lt;volume&gt;177&lt;/volume&gt;&lt;/record&gt;&lt;/Cite&gt;&lt;/EndNote&gt;</w:instrText>
      </w:r>
      <w:r w:rsidR="003661B5" w:rsidRPr="00333D07">
        <w:rPr>
          <w:rFonts w:eastAsia="Calibri" w:cs="Arial"/>
          <w:lang w:val="en-US" w:eastAsia="en-GB"/>
        </w:rPr>
        <w:fldChar w:fldCharType="separate"/>
      </w:r>
      <w:r w:rsidR="003661B5" w:rsidRPr="00333D07">
        <w:rPr>
          <w:rFonts w:eastAsia="Calibri" w:cs="Arial"/>
          <w:noProof/>
          <w:lang w:val="en-US" w:eastAsia="en-GB"/>
        </w:rPr>
        <w:t>(Pearce et al., 1984)</w:t>
      </w:r>
      <w:r w:rsidR="003661B5" w:rsidRPr="00333D07">
        <w:rPr>
          <w:rFonts w:eastAsia="Calibri" w:cs="Arial"/>
          <w:lang w:val="en-US" w:eastAsia="en-GB"/>
        </w:rPr>
        <w:fldChar w:fldCharType="end"/>
      </w:r>
      <w:r w:rsidR="003661B5" w:rsidRPr="00333D07">
        <w:rPr>
          <w:rFonts w:eastAsia="Calibri" w:cs="Arial"/>
          <w:lang w:val="en-US" w:eastAsia="en-GB"/>
        </w:rPr>
        <w:t xml:space="preserve">. Our results showed that the presence of 0.3mg/kg of UK-396082 did not have any effect on food consumption, water consumption, urine output, weight gain or mortality when compared with data from rats fed on normal diet. After observing that 0.3 mg/kg UK-396082 in the diet did not have any adverse or bias effect on our rats we went further to establish diabetic nephropathy in our rats. </w:t>
      </w:r>
      <w:r w:rsidR="003661B5" w:rsidRPr="00480BE7">
        <w:rPr>
          <w:rFonts w:cs="Arial"/>
        </w:rPr>
        <w:t xml:space="preserve"> </w:t>
      </w:r>
    </w:p>
    <w:p w:rsidR="005776AC" w:rsidRPr="00255326" w:rsidRDefault="00255326" w:rsidP="007F61BF">
      <w:pPr>
        <w:ind w:left="1440"/>
        <w:rPr>
          <w:rFonts w:cs="Arial"/>
        </w:rPr>
      </w:pPr>
      <w:r>
        <w:rPr>
          <w:rFonts w:cs="Arial"/>
        </w:rPr>
        <w:lastRenderedPageBreak/>
        <w:t xml:space="preserve">Histological examination of kidneys removed at the beginning of the study was also suggestive of the absence of disease. </w:t>
      </w:r>
      <w:r w:rsidR="00B91CA6">
        <w:rPr>
          <w:rFonts w:cs="Arial"/>
        </w:rPr>
        <w:t>There was a gradual increase in weight in all the animals in the three groups without any significant difference between the groups.</w:t>
      </w:r>
      <w:r w:rsidR="00BC410E">
        <w:rPr>
          <w:rFonts w:cs="Arial"/>
        </w:rPr>
        <w:t xml:space="preserve"> </w:t>
      </w:r>
    </w:p>
    <w:p w:rsidR="005776AC" w:rsidRDefault="00022AAD" w:rsidP="007F61BF">
      <w:pPr>
        <w:pStyle w:val="Heading3"/>
        <w:ind w:left="720" w:firstLine="720"/>
        <w:rPr>
          <w:rFonts w:eastAsia="Times New Roman"/>
          <w:lang w:eastAsia="en-GB"/>
        </w:rPr>
      </w:pPr>
      <w:bookmarkStart w:id="408" w:name="_Toc506232415"/>
      <w:r>
        <w:rPr>
          <w:rFonts w:eastAsia="Times New Roman"/>
          <w:lang w:eastAsia="en-GB"/>
        </w:rPr>
        <w:t>6.3</w:t>
      </w:r>
      <w:r w:rsidR="005776AC">
        <w:rPr>
          <w:rFonts w:eastAsia="Times New Roman"/>
          <w:lang w:eastAsia="en-GB"/>
        </w:rPr>
        <w:t xml:space="preserve"> </w:t>
      </w:r>
      <w:r w:rsidR="00255326">
        <w:rPr>
          <w:rFonts w:eastAsia="Times New Roman"/>
          <w:lang w:eastAsia="en-GB"/>
        </w:rPr>
        <w:t>Chronic kidney disease model</w:t>
      </w:r>
      <w:bookmarkEnd w:id="408"/>
    </w:p>
    <w:p w:rsidR="00A445C2" w:rsidRPr="00AC6FC7" w:rsidRDefault="00A445C2" w:rsidP="00AC6FC7">
      <w:pPr>
        <w:ind w:left="1440"/>
        <w:jc w:val="left"/>
        <w:rPr>
          <w:rFonts w:cs="Arial"/>
        </w:rPr>
      </w:pPr>
      <w:bookmarkStart w:id="409" w:name="_Toc494097180"/>
      <w:bookmarkStart w:id="410" w:name="_Toc494097488"/>
      <w:bookmarkStart w:id="411" w:name="_Toc494603673"/>
      <w:bookmarkStart w:id="412" w:name="_Toc494730558"/>
      <w:bookmarkStart w:id="413" w:name="_Toc496699176"/>
      <w:bookmarkStart w:id="414" w:name="_Toc504634416"/>
      <w:r w:rsidRPr="00AC6FC7">
        <w:rPr>
          <w:rFonts w:cs="Arial"/>
        </w:rPr>
        <w:t>Different rat models have been used over the years to study diseases and to develop therapeutic interventions however, it is paramount that a good state of heath is verified in these models before pathology is established.</w:t>
      </w:r>
      <w:bookmarkEnd w:id="409"/>
      <w:bookmarkEnd w:id="410"/>
      <w:bookmarkEnd w:id="411"/>
      <w:bookmarkEnd w:id="412"/>
      <w:bookmarkEnd w:id="413"/>
      <w:bookmarkEnd w:id="414"/>
      <w:r w:rsidRPr="00AC6FC7">
        <w:rPr>
          <w:rFonts w:cs="Arial"/>
        </w:rPr>
        <w:t xml:space="preserve"> This can then be followed by procedures that mimic human pathologies through surgeries, administration of drugs or chemicals. These procedures subsequently induce disease. Baseline results revealed that all the rats were in good physical condition, well-being and did not show any sign of illness.</w:t>
      </w:r>
    </w:p>
    <w:p w:rsidR="003661B5" w:rsidRPr="00333D07" w:rsidRDefault="00480BE7" w:rsidP="003661B5">
      <w:pPr>
        <w:ind w:left="1440"/>
        <w:jc w:val="left"/>
        <w:rPr>
          <w:rFonts w:eastAsia="Calibri" w:cs="Arial"/>
          <w:lang w:val="en-US"/>
        </w:rPr>
      </w:pPr>
      <w:r w:rsidRPr="00480BE7">
        <w:rPr>
          <w:rFonts w:cs="Arial"/>
        </w:rPr>
        <w:t>Many animal models for CKD have been used by various researches in the past with each model having its advantages and disadvantages (Yang et al, 2010). Therefore to achieve a sound and reproducible results</w:t>
      </w:r>
      <w:r w:rsidR="00273280">
        <w:rPr>
          <w:rFonts w:cs="Arial"/>
        </w:rPr>
        <w:t>,</w:t>
      </w:r>
      <w:r w:rsidRPr="00480BE7">
        <w:rPr>
          <w:rFonts w:cs="Arial"/>
        </w:rPr>
        <w:t xml:space="preserve"> a</w:t>
      </w:r>
      <w:r w:rsidR="003661B5">
        <w:rPr>
          <w:rFonts w:cs="Arial"/>
        </w:rPr>
        <w:t>n animal</w:t>
      </w:r>
      <w:r w:rsidRPr="00480BE7">
        <w:rPr>
          <w:rFonts w:cs="Arial"/>
        </w:rPr>
        <w:t xml:space="preserve"> model which offers a good understanding of disease pathogenesis and disease mechanism</w:t>
      </w:r>
      <w:r w:rsidR="00A770FE">
        <w:rPr>
          <w:rFonts w:cs="Arial"/>
        </w:rPr>
        <w:t xml:space="preserve"> was necessary</w:t>
      </w:r>
      <w:r w:rsidRPr="00480BE7">
        <w:rPr>
          <w:rFonts w:cs="Arial"/>
        </w:rPr>
        <w:t xml:space="preserve">. We achieved chronic kidney disease in our study by employing a two stage procedure. Firstly we carried out unilateral nephrectomy in all the rats and this was followed by induction of type 1 diabetes with streptozotocin. </w:t>
      </w:r>
      <w:r w:rsidR="003661B5" w:rsidRPr="00333D07">
        <w:rPr>
          <w:rFonts w:eastAsia="Calibri" w:cs="Arial"/>
          <w:lang w:val="en-US" w:eastAsia="en-GB"/>
        </w:rPr>
        <w:t xml:space="preserve">Unilateral nephrectomy was performed as described in Section </w:t>
      </w:r>
      <w:r w:rsidR="00273280">
        <w:rPr>
          <w:rFonts w:eastAsia="Calibri" w:cs="Arial"/>
          <w:lang w:val="en-US"/>
        </w:rPr>
        <w:t>2.3</w:t>
      </w:r>
      <w:r w:rsidR="003661B5" w:rsidRPr="00333D07">
        <w:rPr>
          <w:rFonts w:eastAsia="Calibri" w:cs="Arial"/>
          <w:lang w:val="en-US"/>
        </w:rPr>
        <w:t>.10. There was no mor</w:t>
      </w:r>
      <w:r w:rsidR="003661B5">
        <w:rPr>
          <w:rFonts w:eastAsia="Calibri" w:cs="Arial"/>
          <w:lang w:val="en-US"/>
        </w:rPr>
        <w:t>tality from the surgery as</w:t>
      </w:r>
      <w:r w:rsidR="003661B5" w:rsidRPr="00333D07">
        <w:rPr>
          <w:rFonts w:eastAsia="Calibri" w:cs="Arial"/>
          <w:lang w:val="en-US"/>
        </w:rPr>
        <w:t xml:space="preserve"> unilateral nephrectomy was not expected to lead to mortality </w:t>
      </w:r>
      <w:r w:rsidR="003661B5" w:rsidRPr="00333D07">
        <w:rPr>
          <w:rFonts w:eastAsia="Calibri" w:cs="Arial"/>
          <w:lang w:val="en-US"/>
        </w:rPr>
        <w:fldChar w:fldCharType="begin"/>
      </w:r>
      <w:r w:rsidR="003661B5" w:rsidRPr="00333D07">
        <w:rPr>
          <w:rFonts w:eastAsia="Calibri" w:cs="Arial"/>
          <w:lang w:val="en-US"/>
        </w:rPr>
        <w:instrText xml:space="preserve"> ADDIN EN.CITE &lt;EndNote&gt;&lt;Cite&gt;&lt;Author&gt;Narkun-Burgess&lt;/Author&gt;&lt;Year&gt;1993&lt;/Year&gt;&lt;IDText&gt;Forty-five year follow-up after uninephrectomy&lt;/IDText&gt;&lt;DisplayText&gt;(Narkun-Burgess et al., 1993)&lt;/DisplayText&gt;&lt;record&gt;&lt;isbn&gt;0085-2538&lt;/isbn&gt;&lt;titles&gt;&lt;title&gt;Forty-five year follow-up after uninephrectomy&lt;/title&gt;&lt;secondary-title&gt;Kidney international&lt;/secondary-title&gt;&lt;/titles&gt;&lt;pages&gt;1110-1115&lt;/pages&gt;&lt;number&gt;5&lt;/number&gt;&lt;contributors&gt;&lt;authors&gt;&lt;author&gt;Narkun-Burgess, Deborah M&lt;/author&gt;&lt;author&gt;Nolan, Charles R&lt;/author&gt;&lt;author&gt;Norman, James E&lt;/author&gt;&lt;author&gt;Page, William F&lt;/author&gt;&lt;author&gt;Miller, Peter L&lt;/author&gt;&lt;author&gt;Meyer, Timothy W&lt;/author&gt;&lt;/authors&gt;&lt;/contributors&gt;&lt;added-date format="utc"&gt;1496520463&lt;/added-date&gt;&lt;ref-type name="Journal Article"&gt;17&lt;/ref-type&gt;&lt;dates&gt;&lt;year&gt;1993&lt;/year&gt;&lt;/dates&gt;&lt;rec-number&gt;1870&lt;/rec-number&gt;&lt;last-updated-date format="utc"&gt;1496520463&lt;/last-updated-date&gt;&lt;volume&gt;43&lt;/volume&gt;&lt;/record&gt;&lt;/Cite&gt;&lt;/EndNote&gt;</w:instrText>
      </w:r>
      <w:r w:rsidR="003661B5" w:rsidRPr="00333D07">
        <w:rPr>
          <w:rFonts w:eastAsia="Calibri" w:cs="Arial"/>
          <w:lang w:val="en-US"/>
        </w:rPr>
        <w:fldChar w:fldCharType="separate"/>
      </w:r>
      <w:r w:rsidR="003661B5" w:rsidRPr="00333D07">
        <w:rPr>
          <w:rFonts w:eastAsia="Calibri" w:cs="Arial"/>
          <w:noProof/>
          <w:lang w:val="en-US"/>
        </w:rPr>
        <w:t>(Narkun-Burgess et al., 1993)</w:t>
      </w:r>
      <w:r w:rsidR="003661B5" w:rsidRPr="00333D07">
        <w:rPr>
          <w:rFonts w:eastAsia="Calibri" w:cs="Arial"/>
          <w:lang w:val="en-US"/>
        </w:rPr>
        <w:fldChar w:fldCharType="end"/>
      </w:r>
      <w:r w:rsidR="003661B5" w:rsidRPr="00333D07">
        <w:rPr>
          <w:rFonts w:eastAsia="Calibri" w:cs="Arial"/>
          <w:lang w:val="en-US"/>
        </w:rPr>
        <w:t xml:space="preserve">. This was followed by induction of type 1 diabetes with 80 mg/kg of streptozotocin </w:t>
      </w:r>
      <w:r w:rsidR="003661B5" w:rsidRPr="00333D07">
        <w:rPr>
          <w:rFonts w:eastAsia="Calibri" w:cs="Arial"/>
          <w:lang w:val="en-US"/>
        </w:rPr>
        <w:fldChar w:fldCharType="begin"/>
      </w:r>
      <w:r w:rsidR="003661B5" w:rsidRPr="00333D07">
        <w:rPr>
          <w:rFonts w:eastAsia="Calibri" w:cs="Arial"/>
          <w:lang w:val="en-US"/>
        </w:rPr>
        <w:instrText xml:space="preserve"> ADDIN EN.CITE &lt;EndNote&gt;&lt;Cite&gt;&lt;Author&gt;Junod&lt;/Author&gt;&lt;Year&gt;1969&lt;/Year&gt;&lt;IDText&gt;Diabetogenic action of streptozotocin: relationship of dose to metabolic response&lt;/IDText&gt;&lt;DisplayText&gt;(Junod et al., 1969)&lt;/DisplayText&gt;&lt;record&gt;&lt;urls&gt;&lt;related-urls&gt;&lt;url&gt;http://www.ncbi.nlm.nih.gov/pmc/articles/PMC297467/&lt;/url&gt;&lt;/related-urls&gt;&lt;/urls&gt;&lt;isbn&gt;0021-9738&lt;/isbn&gt;&lt;titles&gt;&lt;title&gt;Diabetogenic action of streptozotocin: relationship of dose to metabolic response&lt;/title&gt;&lt;secondary-title&gt;Journal of Clinical Investigation&lt;/secondary-title&gt;&lt;/titles&gt;&lt;pages&gt;2129-2139&lt;/pages&gt;&lt;number&gt;11&lt;/number&gt;&lt;contributors&gt;&lt;authors&gt;&lt;author&gt;Junod, Alain&lt;/author&gt;&lt;author&gt;Lambert, André E.&lt;/author&gt;&lt;author&gt;Stauffacher, Werner&lt;/author&gt;&lt;author&gt;Renold, Albert E.&lt;/author&gt;&lt;/authors&gt;&lt;/contributors&gt;&lt;added-date format="utc"&gt;1496522131&lt;/added-date&gt;&lt;ref-type name="Journal Article"&gt;17&lt;/ref-type&gt;&lt;dates&gt;&lt;year&gt;1969&lt;/year&gt;&lt;/dates&gt;&lt;rec-number&gt;1871&lt;/rec-number&gt;&lt;last-updated-date format="utc"&gt;1496522131&lt;/last-updated-date&gt;&lt;accession-num&gt;PMC297467&lt;/accession-num&gt;&lt;volume&gt;48&lt;/volume&gt;&lt;remote-database-name&gt;PMC&lt;/remote-database-name&gt;&lt;/record&gt;&lt;/Cite&gt;&lt;/EndNote&gt;</w:instrText>
      </w:r>
      <w:r w:rsidR="003661B5" w:rsidRPr="00333D07">
        <w:rPr>
          <w:rFonts w:eastAsia="Calibri" w:cs="Arial"/>
          <w:lang w:val="en-US"/>
        </w:rPr>
        <w:fldChar w:fldCharType="separate"/>
      </w:r>
      <w:r w:rsidR="003661B5" w:rsidRPr="00333D07">
        <w:rPr>
          <w:rFonts w:eastAsia="Calibri" w:cs="Arial"/>
          <w:noProof/>
          <w:lang w:val="en-US"/>
        </w:rPr>
        <w:t>(Junod et al., 1969)</w:t>
      </w:r>
      <w:r w:rsidR="003661B5" w:rsidRPr="00333D07">
        <w:rPr>
          <w:rFonts w:eastAsia="Calibri" w:cs="Arial"/>
          <w:lang w:val="en-US"/>
        </w:rPr>
        <w:fldChar w:fldCharType="end"/>
      </w:r>
      <w:r w:rsidR="003661B5" w:rsidRPr="00333D07">
        <w:rPr>
          <w:rFonts w:eastAsia="Calibri" w:cs="Arial"/>
          <w:lang w:val="en-US"/>
        </w:rPr>
        <w:t xml:space="preserve">. All the rats developed hyperglycemia within 24-48 hours of administration of streptozotocin with blood glucose over 30 mM, and glucosuria above 55.5 mM. This hyperglycemic state was sustained over the next 72 hours and linpant was administered subcutaneously to maintain blood glucose between 20-25 mM. Our data confirmed development of hyperglycemia as rats </w:t>
      </w:r>
      <w:r w:rsidR="003661B5" w:rsidRPr="00333D07">
        <w:rPr>
          <w:rFonts w:eastAsia="Calibri" w:cs="Arial"/>
          <w:lang w:val="en-US"/>
        </w:rPr>
        <w:lastRenderedPageBreak/>
        <w:t xml:space="preserve">showed progressive polyphagia, polyuria and polydipsia, this was in line with the findings of Junod et al </w:t>
      </w:r>
      <w:r w:rsidR="003661B5" w:rsidRPr="00333D07">
        <w:rPr>
          <w:rFonts w:eastAsia="Calibri" w:cs="Arial"/>
          <w:lang w:val="en-US"/>
        </w:rPr>
        <w:fldChar w:fldCharType="begin"/>
      </w:r>
      <w:r w:rsidR="003661B5" w:rsidRPr="00333D07">
        <w:rPr>
          <w:rFonts w:eastAsia="Calibri" w:cs="Arial"/>
          <w:lang w:val="en-US"/>
        </w:rPr>
        <w:instrText xml:space="preserve"> ADDIN EN.CITE &lt;EndNote&gt;&lt;Cite&gt;&lt;Author&gt;Junod&lt;/Author&gt;&lt;Year&gt;1969&lt;/Year&gt;&lt;IDText&gt;Diabetogenic action of streptozotocin: relationship of dose to metabolic response&lt;/IDText&gt;&lt;DisplayText&gt;(Junod et al., 1969)&lt;/DisplayText&gt;&lt;record&gt;&lt;urls&gt;&lt;related-urls&gt;&lt;url&gt;http://www.ncbi.nlm.nih.gov/pmc/articles/PMC297467/&lt;/url&gt;&lt;/related-urls&gt;&lt;/urls&gt;&lt;isbn&gt;0021-9738&lt;/isbn&gt;&lt;titles&gt;&lt;title&gt;Diabetogenic action of streptozotocin: relationship of dose to metabolic response&lt;/title&gt;&lt;secondary-title&gt;Journal of Clinical Investigation&lt;/secondary-title&gt;&lt;/titles&gt;&lt;pages&gt;2129-2139&lt;/pages&gt;&lt;number&gt;11&lt;/number&gt;&lt;contributors&gt;&lt;authors&gt;&lt;author&gt;Junod, Alain&lt;/author&gt;&lt;author&gt;Lambert, André E.&lt;/author&gt;&lt;author&gt;Stauffacher, Werner&lt;/author&gt;&lt;author&gt;Renold, Albert E.&lt;/author&gt;&lt;/authors&gt;&lt;/contributors&gt;&lt;added-date format="utc"&gt;1496522131&lt;/added-date&gt;&lt;ref-type name="Journal Article"&gt;17&lt;/ref-type&gt;&lt;dates&gt;&lt;year&gt;1969&lt;/year&gt;&lt;/dates&gt;&lt;rec-number&gt;1871&lt;/rec-number&gt;&lt;last-updated-date format="utc"&gt;1496522131&lt;/last-updated-date&gt;&lt;accession-num&gt;PMC297467&lt;/accession-num&gt;&lt;volume&gt;48&lt;/volume&gt;&lt;remote-database-name&gt;PMC&lt;/remote-database-name&gt;&lt;/record&gt;&lt;/Cite&gt;&lt;/EndNote&gt;</w:instrText>
      </w:r>
      <w:r w:rsidR="003661B5" w:rsidRPr="00333D07">
        <w:rPr>
          <w:rFonts w:eastAsia="Calibri" w:cs="Arial"/>
          <w:lang w:val="en-US"/>
        </w:rPr>
        <w:fldChar w:fldCharType="separate"/>
      </w:r>
      <w:r w:rsidR="003661B5" w:rsidRPr="00333D07">
        <w:rPr>
          <w:rFonts w:eastAsia="Calibri" w:cs="Arial"/>
          <w:noProof/>
          <w:lang w:val="en-US"/>
        </w:rPr>
        <w:t>(Junod et al., 1969)</w:t>
      </w:r>
      <w:r w:rsidR="003661B5" w:rsidRPr="00333D07">
        <w:rPr>
          <w:rFonts w:eastAsia="Calibri" w:cs="Arial"/>
          <w:lang w:val="en-US"/>
        </w:rPr>
        <w:fldChar w:fldCharType="end"/>
      </w:r>
      <w:r w:rsidR="003661B5" w:rsidRPr="00333D07">
        <w:rPr>
          <w:rFonts w:eastAsia="Calibri" w:cs="Arial"/>
          <w:lang w:val="en-US"/>
        </w:rPr>
        <w:t>.</w:t>
      </w:r>
    </w:p>
    <w:p w:rsidR="00480BE7" w:rsidRPr="00480BE7" w:rsidRDefault="00480BE7" w:rsidP="007F61BF">
      <w:pPr>
        <w:spacing w:after="160"/>
        <w:ind w:left="1440"/>
        <w:jc w:val="left"/>
        <w:rPr>
          <w:rFonts w:cs="Arial"/>
        </w:rPr>
      </w:pPr>
      <w:r w:rsidRPr="00480BE7">
        <w:rPr>
          <w:rFonts w:cs="Arial"/>
        </w:rPr>
        <w:t>Our results clearly showed that CKD was</w:t>
      </w:r>
      <w:r>
        <w:rPr>
          <w:rFonts w:cs="Arial"/>
        </w:rPr>
        <w:t xml:space="preserve"> observed in all the three grou</w:t>
      </w:r>
      <w:r w:rsidRPr="00480BE7">
        <w:rPr>
          <w:rFonts w:cs="Arial"/>
        </w:rPr>
        <w:t>ps</w:t>
      </w:r>
      <w:r>
        <w:rPr>
          <w:rFonts w:cs="Arial"/>
        </w:rPr>
        <w:t>.</w:t>
      </w:r>
      <w:r w:rsidRPr="00480BE7">
        <w:rPr>
          <w:rFonts w:cs="Arial"/>
        </w:rPr>
        <w:t xml:space="preserve">  </w:t>
      </w:r>
      <w:r w:rsidRPr="00480BE7">
        <w:rPr>
          <w:rFonts w:asciiTheme="minorHAnsi" w:hAnsiTheme="minorHAnsi" w:cstheme="minorBidi"/>
          <w:sz w:val="22"/>
          <w:szCs w:val="22"/>
        </w:rPr>
        <w:t xml:space="preserve"> </w:t>
      </w:r>
    </w:p>
    <w:p w:rsidR="003661B5" w:rsidRDefault="00480BE7" w:rsidP="007F61BF">
      <w:pPr>
        <w:spacing w:after="160"/>
        <w:ind w:left="1440"/>
        <w:jc w:val="left"/>
        <w:rPr>
          <w:rFonts w:cs="Arial"/>
        </w:rPr>
      </w:pPr>
      <w:r w:rsidRPr="00480BE7">
        <w:rPr>
          <w:rFonts w:cs="Arial"/>
        </w:rPr>
        <w:t>The diagnosis and staging of CKD is based on the measurement of glomerular filtration rate an</w:t>
      </w:r>
      <w:r w:rsidR="008C5496">
        <w:rPr>
          <w:rFonts w:cs="Arial"/>
        </w:rPr>
        <w:t>d albuminuria. However the</w:t>
      </w:r>
      <w:r w:rsidRPr="00480BE7">
        <w:rPr>
          <w:rFonts w:cs="Arial"/>
        </w:rPr>
        <w:t xml:space="preserve"> process of determining the actual GFR is cumbersome and practically difficult therefore the use of creatinine in the serum has become a valuable tool. </w:t>
      </w:r>
    </w:p>
    <w:p w:rsidR="00333D07" w:rsidRPr="00333D07" w:rsidRDefault="00064C72" w:rsidP="007F61BF">
      <w:pPr>
        <w:spacing w:after="0"/>
        <w:ind w:left="1440"/>
        <w:jc w:val="left"/>
        <w:rPr>
          <w:rFonts w:eastAsia="Times New Roman" w:cs="Arial"/>
          <w:lang w:eastAsia="en-GB"/>
        </w:rPr>
      </w:pPr>
      <w:r>
        <w:rPr>
          <w:rFonts w:eastAsia="Times New Roman" w:cs="Arial"/>
          <w:lang w:eastAsia="en-GB"/>
        </w:rPr>
        <w:t>We</w:t>
      </w:r>
      <w:r w:rsidR="00333D07" w:rsidRPr="00333D07">
        <w:rPr>
          <w:rFonts w:eastAsia="Times New Roman" w:cs="Arial"/>
          <w:lang w:eastAsia="en-GB"/>
        </w:rPr>
        <w:t xml:space="preserve"> discovered</w:t>
      </w:r>
      <w:r>
        <w:rPr>
          <w:rFonts w:eastAsia="Times New Roman" w:cs="Arial"/>
          <w:lang w:eastAsia="en-GB"/>
        </w:rPr>
        <w:t xml:space="preserve"> the following </w:t>
      </w:r>
      <w:r w:rsidR="00333D07" w:rsidRPr="00333D07">
        <w:rPr>
          <w:rFonts w:eastAsia="Times New Roman" w:cs="Arial"/>
          <w:lang w:eastAsia="en-GB"/>
        </w:rPr>
        <w:t xml:space="preserve">in our </w:t>
      </w:r>
      <w:r w:rsidRPr="00064C72">
        <w:rPr>
          <w:rFonts w:eastAsia="Times New Roman" w:cs="Arial"/>
          <w:i/>
          <w:lang w:eastAsia="en-GB"/>
        </w:rPr>
        <w:t>in vivo</w:t>
      </w:r>
      <w:r>
        <w:rPr>
          <w:rFonts w:eastAsia="Times New Roman" w:cs="Arial"/>
          <w:lang w:eastAsia="en-GB"/>
        </w:rPr>
        <w:t xml:space="preserve"> study</w:t>
      </w:r>
    </w:p>
    <w:p w:rsidR="00333D07" w:rsidRPr="00333D07" w:rsidRDefault="00A276CB" w:rsidP="00B702A5">
      <w:pPr>
        <w:numPr>
          <w:ilvl w:val="0"/>
          <w:numId w:val="23"/>
        </w:numPr>
        <w:spacing w:after="0"/>
        <w:contextualSpacing/>
        <w:jc w:val="left"/>
        <w:rPr>
          <w:rFonts w:eastAsia="Times New Roman" w:cs="Arial"/>
          <w:lang w:eastAsia="en-GB"/>
        </w:rPr>
      </w:pPr>
      <w:r>
        <w:rPr>
          <w:rFonts w:eastAsia="Times New Roman" w:cs="Arial"/>
          <w:lang w:eastAsia="en-GB"/>
        </w:rPr>
        <w:t>O</w:t>
      </w:r>
      <w:r w:rsidR="00333D07" w:rsidRPr="00333D07">
        <w:rPr>
          <w:rFonts w:eastAsia="Times New Roman" w:cs="Arial"/>
          <w:lang w:eastAsia="en-GB"/>
        </w:rPr>
        <w:t xml:space="preserve">ur </w:t>
      </w:r>
      <w:r w:rsidR="00333D07" w:rsidRPr="00333D07">
        <w:rPr>
          <w:rFonts w:eastAsia="Times New Roman" w:cs="Arial"/>
          <w:i/>
          <w:lang w:eastAsia="en-GB"/>
        </w:rPr>
        <w:t>in vivo</w:t>
      </w:r>
      <w:r w:rsidR="00333D07" w:rsidRPr="00333D07">
        <w:rPr>
          <w:rFonts w:eastAsia="Times New Roman" w:cs="Arial"/>
          <w:lang w:eastAsia="en-GB"/>
        </w:rPr>
        <w:t xml:space="preserve"> model of chronic diabetic nephropathy suggested that the group that fed on chow with UK-396082 had significantly less leucocytosis which </w:t>
      </w:r>
      <w:r>
        <w:rPr>
          <w:rFonts w:eastAsia="Times New Roman" w:cs="Arial"/>
          <w:lang w:eastAsia="en-GB"/>
        </w:rPr>
        <w:t>may suggest a reduced inflammatory response.</w:t>
      </w:r>
      <w:r w:rsidR="00333D07" w:rsidRPr="00333D07">
        <w:rPr>
          <w:rFonts w:eastAsia="Times New Roman" w:cs="Arial"/>
          <w:lang w:eastAsia="en-GB"/>
        </w:rPr>
        <w:t xml:space="preserve"> </w:t>
      </w:r>
    </w:p>
    <w:p w:rsidR="00333D07" w:rsidRPr="00333D07" w:rsidRDefault="00333D07" w:rsidP="00B702A5">
      <w:pPr>
        <w:numPr>
          <w:ilvl w:val="0"/>
          <w:numId w:val="23"/>
        </w:numPr>
        <w:spacing w:after="0"/>
        <w:contextualSpacing/>
        <w:jc w:val="left"/>
        <w:rPr>
          <w:rFonts w:eastAsia="Times New Roman" w:cs="Arial"/>
          <w:lang w:eastAsia="en-GB"/>
        </w:rPr>
      </w:pPr>
      <w:r w:rsidRPr="00333D07">
        <w:rPr>
          <w:rFonts w:eastAsia="Times New Roman" w:cs="Arial"/>
          <w:lang w:eastAsia="en-GB"/>
        </w:rPr>
        <w:t>Our data also showed less haematuria in the groups that fed on UK-396082</w:t>
      </w:r>
      <w:r w:rsidR="00064C72">
        <w:rPr>
          <w:rFonts w:eastAsia="Times New Roman" w:cs="Arial"/>
          <w:lang w:eastAsia="en-GB"/>
        </w:rPr>
        <w:t>.</w:t>
      </w:r>
    </w:p>
    <w:p w:rsidR="00333D07" w:rsidRPr="00A276CB" w:rsidRDefault="00333D07" w:rsidP="00B702A5">
      <w:pPr>
        <w:pStyle w:val="ListParagraph"/>
        <w:numPr>
          <w:ilvl w:val="0"/>
          <w:numId w:val="23"/>
        </w:numPr>
        <w:rPr>
          <w:rFonts w:cs="Arial"/>
        </w:rPr>
      </w:pPr>
      <w:r w:rsidRPr="00A276CB">
        <w:rPr>
          <w:rFonts w:eastAsia="Times New Roman" w:cs="Arial"/>
          <w:lang w:eastAsia="en-GB"/>
        </w:rPr>
        <w:t>There was no evidence of metabolic decompensation</w:t>
      </w:r>
      <w:r w:rsidR="00A276CB" w:rsidRPr="00A276CB">
        <w:rPr>
          <w:rFonts w:eastAsia="Times New Roman" w:cs="Arial"/>
          <w:lang w:eastAsia="en-GB"/>
        </w:rPr>
        <w:t xml:space="preserve"> such as </w:t>
      </w:r>
      <w:r w:rsidR="00A276CB" w:rsidRPr="00A276CB">
        <w:rPr>
          <w:rFonts w:cs="Arial"/>
        </w:rPr>
        <w:t>diabetic ketoacidosis (DKA) and hyperglycemic hyperosmolar state (HHS)</w:t>
      </w:r>
      <w:r w:rsidR="00064C72">
        <w:rPr>
          <w:rFonts w:cs="Arial"/>
        </w:rPr>
        <w:t xml:space="preserve"> with UK-3960</w:t>
      </w:r>
      <w:r w:rsidR="00A276CB">
        <w:rPr>
          <w:rFonts w:cs="Arial"/>
        </w:rPr>
        <w:t>82</w:t>
      </w:r>
      <w:r w:rsidR="00064C72">
        <w:rPr>
          <w:rFonts w:cs="Arial"/>
        </w:rPr>
        <w:t>.</w:t>
      </w:r>
    </w:p>
    <w:p w:rsidR="00333D07" w:rsidRPr="00333D07" w:rsidRDefault="00333D07" w:rsidP="007F61BF">
      <w:pPr>
        <w:spacing w:after="0"/>
        <w:ind w:left="1440"/>
        <w:jc w:val="left"/>
        <w:rPr>
          <w:rFonts w:eastAsia="Times New Roman" w:cs="Arial"/>
          <w:lang w:eastAsia="en-GB"/>
        </w:rPr>
      </w:pPr>
      <w:r w:rsidRPr="00333D07">
        <w:rPr>
          <w:rFonts w:eastAsia="Times New Roman" w:cs="Arial"/>
          <w:lang w:eastAsia="en-GB"/>
        </w:rPr>
        <w:t>With further renal function analysis we observed that the prophylaxis group had better renal protection with evidence of less proteinuria, albuminuria, and a higher creatinine</w:t>
      </w:r>
      <w:r w:rsidR="00A276CB">
        <w:rPr>
          <w:rFonts w:eastAsia="Times New Roman" w:cs="Arial"/>
          <w:lang w:eastAsia="en-GB"/>
        </w:rPr>
        <w:t xml:space="preserve"> clearance</w:t>
      </w:r>
      <w:r w:rsidRPr="00333D07">
        <w:rPr>
          <w:rFonts w:eastAsia="Times New Roman" w:cs="Arial"/>
          <w:lang w:eastAsia="en-GB"/>
        </w:rPr>
        <w:t xml:space="preserve">. This to us, points to a possible preservation of functional kidney structure and the possible explanation for this is the </w:t>
      </w:r>
      <w:r w:rsidR="00A276CB">
        <w:rPr>
          <w:rFonts w:eastAsia="Times New Roman" w:cs="Arial"/>
          <w:lang w:eastAsia="en-GB"/>
        </w:rPr>
        <w:t xml:space="preserve">reduced </w:t>
      </w:r>
      <w:r w:rsidRPr="00333D07">
        <w:rPr>
          <w:rFonts w:eastAsia="Times New Roman" w:cs="Arial"/>
          <w:lang w:eastAsia="en-GB"/>
        </w:rPr>
        <w:t>build-up of E</w:t>
      </w:r>
      <w:r w:rsidR="00A276CB">
        <w:rPr>
          <w:rFonts w:eastAsia="Times New Roman" w:cs="Arial"/>
          <w:lang w:eastAsia="en-GB"/>
        </w:rPr>
        <w:t>CM and fibrosis due to increased</w:t>
      </w:r>
      <w:r w:rsidRPr="00333D07">
        <w:rPr>
          <w:rFonts w:eastAsia="Times New Roman" w:cs="Arial"/>
          <w:lang w:eastAsia="en-GB"/>
        </w:rPr>
        <w:t xml:space="preserve"> pl</w:t>
      </w:r>
      <w:r w:rsidR="00A276CB">
        <w:rPr>
          <w:rFonts w:eastAsia="Times New Roman" w:cs="Arial"/>
          <w:lang w:eastAsia="en-GB"/>
        </w:rPr>
        <w:t>asmin activation. These finding</w:t>
      </w:r>
      <w:r w:rsidRPr="00333D07">
        <w:rPr>
          <w:rFonts w:eastAsia="Times New Roman" w:cs="Arial"/>
          <w:lang w:eastAsia="en-GB"/>
        </w:rPr>
        <w:t xml:space="preserve"> </w:t>
      </w:r>
      <w:r w:rsidR="00A276CB">
        <w:rPr>
          <w:rFonts w:eastAsia="Times New Roman" w:cs="Arial"/>
          <w:lang w:eastAsia="en-GB"/>
        </w:rPr>
        <w:t>i</w:t>
      </w:r>
      <w:r w:rsidRPr="00333D07">
        <w:rPr>
          <w:rFonts w:eastAsia="Times New Roman" w:cs="Arial"/>
          <w:lang w:eastAsia="en-GB"/>
        </w:rPr>
        <w:t xml:space="preserve">s </w:t>
      </w:r>
      <w:r w:rsidR="00A276CB">
        <w:rPr>
          <w:rFonts w:eastAsia="Times New Roman" w:cs="Arial"/>
          <w:lang w:eastAsia="en-GB"/>
        </w:rPr>
        <w:t>suggestive that CPB2 is</w:t>
      </w:r>
      <w:r w:rsidRPr="00333D07">
        <w:rPr>
          <w:rFonts w:eastAsia="Times New Roman" w:cs="Arial"/>
          <w:lang w:eastAsia="en-GB"/>
        </w:rPr>
        <w:t xml:space="preserve"> a key player in fibrotic changes in diabetic nephropathy.</w:t>
      </w:r>
    </w:p>
    <w:p w:rsidR="00333D07" w:rsidRDefault="00A276CB" w:rsidP="007F61BF">
      <w:pPr>
        <w:spacing w:after="0"/>
        <w:ind w:left="1440"/>
        <w:jc w:val="left"/>
        <w:rPr>
          <w:rFonts w:eastAsia="Times New Roman" w:cs="Arial"/>
          <w:lang w:eastAsia="en-GB"/>
        </w:rPr>
      </w:pPr>
      <w:r>
        <w:rPr>
          <w:rFonts w:eastAsia="Times New Roman" w:cs="Arial"/>
          <w:lang w:eastAsia="en-GB"/>
        </w:rPr>
        <w:t>O</w:t>
      </w:r>
      <w:r w:rsidR="00333D07" w:rsidRPr="00333D07">
        <w:rPr>
          <w:rFonts w:eastAsia="Times New Roman" w:cs="Arial"/>
          <w:lang w:eastAsia="en-GB"/>
        </w:rPr>
        <w:t xml:space="preserve">ur pathohistological findings also confirmed the above as the </w:t>
      </w:r>
      <w:r>
        <w:rPr>
          <w:rFonts w:eastAsia="Times New Roman" w:cs="Arial"/>
          <w:lang w:eastAsia="en-GB"/>
        </w:rPr>
        <w:t>prophylaxis group had less scarring</w:t>
      </w:r>
      <w:r w:rsidR="00333D07" w:rsidRPr="00333D07">
        <w:rPr>
          <w:rFonts w:eastAsia="Times New Roman" w:cs="Arial"/>
          <w:lang w:eastAsia="en-GB"/>
        </w:rPr>
        <w:t xml:space="preserve"> and fibrosis, </w:t>
      </w:r>
      <w:r>
        <w:rPr>
          <w:rFonts w:eastAsia="Times New Roman" w:cs="Arial"/>
          <w:lang w:eastAsia="en-GB"/>
        </w:rPr>
        <w:t xml:space="preserve">suggesting that a CPB2 inhibitor promotes </w:t>
      </w:r>
      <w:r w:rsidR="00333D07" w:rsidRPr="00333D07">
        <w:rPr>
          <w:rFonts w:eastAsia="Times New Roman" w:cs="Arial"/>
          <w:lang w:eastAsia="en-GB"/>
        </w:rPr>
        <w:t>plasm</w:t>
      </w:r>
      <w:r>
        <w:rPr>
          <w:rFonts w:eastAsia="Times New Roman" w:cs="Arial"/>
          <w:lang w:eastAsia="en-GB"/>
        </w:rPr>
        <w:t>in formation and thereby reduce</w:t>
      </w:r>
      <w:r w:rsidR="00333D07" w:rsidRPr="00333D07">
        <w:rPr>
          <w:rFonts w:eastAsia="Times New Roman" w:cs="Arial"/>
          <w:lang w:eastAsia="en-GB"/>
        </w:rPr>
        <w:t xml:space="preserve"> collagen deposition in the kidney and subsequently the development of diabetic nephropathy</w:t>
      </w:r>
      <w:r w:rsidR="00333D07">
        <w:rPr>
          <w:rFonts w:eastAsia="Times New Roman" w:cs="Arial"/>
          <w:lang w:eastAsia="en-GB"/>
        </w:rPr>
        <w:t>.</w:t>
      </w:r>
    </w:p>
    <w:p w:rsidR="00064C72" w:rsidRDefault="00333D07" w:rsidP="00AB0ADA">
      <w:pPr>
        <w:ind w:left="1440"/>
        <w:jc w:val="left"/>
        <w:rPr>
          <w:rFonts w:eastAsia="Calibri" w:cs="Arial"/>
          <w:lang w:val="en-US"/>
        </w:rPr>
      </w:pPr>
      <w:r w:rsidRPr="00333D07">
        <w:rPr>
          <w:rFonts w:eastAsia="Calibri" w:cs="Arial"/>
          <w:lang w:val="en-US"/>
        </w:rPr>
        <w:t xml:space="preserve">Following the successful surgery and induction of type1 diabetes we continued to monitor for adverse effects on the liver, kidneys and the </w:t>
      </w:r>
      <w:r w:rsidRPr="00333D07">
        <w:rPr>
          <w:rFonts w:eastAsia="Calibri" w:cs="Arial"/>
          <w:lang w:val="en-US"/>
        </w:rPr>
        <w:lastRenderedPageBreak/>
        <w:t xml:space="preserve">heart. Contrary to earlier findings, macroscopic examination of the liver at the end of the study did not show any colour change </w:t>
      </w:r>
      <w:r w:rsidRPr="00333D07">
        <w:rPr>
          <w:rFonts w:eastAsia="Calibri" w:cs="Arial"/>
          <w:lang w:val="en-US"/>
        </w:rPr>
        <w:fldChar w:fldCharType="begin"/>
      </w:r>
      <w:r w:rsidRPr="00333D07">
        <w:rPr>
          <w:rFonts w:eastAsia="Calibri" w:cs="Arial"/>
          <w:lang w:val="en-US"/>
        </w:rPr>
        <w:instrText xml:space="preserve"> ADDIN EN.CITE &lt;EndNote&gt;&lt;Cite&gt;&lt;Author&gt;Qinna&lt;/Author&gt;&lt;Year&gt;2015&lt;/Year&gt;&lt;IDText&gt;Impact of streptozotocin on altering normal glucose homeostasis during insulin testing in diabetic rats compared to normoglycemic rats&lt;/IDText&gt;&lt;DisplayText&gt;(Qinna and Badwan, 2015)&lt;/DisplayText&gt;&lt;record&gt;&lt;dates&gt;&lt;pub-dates&gt;&lt;date&gt;05/05&lt;/date&gt;&lt;/pub-dates&gt;&lt;year&gt;2015&lt;/year&gt;&lt;/dates&gt;&lt;urls&gt;&lt;related-urls&gt;&lt;url&gt;http://www.ncbi.nlm.nih.gov/pmc/articles/PMC4427609/&lt;/url&gt;&lt;/related-urls&gt;&lt;/urls&gt;&lt;isbn&gt;1177-8881&lt;/isbn&gt;&lt;titles&gt;&lt;title&gt;Impact of streptozotocin on altering normal glucose homeostasis during insulin testing in diabetic rats compared to normoglycemic rats&lt;/title&gt;&lt;secondary-title&gt;Drug Design, Development and Therapy&lt;/secondary-title&gt;&lt;/titles&gt;&lt;pages&gt;2515-2525&lt;/pages&gt;&lt;contributors&gt;&lt;authors&gt;&lt;author&gt;Qinna, Nidal A.&lt;/author&gt;&lt;author&gt;Badwan, Adnan A.&lt;/author&gt;&lt;/authors&gt;&lt;/contributors&gt;&lt;added-date format="utc"&gt;1496577241&lt;/added-date&gt;&lt;ref-type name="Journal Article"&gt;17&lt;/ref-type&gt;&lt;rec-number&gt;1872&lt;/rec-number&gt;&lt;publisher&gt;Dove Medical Press&lt;/publisher&gt;&lt;last-updated-date format="utc"&gt;1496577241&lt;/last-updated-date&gt;&lt;accession-num&gt;PMC4427609&lt;/accession-num&gt;&lt;electronic-resource-num&gt;10.2147/DDDT.S79885&lt;/electronic-resource-num&gt;&lt;volume&gt;9&lt;/volume&gt;&lt;remote-database-name&gt;PMC&lt;/remote-database-name&gt;&lt;/record&gt;&lt;/Cite&gt;&lt;/EndNote&gt;</w:instrText>
      </w:r>
      <w:r w:rsidRPr="00333D07">
        <w:rPr>
          <w:rFonts w:eastAsia="Calibri" w:cs="Arial"/>
          <w:lang w:val="en-US"/>
        </w:rPr>
        <w:fldChar w:fldCharType="separate"/>
      </w:r>
      <w:r w:rsidRPr="00333D07">
        <w:rPr>
          <w:rFonts w:eastAsia="Calibri" w:cs="Arial"/>
          <w:noProof/>
          <w:lang w:val="en-US"/>
        </w:rPr>
        <w:t>(Qinna and Badwan, 2015)</w:t>
      </w:r>
      <w:r w:rsidRPr="00333D07">
        <w:rPr>
          <w:rFonts w:eastAsia="Calibri" w:cs="Arial"/>
          <w:lang w:val="en-US"/>
        </w:rPr>
        <w:fldChar w:fldCharType="end"/>
      </w:r>
      <w:r w:rsidRPr="00333D07">
        <w:rPr>
          <w:rFonts w:eastAsia="Calibri" w:cs="Arial"/>
          <w:lang w:val="en-US"/>
        </w:rPr>
        <w:t xml:space="preserve">. However, two rats in the diseased group had distended abdomen 6 months into the study. A post-mortem review of these rats showed that the abdominal distension was due to liver hypertrophy. A possible explanation for this is that a possible increase in liver weight may have occurred at the early phase of hyperglycemia but was not obvious due to concurrent drop in weight gain but as hyperglycemia became chronic the liver enlargement became obvious. Similar findings were also reported in past study on streptozotocin induced diabetes and the enlargement was attributed to glycogen deposit or fatty methamorphosis </w:t>
      </w:r>
      <w:r w:rsidRPr="00333D07">
        <w:rPr>
          <w:rFonts w:eastAsia="Calibri" w:cs="Arial"/>
          <w:lang w:val="en-US"/>
        </w:rPr>
        <w:fldChar w:fldCharType="begin"/>
      </w:r>
      <w:r w:rsidRPr="00333D07">
        <w:rPr>
          <w:rFonts w:eastAsia="Calibri" w:cs="Arial"/>
          <w:lang w:val="en-US"/>
        </w:rPr>
        <w:instrText xml:space="preserve"> ADDIN EN.CITE &lt;EndNote&gt;&lt;Cite&gt;&lt;Author&gt;Noorafshan&lt;/Author&gt;&lt;Year&gt;2005&lt;/Year&gt;&lt;IDText&gt;Early stereological changes in liver of Sprague-Dawley rats after streptozotocin injection&lt;/IDText&gt;&lt;DisplayText&gt;(Noorafshan et al., 2005)&lt;/DisplayText&gt;&lt;record&gt;&lt;isbn&gt;0254-8860&lt;/isbn&gt;&lt;titles&gt;&lt;title&gt;Early stereological changes in liver of Sprague-Dawley rats after streptozotocin injection&lt;/title&gt;&lt;secondary-title&gt;Indian Journal of Gastroenterology&lt;/secondary-title&gt;&lt;/titles&gt;&lt;pages&gt;104&lt;/pages&gt;&lt;number&gt;3&lt;/number&gt;&lt;contributors&gt;&lt;authors&gt;&lt;author&gt;Noorafshan, Ali&lt;/author&gt;&lt;author&gt;Esmail-Zadeh, Banafsheh&lt;/author&gt;&lt;author&gt;Bahmanpour, Soghra&lt;/author&gt;&lt;author&gt;Poost-Pasand, Aghdas&lt;/author&gt;&lt;/authors&gt;&lt;/contributors&gt;&lt;added-date format="utc"&gt;1496580808&lt;/added-date&gt;&lt;ref-type name="Journal Article"&gt;17&lt;/ref-type&gt;&lt;dates&gt;&lt;year&gt;2005&lt;/year&gt;&lt;/dates&gt;&lt;rec-number&gt;1875&lt;/rec-number&gt;&lt;last-updated-date format="utc"&gt;1496580808&lt;/last-updated-date&gt;&lt;volume&gt;24&lt;/volume&gt;&lt;/record&gt;&lt;/Cite&gt;&lt;/EndNote&gt;</w:instrText>
      </w:r>
      <w:r w:rsidRPr="00333D07">
        <w:rPr>
          <w:rFonts w:eastAsia="Calibri" w:cs="Arial"/>
          <w:lang w:val="en-US"/>
        </w:rPr>
        <w:fldChar w:fldCharType="separate"/>
      </w:r>
      <w:r w:rsidRPr="00333D07">
        <w:rPr>
          <w:rFonts w:eastAsia="Calibri" w:cs="Arial"/>
          <w:noProof/>
          <w:lang w:val="en-US"/>
        </w:rPr>
        <w:t>(Noorafshan et al., 2005)</w:t>
      </w:r>
      <w:r w:rsidRPr="00333D07">
        <w:rPr>
          <w:rFonts w:eastAsia="Calibri" w:cs="Arial"/>
          <w:lang w:val="en-US"/>
        </w:rPr>
        <w:fldChar w:fldCharType="end"/>
      </w:r>
      <w:r w:rsidRPr="00333D07">
        <w:rPr>
          <w:rFonts w:eastAsia="Calibri" w:cs="Arial"/>
          <w:lang w:val="en-US"/>
        </w:rPr>
        <w:t xml:space="preserve">. </w:t>
      </w:r>
    </w:p>
    <w:p w:rsidR="00333D07" w:rsidRPr="00333D07" w:rsidRDefault="00333D07" w:rsidP="00AB0ADA">
      <w:pPr>
        <w:ind w:left="1440"/>
        <w:jc w:val="left"/>
        <w:rPr>
          <w:rFonts w:eastAsia="Calibri" w:cs="Arial"/>
          <w:lang w:val="en-US"/>
        </w:rPr>
      </w:pPr>
      <w:r w:rsidRPr="00333D07">
        <w:rPr>
          <w:rFonts w:eastAsia="Calibri" w:cs="Arial"/>
          <w:lang w:val="en-US"/>
        </w:rPr>
        <w:t>There was no detectable urinary urobilinogen, or urinary bilirubin in any of the rats throughout the study, as damage to hepatocytes, especially chronic damage, will be detectable in the urine</w:t>
      </w:r>
      <w:r w:rsidR="00902EAD">
        <w:rPr>
          <w:rFonts w:eastAsia="Calibri" w:cs="Arial"/>
          <w:lang w:val="en-US"/>
        </w:rPr>
        <w:t xml:space="preserve"> </w:t>
      </w:r>
      <w:r w:rsidR="00902EAD">
        <w:rPr>
          <w:rFonts w:cs="Arial"/>
          <w:noProof/>
        </w:rPr>
        <w:t xml:space="preserve">(Beckingham and Ryder, </w:t>
      </w:r>
      <w:r w:rsidR="00902EAD" w:rsidRPr="00902EAD">
        <w:rPr>
          <w:rFonts w:cs="Arial"/>
          <w:noProof/>
        </w:rPr>
        <w:t>2001).</w:t>
      </w:r>
      <w:r w:rsidR="00902EAD" w:rsidRPr="00902EAD">
        <w:rPr>
          <w:rFonts w:eastAsia="Calibri" w:cs="Arial"/>
          <w:lang w:val="en-US"/>
        </w:rPr>
        <w:t xml:space="preserve"> </w:t>
      </w:r>
      <w:r w:rsidRPr="00902EAD">
        <w:rPr>
          <w:rFonts w:eastAsia="Calibri" w:cs="Arial"/>
          <w:lang w:val="en-US"/>
        </w:rPr>
        <w:t xml:space="preserve">This finding </w:t>
      </w:r>
      <w:r w:rsidRPr="00333D07">
        <w:rPr>
          <w:rFonts w:eastAsia="Calibri" w:cs="Arial"/>
          <w:lang w:val="en-US"/>
        </w:rPr>
        <w:t xml:space="preserve">is suggestive that there was no hemolytic disease, hepatitic disease or biliary obstruction among the rats. </w:t>
      </w:r>
    </w:p>
    <w:p w:rsidR="00333D07" w:rsidRPr="00333D07" w:rsidRDefault="00333D07" w:rsidP="004F1FD0">
      <w:pPr>
        <w:ind w:left="1440"/>
        <w:jc w:val="left"/>
        <w:rPr>
          <w:rFonts w:eastAsia="Calibri" w:cs="Arial"/>
          <w:lang w:val="en-US"/>
        </w:rPr>
      </w:pPr>
      <w:r w:rsidRPr="00333D07">
        <w:rPr>
          <w:rFonts w:eastAsia="Calibri" w:cs="Arial"/>
          <w:lang w:val="en-US"/>
        </w:rPr>
        <w:t xml:space="preserve">Mnif et al., (2013) reported that diabetes is a predisposing factor for </w:t>
      </w:r>
      <w:r w:rsidR="004F1FD0">
        <w:rPr>
          <w:rFonts w:eastAsia="Calibri" w:cs="Arial"/>
          <w:lang w:val="en-US"/>
        </w:rPr>
        <w:t>UTI</w:t>
      </w:r>
      <w:r w:rsidRPr="00333D07">
        <w:rPr>
          <w:rFonts w:eastAsia="Calibri" w:cs="Arial"/>
          <w:lang w:val="en-US"/>
        </w:rPr>
        <w:t xml:space="preserve"> while another study reported that there was no significant difference in the incidence of UTI among diabetics and non-diabetics </w:t>
      </w:r>
      <w:r w:rsidRPr="00333D07">
        <w:rPr>
          <w:rFonts w:eastAsia="Calibri" w:cs="Arial"/>
          <w:lang w:val="en-US"/>
        </w:rPr>
        <w:fldChar w:fldCharType="begin"/>
      </w:r>
      <w:r w:rsidRPr="00333D07">
        <w:rPr>
          <w:rFonts w:eastAsia="Calibri" w:cs="Arial"/>
          <w:lang w:val="en-US"/>
        </w:rPr>
        <w:instrText xml:space="preserve"> ADDIN EN.CITE &lt;EndNote&gt;&lt;Cite&gt;&lt;Author&gt;Bonadio&lt;/Author&gt;&lt;Year&gt;1999&lt;/Year&gt;&lt;IDText&gt;Urinary tract infection in diabetic patients&lt;/IDText&gt;&lt;DisplayText&gt;(Bonadio et al., 1999)&lt;/DisplayText&gt;&lt;record&gt;&lt;keywords&gt;&lt;keyword&gt;Bacteriuria/epidemiology/microbiology&lt;/keyword&gt;&lt;keyword&gt;Case-Control Studies&lt;/keyword&gt;&lt;keyword&gt;*Diabetes Complications&lt;/keyword&gt;&lt;keyword&gt;Diabetes Mellitus/epidemiology&lt;/keyword&gt;&lt;keyword&gt;Drug Resistance, Microbial&lt;/keyword&gt;&lt;keyword&gt;Female&lt;/keyword&gt;&lt;keyword&gt;Humans&lt;/keyword&gt;&lt;keyword&gt;Male&lt;/keyword&gt;&lt;keyword&gt;Middle Aged&lt;/keyword&gt;&lt;keyword&gt;Prospective Studies&lt;/keyword&gt;&lt;keyword&gt;Urinary Catheterization&lt;/keyword&gt;&lt;keyword&gt;Urinary Tract Infections/*epidemiology/microbiology&lt;/keyword&gt;&lt;/keywords&gt;&lt;isbn&gt;0042-1138 (Print)&amp;#xD;0042-1138&lt;/isbn&gt;&lt;titles&gt;&lt;title&gt;Urinary tract infection in diabetic patients&lt;/title&gt;&lt;secondary-title&gt;Urol Int&lt;/secondary-title&gt;&lt;alt-title&gt;Urologia internationalis&lt;/alt-title&gt;&lt;/titles&gt;&lt;pages&gt;215-9&lt;/pages&gt;&lt;number&gt;4&lt;/number&gt;&lt;contributors&gt;&lt;authors&gt;&lt;author&gt;Bonadio, M.&lt;/author&gt;&lt;author&gt;Meini, M.&lt;/author&gt;&lt;author&gt;Gigli, C.&lt;/author&gt;&lt;author&gt;Longo, B.&lt;/author&gt;&lt;author&gt;Vigna, A.&lt;/author&gt;&lt;/authors&gt;&lt;/contributors&gt;&lt;edition&gt;2000/04/01&lt;/edition&gt;&lt;language&gt;eng&lt;/language&gt;&lt;added-date format="utc"&gt;1496656179&lt;/added-date&gt;&lt;ref-type name="Journal Article"&gt;17&lt;/ref-type&gt;&lt;auth-address&gt;Dipartimento di Patologia Sperimentale, Biotecnologie Mediche, Infettiologia ed Epidemiologia, Universita di Pisa, Italia. m.bonadio@int.med.unipi.it&lt;/auth-address&gt;&lt;dates&gt;&lt;year&gt;1999&lt;/year&gt;&lt;/dates&gt;&lt;remote-database-provider&gt;NLM&lt;/remote-database-provider&gt;&lt;rec-number&gt;1876&lt;/rec-number&gt;&lt;last-updated-date format="utc"&gt;1496656179&lt;/last-updated-date&gt;&lt;accession-num&gt;10743697&lt;/accession-num&gt;&lt;volume&gt;63&lt;/volume&gt;&lt;/record&gt;&lt;/Cite&gt;&lt;/EndNote&gt;</w:instrText>
      </w:r>
      <w:r w:rsidRPr="00333D07">
        <w:rPr>
          <w:rFonts w:eastAsia="Calibri" w:cs="Arial"/>
          <w:lang w:val="en-US"/>
        </w:rPr>
        <w:fldChar w:fldCharType="separate"/>
      </w:r>
      <w:r w:rsidRPr="00333D07">
        <w:rPr>
          <w:rFonts w:eastAsia="Calibri" w:cs="Arial"/>
          <w:noProof/>
          <w:lang w:val="en-US"/>
        </w:rPr>
        <w:t>(Bonadio et al., 1999)</w:t>
      </w:r>
      <w:r w:rsidRPr="00333D07">
        <w:rPr>
          <w:rFonts w:eastAsia="Calibri" w:cs="Arial"/>
          <w:lang w:val="en-US"/>
        </w:rPr>
        <w:fldChar w:fldCharType="end"/>
      </w:r>
      <w:r w:rsidRPr="00333D07">
        <w:rPr>
          <w:rFonts w:eastAsia="Calibri" w:cs="Arial"/>
          <w:lang w:val="en-US"/>
        </w:rPr>
        <w:t xml:space="preserve">. However microscopic haematuria was detected in all the three groups by the fourth month in our study, with a significant difference of P&lt; 0.05 between the disease group and the prophylaxis group. We also observed a similar significant difference between the prophylaxis group and the treatment group, while there was no significant difference between the diseased group and the treatment group. The absence of nitrite probably rules out UTI as a possible cause of the heamaturia. It is therefore reasonable to tie these findings to the development and progression of diabetic nephropathy, although also worthy of note is the possibility of a second form of glomerulonephritis since haematuria is not always a typical finding in diabetic nephropathy </w:t>
      </w:r>
      <w:r w:rsidRPr="00333D07">
        <w:rPr>
          <w:rFonts w:eastAsia="Calibri" w:cs="Arial"/>
          <w:lang w:val="en-US"/>
        </w:rPr>
        <w:fldChar w:fldCharType="begin"/>
      </w:r>
      <w:r w:rsidRPr="00333D07">
        <w:rPr>
          <w:rFonts w:eastAsia="Calibri" w:cs="Arial"/>
          <w:lang w:val="en-US"/>
        </w:rPr>
        <w:instrText xml:space="preserve"> ADDIN EN.CITE &lt;EndNote&gt;&lt;Cite&gt;&lt;Author&gt;O&amp;apos;Neill&lt;/Author&gt;&lt;Year&gt;1983&lt;/Year&gt;&lt;IDText&gt;Hematuria and red cell casts in typical diabetic nephropathy&lt;/IDText&gt;&lt;DisplayText&gt;(O&amp;apos;Neill et al., 1983)&lt;/DisplayText&gt;&lt;record&gt;&lt;dates&gt;&lt;pub-dates&gt;&lt;date&gt;Mar&lt;/date&gt;&lt;/pub-dates&gt;&lt;year&gt;1983&lt;/year&gt;&lt;/dates&gt;&lt;keywords&gt;&lt;keyword&gt;Adolescent&lt;/keyword&gt;&lt;keyword&gt;Adult&lt;/keyword&gt;&lt;keyword&gt;Aged&lt;/keyword&gt;&lt;keyword&gt;Basement Membrane/ultrastructure&lt;/keyword&gt;&lt;keyword&gt;Biopsy&lt;/keyword&gt;&lt;keyword&gt;Diabetic Nephropathies/complications/*diagnosis/urine&lt;/keyword&gt;&lt;keyword&gt;*Erythrocytes/analysis&lt;/keyword&gt;&lt;keyword&gt;Female&lt;/keyword&gt;&lt;keyword&gt;Glomerulonephritis/diagnosis/etiology&lt;/keyword&gt;&lt;keyword&gt;Hematuria/*diagnosis/etiology&lt;/keyword&gt;&lt;keyword&gt;Humans&lt;/keyword&gt;&lt;keyword&gt;Kidney Glomerulus/ultrastructure&lt;/keyword&gt;&lt;keyword&gt;Male&lt;/keyword&gt;&lt;keyword&gt;Microscopy, Electron&lt;/keyword&gt;&lt;keyword&gt;Microscopy, Fluorescence&lt;/keyword&gt;&lt;keyword&gt;Middle Aged&lt;/keyword&gt;&lt;keyword&gt;Prospective Studies&lt;/keyword&gt;&lt;keyword&gt;Time Factors&lt;/keyword&gt;&lt;/keywords&gt;&lt;isbn&gt;0002-9343 (Print)&amp;#xD;0002-9343&lt;/isbn&gt;&lt;titles&gt;&lt;title&gt;Hematuria and red cell casts in typical diabetic nephropathy&lt;/title&gt;&lt;secondary-title&gt;Am J Med&lt;/secondary-title&gt;&lt;alt-title&gt;The American journal of medicine&lt;/alt-title&gt;&lt;/titles&gt;&lt;pages&gt;389-95&lt;/pages&gt;&lt;number&gt;3&lt;/number&gt;&lt;contributors&gt;&lt;authors&gt;&lt;author&gt;O&amp;apos;Neill, W. M., Jr.&lt;/author&gt;&lt;author&gt;Wallin, J. D.&lt;/author&gt;&lt;author&gt;Walker, P. D.&lt;/author&gt;&lt;/authors&gt;&lt;/contributors&gt;&lt;edition&gt;1983/03/01&lt;/edition&gt;&lt;language&gt;eng&lt;/language&gt;&lt;added-date format="utc"&gt;1488111461&lt;/added-date&gt;&lt;ref-type name="Journal Article"&gt;17&lt;/ref-type&gt;&lt;remote-database-provider&gt;NLM&lt;/remote-database-provider&gt;&lt;rec-number&gt;1636&lt;/rec-number&gt;&lt;last-updated-date format="utc"&gt;1488111461&lt;/last-updated-date&gt;&lt;accession-num&gt;6829589&lt;/accession-num&gt;&lt;volume&gt;74&lt;/volume&gt;&lt;/record&gt;&lt;/Cite&gt;&lt;/EndNote&gt;</w:instrText>
      </w:r>
      <w:r w:rsidRPr="00333D07">
        <w:rPr>
          <w:rFonts w:eastAsia="Calibri" w:cs="Arial"/>
          <w:lang w:val="en-US"/>
        </w:rPr>
        <w:fldChar w:fldCharType="separate"/>
      </w:r>
      <w:r w:rsidRPr="00333D07">
        <w:rPr>
          <w:rFonts w:eastAsia="Calibri" w:cs="Arial"/>
          <w:noProof/>
          <w:lang w:val="en-US"/>
        </w:rPr>
        <w:t>(O'Neill et al., 1983)</w:t>
      </w:r>
      <w:r w:rsidRPr="00333D07">
        <w:rPr>
          <w:rFonts w:eastAsia="Calibri" w:cs="Arial"/>
          <w:lang w:val="en-US"/>
        </w:rPr>
        <w:fldChar w:fldCharType="end"/>
      </w:r>
      <w:r w:rsidRPr="00333D07">
        <w:rPr>
          <w:rFonts w:eastAsia="Calibri" w:cs="Arial"/>
          <w:lang w:val="en-US"/>
        </w:rPr>
        <w:t xml:space="preserve">. </w:t>
      </w:r>
    </w:p>
    <w:p w:rsidR="00333D07" w:rsidRPr="00333D07" w:rsidRDefault="00333D07" w:rsidP="0012466F">
      <w:pPr>
        <w:ind w:left="1440"/>
        <w:jc w:val="left"/>
        <w:rPr>
          <w:rFonts w:eastAsia="Calibri" w:cs="Arial"/>
          <w:lang w:val="en-US"/>
        </w:rPr>
      </w:pPr>
      <w:r w:rsidRPr="00333D07">
        <w:rPr>
          <w:rFonts w:eastAsia="Calibri" w:cs="Arial"/>
          <w:lang w:val="en-US"/>
        </w:rPr>
        <w:lastRenderedPageBreak/>
        <w:t xml:space="preserve">Galkina and Ley (2006) reported the involvement of inflammatory cells in diabetic nephropathy, with metalloproteinases, growth factors and cytokines responsible for modulating local inflammation in diabetic nephropathy. Our data on urinary leukocytes was also in line with these views. Our results showed the presence of leukocytes in the urine from the third month in both diseased and treatment groups, however there was no detectable urinary leukocytes in the prophylaxis group until the sixth month. There was progressive leukocytosis in both disease and treatment group till the eighth month with a significant difference of </w:t>
      </w:r>
      <w:r w:rsidRPr="00333D07">
        <w:rPr>
          <w:rFonts w:cs="Arial"/>
        </w:rPr>
        <w:t xml:space="preserve">P </w:t>
      </w:r>
      <w:r w:rsidRPr="00333D07">
        <w:rPr>
          <w:rFonts w:eastAsia="Times New Roman" w:cs="Arial"/>
          <w:lang w:eastAsia="en-GB"/>
        </w:rPr>
        <w:t>&lt; 0.0001</w:t>
      </w:r>
      <w:r w:rsidRPr="00333D07">
        <w:rPr>
          <w:rFonts w:eastAsia="Calibri" w:cs="Arial"/>
          <w:lang w:val="en-US"/>
        </w:rPr>
        <w:t xml:space="preserve"> between the prophylaxis group and the diseased group and this was the same between prophylaxis and treatment group. This finding was suggestive of reduced progression of diabetic nephropathy in the prophylaxis group.  </w:t>
      </w:r>
    </w:p>
    <w:p w:rsidR="00333D07" w:rsidRPr="00333D07" w:rsidRDefault="00333D07" w:rsidP="0012466F">
      <w:pPr>
        <w:ind w:left="1440"/>
        <w:jc w:val="left"/>
        <w:rPr>
          <w:rFonts w:cs="Arial"/>
        </w:rPr>
      </w:pPr>
      <w:r w:rsidRPr="00333D07">
        <w:rPr>
          <w:rFonts w:eastAsia="Calibri" w:cs="Arial"/>
          <w:lang w:val="en-US"/>
        </w:rPr>
        <w:t>Furthermore our results showed a sharp decrease in heparan sulphate glycosaminoglycan (GAG) excretion in diabetic rats, immediately</w:t>
      </w:r>
      <w:r w:rsidR="008C5496">
        <w:rPr>
          <w:rFonts w:eastAsia="Calibri" w:cs="Arial"/>
          <w:lang w:val="en-US"/>
        </w:rPr>
        <w:t xml:space="preserve"> on induction of</w:t>
      </w:r>
      <w:r w:rsidRPr="00333D07">
        <w:rPr>
          <w:rFonts w:eastAsia="Calibri" w:cs="Arial"/>
          <w:lang w:val="en-US"/>
        </w:rPr>
        <w:t xml:space="preserve"> diabetes. This finding was consistent with the report of Cadaval (2000) </w:t>
      </w:r>
      <w:r w:rsidRPr="00333D07">
        <w:rPr>
          <w:rFonts w:eastAsia="Calibri" w:cs="Arial"/>
          <w:lang w:val="en-US"/>
        </w:rPr>
        <w:fldChar w:fldCharType="begin"/>
      </w:r>
      <w:r w:rsidRPr="00333D07">
        <w:rPr>
          <w:rFonts w:eastAsia="Calibri" w:cs="Arial"/>
          <w:lang w:val="en-US"/>
        </w:rPr>
        <w:instrText xml:space="preserve"> ADDIN EN.CITE &lt;EndNote&gt;&lt;Cite&gt;&lt;Author&gt;Cadaval&lt;/Author&gt;&lt;Year&gt;2000&lt;/Year&gt;&lt;IDText&gt;Urinary excretion of glycosaminoglycans and albumin in experimental diabetes mellitus&lt;/IDText&gt;&lt;DisplayText&gt;(Cadaval et al., 2000)&lt;/DisplayText&gt;&lt;record&gt;&lt;isbn&gt;0959-6658&lt;/isbn&gt;&lt;titles&gt;&lt;title&gt;Urinary excretion of glycosaminoglycans and albumin in experimental diabetes mellitus&lt;/title&gt;&lt;secondary-title&gt;Glycobiology&lt;/secondary-title&gt;&lt;/titles&gt;&lt;pages&gt;185-192&lt;/pages&gt;&lt;number&gt;2&lt;/number&gt;&lt;contributors&gt;&lt;authors&gt;&lt;author&gt;Cadaval, Ricardo AM&lt;/author&gt;&lt;author&gt;Kohlman, Oswaldo&lt;/author&gt;&lt;author&gt;Michelacci, Yara M&lt;/author&gt;&lt;/authors&gt;&lt;/contributors&gt;&lt;added-date format="utc"&gt;1497777373&lt;/added-date&gt;&lt;ref-type name="Journal Article"&gt;17&lt;/ref-type&gt;&lt;dates&gt;&lt;year&gt;2000&lt;/year&gt;&lt;/dates&gt;&lt;rec-number&gt;1899&lt;/rec-number&gt;&lt;last-updated-date format="utc"&gt;1497777373&lt;/last-updated-date&gt;&lt;volume&gt;10&lt;/volume&gt;&lt;/record&gt;&lt;/Cite&gt;&lt;/EndNote&gt;</w:instrText>
      </w:r>
      <w:r w:rsidRPr="00333D07">
        <w:rPr>
          <w:rFonts w:eastAsia="Calibri" w:cs="Arial"/>
          <w:lang w:val="en-US"/>
        </w:rPr>
        <w:fldChar w:fldCharType="separate"/>
      </w:r>
      <w:r w:rsidRPr="00333D07">
        <w:rPr>
          <w:rFonts w:eastAsia="Calibri" w:cs="Arial"/>
          <w:noProof/>
          <w:lang w:val="en-US"/>
        </w:rPr>
        <w:t>(Cadaval et al., 2000)</w:t>
      </w:r>
      <w:r w:rsidRPr="00333D07">
        <w:rPr>
          <w:rFonts w:eastAsia="Calibri" w:cs="Arial"/>
          <w:lang w:val="en-US"/>
        </w:rPr>
        <w:fldChar w:fldCharType="end"/>
      </w:r>
      <w:r w:rsidRPr="00333D07">
        <w:rPr>
          <w:rFonts w:eastAsia="Calibri" w:cs="Arial"/>
          <w:lang w:val="en-US"/>
        </w:rPr>
        <w:t xml:space="preserve">. </w:t>
      </w:r>
      <w:r w:rsidRPr="00333D07">
        <w:rPr>
          <w:rFonts w:cs="Arial"/>
        </w:rPr>
        <w:t xml:space="preserve">Heparan sulphate can be found in virtually all the mammalian tissues including the kidneys where it is a major GAG </w:t>
      </w:r>
      <w:r w:rsidRPr="00333D07">
        <w:rPr>
          <w:rFonts w:cs="Arial"/>
        </w:rPr>
        <w:fldChar w:fldCharType="begin"/>
      </w:r>
      <w:r w:rsidRPr="00333D07">
        <w:rPr>
          <w:rFonts w:cs="Arial"/>
        </w:rPr>
        <w:instrText xml:space="preserve"> ADDIN EN.CITE &lt;EndNote&gt;&lt;Cite&gt;&lt;Author&gt;Pereira&lt;/Author&gt;&lt;Year&gt;2004&lt;/Year&gt;&lt;IDText&gt;Changes in cat urinary glycosaminoglycans with age and in feline urologic syndrome&lt;/IDText&gt;&lt;DisplayText&gt;(Pereira et al., 2004)&lt;/DisplayText&gt;&lt;record&gt;&lt;isbn&gt;0304-4165&lt;/isbn&gt;&lt;titles&gt;&lt;title&gt;Changes in cat urinary glycosaminoglycans with age and in feline urologic syndrome&lt;/title&gt;&lt;secondary-title&gt;Biochimica et Biophysica Acta (BBA)-General Subjects&lt;/secondary-title&gt;&lt;/titles&gt;&lt;pages&gt;1-11&lt;/pages&gt;&lt;number&gt;1&lt;/number&gt;&lt;contributors&gt;&lt;authors&gt;&lt;author&gt;Pereira, Daionety A&lt;/author&gt;&lt;author&gt;Aguiar, Jair AK&lt;/author&gt;&lt;author&gt;Hagiwara, Mitika K&lt;/author&gt;&lt;author&gt;Michelacci, Yara M&lt;/author&gt;&lt;/authors&gt;&lt;/contributors&gt;&lt;added-date format="utc"&gt;1497856784&lt;/added-date&gt;&lt;ref-type name="Journal Article"&gt;17&lt;/ref-type&gt;&lt;dates&gt;&lt;year&gt;2004&lt;/year&gt;&lt;/dates&gt;&lt;rec-number&gt;1901&lt;/rec-number&gt;&lt;last-updated-date format="utc"&gt;1497856784&lt;/last-updated-date&gt;&lt;volume&gt;1672&lt;/volume&gt;&lt;/record&gt;&lt;/Cite&gt;&lt;/EndNote&gt;</w:instrText>
      </w:r>
      <w:r w:rsidRPr="00333D07">
        <w:rPr>
          <w:rFonts w:cs="Arial"/>
        </w:rPr>
        <w:fldChar w:fldCharType="separate"/>
      </w:r>
      <w:r w:rsidRPr="00333D07">
        <w:rPr>
          <w:rFonts w:cs="Arial"/>
          <w:noProof/>
        </w:rPr>
        <w:t>(Pereira et al., 2004)</w:t>
      </w:r>
      <w:r w:rsidRPr="00333D07">
        <w:rPr>
          <w:rFonts w:cs="Arial"/>
        </w:rPr>
        <w:fldChar w:fldCharType="end"/>
      </w:r>
      <w:r w:rsidR="00747DFE">
        <w:rPr>
          <w:rFonts w:cs="Arial"/>
        </w:rPr>
        <w:t>. I</w:t>
      </w:r>
      <w:r w:rsidRPr="00333D07">
        <w:rPr>
          <w:rFonts w:cs="Arial"/>
        </w:rPr>
        <w:t xml:space="preserve">t has been reported that GAG and its metabolised products can be filtered by the kidney </w:t>
      </w:r>
      <w:r w:rsidRPr="00333D07">
        <w:rPr>
          <w:rFonts w:cs="Arial"/>
        </w:rPr>
        <w:fldChar w:fldCharType="begin"/>
      </w:r>
      <w:r w:rsidRPr="00333D07">
        <w:rPr>
          <w:rFonts w:cs="Arial"/>
        </w:rPr>
        <w:instrText xml:space="preserve"> ADDIN EN.CITE &lt;EndNote&gt;&lt;Cite&gt;&lt;Author&gt;Guimarães&lt;/Author&gt;&lt;Year&gt;1997&lt;/Year&gt;&lt;IDText&gt;Urinary excretion of sulfated polysaccharides administered to Wistar rats suggests a renal permselectivity to these polymers based on molecular size&lt;/IDText&gt;&lt;DisplayText&gt;(Guimarães and Mourão, 1997)&lt;/DisplayText&gt;&lt;record&gt;&lt;isbn&gt;0304-4165&lt;/isbn&gt;&lt;titles&gt;&lt;title&gt;Urinary excretion of sulfated polysaccharides administered to Wistar rats suggests a renal permselectivity to these polymers based on molecular size&lt;/title&gt;&lt;secondary-title&gt;Biochimica et Biophysica Acta (BBA)-General Subjects&lt;/secondary-title&gt;&lt;/titles&gt;&lt;pages&gt;161-172&lt;/pages&gt;&lt;number&gt;1&lt;/number&gt;&lt;contributors&gt;&lt;authors&gt;&lt;author&gt;Guimarães, Marco AM&lt;/author&gt;&lt;author&gt;Mourão, Paulo AS&lt;/author&gt;&lt;/authors&gt;&lt;/contributors&gt;&lt;added-date format="utc"&gt;1497857010&lt;/added-date&gt;&lt;ref-type name="Journal Article"&gt;17&lt;/ref-type&gt;&lt;dates&gt;&lt;year&gt;1997&lt;/year&gt;&lt;/dates&gt;&lt;rec-number&gt;1902&lt;/rec-number&gt;&lt;last-updated-date format="utc"&gt;1497857010&lt;/last-updated-date&gt;&lt;volume&gt;1335&lt;/volume&gt;&lt;/record&gt;&lt;/Cite&gt;&lt;/EndNote&gt;</w:instrText>
      </w:r>
      <w:r w:rsidRPr="00333D07">
        <w:rPr>
          <w:rFonts w:cs="Arial"/>
        </w:rPr>
        <w:fldChar w:fldCharType="separate"/>
      </w:r>
      <w:r w:rsidRPr="00333D07">
        <w:rPr>
          <w:rFonts w:cs="Arial"/>
          <w:noProof/>
        </w:rPr>
        <w:t>(Guimarães and Mourão, 1997)</w:t>
      </w:r>
      <w:r w:rsidRPr="00333D07">
        <w:rPr>
          <w:rFonts w:cs="Arial"/>
        </w:rPr>
        <w:fldChar w:fldCharType="end"/>
      </w:r>
      <w:r w:rsidRPr="00333D07">
        <w:rPr>
          <w:rFonts w:cs="Arial"/>
        </w:rPr>
        <w:t xml:space="preserve">. </w:t>
      </w:r>
      <w:r w:rsidRPr="00736B03">
        <w:rPr>
          <w:rFonts w:cs="Arial"/>
        </w:rPr>
        <w:t>Guimarães and Mourão went further to report that urinary excretion of sulphated polysaccharides was based on molec</w:t>
      </w:r>
      <w:r w:rsidR="005C312C" w:rsidRPr="00736B03">
        <w:rPr>
          <w:rFonts w:cs="Arial"/>
        </w:rPr>
        <w:t>ular size in normal rats, but</w:t>
      </w:r>
      <w:r w:rsidRPr="00736B03">
        <w:rPr>
          <w:rFonts w:cs="Arial"/>
        </w:rPr>
        <w:t xml:space="preserve"> what happens in the diabe</w:t>
      </w:r>
      <w:r w:rsidR="005C312C" w:rsidRPr="00736B03">
        <w:rPr>
          <w:rFonts w:cs="Arial"/>
        </w:rPr>
        <w:t>tic rat was not studied. O</w:t>
      </w:r>
      <w:r w:rsidRPr="00736B03">
        <w:rPr>
          <w:rFonts w:cs="Arial"/>
        </w:rPr>
        <w:t>ur diabetic rats excreted r</w:t>
      </w:r>
      <w:r w:rsidR="001B0AEB" w:rsidRPr="00736B03">
        <w:rPr>
          <w:rFonts w:cs="Arial"/>
        </w:rPr>
        <w:t>educed amount of GAG, t</w:t>
      </w:r>
      <w:r w:rsidRPr="00736B03">
        <w:rPr>
          <w:rFonts w:cs="Arial"/>
        </w:rPr>
        <w:t xml:space="preserve">his decrease in urinary GAG excretion in our rats could be due to decreased GAG level from the kidneys as reported </w:t>
      </w:r>
      <w:r w:rsidRPr="00736B03">
        <w:rPr>
          <w:rFonts w:cs="Arial"/>
        </w:rPr>
        <w:fldChar w:fldCharType="begin"/>
      </w:r>
      <w:r w:rsidRPr="00736B03">
        <w:rPr>
          <w:rFonts w:cs="Arial"/>
        </w:rPr>
        <w:instrText xml:space="preserve"> ADDIN EN.CITE &lt;EndNote&gt;&lt;Cite&gt;&lt;Author&gt;Cechowska-Pasko&lt;/Author&gt;&lt;Year&gt;1996&lt;/Year&gt;&lt;IDText&gt;Decrease in the glycosaminoglycan content in the skin of diabetic rats. The role of IGF-I, IGF-binding proteins and proteolytic activity&lt;/IDText&gt;&lt;DisplayText&gt;(Cechowska-Pasko et al., 1996)&lt;/DisplayText&gt;&lt;record&gt;&lt;isbn&gt;0300-8177&lt;/isbn&gt;&lt;titles&gt;&lt;title&gt;Decrease in the glycosaminoglycan content in the skin of diabetic rats. The role of IGF-I, IGF-binding proteins and proteolytic activity&lt;/title&gt;&lt;secondary-title&gt;Molecular and cellular biochemistry&lt;/secondary-title&gt;&lt;/titles&gt;&lt;pages&gt;1-8&lt;/pages&gt;&lt;number&gt;1&lt;/number&gt;&lt;contributors&gt;&lt;authors&gt;&lt;author&gt;Cechowska-Pasko, Marzanna&lt;/author&gt;&lt;author&gt;Pałka, Jerzy&lt;/author&gt;&lt;author&gt;Bańkowski, Edward&lt;/author&gt;&lt;/authors&gt;&lt;/contributors&gt;&lt;added-date format="utc"&gt;1497854772&lt;/added-date&gt;&lt;ref-type name="Journal Article"&gt;17&lt;/ref-type&gt;&lt;dates&gt;&lt;year&gt;1996&lt;/year&gt;&lt;/dates&gt;&lt;rec-number&gt;1900&lt;/rec-number&gt;&lt;last-updated-date format="utc"&gt;1497854772&lt;/last-updated-date&gt;&lt;volume&gt;154&lt;/volume&gt;&lt;/record&gt;&lt;/Cite&gt;&lt;/EndNote&gt;</w:instrText>
      </w:r>
      <w:r w:rsidRPr="00736B03">
        <w:rPr>
          <w:rFonts w:cs="Arial"/>
        </w:rPr>
        <w:fldChar w:fldCharType="separate"/>
      </w:r>
      <w:r w:rsidRPr="00736B03">
        <w:rPr>
          <w:rFonts w:cs="Arial"/>
          <w:noProof/>
        </w:rPr>
        <w:t>(Cechowska-Pasko et al., 1996)</w:t>
      </w:r>
      <w:r w:rsidRPr="00736B03">
        <w:rPr>
          <w:rFonts w:cs="Arial"/>
        </w:rPr>
        <w:fldChar w:fldCharType="end"/>
      </w:r>
      <w:r w:rsidRPr="00736B03">
        <w:rPr>
          <w:rFonts w:cs="Arial"/>
        </w:rPr>
        <w:t xml:space="preserve">. </w:t>
      </w:r>
      <w:r w:rsidR="001B0AEB" w:rsidRPr="00736B03">
        <w:rPr>
          <w:rFonts w:cs="Arial"/>
        </w:rPr>
        <w:t>However GAG can be found in virtually all the mammalian</w:t>
      </w:r>
      <w:r w:rsidR="00B15866" w:rsidRPr="00736B03">
        <w:rPr>
          <w:rFonts w:cs="Arial"/>
        </w:rPr>
        <w:t xml:space="preserve"> tissues therefore the second explanation is that the effect of hyperglycaemia is multi-systemic in mammals and therefore the reduced GAG secretion was multi-systemic. </w:t>
      </w:r>
      <w:r w:rsidRPr="00736B03">
        <w:rPr>
          <w:rFonts w:cs="Arial"/>
        </w:rPr>
        <w:t>Reduced turnover of ECM components</w:t>
      </w:r>
      <w:r w:rsidR="00F739B5" w:rsidRPr="00736B03">
        <w:rPr>
          <w:rFonts w:cs="Arial"/>
        </w:rPr>
        <w:t xml:space="preserve"> may have resulted in</w:t>
      </w:r>
      <w:r w:rsidRPr="00736B03">
        <w:rPr>
          <w:rFonts w:cs="Arial"/>
        </w:rPr>
        <w:t xml:space="preserve"> less appearing </w:t>
      </w:r>
      <w:r w:rsidRPr="00333D07">
        <w:rPr>
          <w:rFonts w:cs="Arial"/>
        </w:rPr>
        <w:t xml:space="preserve">in the urine. This reduced turnover leads </w:t>
      </w:r>
      <w:r w:rsidR="00B15866">
        <w:rPr>
          <w:rFonts w:cs="Arial"/>
        </w:rPr>
        <w:t>to build up of ECM and fibrosis</w:t>
      </w:r>
      <w:r w:rsidRPr="00333D07">
        <w:rPr>
          <w:rFonts w:cs="Arial"/>
        </w:rPr>
        <w:t>. The prophylaxis group did not demonstrate this reduction in G</w:t>
      </w:r>
      <w:r w:rsidR="00F739B5">
        <w:rPr>
          <w:rFonts w:cs="Arial"/>
        </w:rPr>
        <w:t>A</w:t>
      </w:r>
      <w:r w:rsidRPr="00333D07">
        <w:rPr>
          <w:rFonts w:cs="Arial"/>
        </w:rPr>
        <w:t xml:space="preserve">G excretion. </w:t>
      </w:r>
    </w:p>
    <w:p w:rsidR="00333D07" w:rsidRPr="00736B03" w:rsidRDefault="00333D07" w:rsidP="0012466F">
      <w:pPr>
        <w:ind w:left="1440"/>
        <w:jc w:val="left"/>
        <w:rPr>
          <w:rFonts w:eastAsia="Calibri" w:cs="Arial"/>
          <w:lang w:val="en-US"/>
        </w:rPr>
      </w:pPr>
      <w:r w:rsidRPr="00736B03">
        <w:rPr>
          <w:rFonts w:eastAsia="Calibri" w:cs="Arial"/>
          <w:lang w:val="en-US"/>
        </w:rPr>
        <w:lastRenderedPageBreak/>
        <w:t xml:space="preserve">This </w:t>
      </w:r>
      <w:r w:rsidR="005C312C" w:rsidRPr="00736B03">
        <w:rPr>
          <w:rFonts w:eastAsia="Calibri" w:cs="Arial"/>
          <w:lang w:val="en-US"/>
        </w:rPr>
        <w:t xml:space="preserve">sharp </w:t>
      </w:r>
      <w:r w:rsidRPr="00736B03">
        <w:rPr>
          <w:rFonts w:eastAsia="Calibri" w:cs="Arial"/>
          <w:lang w:val="en-US"/>
        </w:rPr>
        <w:t>reduction in urinary GAG from baseline was sustained until the end of the study in both the diseased and treatment group while at the end of the study the prophylaxis group was still able to maintain its urinary GAG baseline, which suggests to us two things:</w:t>
      </w:r>
    </w:p>
    <w:p w:rsidR="00333D07" w:rsidRPr="00736B03" w:rsidRDefault="00333D07" w:rsidP="00B702A5">
      <w:pPr>
        <w:numPr>
          <w:ilvl w:val="0"/>
          <w:numId w:val="24"/>
        </w:numPr>
        <w:contextualSpacing/>
        <w:jc w:val="left"/>
        <w:rPr>
          <w:rFonts w:eastAsia="Calibri" w:cs="Arial"/>
          <w:lang w:val="x-none" w:eastAsia="x-none"/>
        </w:rPr>
      </w:pPr>
      <w:r w:rsidRPr="00736B03">
        <w:rPr>
          <w:rFonts w:eastAsia="Calibri" w:cs="Arial"/>
          <w:lang w:val="x-none" w:eastAsia="x-none"/>
        </w:rPr>
        <w:t xml:space="preserve">The early and sharp decrease in urinary GAGs could be an early </w:t>
      </w:r>
      <w:r w:rsidR="00B15866" w:rsidRPr="00736B03">
        <w:rPr>
          <w:rFonts w:eastAsia="Calibri" w:cs="Arial"/>
          <w:lang w:eastAsia="x-none"/>
        </w:rPr>
        <w:t xml:space="preserve">non-invasive </w:t>
      </w:r>
      <w:r w:rsidRPr="00736B03">
        <w:rPr>
          <w:rFonts w:eastAsia="Calibri" w:cs="Arial"/>
          <w:lang w:val="x-none" w:eastAsia="x-none"/>
        </w:rPr>
        <w:t>ma</w:t>
      </w:r>
      <w:r w:rsidR="001E61BD" w:rsidRPr="00736B03">
        <w:rPr>
          <w:rFonts w:eastAsia="Calibri" w:cs="Arial"/>
          <w:lang w:eastAsia="x-none"/>
        </w:rPr>
        <w:t>r</w:t>
      </w:r>
      <w:r w:rsidRPr="00736B03">
        <w:rPr>
          <w:rFonts w:eastAsia="Calibri" w:cs="Arial"/>
          <w:lang w:val="x-none" w:eastAsia="x-none"/>
        </w:rPr>
        <w:t xml:space="preserve">ker </w:t>
      </w:r>
      <w:r w:rsidR="00B15866" w:rsidRPr="00736B03">
        <w:rPr>
          <w:rFonts w:eastAsia="Calibri" w:cs="Arial"/>
          <w:lang w:eastAsia="x-none"/>
        </w:rPr>
        <w:t>for detection of diabetes</w:t>
      </w:r>
      <w:r w:rsidRPr="00736B03">
        <w:rPr>
          <w:rFonts w:eastAsia="Calibri" w:cs="Arial"/>
          <w:lang w:val="x-none" w:eastAsia="x-none"/>
        </w:rPr>
        <w:t>.</w:t>
      </w:r>
    </w:p>
    <w:p w:rsidR="004B5B2B" w:rsidRPr="00736B03" w:rsidRDefault="004B5B2B" w:rsidP="004B5B2B">
      <w:pPr>
        <w:numPr>
          <w:ilvl w:val="0"/>
          <w:numId w:val="24"/>
        </w:numPr>
        <w:contextualSpacing/>
        <w:jc w:val="left"/>
        <w:rPr>
          <w:rFonts w:eastAsia="Calibri" w:cs="Arial"/>
          <w:lang w:val="x-none" w:eastAsia="x-none"/>
        </w:rPr>
      </w:pPr>
      <w:r w:rsidRPr="00736B03">
        <w:rPr>
          <w:rFonts w:eastAsia="Calibri" w:cs="Arial"/>
          <w:lang w:val="x-none" w:eastAsia="x-none"/>
        </w:rPr>
        <w:t xml:space="preserve">The early and sharp decrease in urinary GAGs </w:t>
      </w:r>
      <w:r w:rsidR="00B15866" w:rsidRPr="00736B03">
        <w:rPr>
          <w:rFonts w:eastAsia="Calibri" w:cs="Arial"/>
          <w:lang w:eastAsia="x-none"/>
        </w:rPr>
        <w:t xml:space="preserve">excretion, </w:t>
      </w:r>
      <w:r w:rsidR="00CE1B5A" w:rsidRPr="00736B03">
        <w:rPr>
          <w:rFonts w:eastAsia="Calibri" w:cs="Arial"/>
          <w:lang w:eastAsia="x-none"/>
        </w:rPr>
        <w:t xml:space="preserve">can be used </w:t>
      </w:r>
      <w:r w:rsidR="00B15866" w:rsidRPr="00736B03">
        <w:rPr>
          <w:rFonts w:eastAsia="Calibri" w:cs="Arial"/>
          <w:lang w:eastAsia="x-none"/>
        </w:rPr>
        <w:t xml:space="preserve">with other </w:t>
      </w:r>
      <w:r w:rsidR="00F57A79" w:rsidRPr="00736B03">
        <w:rPr>
          <w:rFonts w:eastAsia="Calibri" w:cs="Arial"/>
          <w:lang w:eastAsia="x-none"/>
        </w:rPr>
        <w:t>renal</w:t>
      </w:r>
      <w:r w:rsidR="0093128E" w:rsidRPr="00736B03">
        <w:rPr>
          <w:rFonts w:eastAsia="Calibri" w:cs="Arial"/>
          <w:lang w:eastAsia="x-none"/>
        </w:rPr>
        <w:t xml:space="preserve"> function test in early diagnosis </w:t>
      </w:r>
      <w:r w:rsidRPr="00736B03">
        <w:rPr>
          <w:rFonts w:eastAsia="Calibri" w:cs="Arial"/>
          <w:lang w:val="x-none" w:eastAsia="x-none"/>
        </w:rPr>
        <w:t>of kidney disease.</w:t>
      </w:r>
    </w:p>
    <w:p w:rsidR="00333D07" w:rsidRPr="00736B03" w:rsidRDefault="00333D07" w:rsidP="00B702A5">
      <w:pPr>
        <w:numPr>
          <w:ilvl w:val="0"/>
          <w:numId w:val="24"/>
        </w:numPr>
        <w:contextualSpacing/>
        <w:jc w:val="left"/>
        <w:rPr>
          <w:rFonts w:eastAsia="Calibri" w:cs="Arial"/>
          <w:lang w:val="x-none" w:eastAsia="x-none"/>
        </w:rPr>
      </w:pPr>
      <w:r w:rsidRPr="00736B03">
        <w:rPr>
          <w:rFonts w:eastAsia="Calibri" w:cs="Arial"/>
          <w:lang w:eastAsia="x-none"/>
        </w:rPr>
        <w:t>UK-396082 may have contributed to the renal protection seen in the prophylaxis group</w:t>
      </w:r>
      <w:r w:rsidRPr="00736B03">
        <w:rPr>
          <w:rFonts w:eastAsia="Calibri" w:cs="Arial"/>
          <w:lang w:val="x-none" w:eastAsia="x-none"/>
        </w:rPr>
        <w:t>.</w:t>
      </w:r>
    </w:p>
    <w:p w:rsidR="00F331D9" w:rsidRDefault="00F331D9" w:rsidP="00EB3FF2">
      <w:pPr>
        <w:ind w:left="1440"/>
        <w:contextualSpacing/>
        <w:jc w:val="left"/>
        <w:rPr>
          <w:rFonts w:eastAsia="Calibri" w:cs="Arial"/>
          <w:lang w:eastAsia="x-none"/>
        </w:rPr>
      </w:pPr>
    </w:p>
    <w:p w:rsidR="00EB3FF2" w:rsidRPr="00EB3FF2" w:rsidRDefault="00F331D9" w:rsidP="00EB3FF2">
      <w:pPr>
        <w:ind w:left="1440"/>
        <w:contextualSpacing/>
        <w:jc w:val="left"/>
        <w:rPr>
          <w:rFonts w:eastAsia="Calibri" w:cs="Arial"/>
          <w:lang w:eastAsia="x-none"/>
        </w:rPr>
      </w:pPr>
      <w:r>
        <w:rPr>
          <w:rFonts w:eastAsia="Calibri" w:cs="Arial"/>
          <w:lang w:eastAsia="x-none"/>
        </w:rPr>
        <w:t>Another inspiring discovery in our GAG section was that t</w:t>
      </w:r>
      <w:r w:rsidR="00E17FAB">
        <w:rPr>
          <w:rFonts w:eastAsia="Calibri" w:cs="Arial"/>
          <w:lang w:eastAsia="x-none"/>
        </w:rPr>
        <w:t xml:space="preserve">he administration of UK-396082 </w:t>
      </w:r>
      <w:r w:rsidR="00DA0C28">
        <w:rPr>
          <w:rFonts w:eastAsia="Calibri" w:cs="Arial"/>
          <w:lang w:eastAsia="x-none"/>
        </w:rPr>
        <w:t xml:space="preserve">in </w:t>
      </w:r>
      <w:r w:rsidR="00E17FAB">
        <w:rPr>
          <w:rFonts w:eastAsia="Calibri" w:cs="Arial"/>
          <w:lang w:eastAsia="x-none"/>
        </w:rPr>
        <w:t>healthy rats increased the amount o</w:t>
      </w:r>
      <w:r>
        <w:rPr>
          <w:rFonts w:eastAsia="Calibri" w:cs="Arial"/>
          <w:lang w:eastAsia="x-none"/>
        </w:rPr>
        <w:t>f GAGs excreted when compared with</w:t>
      </w:r>
      <w:r w:rsidR="00E17FAB">
        <w:rPr>
          <w:rFonts w:eastAsia="Calibri" w:cs="Arial"/>
          <w:lang w:eastAsia="x-none"/>
        </w:rPr>
        <w:t xml:space="preserve"> healthy rats on normal diet. Fig</w:t>
      </w:r>
      <w:r w:rsidR="006F269C">
        <w:rPr>
          <w:rFonts w:eastAsia="Calibri" w:cs="Arial"/>
          <w:lang w:eastAsia="x-none"/>
        </w:rPr>
        <w:t xml:space="preserve"> 3.14</w:t>
      </w:r>
      <w:r w:rsidR="00DA0C28">
        <w:rPr>
          <w:rFonts w:eastAsia="Calibri" w:cs="Arial"/>
          <w:lang w:eastAsia="x-none"/>
        </w:rPr>
        <w:t>. This increase in GAG excretion</w:t>
      </w:r>
      <w:r>
        <w:rPr>
          <w:rFonts w:eastAsia="Calibri" w:cs="Arial"/>
          <w:lang w:eastAsia="x-none"/>
        </w:rPr>
        <w:t xml:space="preserve"> above normal as seen in the healthy group is an evidence that plasmin might be involved in the physiological turnover of GAGs resulting to renal protection against fibrosis,</w:t>
      </w:r>
      <w:r w:rsidR="00DA0C28">
        <w:rPr>
          <w:rFonts w:eastAsia="Calibri" w:cs="Arial"/>
          <w:lang w:eastAsia="x-none"/>
        </w:rPr>
        <w:t xml:space="preserve"> because the amount of GAG excreted by the prophylaxis group at the end of the study </w:t>
      </w:r>
      <w:r>
        <w:rPr>
          <w:rFonts w:eastAsia="Calibri" w:cs="Arial"/>
          <w:lang w:eastAsia="x-none"/>
        </w:rPr>
        <w:t xml:space="preserve">and that of </w:t>
      </w:r>
      <w:r w:rsidR="00DA0C28">
        <w:rPr>
          <w:rFonts w:eastAsia="Calibri" w:cs="Arial"/>
          <w:lang w:eastAsia="x-none"/>
        </w:rPr>
        <w:t>healthy rats were similar Fig 3.14 and Fig 3.15.</w:t>
      </w:r>
      <w:r w:rsidR="00EB3FF2">
        <w:rPr>
          <w:rFonts w:eastAsia="Calibri" w:cs="Arial"/>
          <w:lang w:eastAsia="x-none"/>
        </w:rPr>
        <w:t xml:space="preserve"> </w:t>
      </w:r>
    </w:p>
    <w:p w:rsidR="00333D07" w:rsidRPr="00736B03" w:rsidRDefault="00333D07" w:rsidP="0012466F">
      <w:pPr>
        <w:spacing w:after="160"/>
        <w:ind w:left="1440"/>
        <w:jc w:val="left"/>
        <w:rPr>
          <w:rFonts w:cs="Arial"/>
        </w:rPr>
      </w:pPr>
      <w:r w:rsidRPr="00333D07">
        <w:rPr>
          <w:rFonts w:cs="Arial"/>
        </w:rPr>
        <w:t xml:space="preserve">An overall view of all the above is indicative of physiological and </w:t>
      </w:r>
      <w:r w:rsidRPr="00736B03">
        <w:rPr>
          <w:rFonts w:cs="Arial"/>
        </w:rPr>
        <w:t>biochemical changes in diabetes which may lead to diabetic nephropathy</w:t>
      </w:r>
      <w:r w:rsidR="00F739B5" w:rsidRPr="00736B03">
        <w:rPr>
          <w:rFonts w:cs="Arial"/>
        </w:rPr>
        <w:t>.</w:t>
      </w:r>
      <w:r w:rsidR="0082434C" w:rsidRPr="00736B03">
        <w:rPr>
          <w:rFonts w:cs="Arial"/>
        </w:rPr>
        <w:t xml:space="preserve"> </w:t>
      </w:r>
      <w:r w:rsidR="00DB5AED" w:rsidRPr="00736B03">
        <w:rPr>
          <w:rFonts w:cs="Arial"/>
        </w:rPr>
        <w:t>U</w:t>
      </w:r>
      <w:r w:rsidR="0082434C" w:rsidRPr="00736B03">
        <w:rPr>
          <w:rFonts w:cs="Arial"/>
        </w:rPr>
        <w:t xml:space="preserve">rinary GAG </w:t>
      </w:r>
      <w:r w:rsidR="00DB5AED" w:rsidRPr="00736B03">
        <w:rPr>
          <w:rFonts w:cs="Arial"/>
        </w:rPr>
        <w:t xml:space="preserve">excretion </w:t>
      </w:r>
      <w:r w:rsidR="0082434C" w:rsidRPr="00736B03">
        <w:rPr>
          <w:rFonts w:cs="Arial"/>
        </w:rPr>
        <w:t xml:space="preserve">can be used to monitor these physiological and biochemical changes </w:t>
      </w:r>
      <w:r w:rsidR="00DB5AED" w:rsidRPr="00736B03">
        <w:rPr>
          <w:rFonts w:cs="Arial"/>
        </w:rPr>
        <w:t xml:space="preserve">that occur in diabetics and therefore </w:t>
      </w:r>
      <w:r w:rsidR="003273A5" w:rsidRPr="00736B03">
        <w:rPr>
          <w:rFonts w:cs="Arial"/>
        </w:rPr>
        <w:t xml:space="preserve">result into early medical intervention especially </w:t>
      </w:r>
      <w:r w:rsidR="0082434C" w:rsidRPr="00736B03">
        <w:rPr>
          <w:rFonts w:cs="Arial"/>
        </w:rPr>
        <w:t xml:space="preserve">in diabetic patients </w:t>
      </w:r>
      <w:r w:rsidR="003273A5" w:rsidRPr="00736B03">
        <w:rPr>
          <w:rFonts w:cs="Arial"/>
        </w:rPr>
        <w:t xml:space="preserve">who present late or present with established diabetic neuropathy. </w:t>
      </w:r>
      <w:r w:rsidR="00F739B5" w:rsidRPr="00736B03">
        <w:rPr>
          <w:rFonts w:cs="Arial"/>
        </w:rPr>
        <w:t>T</w:t>
      </w:r>
      <w:r w:rsidRPr="00736B03">
        <w:rPr>
          <w:rFonts w:cs="Arial"/>
        </w:rPr>
        <w:t xml:space="preserve">herefore the measurement of urinary GAG alongside other biomarkers may be a </w:t>
      </w:r>
      <w:r w:rsidR="0012466F" w:rsidRPr="00736B03">
        <w:rPr>
          <w:rFonts w:cs="Arial"/>
        </w:rPr>
        <w:t>valuable early and non-invasive</w:t>
      </w:r>
      <w:r w:rsidRPr="00736B03">
        <w:rPr>
          <w:rFonts w:cs="Arial"/>
        </w:rPr>
        <w:t xml:space="preserve"> tool in the diagnosis and management of </w:t>
      </w:r>
      <w:r w:rsidR="00E171AC" w:rsidRPr="00736B03">
        <w:rPr>
          <w:rFonts w:cs="Arial"/>
        </w:rPr>
        <w:t xml:space="preserve">both diabetes and </w:t>
      </w:r>
      <w:r w:rsidRPr="00736B03">
        <w:rPr>
          <w:rFonts w:cs="Arial"/>
        </w:rPr>
        <w:t xml:space="preserve">diabetic nephropathy.  </w:t>
      </w:r>
    </w:p>
    <w:p w:rsidR="00782BA2" w:rsidRDefault="00333D07" w:rsidP="0012466F">
      <w:pPr>
        <w:ind w:left="1440"/>
        <w:jc w:val="left"/>
        <w:rPr>
          <w:rFonts w:cs="Arial"/>
        </w:rPr>
      </w:pPr>
      <w:r w:rsidRPr="00736B03">
        <w:rPr>
          <w:rFonts w:cs="Arial"/>
        </w:rPr>
        <w:t xml:space="preserve">Our findings of increased urinary protein and urinary </w:t>
      </w:r>
      <w:r w:rsidRPr="00333D07">
        <w:rPr>
          <w:rFonts w:cs="Arial"/>
        </w:rPr>
        <w:t xml:space="preserve">albumin excretion in diabetic rats from the second month post induction of diabetes, </w:t>
      </w:r>
      <w:r w:rsidR="00F739B5">
        <w:rPr>
          <w:rFonts w:cs="Arial"/>
        </w:rPr>
        <w:t xml:space="preserve">is </w:t>
      </w:r>
      <w:r w:rsidR="00F739B5">
        <w:rPr>
          <w:rFonts w:cs="Arial"/>
        </w:rPr>
        <w:lastRenderedPageBreak/>
        <w:t xml:space="preserve">well known </w:t>
      </w:r>
      <w:r w:rsidRPr="00333D07">
        <w:rPr>
          <w:rFonts w:cs="Arial"/>
        </w:rPr>
        <w:t xml:space="preserve"> </w:t>
      </w:r>
      <w:r w:rsidRPr="00333D07">
        <w:rPr>
          <w:rFonts w:cs="Arial"/>
        </w:rPr>
        <w:fldChar w:fldCharType="begin"/>
      </w:r>
      <w:r w:rsidRPr="00333D07">
        <w:rPr>
          <w:rFonts w:cs="Arial"/>
        </w:rPr>
        <w:instrText xml:space="preserve"> ADDIN EN.CITE &lt;EndNote&gt;&lt;Cite&gt;&lt;Author&gt;Mauer&lt;/Author&gt;&lt;Year&gt;1978&lt;/Year&gt;&lt;IDText&gt;Effects of pancreatic islet transplantation on the increased urinary albumin excretion rates in intact and uninephrectomized rats with diabetes mellitus&lt;/IDText&gt;&lt;DisplayText&gt;(Mauer et al., 1978)&lt;/DisplayText&gt;&lt;record&gt;&lt;isbn&gt;0012-1797&lt;/isbn&gt;&lt;titles&gt;&lt;title&gt;Effects of pancreatic islet transplantation on the increased urinary albumin excretion rates in intact and uninephrectomized rats with diabetes mellitus&lt;/title&gt;&lt;secondary-title&gt;Diabetes&lt;/secondary-title&gt;&lt;/titles&gt;&lt;pages&gt;959-964&lt;/pages&gt;&lt;number&gt;9&lt;/number&gt;&lt;contributors&gt;&lt;authors&gt;&lt;author&gt;Mauer, S Michael&lt;/author&gt;&lt;author&gt;Brown, David M&lt;/author&gt;&lt;author&gt;Matas, Arthur J&lt;/author&gt;&lt;author&gt;Steffes, Michael W&lt;/author&gt;&lt;/authors&gt;&lt;/contributors&gt;&lt;added-date format="utc"&gt;1497858542&lt;/added-date&gt;&lt;ref-type name="Journal Article"&gt;17&lt;/ref-type&gt;&lt;dates&gt;&lt;year&gt;1978&lt;/year&gt;&lt;/dates&gt;&lt;rec-number&gt;1903&lt;/rec-number&gt;&lt;last-updated-date format="utc"&gt;1497858542&lt;/last-updated-date&gt;&lt;volume&gt;27&lt;/volume&gt;&lt;/record&gt;&lt;/Cite&gt;&lt;/EndNote&gt;</w:instrText>
      </w:r>
      <w:r w:rsidRPr="00333D07">
        <w:rPr>
          <w:rFonts w:cs="Arial"/>
        </w:rPr>
        <w:fldChar w:fldCharType="separate"/>
      </w:r>
      <w:r w:rsidRPr="00333D07">
        <w:rPr>
          <w:rFonts w:cs="Arial"/>
          <w:noProof/>
        </w:rPr>
        <w:t>(Mauer et al., 1978)</w:t>
      </w:r>
      <w:r w:rsidRPr="00333D07">
        <w:rPr>
          <w:rFonts w:cs="Arial"/>
        </w:rPr>
        <w:fldChar w:fldCharType="end"/>
      </w:r>
      <w:r w:rsidRPr="00333D07">
        <w:rPr>
          <w:rFonts w:cs="Arial"/>
        </w:rPr>
        <w:t>. This was probably due to cellular dysfunct</w:t>
      </w:r>
      <w:r w:rsidR="008C5496">
        <w:rPr>
          <w:rFonts w:cs="Arial"/>
        </w:rPr>
        <w:t>ion and vascular hyperperme</w:t>
      </w:r>
      <w:r w:rsidRPr="00333D07">
        <w:rPr>
          <w:rFonts w:cs="Arial"/>
        </w:rPr>
        <w:t xml:space="preserve">ability </w:t>
      </w:r>
      <w:r w:rsidRPr="00333D07">
        <w:rPr>
          <w:rFonts w:cs="Arial"/>
        </w:rPr>
        <w:fldChar w:fldCharType="begin"/>
      </w:r>
      <w:r w:rsidRPr="00333D07">
        <w:rPr>
          <w:rFonts w:cs="Arial"/>
        </w:rPr>
        <w:instrText xml:space="preserve"> ADDIN EN.CITE &lt;EndNote&gt;&lt;Cite&gt;&lt;Author&gt;Wautier&lt;/Author&gt;&lt;Year&gt;1996&lt;/Year&gt;&lt;IDText&gt;Receptor-mediated endothelial cell dysfunction in diabetic vasculopathy. Soluble receptor for advanced glycation end products blocks hyperpermeability in diabetic rats&lt;/IDText&gt;&lt;DisplayText&gt;(Wautier et al., 1996)&lt;/DisplayText&gt;&lt;record&gt;&lt;titles&gt;&lt;title&gt;Receptor-mediated endothelial cell dysfunction in diabetic vasculopathy. Soluble receptor for advanced glycation end products blocks hyperpermeability in diabetic rats&lt;/title&gt;&lt;secondary-title&gt;Journal of Clinical Investigation&lt;/secondary-title&gt;&lt;/titles&gt;&lt;pages&gt;238&lt;/pages&gt;&lt;number&gt;1&lt;/number&gt;&lt;contributors&gt;&lt;authors&gt;&lt;author&gt;Wautier, Jean-Luc&lt;/author&gt;&lt;author&gt;Zoukourian, Clotilde&lt;/author&gt;&lt;author&gt;Chappey, Olivier&lt;/author&gt;&lt;author&gt;Wautier, Marie-Paule&lt;/author&gt;&lt;author&gt;Guillausseau, Pierre-Jean&lt;/author&gt;&lt;author&gt;Cao, Rong&lt;/author&gt;&lt;author&gt;Hori, Osamu&lt;/author&gt;&lt;author&gt;Stern, David&lt;/author&gt;&lt;author&gt;Schmidt, Ann Marie&lt;/author&gt;&lt;/authors&gt;&lt;/contributors&gt;&lt;added-date format="utc"&gt;1497859089&lt;/added-date&gt;&lt;ref-type name="Journal Article"&gt;17&lt;/ref-type&gt;&lt;dates&gt;&lt;year&gt;1996&lt;/year&gt;&lt;/dates&gt;&lt;rec-number&gt;1904&lt;/rec-number&gt;&lt;last-updated-date format="utc"&gt;1497859089&lt;/last-updated-date&gt;&lt;volume&gt;97&lt;/volume&gt;&lt;/record&gt;&lt;/Cite&gt;&lt;/EndNote&gt;</w:instrText>
      </w:r>
      <w:r w:rsidRPr="00333D07">
        <w:rPr>
          <w:rFonts w:cs="Arial"/>
        </w:rPr>
        <w:fldChar w:fldCharType="separate"/>
      </w:r>
      <w:r w:rsidRPr="00333D07">
        <w:rPr>
          <w:rFonts w:cs="Arial"/>
          <w:noProof/>
        </w:rPr>
        <w:t>(Wautier et al., 1996)</w:t>
      </w:r>
      <w:r w:rsidRPr="00333D07">
        <w:rPr>
          <w:rFonts w:cs="Arial"/>
        </w:rPr>
        <w:fldChar w:fldCharType="end"/>
      </w:r>
      <w:r w:rsidRPr="00333D07">
        <w:rPr>
          <w:rFonts w:cs="Arial"/>
        </w:rPr>
        <w:t>. Comparing the results of the level of GAGs in the urine with that of albumin and protein interestingly showed a reciprocal relations</w:t>
      </w:r>
      <w:r w:rsidR="00F739B5">
        <w:rPr>
          <w:rFonts w:cs="Arial"/>
        </w:rPr>
        <w:t>hip. This</w:t>
      </w:r>
      <w:r w:rsidRPr="00333D07">
        <w:rPr>
          <w:rFonts w:cs="Arial"/>
        </w:rPr>
        <w:t xml:space="preserve"> finding </w:t>
      </w:r>
      <w:r w:rsidR="00F739B5">
        <w:rPr>
          <w:rFonts w:cs="Arial"/>
        </w:rPr>
        <w:t xml:space="preserve">has been noted previously </w:t>
      </w:r>
      <w:r w:rsidRPr="00333D07">
        <w:rPr>
          <w:rFonts w:cs="Arial"/>
        </w:rPr>
        <w:fldChar w:fldCharType="begin"/>
      </w:r>
      <w:r w:rsidRPr="00333D07">
        <w:rPr>
          <w:rFonts w:cs="Arial"/>
        </w:rPr>
        <w:instrText xml:space="preserve"> ADDIN EN.CITE &lt;EndNote&gt;&lt;Cite&gt;&lt;Author&gt;Michels&lt;/Author&gt;&lt;Year&gt;1982&lt;/Year&gt;&lt;IDText&gt;Glomerular permeability to neutral and anionic dextrans in experimental diabetes&lt;/IDText&gt;&lt;DisplayText&gt;(Michels et al., 1982)&lt;/DisplayText&gt;&lt;record&gt;&lt;isbn&gt;0085-2538&lt;/isbn&gt;&lt;titles&gt;&lt;title&gt;Glomerular permeability to neutral and anionic dextrans in experimental diabetes&lt;/title&gt;&lt;secondary-title&gt;Kidney international&lt;/secondary-title&gt;&lt;/titles&gt;&lt;pages&gt;699-705&lt;/pages&gt;&lt;number&gt;5&lt;/number&gt;&lt;contributors&gt;&lt;authors&gt;&lt;author&gt;Michels, Lester D&lt;/author&gt;&lt;author&gt;Davidman, Morris&lt;/author&gt;&lt;author&gt;Keane, William F&lt;/author&gt;&lt;/authors&gt;&lt;/contributors&gt;&lt;added-date format="utc"&gt;1497860295&lt;/added-date&gt;&lt;ref-type name="Journal Article"&gt;17&lt;/ref-type&gt;&lt;dates&gt;&lt;year&gt;1982&lt;/year&gt;&lt;/dates&gt;&lt;rec-number&gt;1905&lt;/rec-number&gt;&lt;last-updated-date format="utc"&gt;1497860295&lt;/last-updated-date&gt;&lt;volume&gt;21&lt;/volume&gt;&lt;/record&gt;&lt;/Cite&gt;&lt;/EndNote&gt;</w:instrText>
      </w:r>
      <w:r w:rsidRPr="00333D07">
        <w:rPr>
          <w:rFonts w:cs="Arial"/>
        </w:rPr>
        <w:fldChar w:fldCharType="separate"/>
      </w:r>
      <w:r w:rsidRPr="00333D07">
        <w:rPr>
          <w:rFonts w:cs="Arial"/>
          <w:noProof/>
        </w:rPr>
        <w:t>(Michels et al., 1982)</w:t>
      </w:r>
      <w:r w:rsidRPr="00333D07">
        <w:rPr>
          <w:rFonts w:cs="Arial"/>
        </w:rPr>
        <w:fldChar w:fldCharType="end"/>
      </w:r>
      <w:r w:rsidRPr="00333D07">
        <w:rPr>
          <w:rFonts w:cs="Arial"/>
        </w:rPr>
        <w:t xml:space="preserve">. A possible explanation for this may be the existence of more than one mechanism within the renal system in the excretion of macromolecules. </w:t>
      </w:r>
      <w:r w:rsidR="00F739B5">
        <w:rPr>
          <w:rFonts w:cs="Arial"/>
        </w:rPr>
        <w:t>The reduction of urinary GAGs may be due to the reduction in breakdown of the kidney basement membrane</w:t>
      </w:r>
      <w:r w:rsidR="00782BA2">
        <w:rPr>
          <w:rFonts w:cs="Arial"/>
        </w:rPr>
        <w:t xml:space="preserve"> which leads to fibrosis. This is well known to lead to loss of function of the basement membrane allowing the appearance of proteins and blood in the urine</w:t>
      </w:r>
      <w:r w:rsidRPr="00333D07">
        <w:rPr>
          <w:rFonts w:cs="Arial"/>
        </w:rPr>
        <w:t>.</w:t>
      </w:r>
    </w:p>
    <w:p w:rsidR="00333D07" w:rsidRPr="00333D07" w:rsidRDefault="00782BA2" w:rsidP="00E019BF">
      <w:pPr>
        <w:ind w:left="1440"/>
        <w:jc w:val="left"/>
        <w:rPr>
          <w:rFonts w:cs="Arial"/>
        </w:rPr>
      </w:pPr>
      <w:r>
        <w:rPr>
          <w:rFonts w:cs="Arial"/>
        </w:rPr>
        <w:t>Urinary GAGs may be increased for a number of different reasons</w:t>
      </w:r>
      <w:r w:rsidR="003A39D2">
        <w:rPr>
          <w:rFonts w:cs="Arial"/>
        </w:rPr>
        <w:t xml:space="preserve"> </w:t>
      </w:r>
      <w:r w:rsidR="003A39D2" w:rsidRPr="003A39D2">
        <w:rPr>
          <w:rFonts w:cs="Arial"/>
        </w:rPr>
        <w:t>but</w:t>
      </w:r>
      <w:r w:rsidR="003A39D2">
        <w:rPr>
          <w:rFonts w:cs="Arial"/>
        </w:rPr>
        <w:t xml:space="preserve"> </w:t>
      </w:r>
      <w:r w:rsidR="00862436">
        <w:rPr>
          <w:rFonts w:cs="Arial"/>
        </w:rPr>
        <w:t>w</w:t>
      </w:r>
      <w:r w:rsidR="003A39D2">
        <w:rPr>
          <w:rFonts w:cs="Arial"/>
        </w:rPr>
        <w:t>e feel that in our model system the source of heparan sulphate in the urine was due to changes in the turn-over kinetics in the kidney matrix.</w:t>
      </w:r>
      <w:r w:rsidR="003A39D2" w:rsidRPr="003A39D2">
        <w:rPr>
          <w:rFonts w:cs="Arial"/>
        </w:rPr>
        <w:t xml:space="preserve"> </w:t>
      </w:r>
    </w:p>
    <w:p w:rsidR="00333D07" w:rsidRPr="00333D07" w:rsidRDefault="00333D07" w:rsidP="00E019BF">
      <w:pPr>
        <w:ind w:left="1440"/>
        <w:jc w:val="left"/>
        <w:rPr>
          <w:rFonts w:cs="Arial"/>
        </w:rPr>
      </w:pPr>
      <w:r w:rsidRPr="00333D07">
        <w:rPr>
          <w:rFonts w:cs="Arial"/>
        </w:rPr>
        <w:t xml:space="preserve">Conclusively, data from </w:t>
      </w:r>
      <w:r w:rsidR="003A39D2">
        <w:rPr>
          <w:rFonts w:cs="Arial"/>
        </w:rPr>
        <w:t xml:space="preserve">the </w:t>
      </w:r>
      <w:r w:rsidRPr="00333D07">
        <w:rPr>
          <w:rFonts w:cs="Arial"/>
        </w:rPr>
        <w:t xml:space="preserve">diseased group showed progressive increase in proteinuria, urinary creatinine, and albuminuria over the period of 8 months and this resulted in a significant difference between the diseased group and the prophylaxis group where the effect of diabetic nephropathy of renal function was dampened. The calculation of creatinine clearance also supported these findings as there was a significant difference between the diseased group and the prophylaxis group. The interpretation of this is the possibility of UK-396082 having a renoprotective ability.  </w:t>
      </w:r>
    </w:p>
    <w:p w:rsidR="0053627C" w:rsidRDefault="00333D07" w:rsidP="00E019BF">
      <w:pPr>
        <w:ind w:left="1440"/>
        <w:jc w:val="left"/>
        <w:rPr>
          <w:rFonts w:cs="Arial"/>
        </w:rPr>
      </w:pPr>
      <w:r w:rsidRPr="00333D07">
        <w:rPr>
          <w:rFonts w:cs="Arial"/>
        </w:rPr>
        <w:t xml:space="preserve">Histological observations of diabetic nephropathy, has demonstrated basement membrane thickening and mesangial expansion </w:t>
      </w:r>
      <w:r w:rsidRPr="00333D07">
        <w:rPr>
          <w:rFonts w:cs="Arial"/>
        </w:rPr>
        <w:fldChar w:fldCharType="begin"/>
      </w:r>
      <w:r w:rsidRPr="00333D07">
        <w:rPr>
          <w:rFonts w:cs="Arial"/>
        </w:rPr>
        <w:instrText xml:space="preserve"> ADDIN EN.CITE &lt;EndNote&gt;&lt;Cite&gt;&lt;Author&gt;Daimon&lt;/Author&gt;&lt;Year&gt;1998&lt;/Year&gt;&lt;IDText&gt;Glomerular enlargement in the progression of mesangial proliferative glomerulonephritis&lt;/IDText&gt;&lt;DisplayText&gt;(Daimon and Koni, 1998, Østerby et al., 1997)&lt;/DisplayText&gt;&lt;record&gt;&lt;isbn&gt;0301-0430&lt;/isbn&gt;&lt;titles&gt;&lt;title&gt;Glomerular enlargement in the progression of mesangial proliferative glomerulonephritis&lt;/title&gt;&lt;secondary-title&gt;Clinical nephrology&lt;/secondary-title&gt;&lt;/titles&gt;&lt;pages&gt;145-152&lt;/pages&gt;&lt;number&gt;3&lt;/number&gt;&lt;contributors&gt;&lt;authors&gt;&lt;author&gt;Daimon, S&lt;/author&gt;&lt;author&gt;Koni, I&lt;/author&gt;&lt;/authors&gt;&lt;/contributors&gt;&lt;added-date format="utc"&gt;1497864992&lt;/added-date&gt;&lt;ref-type name="Journal Article"&gt;17&lt;/ref-type&gt;&lt;dates&gt;&lt;year&gt;1998&lt;/year&gt;&lt;/dates&gt;&lt;rec-number&gt;1908&lt;/rec-number&gt;&lt;last-updated-date format="utc"&gt;1497864992&lt;/last-updated-date&gt;&lt;volume&gt;49&lt;/volume&gt;&lt;/record&gt;&lt;/Cite&gt;&lt;Cite&gt;&lt;Author&gt;Østerby&lt;/Author&gt;&lt;Year&gt;1997&lt;/Year&gt;&lt;IDText&gt;Glomerular volume and the glomerular vascular pole area in patients with insulin-dependent diabetes mellitus&lt;/IDText&gt;&lt;record&gt;&lt;isbn&gt;0945-6317&lt;/isbn&gt;&lt;titles&gt;&lt;title&gt;Glomerular volume and the glomerular vascular pole area in patients with insulin-dependent diabetes mellitus&lt;/title&gt;&lt;secondary-title&gt;Virchows Archiv&lt;/secondary-title&gt;&lt;/titles&gt;&lt;pages&gt;351-357&lt;/pages&gt;&lt;number&gt;5&lt;/number&gt;&lt;contributors&gt;&lt;authors&gt;&lt;author&gt;Østerby, R&lt;/author&gt;&lt;author&gt;Asplund, Johan&lt;/author&gt;&lt;author&gt;Bangstad, Hans-Jacob&lt;/author&gt;&lt;author&gt;Nyberg, Gudrun&lt;/author&gt;&lt;author&gt;Rudberg, Susanne&lt;/author&gt;&lt;author&gt;Viberti, Gian Carlo&lt;/author&gt;&lt;author&gt;Walker, James D&lt;/author&gt;&lt;/authors&gt;&lt;/contributors&gt;&lt;added-date format="utc"&gt;1497865065&lt;/added-date&gt;&lt;ref-type name="Journal Article"&gt;17&lt;/ref-type&gt;&lt;dates&gt;&lt;year&gt;1997&lt;/year&gt;&lt;/dates&gt;&lt;rec-number&gt;1909&lt;/rec-number&gt;&lt;last-updated-date format="utc"&gt;1497865065&lt;/last-updated-date&gt;&lt;volume&gt;431&lt;/volume&gt;&lt;/record&gt;&lt;/Cite&gt;&lt;/EndNote&gt;</w:instrText>
      </w:r>
      <w:r w:rsidRPr="00333D07">
        <w:rPr>
          <w:rFonts w:cs="Arial"/>
        </w:rPr>
        <w:fldChar w:fldCharType="separate"/>
      </w:r>
      <w:r w:rsidRPr="00333D07">
        <w:rPr>
          <w:rFonts w:cs="Arial"/>
          <w:noProof/>
        </w:rPr>
        <w:t>(Daimon and Koni, 1998, Østerby et al., 1997)</w:t>
      </w:r>
      <w:r w:rsidRPr="00333D07">
        <w:rPr>
          <w:rFonts w:cs="Arial"/>
        </w:rPr>
        <w:fldChar w:fldCharType="end"/>
      </w:r>
      <w:r w:rsidRPr="00333D07">
        <w:rPr>
          <w:rFonts w:cs="Arial"/>
        </w:rPr>
        <w:t>. Our histological results also confirmed these findings, where there was moderate interstitial fibrosi</w:t>
      </w:r>
      <w:r w:rsidR="00862436">
        <w:rPr>
          <w:rFonts w:cs="Arial"/>
        </w:rPr>
        <w:t>s with increased collagen fibre deposition, mesangial</w:t>
      </w:r>
      <w:r w:rsidRPr="00333D07">
        <w:rPr>
          <w:rFonts w:cs="Arial"/>
        </w:rPr>
        <w:t xml:space="preserve"> expansion and both tubular and glomerular dilatation. These findings were observed in all three group</w:t>
      </w:r>
      <w:r w:rsidR="00862436">
        <w:rPr>
          <w:rFonts w:cs="Arial"/>
        </w:rPr>
        <w:t>s</w:t>
      </w:r>
      <w:r w:rsidRPr="00333D07">
        <w:rPr>
          <w:rFonts w:cs="Arial"/>
        </w:rPr>
        <w:t xml:space="preserve">, however with varying severity with less severity in the prophylaxis group. </w:t>
      </w:r>
    </w:p>
    <w:p w:rsidR="00333D07" w:rsidRPr="00333D07" w:rsidRDefault="00333D07" w:rsidP="00E019BF">
      <w:pPr>
        <w:ind w:left="1440"/>
        <w:jc w:val="left"/>
        <w:rPr>
          <w:rFonts w:cs="Arial"/>
        </w:rPr>
      </w:pPr>
      <w:r w:rsidRPr="00333D07">
        <w:rPr>
          <w:rFonts w:cs="Arial"/>
        </w:rPr>
        <w:lastRenderedPageBreak/>
        <w:t>Histopathological analysis of random</w:t>
      </w:r>
      <w:r w:rsidR="008C5496">
        <w:rPr>
          <w:rFonts w:cs="Arial"/>
        </w:rPr>
        <w:t>ly selected</w:t>
      </w:r>
      <w:r w:rsidRPr="00333D07">
        <w:rPr>
          <w:rFonts w:cs="Arial"/>
        </w:rPr>
        <w:t xml:space="preserve"> rat kidney samples</w:t>
      </w:r>
      <w:r w:rsidR="008C5496">
        <w:rPr>
          <w:rFonts w:cs="Arial"/>
        </w:rPr>
        <w:t xml:space="preserve"> from each group</w:t>
      </w:r>
      <w:r w:rsidRPr="00333D07">
        <w:rPr>
          <w:rFonts w:cs="Arial"/>
        </w:rPr>
        <w:t xml:space="preserve"> was also performed by an independent laboratory (see appendix). Their analysis was to identify evidence of tubular, glomerular or interstitial changes. Their report based on H&amp;E, PAS and trichrome stain found the diseased group to have moderate tubular dilatation, tubular regeneration/degeneration, tubular basement membrane thickening and interstitial fibrosis while these were mild</w:t>
      </w:r>
      <w:r w:rsidR="0053627C">
        <w:rPr>
          <w:rFonts w:cs="Arial"/>
        </w:rPr>
        <w:t>er</w:t>
      </w:r>
      <w:r w:rsidRPr="00333D07">
        <w:rPr>
          <w:rFonts w:cs="Arial"/>
        </w:rPr>
        <w:t xml:space="preserve"> in both </w:t>
      </w:r>
      <w:r w:rsidR="0053627C">
        <w:rPr>
          <w:rFonts w:cs="Arial"/>
        </w:rPr>
        <w:t xml:space="preserve">the </w:t>
      </w:r>
      <w:r w:rsidRPr="00333D07">
        <w:rPr>
          <w:rFonts w:cs="Arial"/>
        </w:rPr>
        <w:t>prophylaxis and treatment group</w:t>
      </w:r>
      <w:r w:rsidR="0053627C">
        <w:rPr>
          <w:rFonts w:cs="Arial"/>
        </w:rPr>
        <w:t>s</w:t>
      </w:r>
      <w:r w:rsidRPr="00333D07">
        <w:rPr>
          <w:rFonts w:cs="Arial"/>
        </w:rPr>
        <w:t xml:space="preserve"> very similar to our findings. </w:t>
      </w:r>
    </w:p>
    <w:p w:rsidR="00333D07" w:rsidRPr="00333D07" w:rsidRDefault="00333D07" w:rsidP="00D00523">
      <w:pPr>
        <w:ind w:left="1440"/>
        <w:jc w:val="left"/>
        <w:rPr>
          <w:rFonts w:cs="Arial"/>
        </w:rPr>
      </w:pPr>
      <w:r w:rsidRPr="00333D07">
        <w:rPr>
          <w:rFonts w:cs="Arial"/>
        </w:rPr>
        <w:t xml:space="preserve">We then moved on to an </w:t>
      </w:r>
      <w:r w:rsidR="008C5496">
        <w:rPr>
          <w:rFonts w:cs="Arial"/>
          <w:i/>
        </w:rPr>
        <w:t>in vi</w:t>
      </w:r>
      <w:r w:rsidRPr="00333D07">
        <w:rPr>
          <w:rFonts w:cs="Arial"/>
          <w:i/>
        </w:rPr>
        <w:t>tro</w:t>
      </w:r>
      <w:r w:rsidRPr="00333D07">
        <w:rPr>
          <w:rFonts w:cs="Arial"/>
        </w:rPr>
        <w:t xml:space="preserve"> study to determine if all the components required for an effect of CPB2 inhibitor on </w:t>
      </w:r>
      <w:r w:rsidR="0053627C">
        <w:rPr>
          <w:rFonts w:cs="Arial"/>
        </w:rPr>
        <w:t xml:space="preserve">the plasminogen activation cascade </w:t>
      </w:r>
      <w:r w:rsidRPr="00333D07">
        <w:rPr>
          <w:rFonts w:cs="Arial"/>
        </w:rPr>
        <w:t xml:space="preserve">were present in the kidneys or if a different biochemical reason for our result was required. </w:t>
      </w:r>
    </w:p>
    <w:p w:rsidR="00333D07" w:rsidRPr="00333D07" w:rsidRDefault="00333D07" w:rsidP="00D00523">
      <w:pPr>
        <w:ind w:left="1440"/>
        <w:jc w:val="left"/>
        <w:rPr>
          <w:rFonts w:cs="Arial"/>
        </w:rPr>
      </w:pPr>
      <w:r w:rsidRPr="00333D07">
        <w:rPr>
          <w:rFonts w:cs="Arial"/>
        </w:rPr>
        <w:t xml:space="preserve">One of the major observations in the </w:t>
      </w:r>
      <w:r w:rsidRPr="00333D07">
        <w:rPr>
          <w:rFonts w:cs="Arial"/>
          <w:i/>
        </w:rPr>
        <w:t>in vitro</w:t>
      </w:r>
      <w:r w:rsidRPr="00333D07">
        <w:rPr>
          <w:rFonts w:cs="Arial"/>
        </w:rPr>
        <w:t xml:space="preserve"> study was that fibrin matrix was an integral part of serine proteinase activity determination in rat kidney cells as there were significant differences in the levels of plasmin, tPA and uPA activity when compared with activity </w:t>
      </w:r>
      <w:r w:rsidR="0053627C">
        <w:rPr>
          <w:rFonts w:cs="Arial"/>
        </w:rPr>
        <w:t xml:space="preserve">of cells grown </w:t>
      </w:r>
      <w:r w:rsidR="00DB6C49">
        <w:rPr>
          <w:rFonts w:cs="Arial"/>
        </w:rPr>
        <w:t>on plastic.</w:t>
      </w:r>
      <w:r w:rsidRPr="00333D07">
        <w:rPr>
          <w:rFonts w:cs="Arial"/>
        </w:rPr>
        <w:t xml:space="preserve"> CPB2 </w:t>
      </w:r>
      <w:r w:rsidRPr="00DB6C49">
        <w:rPr>
          <w:rFonts w:cs="Arial"/>
        </w:rPr>
        <w:t xml:space="preserve">activity in NRK52E was also significantly increased on fibrin. A similar finding was reported in endothelial cell activities in culture </w:t>
      </w:r>
      <w:r w:rsidRPr="00DB6C49">
        <w:rPr>
          <w:rFonts w:cs="Arial"/>
        </w:rPr>
        <w:fldChar w:fldCharType="begin"/>
      </w:r>
      <w:r w:rsidRPr="00DB6C49">
        <w:rPr>
          <w:rFonts w:cs="Arial"/>
        </w:rPr>
        <w:instrText xml:space="preserve"> ADDIN EN.CITE &lt;EndNote&gt;&lt;Cite&gt;&lt;Author&gt;Almelkar&lt;/Author&gt;&lt;Year&gt;2014&lt;/Year&gt;&lt;IDText&gt;Fibrin matrix supports endothelial cell adhesion and migration in culture&lt;/IDText&gt;&lt;DisplayText&gt;(Almelkar et al., 2014)&lt;/DisplayText&gt;&lt;record&gt;&lt;titles&gt;&lt;title&gt;Fibrin matrix supports endothelial cell adhesion and migration in culture&lt;/title&gt;&lt;secondary-title&gt;OA Biology&lt;/secondary-title&gt;&lt;/titles&gt;&lt;pages&gt;5&lt;/pages&gt;&lt;contributors&gt;&lt;authors&gt;&lt;author&gt;Almelkar, S&lt;/author&gt;&lt;author&gt;Patwardhan, A&lt;/author&gt;&lt;author&gt;Divate, S&lt;/author&gt;&lt;author&gt;Agrawal, N&lt;/author&gt;&lt;author&gt;Bhonde, R&lt;/author&gt;&lt;author&gt;Chaukar, A&lt;/author&gt;&lt;/authors&gt;&lt;/contributors&gt;&lt;added-date format="utc"&gt;1498548927&lt;/added-date&gt;&lt;ref-type name="Journal Article"&gt;17&lt;/ref-type&gt;&lt;dates&gt;&lt;year&gt;2014&lt;/year&gt;&lt;/dates&gt;&lt;rec-number&gt;1914&lt;/rec-number&gt;&lt;last-updated-date format="utc"&gt;1498548927&lt;/last-updated-date&gt;&lt;volume&gt;2&lt;/volume&gt;&lt;/record&gt;&lt;/Cite&gt;&lt;/EndNote&gt;</w:instrText>
      </w:r>
      <w:r w:rsidRPr="00DB6C49">
        <w:rPr>
          <w:rFonts w:cs="Arial"/>
        </w:rPr>
        <w:fldChar w:fldCharType="separate"/>
      </w:r>
      <w:r w:rsidRPr="00DB6C49">
        <w:rPr>
          <w:rFonts w:cs="Arial"/>
          <w:noProof/>
        </w:rPr>
        <w:t>(Almelkar et al., 2014)</w:t>
      </w:r>
      <w:r w:rsidRPr="00DB6C49">
        <w:rPr>
          <w:rFonts w:cs="Arial"/>
        </w:rPr>
        <w:fldChar w:fldCharType="end"/>
      </w:r>
      <w:r w:rsidRPr="00DB6C49">
        <w:rPr>
          <w:rFonts w:cs="Arial"/>
        </w:rPr>
        <w:t xml:space="preserve">. </w:t>
      </w:r>
    </w:p>
    <w:p w:rsidR="00333D07" w:rsidRDefault="00333D07" w:rsidP="00D00523">
      <w:pPr>
        <w:ind w:left="1440"/>
        <w:jc w:val="left"/>
        <w:rPr>
          <w:rFonts w:cs="Arial"/>
        </w:rPr>
      </w:pPr>
      <w:r w:rsidRPr="00333D07">
        <w:rPr>
          <w:rFonts w:cs="Arial"/>
        </w:rPr>
        <w:t xml:space="preserve">The </w:t>
      </w:r>
      <w:r w:rsidRPr="00333D07">
        <w:rPr>
          <w:rFonts w:cs="Arial"/>
          <w:i/>
        </w:rPr>
        <w:t>in vitro</w:t>
      </w:r>
      <w:r w:rsidR="00847D12">
        <w:rPr>
          <w:rFonts w:cs="Arial"/>
        </w:rPr>
        <w:t xml:space="preserve"> data from</w:t>
      </w:r>
      <w:r w:rsidRPr="00333D07">
        <w:rPr>
          <w:rFonts w:cs="Arial"/>
        </w:rPr>
        <w:t xml:space="preserve"> diabetic model (increased glucose) showed significant reduction in plasmin, tPA and uPA activities with a concomitant increase in CPB2</w:t>
      </w:r>
      <w:r w:rsidR="00847D12">
        <w:rPr>
          <w:rFonts w:cs="Arial"/>
        </w:rPr>
        <w:t xml:space="preserve"> in the presence of high glucose</w:t>
      </w:r>
      <w:r w:rsidR="0006224E">
        <w:rPr>
          <w:rFonts w:cs="Arial"/>
        </w:rPr>
        <w:t>. The</w:t>
      </w:r>
      <w:r w:rsidRPr="00333D07">
        <w:rPr>
          <w:rFonts w:cs="Arial"/>
        </w:rPr>
        <w:t>s</w:t>
      </w:r>
      <w:r w:rsidR="0006224E">
        <w:rPr>
          <w:rFonts w:cs="Arial"/>
        </w:rPr>
        <w:t>e</w:t>
      </w:r>
      <w:r w:rsidRPr="00333D07">
        <w:rPr>
          <w:rFonts w:cs="Arial"/>
        </w:rPr>
        <w:t xml:space="preserve"> findings have been reported in previous</w:t>
      </w:r>
      <w:r w:rsidR="00197E97">
        <w:rPr>
          <w:rFonts w:cs="Arial"/>
        </w:rPr>
        <w:t xml:space="preserve"> </w:t>
      </w:r>
      <w:r w:rsidR="00CA3DB1">
        <w:rPr>
          <w:rFonts w:cs="Arial"/>
        </w:rPr>
        <w:t xml:space="preserve">study </w:t>
      </w:r>
      <w:r w:rsidR="00B5703D">
        <w:rPr>
          <w:rFonts w:cs="Arial"/>
        </w:rPr>
        <w:t>(Atkinson et al.,</w:t>
      </w:r>
      <w:r w:rsidR="00197E97">
        <w:rPr>
          <w:rFonts w:cs="Arial"/>
        </w:rPr>
        <w:t xml:space="preserve"> 2013), </w:t>
      </w:r>
      <w:r w:rsidRPr="00333D07">
        <w:rPr>
          <w:rFonts w:cs="Arial"/>
        </w:rPr>
        <w:t xml:space="preserve">and result in the inhibition of the key players in </w:t>
      </w:r>
      <w:r w:rsidR="00B5703D">
        <w:rPr>
          <w:rFonts w:cs="Arial"/>
        </w:rPr>
        <w:t>the plasminogen-plasmin cascade, and therefore a reduction in</w:t>
      </w:r>
      <w:r w:rsidRPr="00333D07">
        <w:rPr>
          <w:rFonts w:cs="Arial"/>
        </w:rPr>
        <w:t xml:space="preserve"> </w:t>
      </w:r>
      <w:r w:rsidR="00B5703D">
        <w:rPr>
          <w:rFonts w:cs="Arial"/>
        </w:rPr>
        <w:t>the activity of serine proteinases</w:t>
      </w:r>
      <w:r w:rsidRPr="00333D07">
        <w:rPr>
          <w:rFonts w:cs="Arial"/>
        </w:rPr>
        <w:t xml:space="preserve"> while CPB2 </w:t>
      </w:r>
      <w:r w:rsidR="00B5703D">
        <w:rPr>
          <w:rFonts w:cs="Arial"/>
        </w:rPr>
        <w:t xml:space="preserve">activity </w:t>
      </w:r>
      <w:r w:rsidR="008824A1">
        <w:rPr>
          <w:rFonts w:cs="Arial"/>
        </w:rPr>
        <w:t>was increased and this led</w:t>
      </w:r>
      <w:r w:rsidRPr="00333D07">
        <w:rPr>
          <w:rFonts w:cs="Arial"/>
        </w:rPr>
        <w:t xml:space="preserve"> to ECM build-up. Therefore UK-396082 was applied to the </w:t>
      </w:r>
      <w:r w:rsidR="008F3C0E">
        <w:rPr>
          <w:rFonts w:cs="Arial"/>
        </w:rPr>
        <w:t xml:space="preserve">hyperglycaemic </w:t>
      </w:r>
      <w:r w:rsidRPr="00333D07">
        <w:rPr>
          <w:rFonts w:cs="Arial"/>
        </w:rPr>
        <w:t xml:space="preserve">model and we observed significant increases in plasmin, tPA and uPA in both epithelial and mesangial cells. These findings are in support of previous reports where tPA deficiency was implicated in glomerulonephritis </w:t>
      </w:r>
      <w:r w:rsidR="00CE46AE">
        <w:rPr>
          <w:rFonts w:cs="Arial"/>
        </w:rPr>
        <w:fldChar w:fldCharType="begin"/>
      </w:r>
      <w:r w:rsidR="00CE46AE">
        <w:rPr>
          <w:rFonts w:cs="Arial"/>
        </w:rPr>
        <w:instrText xml:space="preserve"> ADDIN EN.CITE &lt;EndNote&gt;&lt;Cite&gt;&lt;Author&gt;Kitching&lt;/Author&gt;&lt;Year&gt;1997&lt;/Year&gt;&lt;IDText&gt;Plasminogen and plasminogen activators protect against renal injury in crescentic glomerulonephritis&lt;/IDText&gt;&lt;DisplayText&gt;(Kitching et al., 1997)&lt;/DisplayText&gt;&lt;record&gt;&lt;isbn&gt;0022-1007&lt;/isbn&gt;&lt;titles&gt;&lt;title&gt;Plasminogen and plasminogen activators protect against renal injury in crescentic glomerulonephritis&lt;/title&gt;&lt;secondary-title&gt;Journal of Experimental Medicine&lt;/secondary-title&gt;&lt;/titles&gt;&lt;pages&gt;963-968&lt;/pages&gt;&lt;number&gt;5&lt;/number&gt;&lt;contributors&gt;&lt;authors&gt;&lt;author&gt;Kitching, A Richard&lt;/author&gt;&lt;author&gt;Holdsworth, Stephen R&lt;/author&gt;&lt;author&gt;Ploplis, Victoria A&lt;/author&gt;&lt;author&gt;Plow, Edward F&lt;/author&gt;&lt;author&gt;Collen, Désiré&lt;/author&gt;&lt;author&gt;Carmeliet, Peter&lt;/author&gt;&lt;author&gt;Tipping, Peter G&lt;/author&gt;&lt;/authors&gt;&lt;/contributors&gt;&lt;added-date format="utc"&gt;1499815565&lt;/added-date&gt;&lt;ref-type name="Journal Article"&gt;17&lt;/ref-type&gt;&lt;dates&gt;&lt;year&gt;1997&lt;/year&gt;&lt;/dates&gt;&lt;rec-number&gt;1950&lt;/rec-number&gt;&lt;last-updated-date format="utc"&gt;1499815565&lt;/last-updated-date&gt;&lt;volume&gt;185&lt;/volume&gt;&lt;/record&gt;&lt;/Cite&gt;&lt;/EndNote&gt;</w:instrText>
      </w:r>
      <w:r w:rsidR="00CE46AE">
        <w:rPr>
          <w:rFonts w:cs="Arial"/>
        </w:rPr>
        <w:fldChar w:fldCharType="separate"/>
      </w:r>
      <w:r w:rsidR="00CE46AE">
        <w:rPr>
          <w:rFonts w:cs="Arial"/>
          <w:noProof/>
        </w:rPr>
        <w:t>(Kitching et al., 1997)</w:t>
      </w:r>
      <w:r w:rsidR="00CE46AE">
        <w:rPr>
          <w:rFonts w:cs="Arial"/>
        </w:rPr>
        <w:fldChar w:fldCharType="end"/>
      </w:r>
      <w:r w:rsidR="00CE46AE">
        <w:rPr>
          <w:rFonts w:cs="Arial"/>
        </w:rPr>
        <w:t>.</w:t>
      </w:r>
      <w:r w:rsidR="00CE46AE" w:rsidRPr="00333D07">
        <w:rPr>
          <w:rFonts w:cs="Arial"/>
          <w:color w:val="FF0000"/>
        </w:rPr>
        <w:t xml:space="preserve"> </w:t>
      </w:r>
      <w:r w:rsidRPr="00333D07">
        <w:rPr>
          <w:rFonts w:cs="Arial"/>
        </w:rPr>
        <w:t xml:space="preserve">The up-regulation of plasmin has also been reported to result in reduction in scarring. </w:t>
      </w:r>
    </w:p>
    <w:p w:rsidR="00980A30" w:rsidRDefault="00980A30" w:rsidP="00D00523">
      <w:pPr>
        <w:ind w:left="1440"/>
        <w:jc w:val="left"/>
        <w:rPr>
          <w:rFonts w:cs="Arial"/>
        </w:rPr>
      </w:pPr>
      <w:r>
        <w:rPr>
          <w:rFonts w:cs="Arial"/>
        </w:rPr>
        <w:lastRenderedPageBreak/>
        <w:t>In conclusion, three exciting discoveries were made in this research</w:t>
      </w:r>
    </w:p>
    <w:p w:rsidR="00980A30" w:rsidRDefault="00161891" w:rsidP="00B702A5">
      <w:pPr>
        <w:pStyle w:val="ListParagraph"/>
        <w:numPr>
          <w:ilvl w:val="0"/>
          <w:numId w:val="33"/>
        </w:numPr>
        <w:jc w:val="left"/>
        <w:rPr>
          <w:rFonts w:cs="Arial"/>
        </w:rPr>
      </w:pPr>
      <w:r>
        <w:rPr>
          <w:rFonts w:cs="Arial"/>
        </w:rPr>
        <w:t xml:space="preserve">The use of </w:t>
      </w:r>
      <w:r w:rsidR="00980A30">
        <w:rPr>
          <w:rFonts w:cs="Arial"/>
        </w:rPr>
        <w:t xml:space="preserve">GAG </w:t>
      </w:r>
      <w:r>
        <w:rPr>
          <w:rFonts w:cs="Arial"/>
        </w:rPr>
        <w:t>assay in our study was able to detect DN early in the study</w:t>
      </w:r>
      <w:r w:rsidR="00980A30">
        <w:rPr>
          <w:rFonts w:cs="Arial"/>
        </w:rPr>
        <w:t xml:space="preserve"> therefore </w:t>
      </w:r>
      <w:r>
        <w:rPr>
          <w:rFonts w:cs="Arial"/>
        </w:rPr>
        <w:t xml:space="preserve">GAG assay may be a future </w:t>
      </w:r>
      <w:r w:rsidR="00980A30">
        <w:rPr>
          <w:rFonts w:cs="Arial"/>
        </w:rPr>
        <w:t>early biomarker in determination of DN.</w:t>
      </w:r>
    </w:p>
    <w:p w:rsidR="00161891" w:rsidRDefault="00246012" w:rsidP="00B702A5">
      <w:pPr>
        <w:pStyle w:val="ListParagraph"/>
        <w:numPr>
          <w:ilvl w:val="0"/>
          <w:numId w:val="33"/>
        </w:numPr>
        <w:jc w:val="left"/>
        <w:rPr>
          <w:rFonts w:cs="Arial"/>
        </w:rPr>
      </w:pPr>
      <w:r>
        <w:rPr>
          <w:rFonts w:cs="Arial"/>
        </w:rPr>
        <w:t>The prophylactic administration of UK-396082 was renoprotective in DN as seen in our result sections</w:t>
      </w:r>
      <w:r w:rsidR="00161891">
        <w:rPr>
          <w:rFonts w:cs="Arial"/>
        </w:rPr>
        <w:t>, there</w:t>
      </w:r>
      <w:r w:rsidR="006C38B2">
        <w:rPr>
          <w:rFonts w:cs="Arial"/>
        </w:rPr>
        <w:t>fore this inhibitor may be a gateway to therapeutic treatment of DN.</w:t>
      </w:r>
      <w:r>
        <w:rPr>
          <w:rFonts w:cs="Arial"/>
        </w:rPr>
        <w:t xml:space="preserve"> </w:t>
      </w:r>
    </w:p>
    <w:p w:rsidR="0047654D" w:rsidRDefault="00161891" w:rsidP="00B702A5">
      <w:pPr>
        <w:pStyle w:val="ListParagraph"/>
        <w:numPr>
          <w:ilvl w:val="0"/>
          <w:numId w:val="33"/>
        </w:numPr>
        <w:jc w:val="left"/>
        <w:rPr>
          <w:rFonts w:cs="Arial"/>
        </w:rPr>
      </w:pPr>
      <w:r>
        <w:rPr>
          <w:rFonts w:cs="Arial"/>
        </w:rPr>
        <w:t>UK-396082 increased the excretion of GAGs in healthy rats and also preserved excretion of GAGs in DN and as such may play a role in preventing renal fibrosis.</w:t>
      </w:r>
      <w:r w:rsidR="00980A30" w:rsidRPr="00980A30">
        <w:rPr>
          <w:rFonts w:cs="Arial"/>
        </w:rPr>
        <w:t xml:space="preserve"> </w:t>
      </w:r>
    </w:p>
    <w:p w:rsidR="0047654D" w:rsidRDefault="0047654D">
      <w:pPr>
        <w:spacing w:after="160" w:line="259" w:lineRule="auto"/>
        <w:jc w:val="left"/>
        <w:rPr>
          <w:rFonts w:cs="Arial"/>
        </w:rPr>
      </w:pPr>
      <w:r>
        <w:rPr>
          <w:rFonts w:cs="Arial"/>
        </w:rPr>
        <w:br w:type="page"/>
      </w:r>
    </w:p>
    <w:p w:rsidR="00980A30" w:rsidRDefault="00B559DC" w:rsidP="0047654D">
      <w:pPr>
        <w:jc w:val="left"/>
        <w:rPr>
          <w:rFonts w:cs="Arial"/>
        </w:rPr>
      </w:pPr>
      <w:r w:rsidRPr="00B559DC">
        <w:rPr>
          <w:rFonts w:cs="Arial"/>
        </w:rPr>
        <w:object w:dxaOrig="10140" w:dyaOrig="12810">
          <v:shape id="_x0000_i1056" type="#_x0000_t75" style="width:507pt;height:640.5pt" o:ole="">
            <v:imagedata r:id="rId143" o:title=""/>
          </v:shape>
          <o:OLEObject Type="Embed" ProgID="Word.Document.12" ShapeID="_x0000_i1056" DrawAspect="Content" ObjectID="_1583750226" r:id="rId144">
            <o:FieldCodes>\s</o:FieldCodes>
          </o:OLEObject>
        </w:object>
      </w:r>
    </w:p>
    <w:p w:rsidR="00B559DC" w:rsidRPr="0047654D" w:rsidRDefault="00B559DC" w:rsidP="0047654D">
      <w:pPr>
        <w:jc w:val="left"/>
        <w:rPr>
          <w:rFonts w:cs="Arial"/>
        </w:rPr>
      </w:pPr>
    </w:p>
    <w:p w:rsidR="00333D07" w:rsidRPr="00333D07" w:rsidRDefault="00333D07" w:rsidP="006C32A3">
      <w:pPr>
        <w:ind w:left="720" w:firstLine="720"/>
        <w:jc w:val="left"/>
        <w:rPr>
          <w:rFonts w:cs="Arial"/>
        </w:rPr>
      </w:pPr>
      <w:r w:rsidRPr="00333D07">
        <w:rPr>
          <w:rFonts w:cs="Arial"/>
        </w:rPr>
        <w:lastRenderedPageBreak/>
        <w:t xml:space="preserve">The future work therefore will be: </w:t>
      </w:r>
    </w:p>
    <w:p w:rsidR="00333D07" w:rsidRPr="00333D07" w:rsidRDefault="00333D07" w:rsidP="00B702A5">
      <w:pPr>
        <w:numPr>
          <w:ilvl w:val="0"/>
          <w:numId w:val="26"/>
        </w:numPr>
        <w:contextualSpacing/>
        <w:jc w:val="left"/>
        <w:rPr>
          <w:rFonts w:cs="Arial"/>
          <w:lang w:eastAsia="x-none"/>
        </w:rPr>
      </w:pPr>
      <w:r w:rsidRPr="00333D07">
        <w:rPr>
          <w:rFonts w:cs="Arial"/>
          <w:lang w:eastAsia="x-none"/>
        </w:rPr>
        <w:t>An animal diabetic nephropathy model with a variable time of treatment with a CPB2 inhibitor treatment intervention earlier than four months as seen in our study</w:t>
      </w:r>
      <w:r w:rsidR="006C32A3">
        <w:rPr>
          <w:rFonts w:cs="Arial"/>
          <w:lang w:eastAsia="x-none"/>
        </w:rPr>
        <w:t>.</w:t>
      </w:r>
      <w:r w:rsidR="00C26FBF">
        <w:rPr>
          <w:rFonts w:cs="Arial"/>
          <w:lang w:eastAsia="x-none"/>
        </w:rPr>
        <w:t xml:space="preserve"> This is because </w:t>
      </w:r>
      <w:r w:rsidR="00DD6DC1">
        <w:rPr>
          <w:rFonts w:cs="Arial"/>
          <w:lang w:eastAsia="x-none"/>
        </w:rPr>
        <w:t xml:space="preserve">in our study </w:t>
      </w:r>
      <w:r w:rsidR="00C26FBF">
        <w:rPr>
          <w:rFonts w:cs="Arial"/>
          <w:lang w:eastAsia="x-none"/>
        </w:rPr>
        <w:t xml:space="preserve">we allowed the disease process to go on for four months in the treatment group before we introduced the inhibitor and as such DN was </w:t>
      </w:r>
      <w:r w:rsidR="00DD6DC1">
        <w:rPr>
          <w:rFonts w:cs="Arial"/>
          <w:lang w:eastAsia="x-none"/>
        </w:rPr>
        <w:t xml:space="preserve">far advanced </w:t>
      </w:r>
      <w:r w:rsidR="00C26FBF">
        <w:rPr>
          <w:rFonts w:cs="Arial"/>
          <w:lang w:eastAsia="x-none"/>
        </w:rPr>
        <w:t xml:space="preserve">and could not be reversed. </w:t>
      </w:r>
      <w:r w:rsidRPr="00333D07">
        <w:rPr>
          <w:rFonts w:cs="Arial"/>
          <w:lang w:eastAsia="x-none"/>
        </w:rPr>
        <w:t xml:space="preserve"> </w:t>
      </w:r>
    </w:p>
    <w:p w:rsidR="00333D07" w:rsidRPr="00333D07" w:rsidRDefault="00980A30" w:rsidP="00B702A5">
      <w:pPr>
        <w:numPr>
          <w:ilvl w:val="0"/>
          <w:numId w:val="26"/>
        </w:numPr>
        <w:contextualSpacing/>
        <w:jc w:val="left"/>
        <w:rPr>
          <w:rFonts w:cs="Arial"/>
          <w:lang w:eastAsia="x-none"/>
        </w:rPr>
      </w:pPr>
      <w:r>
        <w:rPr>
          <w:rFonts w:cs="Arial"/>
          <w:lang w:eastAsia="x-none"/>
        </w:rPr>
        <w:t>I</w:t>
      </w:r>
      <w:r w:rsidR="00333D07" w:rsidRPr="00333D07">
        <w:rPr>
          <w:rFonts w:cs="Arial"/>
          <w:lang w:eastAsia="x-none"/>
        </w:rPr>
        <w:t xml:space="preserve">nvestigating GAG assays in human samples of diabetic nephropathy.     </w:t>
      </w:r>
    </w:p>
    <w:p w:rsidR="00333D07" w:rsidRPr="00333D07" w:rsidRDefault="00333D07" w:rsidP="00333D07">
      <w:pPr>
        <w:spacing w:after="160"/>
        <w:ind w:left="720"/>
        <w:jc w:val="left"/>
        <w:rPr>
          <w:rFonts w:cs="Arial"/>
        </w:rPr>
      </w:pPr>
    </w:p>
    <w:p w:rsidR="00333D07" w:rsidRPr="00333D07" w:rsidRDefault="00333D07" w:rsidP="00333D07">
      <w:pPr>
        <w:spacing w:after="0"/>
        <w:jc w:val="left"/>
        <w:rPr>
          <w:rFonts w:eastAsia="Times New Roman" w:cs="Arial"/>
          <w:lang w:eastAsia="en-GB"/>
        </w:rPr>
      </w:pPr>
    </w:p>
    <w:p w:rsidR="00333D07" w:rsidRPr="00277EC9" w:rsidRDefault="00333D07" w:rsidP="00AD7930">
      <w:pPr>
        <w:ind w:left="720"/>
        <w:rPr>
          <w:rFonts w:cs="Arial"/>
          <w:lang w:eastAsia="x-none"/>
        </w:rPr>
        <w:sectPr w:rsidR="00333D07" w:rsidRPr="00277EC9">
          <w:pgSz w:w="11906" w:h="16838"/>
          <w:pgMar w:top="1440" w:right="1440" w:bottom="1440" w:left="1440" w:header="708" w:footer="708" w:gutter="0"/>
          <w:cols w:space="708"/>
          <w:docGrid w:linePitch="360"/>
        </w:sectPr>
      </w:pPr>
    </w:p>
    <w:p w:rsidR="00F84E4E" w:rsidRPr="00277EC9" w:rsidRDefault="00F84E4E" w:rsidP="000B0B92">
      <w:pPr>
        <w:ind w:left="720"/>
      </w:pPr>
    </w:p>
    <w:p w:rsidR="00B02242" w:rsidRPr="00277EC9" w:rsidRDefault="00B02242" w:rsidP="00277EC9">
      <w:pPr>
        <w:ind w:left="720"/>
        <w:rPr>
          <w:b/>
        </w:rPr>
      </w:pPr>
      <w:r w:rsidRPr="00277EC9">
        <w:rPr>
          <w:b/>
        </w:rPr>
        <w:t xml:space="preserve">References </w:t>
      </w:r>
    </w:p>
    <w:p w:rsidR="00B02242" w:rsidRDefault="00B02242" w:rsidP="00F84E4E">
      <w:pPr>
        <w:spacing w:after="0" w:line="240" w:lineRule="auto"/>
        <w:ind w:left="720"/>
        <w:jc w:val="left"/>
        <w:rPr>
          <w:rFonts w:ascii="Calibri" w:eastAsia="Calibri" w:hAnsi="Calibri" w:cs="Calibri"/>
          <w:noProof/>
          <w:sz w:val="22"/>
          <w:szCs w:val="22"/>
          <w:lang w:val="en-US"/>
        </w:rPr>
      </w:pPr>
      <w:r w:rsidRPr="00277EC9">
        <w:rPr>
          <w:rFonts w:ascii="Times New Roman" w:eastAsia="Calibri" w:hAnsi="Times New Roman"/>
          <w:noProof/>
          <w:lang w:val="en-US"/>
        </w:rPr>
        <w:fldChar w:fldCharType="begin"/>
      </w:r>
      <w:r w:rsidRPr="00277EC9">
        <w:rPr>
          <w:rFonts w:ascii="Times New Roman" w:eastAsia="Calibri" w:hAnsi="Times New Roman"/>
          <w:noProof/>
          <w:lang w:val="en-US"/>
        </w:rPr>
        <w:instrText xml:space="preserve"> ADDIN EN.REFLIST </w:instrText>
      </w:r>
      <w:r w:rsidRPr="00277EC9">
        <w:rPr>
          <w:rFonts w:ascii="Times New Roman" w:eastAsia="Calibri" w:hAnsi="Times New Roman"/>
          <w:noProof/>
          <w:lang w:val="en-US"/>
        </w:rPr>
        <w:fldChar w:fldCharType="separate"/>
      </w:r>
      <w:r w:rsidRPr="00277EC9">
        <w:rPr>
          <w:rFonts w:ascii="Calibri" w:eastAsia="Calibri" w:hAnsi="Calibri" w:cs="Calibri"/>
          <w:noProof/>
          <w:sz w:val="22"/>
          <w:szCs w:val="22"/>
          <w:lang w:val="en-US"/>
        </w:rPr>
        <w:t xml:space="preserve">AKBARZADEH, A., AKBARZADEH, A., NOROUZIAN, D., MEHRABI, M. R., JAMSHIDI, S., FARHANGI, A., VERDI, A. A., MOFIDIAN, S. M. &amp; RAD, B. L. 2007. Induction of diabetes by Streptozotocin in rats. </w:t>
      </w:r>
      <w:r w:rsidRPr="00277EC9">
        <w:rPr>
          <w:rFonts w:ascii="Calibri" w:eastAsia="Calibri" w:hAnsi="Calibri" w:cs="Calibri"/>
          <w:i/>
          <w:noProof/>
          <w:sz w:val="22"/>
          <w:szCs w:val="22"/>
          <w:lang w:val="en-US"/>
        </w:rPr>
        <w:t>Indian journal of clinical biochemistry</w:t>
      </w:r>
      <w:r w:rsidRPr="00277EC9">
        <w:rPr>
          <w:rFonts w:ascii="Calibri" w:eastAsia="Calibri" w:hAnsi="Calibri" w:cs="Calibri"/>
          <w:noProof/>
          <w:sz w:val="22"/>
          <w:szCs w:val="22"/>
          <w:lang w:val="en-US"/>
        </w:rPr>
        <w:t>.</w:t>
      </w:r>
    </w:p>
    <w:p w:rsidR="009A02DD" w:rsidRDefault="009A02DD" w:rsidP="00F84E4E">
      <w:pPr>
        <w:spacing w:after="0" w:line="240" w:lineRule="auto"/>
        <w:ind w:left="720"/>
        <w:jc w:val="left"/>
        <w:rPr>
          <w:rFonts w:ascii="Calibri" w:eastAsia="Calibri" w:hAnsi="Calibri" w:cs="Calibri"/>
          <w:noProof/>
          <w:sz w:val="22"/>
          <w:szCs w:val="22"/>
          <w:lang w:val="en-US"/>
        </w:rPr>
      </w:pPr>
    </w:p>
    <w:p w:rsidR="009A02DD" w:rsidRPr="009A02DD" w:rsidRDefault="009A02DD" w:rsidP="009A02DD">
      <w:pPr>
        <w:spacing w:after="0" w:line="240" w:lineRule="auto"/>
        <w:ind w:left="720"/>
        <w:jc w:val="left"/>
        <w:rPr>
          <w:rFonts w:ascii="Calibri" w:eastAsia="Calibri" w:hAnsi="Calibri" w:cs="Calibri"/>
          <w:noProof/>
          <w:sz w:val="22"/>
          <w:szCs w:val="22"/>
          <w:lang w:val="en-US"/>
        </w:rPr>
      </w:pPr>
      <w:r w:rsidRPr="009A02DD">
        <w:rPr>
          <w:rFonts w:ascii="Calibri" w:eastAsia="Calibri" w:hAnsi="Calibri" w:cs="Calibri"/>
          <w:noProof/>
          <w:sz w:val="22"/>
          <w:szCs w:val="22"/>
          <w:lang w:val="en-US"/>
        </w:rPr>
        <w:t xml:space="preserve">ALFANO, M. &amp; POLI, G. 2005. Role of cytokines and chemokines in the regulation of innate immunity and HIV infection. </w:t>
      </w:r>
      <w:r w:rsidRPr="009A02DD">
        <w:rPr>
          <w:rFonts w:ascii="Calibri" w:eastAsia="Calibri" w:hAnsi="Calibri" w:cs="Calibri"/>
          <w:i/>
          <w:noProof/>
          <w:sz w:val="22"/>
          <w:szCs w:val="22"/>
          <w:lang w:val="en-US"/>
        </w:rPr>
        <w:t>Molecular immunology,</w:t>
      </w:r>
      <w:r w:rsidRPr="009A02DD">
        <w:rPr>
          <w:rFonts w:ascii="Calibri" w:eastAsia="Calibri" w:hAnsi="Calibri" w:cs="Calibri"/>
          <w:noProof/>
          <w:sz w:val="22"/>
          <w:szCs w:val="22"/>
          <w:lang w:val="en-US"/>
        </w:rPr>
        <w:t xml:space="preserve"> 42</w:t>
      </w:r>
      <w:r w:rsidRPr="009A02DD">
        <w:rPr>
          <w:rFonts w:ascii="Calibri" w:eastAsia="Calibri" w:hAnsi="Calibri" w:cs="Calibri"/>
          <w:b/>
          <w:noProof/>
          <w:sz w:val="22"/>
          <w:szCs w:val="22"/>
          <w:lang w:val="en-US"/>
        </w:rPr>
        <w:t>,</w:t>
      </w:r>
      <w:r w:rsidRPr="009A02DD">
        <w:rPr>
          <w:rFonts w:ascii="Calibri" w:eastAsia="Calibri" w:hAnsi="Calibri" w:cs="Calibri"/>
          <w:noProof/>
          <w:sz w:val="22"/>
          <w:szCs w:val="22"/>
          <w:lang w:val="en-US"/>
        </w:rPr>
        <w:t xml:space="preserve"> 161-182.</w:t>
      </w:r>
    </w:p>
    <w:p w:rsidR="00F84E4E" w:rsidRPr="00277EC9" w:rsidRDefault="00F84E4E" w:rsidP="009A02DD">
      <w:pPr>
        <w:spacing w:after="0" w:line="240" w:lineRule="auto"/>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AL-REFU, K. 2011. </w:t>
      </w:r>
      <w:r w:rsidRPr="00277EC9">
        <w:rPr>
          <w:rFonts w:ascii="Calibri" w:eastAsia="Calibri" w:hAnsi="Calibri" w:cs="Calibri"/>
          <w:i/>
          <w:noProof/>
          <w:sz w:val="22"/>
          <w:szCs w:val="22"/>
          <w:lang w:val="en-US"/>
        </w:rPr>
        <w:t>General Methods in Preparation of Skin Biopsies for Haematoxylin &amp; Eosin Stain and Immunohistochemistry</w:t>
      </w:r>
      <w:r w:rsidRPr="00277EC9">
        <w:rPr>
          <w:rFonts w:ascii="Calibri" w:eastAsia="Calibri" w:hAnsi="Calibri" w:cs="Calibri"/>
          <w:noProof/>
          <w:sz w:val="22"/>
          <w:szCs w:val="22"/>
          <w:lang w:val="en-US"/>
        </w:rPr>
        <w:t>, INTECH Open Access Publisher.</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ALLEN, J. 2007. Photoplethysmography and its application in clinical physiological measurement. </w:t>
      </w:r>
      <w:r w:rsidRPr="00277EC9">
        <w:rPr>
          <w:rFonts w:ascii="Calibri" w:eastAsia="Calibri" w:hAnsi="Calibri" w:cs="Calibri"/>
          <w:i/>
          <w:noProof/>
          <w:sz w:val="22"/>
          <w:szCs w:val="22"/>
          <w:lang w:val="en-US"/>
        </w:rPr>
        <w:t>Physiol Meas,</w:t>
      </w:r>
      <w:r w:rsidRPr="00277EC9">
        <w:rPr>
          <w:rFonts w:ascii="Calibri" w:eastAsia="Calibri" w:hAnsi="Calibri" w:cs="Calibri"/>
          <w:noProof/>
          <w:sz w:val="22"/>
          <w:szCs w:val="22"/>
          <w:lang w:val="en-US"/>
        </w:rPr>
        <w:t xml:space="preserve"> 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R1-39.</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ALMELKAR, S., PATWARDHAN, A., DIVATE, S., AGRAWAL, N., BHONDE, R. &amp; CHAUKAR, A. 2014. Fibrin matrix supports endothelial cell adhesion and migration in culture. </w:t>
      </w:r>
      <w:r w:rsidRPr="00277EC9">
        <w:rPr>
          <w:rFonts w:ascii="Calibri" w:eastAsia="Calibri" w:hAnsi="Calibri" w:cs="Calibri"/>
          <w:i/>
          <w:noProof/>
          <w:sz w:val="22"/>
          <w:szCs w:val="22"/>
          <w:lang w:val="en-US"/>
        </w:rPr>
        <w:t>OA Biology,</w:t>
      </w:r>
      <w:r w:rsidRPr="00277EC9">
        <w:rPr>
          <w:rFonts w:ascii="Calibri" w:eastAsia="Calibri" w:hAnsi="Calibri" w:cs="Calibri"/>
          <w:noProof/>
          <w:sz w:val="22"/>
          <w:szCs w:val="22"/>
          <w:lang w:val="en-US"/>
        </w:rPr>
        <w:t xml:space="preserve"> 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ALVAREZ, R. H., CORTES, J. E. &amp; KANTARJIAN, H. M. 2006. Genetics in Clinical Practice - Biology of Platelet- Derived Growth Factor and Its Involvement in Disease. </w:t>
      </w:r>
      <w:r w:rsidRPr="00277EC9">
        <w:rPr>
          <w:rFonts w:ascii="Calibri" w:eastAsia="Calibri" w:hAnsi="Calibri" w:cs="Calibri"/>
          <w:i/>
          <w:noProof/>
          <w:sz w:val="22"/>
          <w:szCs w:val="22"/>
          <w:lang w:val="en-US"/>
        </w:rPr>
        <w:t>Mayo Clinic proceedings,</w:t>
      </w:r>
      <w:r w:rsidRPr="00277EC9">
        <w:rPr>
          <w:rFonts w:ascii="Calibri" w:eastAsia="Calibri" w:hAnsi="Calibri" w:cs="Calibri"/>
          <w:noProof/>
          <w:sz w:val="22"/>
          <w:szCs w:val="22"/>
          <w:lang w:val="en-US"/>
        </w:rPr>
        <w:t xml:space="preserve"> 81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1241-1257.</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Default="00B02242" w:rsidP="00F84E4E">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ANNON, M. L. 1935. Crystalline carboxypolypeptidase. </w:t>
      </w:r>
      <w:r w:rsidRPr="00277EC9">
        <w:rPr>
          <w:rFonts w:ascii="Calibri" w:eastAsia="Calibri" w:hAnsi="Calibri" w:cs="Calibri"/>
          <w:i/>
          <w:noProof/>
          <w:sz w:val="22"/>
          <w:szCs w:val="22"/>
          <w:lang w:val="en-US"/>
        </w:rPr>
        <w:t>Science,</w:t>
      </w:r>
      <w:r w:rsidRPr="00277EC9">
        <w:rPr>
          <w:rFonts w:ascii="Calibri" w:eastAsia="Calibri" w:hAnsi="Calibri" w:cs="Calibri"/>
          <w:noProof/>
          <w:sz w:val="22"/>
          <w:szCs w:val="22"/>
          <w:lang w:val="en-US"/>
        </w:rPr>
        <w:t xml:space="preserve"> 81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467-468.</w:t>
      </w:r>
    </w:p>
    <w:p w:rsidR="002A62C8" w:rsidRDefault="002A62C8" w:rsidP="002A62C8">
      <w:pPr>
        <w:spacing w:after="0" w:line="240" w:lineRule="auto"/>
        <w:ind w:left="720" w:hanging="720"/>
        <w:jc w:val="left"/>
        <w:rPr>
          <w:rFonts w:ascii="Calibri" w:eastAsia="Calibri" w:hAnsi="Calibri" w:cs="Calibri"/>
          <w:noProof/>
          <w:color w:val="FF0000"/>
          <w:sz w:val="22"/>
          <w:szCs w:val="22"/>
          <w:lang w:val="en-US"/>
        </w:rPr>
      </w:pPr>
    </w:p>
    <w:p w:rsidR="002A62C8" w:rsidRPr="002A62C8" w:rsidRDefault="002A62C8" w:rsidP="002A62C8">
      <w:pPr>
        <w:spacing w:after="0" w:line="240" w:lineRule="auto"/>
        <w:ind w:left="720"/>
        <w:jc w:val="left"/>
        <w:rPr>
          <w:rFonts w:ascii="Calibri" w:hAnsi="Calibri" w:cs="Calibri"/>
          <w:noProof/>
          <w:sz w:val="22"/>
          <w:szCs w:val="22"/>
          <w:lang w:val="en-US"/>
        </w:rPr>
      </w:pPr>
      <w:r w:rsidRPr="002A62C8">
        <w:rPr>
          <w:rFonts w:ascii="Calibri" w:eastAsia="Calibri" w:hAnsi="Calibri" w:cs="Calibri"/>
          <w:noProof/>
          <w:sz w:val="22"/>
          <w:szCs w:val="22"/>
          <w:lang w:val="en-US"/>
        </w:rPr>
        <w:t xml:space="preserve">AOKI, N. &amp; YAMANAKA, T. 1978. The alpha2-plasmin inhibitor levels in liver diseases. </w:t>
      </w:r>
      <w:r w:rsidRPr="002A62C8">
        <w:rPr>
          <w:rFonts w:ascii="Calibri" w:eastAsia="Calibri" w:hAnsi="Calibri" w:cs="Calibri"/>
          <w:i/>
          <w:noProof/>
          <w:sz w:val="22"/>
          <w:szCs w:val="22"/>
          <w:lang w:val="en-US"/>
        </w:rPr>
        <w:t>Clinica chimica acta; international journal of clinical chemistry,</w:t>
      </w:r>
      <w:r w:rsidRPr="002A62C8">
        <w:rPr>
          <w:rFonts w:ascii="Calibri" w:eastAsia="Calibri" w:hAnsi="Calibri" w:cs="Calibri"/>
          <w:noProof/>
          <w:sz w:val="22"/>
          <w:szCs w:val="22"/>
          <w:lang w:val="en-US"/>
        </w:rPr>
        <w:t xml:space="preserve"> 84</w:t>
      </w:r>
      <w:r w:rsidRPr="002A62C8">
        <w:rPr>
          <w:rFonts w:ascii="Calibri" w:eastAsia="Calibri" w:hAnsi="Calibri" w:cs="Calibri"/>
          <w:b/>
          <w:noProof/>
          <w:sz w:val="22"/>
          <w:szCs w:val="22"/>
          <w:lang w:val="en-US"/>
        </w:rPr>
        <w:t>,</w:t>
      </w:r>
      <w:r w:rsidRPr="002A62C8">
        <w:rPr>
          <w:rFonts w:ascii="Calibri" w:eastAsia="Calibri" w:hAnsi="Calibri" w:cs="Calibri"/>
          <w:noProof/>
          <w:sz w:val="22"/>
          <w:szCs w:val="22"/>
          <w:lang w:val="en-US"/>
        </w:rPr>
        <w:t xml:space="preserve"> 99-105.</w:t>
      </w:r>
    </w:p>
    <w:p w:rsidR="00F84E4E" w:rsidRPr="00277EC9" w:rsidRDefault="00F84E4E" w:rsidP="002A62C8">
      <w:pPr>
        <w:spacing w:after="0" w:line="240" w:lineRule="auto"/>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ATKINSON, J. M., PULLEN, N., DA SILVA-LODGE, M., WILLIAMS, L. &amp; JOHNSON, T. S. 2014. Inhibition of thrombin-activated fibrinolysis inhibitor increases survival in experimental kidney fibrosis. </w:t>
      </w:r>
      <w:r w:rsidRPr="00277EC9">
        <w:rPr>
          <w:rFonts w:ascii="Calibri" w:eastAsia="Calibri" w:hAnsi="Calibri" w:cs="Calibri"/>
          <w:i/>
          <w:noProof/>
          <w:sz w:val="22"/>
          <w:szCs w:val="22"/>
          <w:lang w:val="en-US"/>
        </w:rPr>
        <w:t>Journal of the American Society of Nephrology</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ASN. 2014030303.</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ATKINSON, J. M., PULLEN, N. &amp; JOHNSON, T. S. 2013. An inhibitor of thrombin activated fibrinolysis inhibitor (TAFI) can reduce extracellular matrix accumulation in an in vitro model of glucose induced ECM expansion. </w:t>
      </w:r>
      <w:r w:rsidRPr="00277EC9">
        <w:rPr>
          <w:rFonts w:ascii="Calibri" w:eastAsia="Calibri" w:hAnsi="Calibri" w:cs="Calibri"/>
          <w:i/>
          <w:noProof/>
          <w:sz w:val="22"/>
          <w:szCs w:val="22"/>
          <w:lang w:val="en-US"/>
        </w:rPr>
        <w:t>Matrix Biology,</w:t>
      </w:r>
      <w:r w:rsidRPr="00277EC9">
        <w:rPr>
          <w:rFonts w:ascii="Calibri" w:eastAsia="Calibri" w:hAnsi="Calibri" w:cs="Calibri"/>
          <w:noProof/>
          <w:sz w:val="22"/>
          <w:szCs w:val="22"/>
          <w:lang w:val="en-US"/>
        </w:rPr>
        <w:t xml:space="preserve"> 32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277-287.</w:t>
      </w:r>
    </w:p>
    <w:p w:rsidR="00F84E4E" w:rsidRPr="00277EC9" w:rsidRDefault="00F84E4E" w:rsidP="00B02242">
      <w:pPr>
        <w:spacing w:after="0" w:line="240" w:lineRule="auto"/>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BAI, X., LI, X., TIAN, J. &amp; ZHOU, Z. 2014. Antiangiogenic treatment diminishes renal injury and dysfunction via regulation of local AKT in early experimental diabetes. </w:t>
      </w:r>
      <w:r w:rsidRPr="00277EC9">
        <w:rPr>
          <w:rFonts w:ascii="Calibri" w:eastAsia="Calibri" w:hAnsi="Calibri" w:cs="Calibri"/>
          <w:i/>
          <w:noProof/>
          <w:sz w:val="22"/>
          <w:szCs w:val="22"/>
          <w:lang w:val="en-US"/>
        </w:rPr>
        <w:t>PLoS One,</w:t>
      </w:r>
      <w:r w:rsidRPr="00277EC9">
        <w:rPr>
          <w:rFonts w:ascii="Calibri" w:eastAsia="Calibri" w:hAnsi="Calibri" w:cs="Calibri"/>
          <w:noProof/>
          <w:sz w:val="22"/>
          <w:szCs w:val="22"/>
          <w:lang w:val="en-US"/>
        </w:rPr>
        <w:t xml:space="preserve"> 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e96117.</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BAINS, W. 2013. Transglutaminse 2 and EGGL, the Protein Cross-Link Formed by Transglutaminse 2, As Therapeutic Targets for Disabilities of Old Age. </w:t>
      </w:r>
      <w:r w:rsidRPr="00277EC9">
        <w:rPr>
          <w:rFonts w:ascii="Calibri" w:eastAsia="Calibri" w:hAnsi="Calibri" w:cs="Calibri"/>
          <w:i/>
          <w:noProof/>
          <w:sz w:val="22"/>
          <w:szCs w:val="22"/>
          <w:lang w:val="en-US"/>
        </w:rPr>
        <w:t>Rejuvenation Research,</w:t>
      </w:r>
      <w:r w:rsidRPr="00277EC9">
        <w:rPr>
          <w:rFonts w:ascii="Calibri" w:eastAsia="Calibri" w:hAnsi="Calibri" w:cs="Calibri"/>
          <w:noProof/>
          <w:sz w:val="22"/>
          <w:szCs w:val="22"/>
          <w:lang w:val="en-US"/>
        </w:rPr>
        <w:t xml:space="preserve"> 16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495-517.</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BAJZAR, L. 2000. Thrombin activatable fibrinolysis inhibitor and an antifibrinolytic pathway. </w:t>
      </w:r>
      <w:r w:rsidRPr="00277EC9">
        <w:rPr>
          <w:rFonts w:ascii="Calibri" w:eastAsia="Calibri" w:hAnsi="Calibri" w:cs="Calibri"/>
          <w:i/>
          <w:noProof/>
          <w:sz w:val="22"/>
          <w:szCs w:val="22"/>
          <w:lang w:val="en-US"/>
        </w:rPr>
        <w:t>Arteriosclerosis Thrombosis and Vascular Biology,</w:t>
      </w:r>
      <w:r w:rsidRPr="00277EC9">
        <w:rPr>
          <w:rFonts w:ascii="Calibri" w:eastAsia="Calibri" w:hAnsi="Calibri" w:cs="Calibri"/>
          <w:noProof/>
          <w:sz w:val="22"/>
          <w:szCs w:val="22"/>
          <w:lang w:val="en-US"/>
        </w:rPr>
        <w:t xml:space="preserve"> 20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2511-2518.</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BAJZAR, L., MANUEL, R. &amp; NESHEIM, M. E. 1995. Purification and characterization of TAFI, a thrombin-activable fibrinolysis inhibitor. </w:t>
      </w:r>
      <w:r w:rsidRPr="00277EC9">
        <w:rPr>
          <w:rFonts w:ascii="Calibri" w:eastAsia="Calibri" w:hAnsi="Calibri" w:cs="Calibri"/>
          <w:i/>
          <w:noProof/>
          <w:sz w:val="22"/>
          <w:szCs w:val="22"/>
          <w:lang w:val="en-US"/>
        </w:rPr>
        <w:t>The Journal of biological chemistry,</w:t>
      </w:r>
      <w:r w:rsidRPr="00277EC9">
        <w:rPr>
          <w:rFonts w:ascii="Calibri" w:eastAsia="Calibri" w:hAnsi="Calibri" w:cs="Calibri"/>
          <w:noProof/>
          <w:sz w:val="22"/>
          <w:szCs w:val="22"/>
          <w:lang w:val="en-US"/>
        </w:rPr>
        <w:t xml:space="preserve"> 270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14477.</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BALES, J. R., HIGHAM, D. P., HOWE, I., NICHOLSON, J. K. &amp; SADLER, P. J. 1984. Use of high-resolution proton nuclear magnetic resonance spectroscopy for rapid multi-component analysis of urine. </w:t>
      </w:r>
      <w:r w:rsidRPr="00277EC9">
        <w:rPr>
          <w:rFonts w:ascii="Calibri" w:eastAsia="Calibri" w:hAnsi="Calibri" w:cs="Calibri"/>
          <w:i/>
          <w:noProof/>
          <w:sz w:val="22"/>
          <w:szCs w:val="22"/>
          <w:lang w:val="en-US"/>
        </w:rPr>
        <w:t>Clinical chemistry,</w:t>
      </w:r>
      <w:r w:rsidRPr="00277EC9">
        <w:rPr>
          <w:rFonts w:ascii="Calibri" w:eastAsia="Calibri" w:hAnsi="Calibri" w:cs="Calibri"/>
          <w:noProof/>
          <w:sz w:val="22"/>
          <w:szCs w:val="22"/>
          <w:lang w:val="en-US"/>
        </w:rPr>
        <w:t xml:space="preserve"> 30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426-432.</w:t>
      </w:r>
    </w:p>
    <w:p w:rsidR="00C43752" w:rsidRPr="00277EC9" w:rsidRDefault="00C43752" w:rsidP="00F84E4E">
      <w:pPr>
        <w:spacing w:after="0" w:line="240" w:lineRule="auto"/>
        <w:ind w:left="720"/>
        <w:jc w:val="left"/>
        <w:rPr>
          <w:rFonts w:ascii="Calibri" w:eastAsia="Calibri" w:hAnsi="Calibri" w:cs="Calibri"/>
          <w:noProof/>
          <w:sz w:val="22"/>
          <w:szCs w:val="22"/>
          <w:lang w:val="en-US"/>
        </w:rPr>
      </w:pPr>
    </w:p>
    <w:p w:rsidR="00B02242"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BALLANTYNE, F. C., GIBBONS, J. &amp; O'REILLY, D. S. 1993. Urine albumin should replace total protein for the assessment of glomerular proteinuria. </w:t>
      </w:r>
      <w:r w:rsidRPr="00277EC9">
        <w:rPr>
          <w:rFonts w:ascii="Calibri" w:eastAsia="Calibri" w:hAnsi="Calibri" w:cs="Calibri"/>
          <w:i/>
          <w:noProof/>
          <w:sz w:val="22"/>
          <w:szCs w:val="22"/>
          <w:lang w:val="en-US"/>
        </w:rPr>
        <w:t>Ann Clin Biochem,</w:t>
      </w:r>
      <w:r w:rsidRPr="00277EC9">
        <w:rPr>
          <w:rFonts w:ascii="Calibri" w:eastAsia="Calibri" w:hAnsi="Calibri" w:cs="Calibri"/>
          <w:noProof/>
          <w:sz w:val="22"/>
          <w:szCs w:val="22"/>
          <w:lang w:val="en-US"/>
        </w:rPr>
        <w:t xml:space="preserve"> 30 ( Pt 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101-3.</w:t>
      </w:r>
    </w:p>
    <w:p w:rsidR="00FA232F" w:rsidRDefault="00FA232F" w:rsidP="00FA232F">
      <w:pPr>
        <w:spacing w:after="0" w:line="240" w:lineRule="auto"/>
        <w:ind w:left="720"/>
        <w:jc w:val="left"/>
        <w:rPr>
          <w:rFonts w:ascii="Calibri" w:eastAsia="Calibri" w:hAnsi="Calibri" w:cs="Calibri"/>
          <w:noProof/>
          <w:sz w:val="22"/>
          <w:szCs w:val="22"/>
          <w:lang w:val="en-US"/>
        </w:rPr>
      </w:pPr>
    </w:p>
    <w:p w:rsidR="00FA232F" w:rsidRDefault="00FA232F" w:rsidP="00FA232F">
      <w:pPr>
        <w:spacing w:after="0" w:line="240" w:lineRule="auto"/>
        <w:ind w:left="720"/>
        <w:jc w:val="left"/>
        <w:rPr>
          <w:rFonts w:ascii="Calibri" w:eastAsia="Calibri" w:hAnsi="Calibri" w:cs="Calibri"/>
          <w:noProof/>
          <w:sz w:val="22"/>
          <w:szCs w:val="22"/>
          <w:lang w:val="en-US"/>
        </w:rPr>
      </w:pPr>
      <w:r w:rsidRPr="00FA232F">
        <w:rPr>
          <w:rFonts w:ascii="Calibri" w:eastAsia="Calibri" w:hAnsi="Calibri" w:cs="Calibri"/>
          <w:noProof/>
          <w:sz w:val="22"/>
          <w:szCs w:val="22"/>
          <w:lang w:val="en-US"/>
        </w:rPr>
        <w:t xml:space="preserve">BANCROFT, J. D. &amp; GAMBLE, M. 2008. </w:t>
      </w:r>
      <w:r w:rsidRPr="00FA232F">
        <w:rPr>
          <w:rFonts w:ascii="Calibri" w:eastAsia="Calibri" w:hAnsi="Calibri" w:cs="Calibri"/>
          <w:i/>
          <w:noProof/>
          <w:sz w:val="22"/>
          <w:szCs w:val="22"/>
          <w:lang w:val="en-US"/>
        </w:rPr>
        <w:t>Theory and practice of histological techniques</w:t>
      </w:r>
      <w:r w:rsidRPr="00FA232F">
        <w:rPr>
          <w:rFonts w:ascii="Calibri" w:eastAsia="Calibri" w:hAnsi="Calibri" w:cs="Calibri"/>
          <w:noProof/>
          <w:sz w:val="22"/>
          <w:szCs w:val="22"/>
          <w:lang w:val="en-US"/>
        </w:rPr>
        <w:t>, Elsevier Health Sciences.</w:t>
      </w:r>
    </w:p>
    <w:p w:rsidR="00DC4D64" w:rsidRDefault="00DC4D64" w:rsidP="00DC4D64">
      <w:pPr>
        <w:spacing w:after="0" w:line="240" w:lineRule="auto"/>
        <w:ind w:left="720"/>
        <w:jc w:val="left"/>
        <w:rPr>
          <w:rFonts w:ascii="Calibri" w:eastAsia="Calibri" w:hAnsi="Calibri" w:cs="Calibri"/>
          <w:noProof/>
          <w:color w:val="FF0000"/>
          <w:sz w:val="22"/>
          <w:szCs w:val="22"/>
          <w:lang w:val="en-US"/>
        </w:rPr>
      </w:pPr>
    </w:p>
    <w:p w:rsidR="00DC4D64" w:rsidRPr="00DC4D64" w:rsidRDefault="00DC4D64" w:rsidP="00DC4D64">
      <w:pPr>
        <w:spacing w:after="0" w:line="240" w:lineRule="auto"/>
        <w:ind w:left="720"/>
        <w:jc w:val="left"/>
        <w:rPr>
          <w:rFonts w:ascii="Calibri" w:eastAsia="Calibri" w:hAnsi="Calibri" w:cs="Calibri"/>
          <w:noProof/>
          <w:sz w:val="22"/>
          <w:szCs w:val="22"/>
          <w:lang w:val="en-US"/>
        </w:rPr>
      </w:pPr>
      <w:r w:rsidRPr="00DC4D64">
        <w:rPr>
          <w:rFonts w:ascii="Calibri" w:eastAsia="Calibri" w:hAnsi="Calibri" w:cs="Calibri"/>
          <w:noProof/>
          <w:sz w:val="22"/>
          <w:szCs w:val="22"/>
          <w:lang w:val="en-US"/>
        </w:rPr>
        <w:t xml:space="preserve">BANCROFT, J. D. &amp; LAYTON, C. 2013. The Hematoxylin and eosin. </w:t>
      </w:r>
      <w:r w:rsidRPr="00DC4D64">
        <w:rPr>
          <w:rFonts w:ascii="Calibri" w:eastAsia="Calibri" w:hAnsi="Calibri" w:cs="Calibri"/>
          <w:i/>
          <w:noProof/>
          <w:sz w:val="22"/>
          <w:szCs w:val="22"/>
          <w:lang w:val="en-US"/>
        </w:rPr>
        <w:t>Theory &amp; Practice of histological techniques. 7th ed., Churchill Livingstone of El Sevier, Philadelphia</w:t>
      </w:r>
      <w:r w:rsidRPr="00DC4D64">
        <w:rPr>
          <w:rFonts w:ascii="Calibri" w:eastAsia="Calibri" w:hAnsi="Calibri" w:cs="Calibri"/>
          <w:b/>
          <w:noProof/>
          <w:sz w:val="22"/>
          <w:szCs w:val="22"/>
          <w:lang w:val="en-US"/>
        </w:rPr>
        <w:t>,</w:t>
      </w:r>
      <w:r w:rsidRPr="00DC4D64">
        <w:rPr>
          <w:rFonts w:ascii="Calibri" w:eastAsia="Calibri" w:hAnsi="Calibri" w:cs="Calibri"/>
          <w:noProof/>
          <w:sz w:val="22"/>
          <w:szCs w:val="22"/>
          <w:lang w:val="en-US"/>
        </w:rPr>
        <w:t xml:space="preserve"> 173-214.</w:t>
      </w:r>
    </w:p>
    <w:p w:rsidR="00F84E4E" w:rsidRPr="00277EC9" w:rsidRDefault="00F84E4E" w:rsidP="00DC4D64">
      <w:pPr>
        <w:spacing w:after="0" w:line="240" w:lineRule="auto"/>
        <w:jc w:val="left"/>
        <w:rPr>
          <w:rFonts w:ascii="Calibri" w:eastAsia="Calibri" w:hAnsi="Calibri" w:cs="Calibri"/>
          <w:noProof/>
          <w:sz w:val="22"/>
          <w:szCs w:val="22"/>
          <w:lang w:val="en-US"/>
        </w:rPr>
      </w:pPr>
    </w:p>
    <w:p w:rsidR="00B02242"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BASU, R., LEE, J., WANG, Z., PATEL, V. B., FAN, D., DAS, S. K., LIU, G. C., JOHN, R., SCHOLEY, J. W., OUDIT, G. Y. &amp; KASSIRI, Z. 2012. Loss of TIMP3 selectively exacerbates diabetic nephropathy. </w:t>
      </w:r>
      <w:r w:rsidRPr="00277EC9">
        <w:rPr>
          <w:rFonts w:ascii="Calibri" w:eastAsia="Calibri" w:hAnsi="Calibri" w:cs="Calibri"/>
          <w:i/>
          <w:noProof/>
          <w:sz w:val="22"/>
          <w:szCs w:val="22"/>
          <w:lang w:val="en-US"/>
        </w:rPr>
        <w:t>American Journal of Physiology-Renal Physiology,</w:t>
      </w:r>
      <w:r w:rsidRPr="00277EC9">
        <w:rPr>
          <w:rFonts w:ascii="Calibri" w:eastAsia="Calibri" w:hAnsi="Calibri" w:cs="Calibri"/>
          <w:noProof/>
          <w:sz w:val="22"/>
          <w:szCs w:val="22"/>
          <w:lang w:val="en-US"/>
        </w:rPr>
        <w:t xml:space="preserve"> 303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F1341-F1352.</w:t>
      </w:r>
    </w:p>
    <w:p w:rsidR="00C20280" w:rsidRDefault="00C20280" w:rsidP="00C20280">
      <w:pPr>
        <w:spacing w:after="0" w:line="240" w:lineRule="auto"/>
        <w:ind w:left="720"/>
        <w:jc w:val="left"/>
        <w:rPr>
          <w:rFonts w:ascii="Calibri" w:eastAsia="Calibri" w:hAnsi="Calibri" w:cs="Calibri"/>
          <w:noProof/>
          <w:sz w:val="22"/>
          <w:szCs w:val="22"/>
          <w:lang w:val="en-US"/>
        </w:rPr>
      </w:pPr>
    </w:p>
    <w:p w:rsidR="00C20280" w:rsidRDefault="00C20280" w:rsidP="00C20280">
      <w:pPr>
        <w:spacing w:after="0" w:line="240" w:lineRule="auto"/>
        <w:ind w:left="720"/>
        <w:jc w:val="left"/>
        <w:rPr>
          <w:rFonts w:ascii="Calibri" w:eastAsia="Calibri" w:hAnsi="Calibri" w:cs="Calibri"/>
          <w:noProof/>
          <w:sz w:val="22"/>
          <w:szCs w:val="22"/>
          <w:lang w:val="en-US"/>
        </w:rPr>
      </w:pPr>
      <w:r w:rsidRPr="00C20280">
        <w:rPr>
          <w:rFonts w:ascii="Calibri" w:eastAsia="Calibri" w:hAnsi="Calibri" w:cs="Calibri"/>
          <w:noProof/>
          <w:sz w:val="22"/>
          <w:szCs w:val="22"/>
          <w:lang w:val="en-US"/>
        </w:rPr>
        <w:t xml:space="preserve">BAUM, J. &amp; DUFFY, H. S. 2011. Fibroblasts and myofibroblasts: what are we talking about? </w:t>
      </w:r>
      <w:r w:rsidRPr="00C20280">
        <w:rPr>
          <w:rFonts w:ascii="Calibri" w:eastAsia="Calibri" w:hAnsi="Calibri" w:cs="Calibri"/>
          <w:i/>
          <w:noProof/>
          <w:sz w:val="22"/>
          <w:szCs w:val="22"/>
          <w:lang w:val="en-US"/>
        </w:rPr>
        <w:t>Journal of cardiovascular pharmacology,</w:t>
      </w:r>
      <w:r w:rsidRPr="00C20280">
        <w:rPr>
          <w:rFonts w:ascii="Calibri" w:eastAsia="Calibri" w:hAnsi="Calibri" w:cs="Calibri"/>
          <w:noProof/>
          <w:sz w:val="22"/>
          <w:szCs w:val="22"/>
          <w:lang w:val="en-US"/>
        </w:rPr>
        <w:t xml:space="preserve"> 57</w:t>
      </w:r>
      <w:r w:rsidRPr="00C20280">
        <w:rPr>
          <w:rFonts w:ascii="Calibri" w:eastAsia="Calibri" w:hAnsi="Calibri" w:cs="Calibri"/>
          <w:b/>
          <w:noProof/>
          <w:sz w:val="22"/>
          <w:szCs w:val="22"/>
          <w:lang w:val="en-US"/>
        </w:rPr>
        <w:t>,</w:t>
      </w:r>
      <w:r w:rsidRPr="00C20280">
        <w:rPr>
          <w:rFonts w:ascii="Calibri" w:eastAsia="Calibri" w:hAnsi="Calibri" w:cs="Calibri"/>
          <w:noProof/>
          <w:sz w:val="22"/>
          <w:szCs w:val="22"/>
          <w:lang w:val="en-US"/>
        </w:rPr>
        <w:t xml:space="preserve"> 376.</w:t>
      </w:r>
    </w:p>
    <w:p w:rsidR="00CE052D" w:rsidRDefault="00CE052D" w:rsidP="00CE052D">
      <w:pPr>
        <w:spacing w:after="0" w:line="240" w:lineRule="auto"/>
        <w:ind w:left="720"/>
        <w:jc w:val="left"/>
        <w:rPr>
          <w:rFonts w:ascii="Calibri" w:eastAsia="Calibri" w:hAnsi="Calibri" w:cs="Calibri"/>
          <w:noProof/>
          <w:color w:val="FF0000"/>
          <w:sz w:val="22"/>
          <w:szCs w:val="22"/>
          <w:lang w:val="en-US"/>
        </w:rPr>
      </w:pPr>
    </w:p>
    <w:p w:rsidR="00CE052D" w:rsidRPr="00CE052D" w:rsidRDefault="00CE052D" w:rsidP="00CE052D">
      <w:pPr>
        <w:spacing w:after="0" w:line="240" w:lineRule="auto"/>
        <w:ind w:left="720"/>
        <w:jc w:val="left"/>
        <w:rPr>
          <w:rFonts w:ascii="Calibri" w:eastAsia="Calibri" w:hAnsi="Calibri" w:cs="Calibri"/>
          <w:noProof/>
          <w:sz w:val="22"/>
          <w:szCs w:val="22"/>
          <w:lang w:val="en-US"/>
        </w:rPr>
      </w:pPr>
      <w:r w:rsidRPr="00CE052D">
        <w:rPr>
          <w:rFonts w:ascii="Calibri" w:eastAsia="Calibri" w:hAnsi="Calibri" w:cs="Calibri"/>
          <w:noProof/>
          <w:sz w:val="22"/>
          <w:szCs w:val="22"/>
          <w:lang w:val="en-US"/>
        </w:rPr>
        <w:t xml:space="preserve">BECKINGHAM, I. &amp; RYDER, S. 2001. ABC of diseases of liver, pancreas, and biliary system: Investigation of liver and biliary disease. </w:t>
      </w:r>
      <w:r w:rsidRPr="00CE052D">
        <w:rPr>
          <w:rFonts w:ascii="Calibri" w:eastAsia="Calibri" w:hAnsi="Calibri" w:cs="Calibri"/>
          <w:i/>
          <w:noProof/>
          <w:sz w:val="22"/>
          <w:szCs w:val="22"/>
          <w:lang w:val="en-US"/>
        </w:rPr>
        <w:t>BMJ: British Medical Journal,</w:t>
      </w:r>
      <w:r w:rsidRPr="00CE052D">
        <w:rPr>
          <w:rFonts w:ascii="Calibri" w:eastAsia="Calibri" w:hAnsi="Calibri" w:cs="Calibri"/>
          <w:noProof/>
          <w:sz w:val="22"/>
          <w:szCs w:val="22"/>
          <w:lang w:val="en-US"/>
        </w:rPr>
        <w:t xml:space="preserve"> 322</w:t>
      </w:r>
      <w:r w:rsidRPr="00CE052D">
        <w:rPr>
          <w:rFonts w:ascii="Calibri" w:eastAsia="Calibri" w:hAnsi="Calibri" w:cs="Calibri"/>
          <w:b/>
          <w:noProof/>
          <w:sz w:val="22"/>
          <w:szCs w:val="22"/>
          <w:lang w:val="en-US"/>
        </w:rPr>
        <w:t>,</w:t>
      </w:r>
      <w:r w:rsidRPr="00CE052D">
        <w:rPr>
          <w:rFonts w:ascii="Calibri" w:eastAsia="Calibri" w:hAnsi="Calibri" w:cs="Calibri"/>
          <w:noProof/>
          <w:sz w:val="22"/>
          <w:szCs w:val="22"/>
          <w:lang w:val="en-US"/>
        </w:rPr>
        <w:t xml:space="preserve"> 33.</w:t>
      </w:r>
    </w:p>
    <w:p w:rsidR="00096A22" w:rsidRDefault="00096A22" w:rsidP="00CE052D">
      <w:pPr>
        <w:spacing w:after="0" w:line="240" w:lineRule="auto"/>
        <w:jc w:val="left"/>
        <w:rPr>
          <w:rFonts w:ascii="Calibri" w:eastAsia="Calibri" w:hAnsi="Calibri" w:cs="Calibri"/>
          <w:noProof/>
          <w:color w:val="FF0000"/>
          <w:sz w:val="22"/>
          <w:szCs w:val="22"/>
          <w:lang w:val="en-US"/>
        </w:rPr>
      </w:pPr>
    </w:p>
    <w:p w:rsidR="00096A22" w:rsidRPr="00096A22" w:rsidRDefault="00096A22" w:rsidP="00096A22">
      <w:pPr>
        <w:spacing w:after="0" w:line="240" w:lineRule="auto"/>
        <w:ind w:left="720"/>
        <w:jc w:val="left"/>
        <w:rPr>
          <w:rFonts w:ascii="Calibri" w:hAnsi="Calibri" w:cs="Calibri"/>
          <w:noProof/>
          <w:sz w:val="22"/>
          <w:szCs w:val="22"/>
          <w:lang w:val="en-US"/>
        </w:rPr>
      </w:pPr>
      <w:r w:rsidRPr="00096A22">
        <w:rPr>
          <w:rFonts w:ascii="Calibri" w:eastAsia="Calibri" w:hAnsi="Calibri" w:cs="Calibri"/>
          <w:noProof/>
          <w:sz w:val="22"/>
          <w:szCs w:val="22"/>
          <w:lang w:val="en-US"/>
        </w:rPr>
        <w:t xml:space="preserve">BEHRENDT, N., ANDREASEN, P. A. &amp; KELD, D. 2003. The pro-urokinase plasminogen-activation system in the presence of serpin-type inhibitors and the urokinase receptor: rescue of activity through reciprocal pro-enzyme activation. </w:t>
      </w:r>
      <w:r w:rsidRPr="00096A22">
        <w:rPr>
          <w:rFonts w:ascii="Calibri" w:eastAsia="Calibri" w:hAnsi="Calibri" w:cs="Calibri"/>
          <w:i/>
          <w:noProof/>
          <w:sz w:val="22"/>
          <w:szCs w:val="22"/>
          <w:lang w:val="en-US"/>
        </w:rPr>
        <w:t>Biochemical Journal,</w:t>
      </w:r>
      <w:r w:rsidRPr="00096A22">
        <w:rPr>
          <w:rFonts w:ascii="Calibri" w:eastAsia="Calibri" w:hAnsi="Calibri" w:cs="Calibri"/>
          <w:noProof/>
          <w:sz w:val="22"/>
          <w:szCs w:val="22"/>
          <w:lang w:val="en-US"/>
        </w:rPr>
        <w:t xml:space="preserve"> 371</w:t>
      </w:r>
      <w:r w:rsidRPr="00096A22">
        <w:rPr>
          <w:rFonts w:ascii="Calibri" w:eastAsia="Calibri" w:hAnsi="Calibri" w:cs="Calibri"/>
          <w:b/>
          <w:noProof/>
          <w:sz w:val="22"/>
          <w:szCs w:val="22"/>
          <w:lang w:val="en-US"/>
        </w:rPr>
        <w:t>,</w:t>
      </w:r>
      <w:r w:rsidRPr="00096A22">
        <w:rPr>
          <w:rFonts w:ascii="Calibri" w:eastAsia="Calibri" w:hAnsi="Calibri" w:cs="Calibri"/>
          <w:noProof/>
          <w:sz w:val="22"/>
          <w:szCs w:val="22"/>
          <w:lang w:val="en-US"/>
        </w:rPr>
        <w:t xml:space="preserve"> 277-287.</w:t>
      </w:r>
    </w:p>
    <w:p w:rsidR="00F84E4E" w:rsidRPr="00277EC9" w:rsidRDefault="00F84E4E" w:rsidP="00C20280">
      <w:pPr>
        <w:spacing w:after="0" w:line="240" w:lineRule="auto"/>
        <w:jc w:val="left"/>
        <w:rPr>
          <w:rFonts w:ascii="Calibri" w:eastAsia="Calibri" w:hAnsi="Calibri" w:cs="Calibri"/>
          <w:noProof/>
          <w:sz w:val="22"/>
          <w:szCs w:val="22"/>
          <w:lang w:val="en-US"/>
        </w:rPr>
      </w:pPr>
    </w:p>
    <w:p w:rsidR="00B02242" w:rsidRPr="00277EC9"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BEIER, K., EPPANAPALLY, S., BAZICK, H. S., CHANG, D., MAHADEVAPPA, K., GIBBONS, F. K. &amp; CHRISTOPHER, K. B. 2011. Elevation of BUN is predictive of long-term mortality in critically ill patients independent of 'normal' creatinine. </w:t>
      </w:r>
      <w:r w:rsidRPr="00277EC9">
        <w:rPr>
          <w:rFonts w:ascii="Calibri" w:eastAsia="Calibri" w:hAnsi="Calibri" w:cs="Calibri"/>
          <w:i/>
          <w:noProof/>
          <w:sz w:val="22"/>
          <w:szCs w:val="22"/>
          <w:lang w:val="en-US"/>
        </w:rPr>
        <w:t>Critical care medicine,</w:t>
      </w:r>
      <w:r w:rsidRPr="00277EC9">
        <w:rPr>
          <w:rFonts w:ascii="Calibri" w:eastAsia="Calibri" w:hAnsi="Calibri" w:cs="Calibri"/>
          <w:noProof/>
          <w:sz w:val="22"/>
          <w:szCs w:val="22"/>
          <w:lang w:val="en-US"/>
        </w:rPr>
        <w:t xml:space="preserve"> 39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305-313.</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Default="00B02242" w:rsidP="00F84E4E">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BELLO, A. K., NWANKWO, E. &amp; EL NAHAS, A. M. 2005. Prevention of chronic kidney disease: A global challenge. </w:t>
      </w:r>
      <w:r w:rsidRPr="00277EC9">
        <w:rPr>
          <w:rFonts w:ascii="Calibri" w:eastAsia="Calibri" w:hAnsi="Calibri" w:cs="Calibri"/>
          <w:i/>
          <w:noProof/>
          <w:sz w:val="22"/>
          <w:szCs w:val="22"/>
          <w:lang w:val="en-US"/>
        </w:rPr>
        <w:t>Kidney International,</w:t>
      </w:r>
      <w:r w:rsidRPr="00277EC9">
        <w:rPr>
          <w:rFonts w:ascii="Calibri" w:eastAsia="Calibri" w:hAnsi="Calibri" w:cs="Calibri"/>
          <w:noProof/>
          <w:sz w:val="22"/>
          <w:szCs w:val="22"/>
          <w:lang w:val="en-US"/>
        </w:rPr>
        <w:t xml:space="preserve"> 68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S11-S17.</w:t>
      </w:r>
    </w:p>
    <w:p w:rsidR="00C20280" w:rsidRDefault="00C20280" w:rsidP="00C20280">
      <w:pPr>
        <w:spacing w:after="0" w:line="240" w:lineRule="auto"/>
        <w:ind w:left="720"/>
        <w:jc w:val="left"/>
        <w:rPr>
          <w:rFonts w:ascii="Calibri" w:eastAsia="Calibri" w:hAnsi="Calibri" w:cs="Calibri"/>
          <w:noProof/>
          <w:sz w:val="22"/>
          <w:szCs w:val="22"/>
          <w:lang w:val="en-US"/>
        </w:rPr>
      </w:pPr>
    </w:p>
    <w:p w:rsidR="00C20280" w:rsidRPr="00C20280" w:rsidRDefault="00C20280" w:rsidP="00C20280">
      <w:pPr>
        <w:spacing w:after="0" w:line="240" w:lineRule="auto"/>
        <w:ind w:left="720"/>
        <w:jc w:val="left"/>
        <w:rPr>
          <w:rFonts w:ascii="Calibri" w:eastAsia="Calibri" w:hAnsi="Calibri" w:cs="Calibri"/>
          <w:noProof/>
          <w:sz w:val="22"/>
          <w:szCs w:val="22"/>
          <w:lang w:val="en-US"/>
        </w:rPr>
      </w:pPr>
      <w:r w:rsidRPr="00C20280">
        <w:rPr>
          <w:rFonts w:ascii="Calibri" w:eastAsia="Calibri" w:hAnsi="Calibri" w:cs="Calibri"/>
          <w:noProof/>
          <w:sz w:val="22"/>
          <w:szCs w:val="22"/>
          <w:lang w:val="en-US"/>
        </w:rPr>
        <w:t xml:space="preserve">BERNIK, M. B. 1973. Increased plasminogen activator (urokinase) in tissue culture after fibrin deposition. </w:t>
      </w:r>
      <w:r w:rsidRPr="00C20280">
        <w:rPr>
          <w:rFonts w:ascii="Calibri" w:eastAsia="Calibri" w:hAnsi="Calibri" w:cs="Calibri"/>
          <w:i/>
          <w:noProof/>
          <w:sz w:val="22"/>
          <w:szCs w:val="22"/>
          <w:lang w:val="en-US"/>
        </w:rPr>
        <w:t>Journal of Clinical Investigation,</w:t>
      </w:r>
      <w:r w:rsidRPr="00C20280">
        <w:rPr>
          <w:rFonts w:ascii="Calibri" w:eastAsia="Calibri" w:hAnsi="Calibri" w:cs="Calibri"/>
          <w:noProof/>
          <w:sz w:val="22"/>
          <w:szCs w:val="22"/>
          <w:lang w:val="en-US"/>
        </w:rPr>
        <w:t xml:space="preserve"> 52</w:t>
      </w:r>
      <w:r w:rsidRPr="00C20280">
        <w:rPr>
          <w:rFonts w:ascii="Calibri" w:eastAsia="Calibri" w:hAnsi="Calibri" w:cs="Calibri"/>
          <w:b/>
          <w:noProof/>
          <w:sz w:val="22"/>
          <w:szCs w:val="22"/>
          <w:lang w:val="en-US"/>
        </w:rPr>
        <w:t>,</w:t>
      </w:r>
      <w:r w:rsidRPr="00C20280">
        <w:rPr>
          <w:rFonts w:ascii="Calibri" w:eastAsia="Calibri" w:hAnsi="Calibri" w:cs="Calibri"/>
          <w:noProof/>
          <w:sz w:val="22"/>
          <w:szCs w:val="22"/>
          <w:lang w:val="en-US"/>
        </w:rPr>
        <w:t xml:space="preserve"> 823.</w:t>
      </w:r>
    </w:p>
    <w:p w:rsidR="00215DAE" w:rsidRDefault="00215DAE" w:rsidP="00215DAE">
      <w:pPr>
        <w:spacing w:after="0" w:line="240" w:lineRule="auto"/>
        <w:ind w:left="720"/>
        <w:jc w:val="left"/>
        <w:rPr>
          <w:rFonts w:ascii="Calibri" w:eastAsia="Calibri" w:hAnsi="Calibri" w:cs="Calibri"/>
          <w:noProof/>
          <w:color w:val="FF0000"/>
          <w:sz w:val="22"/>
          <w:szCs w:val="22"/>
          <w:lang w:val="en-US"/>
        </w:rPr>
      </w:pPr>
    </w:p>
    <w:p w:rsidR="00215DAE" w:rsidRDefault="00215DAE" w:rsidP="00215DAE">
      <w:pPr>
        <w:spacing w:after="0" w:line="240" w:lineRule="auto"/>
        <w:ind w:left="720"/>
        <w:jc w:val="left"/>
        <w:rPr>
          <w:rFonts w:ascii="Calibri" w:eastAsia="Calibri" w:hAnsi="Calibri" w:cs="Calibri"/>
          <w:noProof/>
          <w:sz w:val="22"/>
          <w:szCs w:val="22"/>
          <w:lang w:val="en-US"/>
        </w:rPr>
      </w:pPr>
      <w:r w:rsidRPr="00215DAE">
        <w:rPr>
          <w:rFonts w:ascii="Calibri" w:eastAsia="Calibri" w:hAnsi="Calibri" w:cs="Calibri"/>
          <w:noProof/>
          <w:sz w:val="22"/>
          <w:szCs w:val="22"/>
          <w:lang w:val="en-US"/>
        </w:rPr>
        <w:t xml:space="preserve">BOFFA, M. B., BELL, R., STEVENS, W. K. &amp; NESHEIM, M. E. 2000. Roles of thermal instability and proteolytic cleavage in regulation of activated thrombin-activable fibrinolysis inhibitor. </w:t>
      </w:r>
      <w:r w:rsidRPr="00215DAE">
        <w:rPr>
          <w:rFonts w:ascii="Calibri" w:eastAsia="Calibri" w:hAnsi="Calibri" w:cs="Calibri"/>
          <w:i/>
          <w:noProof/>
          <w:sz w:val="22"/>
          <w:szCs w:val="22"/>
          <w:lang w:val="en-US"/>
        </w:rPr>
        <w:t>Journal of Biological Chemistry,</w:t>
      </w:r>
      <w:r w:rsidRPr="00215DAE">
        <w:rPr>
          <w:rFonts w:ascii="Calibri" w:eastAsia="Calibri" w:hAnsi="Calibri" w:cs="Calibri"/>
          <w:noProof/>
          <w:sz w:val="22"/>
          <w:szCs w:val="22"/>
          <w:lang w:val="en-US"/>
        </w:rPr>
        <w:t xml:space="preserve"> 275</w:t>
      </w:r>
      <w:r w:rsidRPr="00215DAE">
        <w:rPr>
          <w:rFonts w:ascii="Calibri" w:eastAsia="Calibri" w:hAnsi="Calibri" w:cs="Calibri"/>
          <w:b/>
          <w:noProof/>
          <w:sz w:val="22"/>
          <w:szCs w:val="22"/>
          <w:lang w:val="en-US"/>
        </w:rPr>
        <w:t>,</w:t>
      </w:r>
      <w:r w:rsidRPr="00215DAE">
        <w:rPr>
          <w:rFonts w:ascii="Calibri" w:eastAsia="Calibri" w:hAnsi="Calibri" w:cs="Calibri"/>
          <w:noProof/>
          <w:sz w:val="22"/>
          <w:szCs w:val="22"/>
          <w:lang w:val="en-US"/>
        </w:rPr>
        <w:t xml:space="preserve"> 12868-12878.</w:t>
      </w:r>
    </w:p>
    <w:p w:rsidR="00141D63" w:rsidRDefault="00141D63" w:rsidP="00141D63">
      <w:pPr>
        <w:spacing w:after="0" w:line="240" w:lineRule="auto"/>
        <w:ind w:left="720"/>
        <w:jc w:val="left"/>
        <w:rPr>
          <w:rFonts w:ascii="Calibri" w:eastAsia="Calibri" w:hAnsi="Calibri" w:cs="Calibri"/>
          <w:noProof/>
          <w:color w:val="FF0000"/>
          <w:sz w:val="22"/>
          <w:szCs w:val="22"/>
          <w:lang w:val="en-US"/>
        </w:rPr>
      </w:pPr>
    </w:p>
    <w:p w:rsidR="00141D63" w:rsidRPr="00141D63" w:rsidRDefault="00141D63" w:rsidP="00141D63">
      <w:pPr>
        <w:spacing w:after="0" w:line="240" w:lineRule="auto"/>
        <w:ind w:left="720"/>
        <w:jc w:val="left"/>
        <w:rPr>
          <w:rFonts w:ascii="Calibri" w:eastAsia="Calibri" w:hAnsi="Calibri" w:cs="Calibri"/>
          <w:noProof/>
          <w:sz w:val="22"/>
          <w:szCs w:val="22"/>
          <w:lang w:val="en-US"/>
        </w:rPr>
      </w:pPr>
      <w:r w:rsidRPr="00141D63">
        <w:rPr>
          <w:rFonts w:ascii="Calibri" w:eastAsia="Calibri" w:hAnsi="Calibri" w:cs="Calibri"/>
          <w:noProof/>
          <w:sz w:val="22"/>
          <w:szCs w:val="22"/>
          <w:lang w:val="en-US"/>
        </w:rPr>
        <w:t xml:space="preserve">BONADIO, M., MEINI, M., GIGLI, C., LONGO, B. &amp; VIGNA, A. 1999. Urinary tract infection in diabetic patients. </w:t>
      </w:r>
      <w:r w:rsidRPr="00141D63">
        <w:rPr>
          <w:rFonts w:ascii="Calibri" w:eastAsia="Calibri" w:hAnsi="Calibri" w:cs="Calibri"/>
          <w:i/>
          <w:noProof/>
          <w:sz w:val="22"/>
          <w:szCs w:val="22"/>
          <w:lang w:val="en-US"/>
        </w:rPr>
        <w:t>Urol Int,</w:t>
      </w:r>
      <w:r w:rsidRPr="00141D63">
        <w:rPr>
          <w:rFonts w:ascii="Calibri" w:eastAsia="Calibri" w:hAnsi="Calibri" w:cs="Calibri"/>
          <w:noProof/>
          <w:sz w:val="22"/>
          <w:szCs w:val="22"/>
          <w:lang w:val="en-US"/>
        </w:rPr>
        <w:t xml:space="preserve"> 63</w:t>
      </w:r>
      <w:r w:rsidRPr="00141D63">
        <w:rPr>
          <w:rFonts w:ascii="Calibri" w:eastAsia="Calibri" w:hAnsi="Calibri" w:cs="Calibri"/>
          <w:b/>
          <w:noProof/>
          <w:sz w:val="22"/>
          <w:szCs w:val="22"/>
          <w:lang w:val="en-US"/>
        </w:rPr>
        <w:t>,</w:t>
      </w:r>
      <w:r w:rsidRPr="00141D63">
        <w:rPr>
          <w:rFonts w:ascii="Calibri" w:eastAsia="Calibri" w:hAnsi="Calibri" w:cs="Calibri"/>
          <w:noProof/>
          <w:sz w:val="22"/>
          <w:szCs w:val="22"/>
          <w:lang w:val="en-US"/>
        </w:rPr>
        <w:t xml:space="preserve"> 215-9.</w:t>
      </w:r>
    </w:p>
    <w:p w:rsidR="00C23D2E" w:rsidRDefault="00C23D2E" w:rsidP="00141D63">
      <w:pPr>
        <w:spacing w:after="0" w:line="240" w:lineRule="auto"/>
        <w:jc w:val="left"/>
        <w:rPr>
          <w:rFonts w:ascii="Calibri" w:eastAsia="Calibri" w:hAnsi="Calibri" w:cs="Calibri"/>
          <w:noProof/>
          <w:sz w:val="22"/>
          <w:szCs w:val="22"/>
          <w:lang w:val="en-US"/>
        </w:rPr>
      </w:pPr>
    </w:p>
    <w:p w:rsidR="00C23D2E" w:rsidRPr="00C23D2E" w:rsidRDefault="00C23D2E" w:rsidP="00C23D2E">
      <w:pPr>
        <w:spacing w:after="0" w:line="240" w:lineRule="auto"/>
        <w:ind w:left="720"/>
        <w:jc w:val="left"/>
        <w:rPr>
          <w:rFonts w:ascii="Calibri" w:eastAsia="Calibri" w:hAnsi="Calibri" w:cs="Calibri"/>
          <w:noProof/>
          <w:sz w:val="22"/>
          <w:szCs w:val="22"/>
          <w:lang w:val="en-US"/>
        </w:rPr>
      </w:pPr>
      <w:r w:rsidRPr="00C23D2E">
        <w:rPr>
          <w:rFonts w:ascii="Calibri" w:eastAsia="Calibri" w:hAnsi="Calibri" w:cs="Calibri"/>
          <w:noProof/>
          <w:sz w:val="22"/>
          <w:szCs w:val="22"/>
          <w:lang w:val="en-US"/>
        </w:rPr>
        <w:t xml:space="preserve">BONNANS, C., CHOU, J. &amp; WERB, Z. 2014. Remodelling the extracellular matrix in development and disease. </w:t>
      </w:r>
      <w:r w:rsidRPr="00C23D2E">
        <w:rPr>
          <w:rFonts w:ascii="Calibri" w:eastAsia="Calibri" w:hAnsi="Calibri" w:cs="Calibri"/>
          <w:i/>
          <w:noProof/>
          <w:sz w:val="22"/>
          <w:szCs w:val="22"/>
          <w:lang w:val="en-US"/>
        </w:rPr>
        <w:t>Nature reviews Molecular cell biology,</w:t>
      </w:r>
      <w:r w:rsidRPr="00C23D2E">
        <w:rPr>
          <w:rFonts w:ascii="Calibri" w:eastAsia="Calibri" w:hAnsi="Calibri" w:cs="Calibri"/>
          <w:noProof/>
          <w:sz w:val="22"/>
          <w:szCs w:val="22"/>
          <w:lang w:val="en-US"/>
        </w:rPr>
        <w:t xml:space="preserve"> 15</w:t>
      </w:r>
      <w:r w:rsidRPr="00C23D2E">
        <w:rPr>
          <w:rFonts w:ascii="Calibri" w:eastAsia="Calibri" w:hAnsi="Calibri" w:cs="Calibri"/>
          <w:b/>
          <w:noProof/>
          <w:sz w:val="22"/>
          <w:szCs w:val="22"/>
          <w:lang w:val="en-US"/>
        </w:rPr>
        <w:t>,</w:t>
      </w:r>
      <w:r w:rsidRPr="00C23D2E">
        <w:rPr>
          <w:rFonts w:ascii="Calibri" w:eastAsia="Calibri" w:hAnsi="Calibri" w:cs="Calibri"/>
          <w:noProof/>
          <w:sz w:val="22"/>
          <w:szCs w:val="22"/>
          <w:lang w:val="en-US"/>
        </w:rPr>
        <w:t xml:space="preserve"> 786-801.</w:t>
      </w:r>
    </w:p>
    <w:p w:rsidR="00F84E4E" w:rsidRPr="00277EC9" w:rsidRDefault="00F84E4E" w:rsidP="00F84E4E">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BORNFELDT, K. E., RAINES, E. W., NAKANO, T., GRAVES, L. M., KREBS, E. G. &amp; ROSS, R. 1994. Insulin-like growth factor-I and platelet-derived growth factor-BB induce directed migration </w:t>
      </w:r>
      <w:r w:rsidRPr="00277EC9">
        <w:rPr>
          <w:rFonts w:ascii="Calibri" w:eastAsia="Calibri" w:hAnsi="Calibri" w:cs="Calibri"/>
          <w:noProof/>
          <w:sz w:val="22"/>
          <w:szCs w:val="22"/>
          <w:lang w:val="en-US"/>
        </w:rPr>
        <w:lastRenderedPageBreak/>
        <w:t xml:space="preserve">of human arterial smooth muscle cells via signaling pathways that are distinct from those of proliferation. </w:t>
      </w:r>
      <w:r w:rsidRPr="00277EC9">
        <w:rPr>
          <w:rFonts w:ascii="Calibri" w:eastAsia="Calibri" w:hAnsi="Calibri" w:cs="Calibri"/>
          <w:i/>
          <w:noProof/>
          <w:sz w:val="22"/>
          <w:szCs w:val="22"/>
          <w:lang w:val="en-US"/>
        </w:rPr>
        <w:t>Journal of Clinical Investigation,</w:t>
      </w:r>
      <w:r w:rsidRPr="00277EC9">
        <w:rPr>
          <w:rFonts w:ascii="Calibri" w:eastAsia="Calibri" w:hAnsi="Calibri" w:cs="Calibri"/>
          <w:noProof/>
          <w:sz w:val="22"/>
          <w:szCs w:val="22"/>
          <w:lang w:val="en-US"/>
        </w:rPr>
        <w:t xml:space="preserve"> 93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1266.</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BOUMA, B. N. &amp; MEIJERS, J. C. M. 2003. Thrombin- activatable fibrinolysis inhibitor ( TAFI, plasma procarboxypeptidase B, procarboxypeptidase R, procarboxypeptidase U). </w:t>
      </w:r>
      <w:r w:rsidRPr="00277EC9">
        <w:rPr>
          <w:rFonts w:ascii="Calibri" w:eastAsia="Calibri" w:hAnsi="Calibri" w:cs="Calibri"/>
          <w:i/>
          <w:noProof/>
          <w:sz w:val="22"/>
          <w:szCs w:val="22"/>
          <w:lang w:val="en-US"/>
        </w:rPr>
        <w:t>J. Thromb. Haemost.,</w:t>
      </w:r>
      <w:r w:rsidRPr="00277EC9">
        <w:rPr>
          <w:rFonts w:ascii="Calibri" w:eastAsia="Calibri" w:hAnsi="Calibri" w:cs="Calibri"/>
          <w:noProof/>
          <w:sz w:val="22"/>
          <w:szCs w:val="22"/>
          <w:lang w:val="en-US"/>
        </w:rPr>
        <w:t xml:space="preserve"> 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1566-1574.</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BOUMA, B. N. &amp; MOSNIER, L. O. 2006. Thrombin activatable fibrinolysis inhibitor (TAFI)--how does thrombin regulate fibrinolysis? </w:t>
      </w:r>
      <w:r w:rsidRPr="00277EC9">
        <w:rPr>
          <w:rFonts w:ascii="Calibri" w:eastAsia="Calibri" w:hAnsi="Calibri" w:cs="Calibri"/>
          <w:i/>
          <w:noProof/>
          <w:sz w:val="22"/>
          <w:szCs w:val="22"/>
          <w:lang w:val="en-US"/>
        </w:rPr>
        <w:t>Ann Med,</w:t>
      </w:r>
      <w:r w:rsidRPr="00277EC9">
        <w:rPr>
          <w:rFonts w:ascii="Calibri" w:eastAsia="Calibri" w:hAnsi="Calibri" w:cs="Calibri"/>
          <w:noProof/>
          <w:sz w:val="22"/>
          <w:szCs w:val="22"/>
          <w:lang w:val="en-US"/>
        </w:rPr>
        <w:t xml:space="preserve"> 38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378-88.</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BRĂSLAŞU, M., BRĂSLAŞU, E. D. &amp; BRĂDĂŁAN, C. 2007. Experimental studies regarding the diabetes mellitus induced in white wistar rats.</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BUNNAGE, M. E., BLAGG, J., STEELE, J., OWEN, D. R., ALLERTON, C., MEELROY, A. B., MILLER, D., RINGER, T., BUTCHER, K., BEAUMONT, K., EVANS, K., GRAY, A. J., HOLLAND, S. J., FEEDER, N., MOORE, R. S. &amp; BROWN, D. G. 2007. Discovery of potent &amp; selective inhibitors of activated thrombin-activatable fibrinolysis inhibitor for the treatment of thrombosis. </w:t>
      </w:r>
      <w:r w:rsidRPr="00277EC9">
        <w:rPr>
          <w:rFonts w:ascii="Calibri" w:eastAsia="Calibri" w:hAnsi="Calibri" w:cs="Calibri"/>
          <w:i/>
          <w:noProof/>
          <w:sz w:val="22"/>
          <w:szCs w:val="22"/>
          <w:lang w:val="en-US"/>
        </w:rPr>
        <w:t>Journal of Medicinal Chemistry,</w:t>
      </w:r>
      <w:r w:rsidRPr="00277EC9">
        <w:rPr>
          <w:rFonts w:ascii="Calibri" w:eastAsia="Calibri" w:hAnsi="Calibri" w:cs="Calibri"/>
          <w:noProof/>
          <w:sz w:val="22"/>
          <w:szCs w:val="22"/>
          <w:lang w:val="en-US"/>
        </w:rPr>
        <w:t xml:space="preserve"> 50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6095-6103.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BURKHARDT, A. E., JOHNSTON, K. G., WASZAK, C. E., JACKSON, C. E. &amp; SHAFER, S. R. 1982. A reagent strip for measuring the specific gravity of urine. </w:t>
      </w:r>
      <w:r w:rsidRPr="00277EC9">
        <w:rPr>
          <w:rFonts w:ascii="Calibri" w:eastAsia="Calibri" w:hAnsi="Calibri" w:cs="Calibri"/>
          <w:i/>
          <w:noProof/>
          <w:sz w:val="22"/>
          <w:szCs w:val="22"/>
          <w:lang w:val="en-US"/>
        </w:rPr>
        <w:t>Clin Chem,</w:t>
      </w:r>
      <w:r w:rsidRPr="00277EC9">
        <w:rPr>
          <w:rFonts w:ascii="Calibri" w:eastAsia="Calibri" w:hAnsi="Calibri" w:cs="Calibri"/>
          <w:noProof/>
          <w:sz w:val="22"/>
          <w:szCs w:val="22"/>
          <w:lang w:val="en-US"/>
        </w:rPr>
        <w:t xml:space="preserve"> 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2068-72.</w:t>
      </w:r>
    </w:p>
    <w:p w:rsidR="002E1E10" w:rsidRPr="002E1E10" w:rsidRDefault="002E1E10" w:rsidP="0074329C">
      <w:pPr>
        <w:spacing w:after="0" w:line="240" w:lineRule="auto"/>
        <w:ind w:left="720"/>
        <w:jc w:val="left"/>
        <w:rPr>
          <w:rFonts w:ascii="Calibri" w:eastAsia="Calibri" w:hAnsi="Calibri" w:cs="Calibri"/>
          <w:noProof/>
          <w:sz w:val="22"/>
          <w:szCs w:val="22"/>
          <w:lang w:val="en-US"/>
        </w:rPr>
      </w:pPr>
    </w:p>
    <w:p w:rsidR="002E1E10" w:rsidRDefault="002E1E10" w:rsidP="002E1E10">
      <w:pPr>
        <w:spacing w:after="0" w:line="240" w:lineRule="auto"/>
        <w:ind w:left="720"/>
        <w:jc w:val="left"/>
        <w:rPr>
          <w:rFonts w:ascii="Calibri" w:eastAsia="Calibri" w:hAnsi="Calibri" w:cs="Calibri"/>
          <w:noProof/>
          <w:sz w:val="22"/>
          <w:szCs w:val="22"/>
          <w:lang w:val="en-US"/>
        </w:rPr>
      </w:pPr>
      <w:r w:rsidRPr="002E1E10">
        <w:rPr>
          <w:rFonts w:ascii="Calibri" w:eastAsia="Calibri" w:hAnsi="Calibri" w:cs="Calibri"/>
          <w:noProof/>
          <w:sz w:val="22"/>
          <w:szCs w:val="22"/>
          <w:lang w:val="en-US"/>
        </w:rPr>
        <w:t xml:space="preserve">BUTTLE, D. J., ABRAHAMSON, M. &amp; BARRETT, A. J. 1986. The biochemistry of the action of chymopapain in relief of sciatica. </w:t>
      </w:r>
      <w:r w:rsidRPr="002E1E10">
        <w:rPr>
          <w:rFonts w:ascii="Calibri" w:eastAsia="Calibri" w:hAnsi="Calibri" w:cs="Calibri"/>
          <w:i/>
          <w:noProof/>
          <w:sz w:val="22"/>
          <w:szCs w:val="22"/>
          <w:lang w:val="en-US"/>
        </w:rPr>
        <w:t>Spine,</w:t>
      </w:r>
      <w:r w:rsidRPr="002E1E10">
        <w:rPr>
          <w:rFonts w:ascii="Calibri" w:eastAsia="Calibri" w:hAnsi="Calibri" w:cs="Calibri"/>
          <w:noProof/>
          <w:sz w:val="22"/>
          <w:szCs w:val="22"/>
          <w:lang w:val="en-US"/>
        </w:rPr>
        <w:t xml:space="preserve"> 11</w:t>
      </w:r>
      <w:r w:rsidRPr="002E1E10">
        <w:rPr>
          <w:rFonts w:ascii="Calibri" w:eastAsia="Calibri" w:hAnsi="Calibri" w:cs="Calibri"/>
          <w:b/>
          <w:noProof/>
          <w:sz w:val="22"/>
          <w:szCs w:val="22"/>
          <w:lang w:val="en-US"/>
        </w:rPr>
        <w:t>,</w:t>
      </w:r>
      <w:r w:rsidRPr="002E1E10">
        <w:rPr>
          <w:rFonts w:ascii="Calibri" w:eastAsia="Calibri" w:hAnsi="Calibri" w:cs="Calibri"/>
          <w:noProof/>
          <w:sz w:val="22"/>
          <w:szCs w:val="22"/>
          <w:lang w:val="en-US"/>
        </w:rPr>
        <w:t xml:space="preserve"> 688-694.</w:t>
      </w:r>
    </w:p>
    <w:p w:rsidR="00366FD8" w:rsidRDefault="00366FD8" w:rsidP="00366FD8">
      <w:pPr>
        <w:spacing w:after="0" w:line="240" w:lineRule="auto"/>
        <w:ind w:left="720"/>
        <w:jc w:val="left"/>
        <w:rPr>
          <w:rFonts w:ascii="Calibri" w:eastAsia="Calibri" w:hAnsi="Calibri" w:cs="Calibri"/>
          <w:noProof/>
          <w:color w:val="FF0000"/>
          <w:sz w:val="22"/>
          <w:szCs w:val="22"/>
          <w:lang w:val="en-US"/>
        </w:rPr>
      </w:pPr>
    </w:p>
    <w:p w:rsidR="00366FD8" w:rsidRPr="00366FD8" w:rsidRDefault="00366FD8" w:rsidP="00366FD8">
      <w:pPr>
        <w:spacing w:after="0" w:line="240" w:lineRule="auto"/>
        <w:ind w:left="720"/>
        <w:jc w:val="left"/>
        <w:rPr>
          <w:rFonts w:ascii="Calibri" w:eastAsia="Calibri" w:hAnsi="Calibri" w:cs="Calibri"/>
          <w:noProof/>
          <w:sz w:val="22"/>
          <w:szCs w:val="22"/>
          <w:lang w:val="en-US"/>
        </w:rPr>
      </w:pPr>
      <w:r w:rsidRPr="00366FD8">
        <w:rPr>
          <w:rFonts w:ascii="Calibri" w:eastAsia="Calibri" w:hAnsi="Calibri" w:cs="Calibri"/>
          <w:noProof/>
          <w:sz w:val="22"/>
          <w:szCs w:val="22"/>
          <w:lang w:val="en-US"/>
        </w:rPr>
        <w:t xml:space="preserve">CADAVAL, R. A., KOHLMAN, O. &amp; MICHELACCI, Y. M. 2000. Urinary excretion of glycosaminoglycans and albumin in experimental diabetes mellitus. </w:t>
      </w:r>
      <w:r w:rsidRPr="00366FD8">
        <w:rPr>
          <w:rFonts w:ascii="Calibri" w:eastAsia="Calibri" w:hAnsi="Calibri" w:cs="Calibri"/>
          <w:i/>
          <w:noProof/>
          <w:sz w:val="22"/>
          <w:szCs w:val="22"/>
          <w:lang w:val="en-US"/>
        </w:rPr>
        <w:t>Glycobiology,</w:t>
      </w:r>
      <w:r w:rsidRPr="00366FD8">
        <w:rPr>
          <w:rFonts w:ascii="Calibri" w:eastAsia="Calibri" w:hAnsi="Calibri" w:cs="Calibri"/>
          <w:noProof/>
          <w:sz w:val="22"/>
          <w:szCs w:val="22"/>
          <w:lang w:val="en-US"/>
        </w:rPr>
        <w:t xml:space="preserve"> 10</w:t>
      </w:r>
      <w:r w:rsidRPr="00366FD8">
        <w:rPr>
          <w:rFonts w:ascii="Calibri" w:eastAsia="Calibri" w:hAnsi="Calibri" w:cs="Calibri"/>
          <w:b/>
          <w:noProof/>
          <w:sz w:val="22"/>
          <w:szCs w:val="22"/>
          <w:lang w:val="en-US"/>
        </w:rPr>
        <w:t>,</w:t>
      </w:r>
      <w:r w:rsidRPr="00366FD8">
        <w:rPr>
          <w:rFonts w:ascii="Calibri" w:eastAsia="Calibri" w:hAnsi="Calibri" w:cs="Calibri"/>
          <w:noProof/>
          <w:sz w:val="22"/>
          <w:szCs w:val="22"/>
          <w:lang w:val="en-US"/>
        </w:rPr>
        <w:t xml:space="preserve"> 185-192.</w:t>
      </w:r>
    </w:p>
    <w:p w:rsidR="0074329C" w:rsidRPr="00277EC9" w:rsidRDefault="0074329C" w:rsidP="002E1E10">
      <w:pPr>
        <w:spacing w:after="0" w:line="240" w:lineRule="auto"/>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CALVARUSO, V., BURROUGHS, A. K., STANDISH, R., MANOUSOU, P., GRILLO, F., LEANDRO, G., MAIMONE, S., PLEGUEZUELO, M., XIROUCHAKIS, I., PIERO GUERRINI, G., PATCH, D., YU, D., O'BEIRNE, J. &amp; DHILLON, A. P. 2009. Computer-assisted image analysis of liver collagen: Relationship to Ishak scoring and hepatic venous pressure gradient. </w:t>
      </w:r>
      <w:r w:rsidRPr="00277EC9">
        <w:rPr>
          <w:rFonts w:ascii="Calibri" w:eastAsia="Calibri" w:hAnsi="Calibri" w:cs="Calibri"/>
          <w:i/>
          <w:noProof/>
          <w:sz w:val="22"/>
          <w:szCs w:val="22"/>
          <w:lang w:val="en-US"/>
        </w:rPr>
        <w:t>Hepatology,</w:t>
      </w:r>
      <w:r w:rsidRPr="00277EC9">
        <w:rPr>
          <w:rFonts w:ascii="Calibri" w:eastAsia="Calibri" w:hAnsi="Calibri" w:cs="Calibri"/>
          <w:noProof/>
          <w:sz w:val="22"/>
          <w:szCs w:val="22"/>
          <w:lang w:val="en-US"/>
        </w:rPr>
        <w:t xml:space="preserve"> 49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1236-1244.</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CALVET, H. M. &amp; YOSHIKAWA, T. T. 2001. INFECTIONS IN DIABETES. </w:t>
      </w:r>
      <w:r w:rsidRPr="00277EC9">
        <w:rPr>
          <w:rFonts w:ascii="Calibri" w:eastAsia="Calibri" w:hAnsi="Calibri" w:cs="Calibri"/>
          <w:i/>
          <w:noProof/>
          <w:sz w:val="22"/>
          <w:szCs w:val="22"/>
          <w:lang w:val="en-US"/>
        </w:rPr>
        <w:t>Infectious Disease Clinics of North America,</w:t>
      </w:r>
      <w:r w:rsidRPr="00277EC9">
        <w:rPr>
          <w:rFonts w:ascii="Calibri" w:eastAsia="Calibri" w:hAnsi="Calibri" w:cs="Calibri"/>
          <w:noProof/>
          <w:sz w:val="22"/>
          <w:szCs w:val="22"/>
          <w:lang w:val="en-US"/>
        </w:rPr>
        <w:t xml:space="preserve"> 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407-421.</w:t>
      </w:r>
    </w:p>
    <w:p w:rsidR="00366FD8" w:rsidRDefault="00366FD8" w:rsidP="00064C72">
      <w:pPr>
        <w:spacing w:after="0" w:line="240" w:lineRule="auto"/>
        <w:jc w:val="left"/>
        <w:rPr>
          <w:rFonts w:ascii="Calibri" w:eastAsia="Calibri" w:hAnsi="Calibri" w:cs="Calibri"/>
          <w:noProof/>
          <w:color w:val="FF0000"/>
          <w:sz w:val="22"/>
          <w:szCs w:val="22"/>
          <w:lang w:val="en-US"/>
        </w:rPr>
      </w:pPr>
    </w:p>
    <w:p w:rsidR="00366FD8" w:rsidRPr="00366FD8" w:rsidRDefault="00366FD8" w:rsidP="00366FD8">
      <w:pPr>
        <w:spacing w:after="0" w:line="240" w:lineRule="auto"/>
        <w:ind w:left="720"/>
        <w:jc w:val="left"/>
        <w:rPr>
          <w:rFonts w:ascii="Calibri" w:eastAsia="Calibri" w:hAnsi="Calibri" w:cs="Calibri"/>
          <w:noProof/>
          <w:sz w:val="22"/>
          <w:szCs w:val="22"/>
          <w:lang w:val="en-US"/>
        </w:rPr>
      </w:pPr>
      <w:r w:rsidRPr="00366FD8">
        <w:rPr>
          <w:rFonts w:ascii="Calibri" w:eastAsia="Calibri" w:hAnsi="Calibri" w:cs="Calibri"/>
          <w:noProof/>
          <w:sz w:val="22"/>
          <w:szCs w:val="22"/>
          <w:lang w:val="en-US"/>
        </w:rPr>
        <w:t xml:space="preserve">CECHOWSKA-PASKO, M., PAŁKA, J. &amp; BAŃKOWSKI, E. 1996. Decrease in the glycosaminoglycan content in the skin of diabetic rats. The role of IGF-I, IGF-binding proteins and proteolytic activity. </w:t>
      </w:r>
      <w:r w:rsidRPr="00366FD8">
        <w:rPr>
          <w:rFonts w:ascii="Calibri" w:eastAsia="Calibri" w:hAnsi="Calibri" w:cs="Calibri"/>
          <w:i/>
          <w:noProof/>
          <w:sz w:val="22"/>
          <w:szCs w:val="22"/>
          <w:lang w:val="en-US"/>
        </w:rPr>
        <w:t>Molecular and cellular biochemistry,</w:t>
      </w:r>
      <w:r w:rsidRPr="00366FD8">
        <w:rPr>
          <w:rFonts w:ascii="Calibri" w:eastAsia="Calibri" w:hAnsi="Calibri" w:cs="Calibri"/>
          <w:noProof/>
          <w:sz w:val="22"/>
          <w:szCs w:val="22"/>
          <w:lang w:val="en-US"/>
        </w:rPr>
        <w:t xml:space="preserve"> 154</w:t>
      </w:r>
      <w:r w:rsidRPr="00366FD8">
        <w:rPr>
          <w:rFonts w:ascii="Calibri" w:eastAsia="Calibri" w:hAnsi="Calibri" w:cs="Calibri"/>
          <w:b/>
          <w:noProof/>
          <w:sz w:val="22"/>
          <w:szCs w:val="22"/>
          <w:lang w:val="en-US"/>
        </w:rPr>
        <w:t>,</w:t>
      </w:r>
      <w:r w:rsidRPr="00366FD8">
        <w:rPr>
          <w:rFonts w:ascii="Calibri" w:eastAsia="Calibri" w:hAnsi="Calibri" w:cs="Calibri"/>
          <w:noProof/>
          <w:sz w:val="22"/>
          <w:szCs w:val="22"/>
          <w:lang w:val="en-US"/>
        </w:rPr>
        <w:t xml:space="preserve"> 1-8.</w:t>
      </w:r>
    </w:p>
    <w:p w:rsidR="0074329C" w:rsidRPr="00277EC9" w:rsidRDefault="0074329C" w:rsidP="00D07938">
      <w:pPr>
        <w:spacing w:after="0" w:line="240" w:lineRule="auto"/>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CHADBAN, S. J., BRIGANTI, E. M., KERR, P. G., DUNSTAN, D. W., WELBORN, T. A., ZIMMET, P. Z. &amp; ATKINS, R. C. 2003. Prevalence of kidney damage in Australian adults: The AusDiab kidney study. </w:t>
      </w:r>
      <w:r w:rsidRPr="00277EC9">
        <w:rPr>
          <w:rFonts w:ascii="Calibri" w:eastAsia="Calibri" w:hAnsi="Calibri" w:cs="Calibri"/>
          <w:i/>
          <w:noProof/>
          <w:sz w:val="22"/>
          <w:szCs w:val="22"/>
          <w:lang w:val="en-US"/>
        </w:rPr>
        <w:t>Journal of the American Society of Nephrology,</w:t>
      </w:r>
      <w:r w:rsidRPr="00277EC9">
        <w:rPr>
          <w:rFonts w:ascii="Calibri" w:eastAsia="Calibri" w:hAnsi="Calibri" w:cs="Calibri"/>
          <w:noProof/>
          <w:sz w:val="22"/>
          <w:szCs w:val="22"/>
          <w:lang w:val="en-US"/>
        </w:rPr>
        <w:t xml:space="preserve"> 14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S131-S138.</w:t>
      </w:r>
    </w:p>
    <w:p w:rsidR="00D333A7" w:rsidRPr="00277EC9" w:rsidRDefault="00D333A7"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CHADHA, V., GARG, U. &amp; ALON, U. S. 2001. Measurement of urinary concentration: a critical appraisal of methodologies. </w:t>
      </w:r>
      <w:r w:rsidRPr="00277EC9">
        <w:rPr>
          <w:rFonts w:ascii="Calibri" w:eastAsia="Calibri" w:hAnsi="Calibri" w:cs="Calibri"/>
          <w:i/>
          <w:noProof/>
          <w:sz w:val="22"/>
          <w:szCs w:val="22"/>
          <w:lang w:val="en-US"/>
        </w:rPr>
        <w:t>Pediatric Nephrology,</w:t>
      </w:r>
      <w:r w:rsidRPr="00277EC9">
        <w:rPr>
          <w:rFonts w:ascii="Calibri" w:eastAsia="Calibri" w:hAnsi="Calibri" w:cs="Calibri"/>
          <w:noProof/>
          <w:sz w:val="22"/>
          <w:szCs w:val="22"/>
          <w:lang w:val="en-US"/>
        </w:rPr>
        <w:t xml:space="preserve"> 16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374-382.</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CHAVERS, B. M., BILOUS, R. W., ELLIS, E. N., STEFFES, M. W. &amp; MAUER, S. M. 1989. Glomerular lesions and urinary albumin excretion in type I diabetes without overt proteinuria. </w:t>
      </w:r>
      <w:r w:rsidRPr="00277EC9">
        <w:rPr>
          <w:rFonts w:ascii="Calibri" w:eastAsia="Calibri" w:hAnsi="Calibri" w:cs="Calibri"/>
          <w:i/>
          <w:noProof/>
          <w:sz w:val="22"/>
          <w:szCs w:val="22"/>
          <w:lang w:val="en-US"/>
        </w:rPr>
        <w:t>New England Journal of Medicine,</w:t>
      </w:r>
      <w:r w:rsidRPr="00277EC9">
        <w:rPr>
          <w:rFonts w:ascii="Calibri" w:eastAsia="Calibri" w:hAnsi="Calibri" w:cs="Calibri"/>
          <w:noProof/>
          <w:sz w:val="22"/>
          <w:szCs w:val="22"/>
          <w:lang w:val="en-US"/>
        </w:rPr>
        <w:t xml:space="preserve"> 320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966-970.</w:t>
      </w:r>
    </w:p>
    <w:p w:rsidR="006A1BC9" w:rsidRDefault="006A1BC9" w:rsidP="0074329C">
      <w:pPr>
        <w:spacing w:after="0" w:line="240" w:lineRule="auto"/>
        <w:ind w:left="720"/>
        <w:jc w:val="left"/>
        <w:rPr>
          <w:noProof/>
        </w:rPr>
      </w:pPr>
    </w:p>
    <w:p w:rsidR="006A1BC9" w:rsidRPr="006A1BC9" w:rsidRDefault="006A1BC9" w:rsidP="0074329C">
      <w:pPr>
        <w:spacing w:after="0" w:line="240" w:lineRule="auto"/>
        <w:ind w:left="720"/>
        <w:jc w:val="left"/>
        <w:rPr>
          <w:rFonts w:asciiTheme="minorHAnsi" w:eastAsia="Calibri" w:hAnsiTheme="minorHAnsi" w:cstheme="minorHAnsi"/>
          <w:noProof/>
          <w:sz w:val="22"/>
          <w:szCs w:val="22"/>
          <w:lang w:val="en-US"/>
        </w:rPr>
      </w:pPr>
      <w:r w:rsidRPr="006A1BC9">
        <w:rPr>
          <w:rFonts w:asciiTheme="minorHAnsi" w:hAnsiTheme="minorHAnsi" w:cstheme="minorHAnsi"/>
          <w:noProof/>
          <w:sz w:val="22"/>
          <w:szCs w:val="22"/>
        </w:rPr>
        <w:t xml:space="preserve">CHEN, T., ESTRELLA, M. &amp; FINE, D. 2012. Predictors of kidney biopsy complication among patients with systemic lupus erythematosus. </w:t>
      </w:r>
      <w:r w:rsidRPr="006A1BC9">
        <w:rPr>
          <w:rFonts w:asciiTheme="minorHAnsi" w:hAnsiTheme="minorHAnsi" w:cstheme="minorHAnsi"/>
          <w:i/>
          <w:noProof/>
          <w:sz w:val="22"/>
          <w:szCs w:val="22"/>
        </w:rPr>
        <w:t>Lupus,</w:t>
      </w:r>
      <w:r w:rsidRPr="006A1BC9">
        <w:rPr>
          <w:rFonts w:asciiTheme="minorHAnsi" w:hAnsiTheme="minorHAnsi" w:cstheme="minorHAnsi"/>
          <w:noProof/>
          <w:sz w:val="22"/>
          <w:szCs w:val="22"/>
        </w:rPr>
        <w:t xml:space="preserve"> 21</w:t>
      </w:r>
      <w:r w:rsidRPr="006A1BC9">
        <w:rPr>
          <w:rFonts w:asciiTheme="minorHAnsi" w:hAnsiTheme="minorHAnsi" w:cstheme="minorHAnsi"/>
          <w:b/>
          <w:noProof/>
          <w:sz w:val="22"/>
          <w:szCs w:val="22"/>
        </w:rPr>
        <w:t>,</w:t>
      </w:r>
      <w:r w:rsidRPr="006A1BC9">
        <w:rPr>
          <w:rFonts w:asciiTheme="minorHAnsi" w:hAnsiTheme="minorHAnsi" w:cstheme="minorHAnsi"/>
          <w:noProof/>
          <w:sz w:val="22"/>
          <w:szCs w:val="22"/>
        </w:rPr>
        <w:t xml:space="preserve"> 848-854</w:t>
      </w:r>
    </w:p>
    <w:p w:rsidR="0074329C" w:rsidRPr="00277EC9" w:rsidRDefault="0074329C" w:rsidP="0074329C">
      <w:pPr>
        <w:spacing w:after="0" w:line="240" w:lineRule="auto"/>
        <w:ind w:left="720" w:firstLine="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CHOI, K. S., FITZPATRICK, S. L., FILIPENKO, N. R., FOGG, D. K., KASSAM, G., MAGLIOCCO, A. M. &amp; WAISMAN, D. M. 2001. Regulation of plasmin-dependent fibrin clot lysis by annexin II heterotetramer. </w:t>
      </w:r>
      <w:r w:rsidRPr="00277EC9">
        <w:rPr>
          <w:rFonts w:ascii="Calibri" w:eastAsia="Calibri" w:hAnsi="Calibri" w:cs="Calibri"/>
          <w:i/>
          <w:noProof/>
          <w:sz w:val="22"/>
          <w:szCs w:val="22"/>
          <w:lang w:val="en-US"/>
        </w:rPr>
        <w:t>Journal of Biological Chemistry,</w:t>
      </w:r>
      <w:r w:rsidRPr="00277EC9">
        <w:rPr>
          <w:rFonts w:ascii="Calibri" w:eastAsia="Calibri" w:hAnsi="Calibri" w:cs="Calibri"/>
          <w:noProof/>
          <w:sz w:val="22"/>
          <w:szCs w:val="22"/>
          <w:lang w:val="en-US"/>
        </w:rPr>
        <w:t xml:space="preserve"> 276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25212-25221.</w:t>
      </w:r>
    </w:p>
    <w:p w:rsidR="00D01530" w:rsidRDefault="00D01530" w:rsidP="00D01530">
      <w:pPr>
        <w:spacing w:after="0" w:line="240" w:lineRule="auto"/>
        <w:ind w:left="720"/>
        <w:jc w:val="left"/>
        <w:rPr>
          <w:rFonts w:ascii="Calibri" w:eastAsia="Calibri" w:hAnsi="Calibri" w:cs="Calibri"/>
          <w:noProof/>
          <w:sz w:val="22"/>
          <w:szCs w:val="22"/>
          <w:lang w:val="en-US"/>
        </w:rPr>
      </w:pPr>
    </w:p>
    <w:p w:rsidR="00D01530" w:rsidRPr="00D01530" w:rsidRDefault="00D01530" w:rsidP="00D01530">
      <w:pPr>
        <w:spacing w:after="0" w:line="240" w:lineRule="auto"/>
        <w:ind w:left="720"/>
        <w:jc w:val="left"/>
        <w:rPr>
          <w:rFonts w:ascii="Calibri" w:eastAsia="Calibri" w:hAnsi="Calibri" w:cs="Calibri"/>
          <w:noProof/>
          <w:sz w:val="22"/>
          <w:szCs w:val="22"/>
          <w:lang w:val="en-US"/>
        </w:rPr>
      </w:pPr>
      <w:r w:rsidRPr="00D01530">
        <w:rPr>
          <w:rFonts w:ascii="Calibri" w:eastAsia="Calibri" w:hAnsi="Calibri" w:cs="Calibri"/>
          <w:noProof/>
          <w:sz w:val="22"/>
          <w:szCs w:val="22"/>
          <w:lang w:val="en-US"/>
        </w:rPr>
        <w:t xml:space="preserve">CHRISTOPOULOS, P. F., MSAOUEL, P. &amp; KOUTSILIERIS, M. 2015. The role of the insulin-like growth factor-1 system in breast cancer. </w:t>
      </w:r>
      <w:r w:rsidRPr="00D01530">
        <w:rPr>
          <w:rFonts w:ascii="Calibri" w:eastAsia="Calibri" w:hAnsi="Calibri" w:cs="Calibri"/>
          <w:i/>
          <w:noProof/>
          <w:sz w:val="22"/>
          <w:szCs w:val="22"/>
          <w:lang w:val="en-US"/>
        </w:rPr>
        <w:t>Molecular Cancer,</w:t>
      </w:r>
      <w:r w:rsidRPr="00D01530">
        <w:rPr>
          <w:rFonts w:ascii="Calibri" w:eastAsia="Calibri" w:hAnsi="Calibri" w:cs="Calibri"/>
          <w:noProof/>
          <w:sz w:val="22"/>
          <w:szCs w:val="22"/>
          <w:lang w:val="en-US"/>
        </w:rPr>
        <w:t xml:space="preserve"> 14</w:t>
      </w:r>
      <w:r w:rsidRPr="00D01530">
        <w:rPr>
          <w:rFonts w:ascii="Calibri" w:eastAsia="Calibri" w:hAnsi="Calibri" w:cs="Calibri"/>
          <w:b/>
          <w:noProof/>
          <w:sz w:val="22"/>
          <w:szCs w:val="22"/>
          <w:lang w:val="en-US"/>
        </w:rPr>
        <w:t>,</w:t>
      </w:r>
      <w:r w:rsidRPr="00D01530">
        <w:rPr>
          <w:rFonts w:ascii="Calibri" w:eastAsia="Calibri" w:hAnsi="Calibri" w:cs="Calibri"/>
          <w:noProof/>
          <w:sz w:val="22"/>
          <w:szCs w:val="22"/>
          <w:lang w:val="en-US"/>
        </w:rPr>
        <w:t xml:space="preserve"> 43.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CHOLONGITAS, E., SHUSANG, V., MARELLI, L., NAIR, D., THOMAS, M., PATCH, D., BURNS, A., SWENY, P. &amp; BURROUGHS, A. K. 2007. Review article: renal function assessment in cirrhosis – difficulties and alternative measurements. Oxford, UK.</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CHUNG, F.-M., TSAI, J. C.-R., CHANG, D.-M., SHIN, S.-J. &amp; LEE, Y.-J. 2005. Peripheral total and differential leukocyte count in diabetic nephropathy. </w:t>
      </w:r>
      <w:r w:rsidRPr="00277EC9">
        <w:rPr>
          <w:rFonts w:ascii="Calibri" w:eastAsia="Calibri" w:hAnsi="Calibri" w:cs="Calibri"/>
          <w:i/>
          <w:noProof/>
          <w:sz w:val="22"/>
          <w:szCs w:val="22"/>
          <w:lang w:val="en-US"/>
        </w:rPr>
        <w:t>Diabetes care,</w:t>
      </w:r>
      <w:r w:rsidRPr="00277EC9">
        <w:rPr>
          <w:rFonts w:ascii="Calibri" w:eastAsia="Calibri" w:hAnsi="Calibri" w:cs="Calibri"/>
          <w:noProof/>
          <w:sz w:val="22"/>
          <w:szCs w:val="22"/>
          <w:lang w:val="en-US"/>
        </w:rPr>
        <w:t xml:space="preserve"> 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1710-1717.</w:t>
      </w:r>
    </w:p>
    <w:p w:rsidR="007B789D" w:rsidRDefault="007B789D" w:rsidP="0074329C">
      <w:pPr>
        <w:spacing w:after="0" w:line="240" w:lineRule="auto"/>
        <w:ind w:left="720"/>
        <w:jc w:val="left"/>
        <w:rPr>
          <w:rFonts w:ascii="Calibri" w:eastAsia="Calibri" w:hAnsi="Calibri" w:cs="Calibri"/>
          <w:noProof/>
          <w:sz w:val="22"/>
          <w:szCs w:val="22"/>
          <w:lang w:val="en-US"/>
        </w:rPr>
      </w:pPr>
    </w:p>
    <w:p w:rsidR="007B789D" w:rsidRPr="007B789D" w:rsidRDefault="007B789D" w:rsidP="007B789D">
      <w:pPr>
        <w:spacing w:after="0" w:line="240" w:lineRule="auto"/>
        <w:ind w:left="720"/>
        <w:jc w:val="left"/>
        <w:rPr>
          <w:rFonts w:ascii="Calibri" w:eastAsia="Calibri" w:hAnsi="Calibri" w:cs="Calibri"/>
          <w:noProof/>
          <w:sz w:val="22"/>
          <w:szCs w:val="22"/>
          <w:lang w:val="en-US"/>
        </w:rPr>
      </w:pPr>
      <w:r w:rsidRPr="007B789D">
        <w:rPr>
          <w:rFonts w:ascii="Calibri" w:eastAsia="Calibri" w:hAnsi="Calibri" w:cs="Calibri"/>
          <w:noProof/>
          <w:sz w:val="22"/>
          <w:szCs w:val="22"/>
          <w:lang w:val="en-US"/>
        </w:rPr>
        <w:t xml:space="preserve">CLAESON, G., FRIBERGER, P., KNOS, M. &amp; ERIKSSON, E. 1978. METHODS FOR DETERMINATION OF PREKALLIKREIN IN PLASMA, GLANDULAR KALLIKREIN AND UROKINASE. </w:t>
      </w:r>
      <w:r w:rsidRPr="007B789D">
        <w:rPr>
          <w:rFonts w:ascii="Calibri" w:eastAsia="Calibri" w:hAnsi="Calibri" w:cs="Calibri"/>
          <w:i/>
          <w:noProof/>
          <w:sz w:val="22"/>
          <w:szCs w:val="22"/>
          <w:lang w:val="en-US"/>
        </w:rPr>
        <w:t>Haemostasis,</w:t>
      </w:r>
      <w:r w:rsidRPr="007B789D">
        <w:rPr>
          <w:rFonts w:ascii="Calibri" w:eastAsia="Calibri" w:hAnsi="Calibri" w:cs="Calibri"/>
          <w:noProof/>
          <w:sz w:val="22"/>
          <w:szCs w:val="22"/>
          <w:lang w:val="en-US"/>
        </w:rPr>
        <w:t xml:space="preserve"> 7</w:t>
      </w:r>
      <w:r w:rsidRPr="007B789D">
        <w:rPr>
          <w:rFonts w:ascii="Calibri" w:eastAsia="Calibri" w:hAnsi="Calibri" w:cs="Calibri"/>
          <w:b/>
          <w:noProof/>
          <w:sz w:val="22"/>
          <w:szCs w:val="22"/>
          <w:lang w:val="en-US"/>
        </w:rPr>
        <w:t>,</w:t>
      </w:r>
      <w:r w:rsidRPr="007B789D">
        <w:rPr>
          <w:rFonts w:ascii="Calibri" w:eastAsia="Calibri" w:hAnsi="Calibri" w:cs="Calibri"/>
          <w:noProof/>
          <w:sz w:val="22"/>
          <w:szCs w:val="22"/>
          <w:lang w:val="en-US"/>
        </w:rPr>
        <w:t xml:space="preserve"> 76-78.</w:t>
      </w:r>
    </w:p>
    <w:p w:rsidR="007B789D" w:rsidRDefault="007B789D" w:rsidP="0074329C">
      <w:pPr>
        <w:spacing w:after="0" w:line="240" w:lineRule="auto"/>
        <w:ind w:left="720"/>
        <w:jc w:val="left"/>
        <w:rPr>
          <w:rFonts w:ascii="Calibri" w:eastAsia="Calibri" w:hAnsi="Calibri" w:cs="Calibri"/>
          <w:noProof/>
          <w:sz w:val="22"/>
          <w:szCs w:val="22"/>
          <w:lang w:val="en-US"/>
        </w:rPr>
      </w:pPr>
    </w:p>
    <w:p w:rsidR="00BC200F" w:rsidRDefault="00BC200F" w:rsidP="00BC200F">
      <w:pPr>
        <w:spacing w:after="0" w:line="240" w:lineRule="auto"/>
        <w:ind w:left="720"/>
        <w:jc w:val="left"/>
        <w:rPr>
          <w:rFonts w:ascii="Calibri" w:eastAsia="Calibri" w:hAnsi="Calibri" w:cs="Calibri"/>
          <w:noProof/>
          <w:sz w:val="22"/>
          <w:szCs w:val="22"/>
          <w:lang w:val="en-US"/>
        </w:rPr>
      </w:pPr>
    </w:p>
    <w:p w:rsidR="00BC200F" w:rsidRPr="00BC200F" w:rsidRDefault="00BC200F" w:rsidP="00BC200F">
      <w:pPr>
        <w:spacing w:after="0" w:line="240" w:lineRule="auto"/>
        <w:ind w:left="720"/>
        <w:jc w:val="left"/>
        <w:rPr>
          <w:rFonts w:ascii="Calibri" w:eastAsia="Calibri" w:hAnsi="Calibri" w:cs="Calibri"/>
          <w:noProof/>
          <w:sz w:val="22"/>
          <w:szCs w:val="22"/>
          <w:lang w:val="en-US"/>
        </w:rPr>
      </w:pPr>
      <w:r w:rsidRPr="00BC200F">
        <w:rPr>
          <w:rFonts w:ascii="Calibri" w:eastAsia="Calibri" w:hAnsi="Calibri" w:cs="Calibri"/>
          <w:noProof/>
          <w:sz w:val="22"/>
          <w:szCs w:val="22"/>
          <w:lang w:val="en-US"/>
        </w:rPr>
        <w:t xml:space="preserve">CLARK, R. A. F. 1985. Cutaneous tissue-repair - Basic biologic considerations .1. </w:t>
      </w:r>
      <w:r w:rsidRPr="00BC200F">
        <w:rPr>
          <w:rFonts w:ascii="Calibri" w:eastAsia="Calibri" w:hAnsi="Calibri" w:cs="Calibri"/>
          <w:i/>
          <w:noProof/>
          <w:sz w:val="22"/>
          <w:szCs w:val="22"/>
          <w:lang w:val="en-US"/>
        </w:rPr>
        <w:t>Journal of the American Academy of Dermatology,</w:t>
      </w:r>
      <w:r w:rsidRPr="00BC200F">
        <w:rPr>
          <w:rFonts w:ascii="Calibri" w:eastAsia="Calibri" w:hAnsi="Calibri" w:cs="Calibri"/>
          <w:noProof/>
          <w:sz w:val="22"/>
          <w:szCs w:val="22"/>
          <w:lang w:val="en-US"/>
        </w:rPr>
        <w:t xml:space="preserve"> 13</w:t>
      </w:r>
      <w:r w:rsidRPr="00BC200F">
        <w:rPr>
          <w:rFonts w:ascii="Calibri" w:eastAsia="Calibri" w:hAnsi="Calibri" w:cs="Calibri"/>
          <w:b/>
          <w:noProof/>
          <w:sz w:val="22"/>
          <w:szCs w:val="22"/>
          <w:lang w:val="en-US"/>
        </w:rPr>
        <w:t>,</w:t>
      </w:r>
      <w:r w:rsidRPr="00BC200F">
        <w:rPr>
          <w:rFonts w:ascii="Calibri" w:eastAsia="Calibri" w:hAnsi="Calibri" w:cs="Calibri"/>
          <w:noProof/>
          <w:sz w:val="22"/>
          <w:szCs w:val="22"/>
          <w:lang w:val="en-US"/>
        </w:rPr>
        <w:t xml:space="preserve"> 701-725.</w:t>
      </w:r>
    </w:p>
    <w:p w:rsidR="00BC200F" w:rsidRPr="00277EC9" w:rsidRDefault="00BC200F" w:rsidP="0074329C">
      <w:pPr>
        <w:spacing w:after="0" w:line="240" w:lineRule="auto"/>
        <w:ind w:left="720"/>
        <w:jc w:val="left"/>
        <w:rPr>
          <w:rFonts w:ascii="Calibri" w:eastAsia="Calibri" w:hAnsi="Calibri" w:cs="Calibri"/>
          <w:noProof/>
          <w:sz w:val="22"/>
          <w:szCs w:val="22"/>
          <w:lang w:val="en-US"/>
        </w:rPr>
      </w:pP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COHEN, A. H. 1976. Masson’s Trichrome Stain in the Evaluation of Renal Biopsies: An Appraisal. </w:t>
      </w:r>
      <w:r w:rsidRPr="00277EC9">
        <w:rPr>
          <w:rFonts w:ascii="Calibri" w:eastAsia="Calibri" w:hAnsi="Calibri" w:cs="Calibri"/>
          <w:i/>
          <w:noProof/>
          <w:sz w:val="22"/>
          <w:szCs w:val="22"/>
          <w:lang w:val="en-US"/>
        </w:rPr>
        <w:t>American journal of clinical pathology,</w:t>
      </w:r>
      <w:r w:rsidRPr="00277EC9">
        <w:rPr>
          <w:rFonts w:ascii="Calibri" w:eastAsia="Calibri" w:hAnsi="Calibri" w:cs="Calibri"/>
          <w:noProof/>
          <w:sz w:val="22"/>
          <w:szCs w:val="22"/>
          <w:lang w:val="en-US"/>
        </w:rPr>
        <w:t xml:space="preserve"> 65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631-643.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i/>
          <w:noProof/>
          <w:sz w:val="22"/>
          <w:szCs w:val="22"/>
          <w:lang w:val="en-US"/>
        </w:rPr>
      </w:pPr>
      <w:r w:rsidRPr="00277EC9">
        <w:rPr>
          <w:rFonts w:ascii="Calibri" w:eastAsia="Calibri" w:hAnsi="Calibri" w:cs="Calibri"/>
          <w:noProof/>
          <w:sz w:val="22"/>
          <w:szCs w:val="22"/>
          <w:lang w:val="en-US"/>
        </w:rPr>
        <w:t xml:space="preserve">COLUCCI, M. &amp; SEMERARO, N. 2012. Thrombin activatable fibrinolysis inhibitor: At the nexus of fibrinolysis and inflammation. </w:t>
      </w:r>
      <w:r w:rsidRPr="00277EC9">
        <w:rPr>
          <w:rFonts w:ascii="Calibri" w:eastAsia="Calibri" w:hAnsi="Calibri" w:cs="Calibri"/>
          <w:i/>
          <w:noProof/>
          <w:sz w:val="22"/>
          <w:szCs w:val="22"/>
          <w:lang w:val="en-US"/>
        </w:rPr>
        <w:t>Thromb. Res.</w:t>
      </w:r>
    </w:p>
    <w:p w:rsidR="0074329C" w:rsidRPr="00277EC9" w:rsidRDefault="0074329C" w:rsidP="0074329C">
      <w:pPr>
        <w:spacing w:after="0" w:line="240" w:lineRule="auto"/>
        <w:ind w:left="720"/>
        <w:jc w:val="left"/>
        <w:rPr>
          <w:rFonts w:ascii="Calibri" w:eastAsia="Calibri" w:hAnsi="Calibri" w:cs="Calibri"/>
          <w: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CORESH, J., SELVIN, E., STEVENS, L. A. &amp; ET AL. 2007. Prevalence of chronic kidney disease in the united states. </w:t>
      </w:r>
      <w:r w:rsidRPr="00277EC9">
        <w:rPr>
          <w:rFonts w:ascii="Calibri" w:eastAsia="Calibri" w:hAnsi="Calibri" w:cs="Calibri"/>
          <w:i/>
          <w:noProof/>
          <w:sz w:val="22"/>
          <w:szCs w:val="22"/>
          <w:lang w:val="en-US"/>
        </w:rPr>
        <w:t>JAMA,</w:t>
      </w:r>
      <w:r w:rsidRPr="00277EC9">
        <w:rPr>
          <w:rFonts w:ascii="Calibri" w:eastAsia="Calibri" w:hAnsi="Calibri" w:cs="Calibri"/>
          <w:noProof/>
          <w:sz w:val="22"/>
          <w:szCs w:val="22"/>
          <w:lang w:val="en-US"/>
        </w:rPr>
        <w:t xml:space="preserve"> 298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2038-2047.</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COUCHMAN, J. R., BEAVAN, L. A. &amp; MCCARTHY, K. J. 1994. GLOMERULAR MATRIX - SYNTHESIS, TURNOVER AND ROLE IN MESANGIAL EXPANSION. </w:t>
      </w:r>
      <w:r w:rsidRPr="00277EC9">
        <w:rPr>
          <w:rFonts w:ascii="Calibri" w:eastAsia="Calibri" w:hAnsi="Calibri" w:cs="Calibri"/>
          <w:i/>
          <w:noProof/>
          <w:sz w:val="22"/>
          <w:szCs w:val="22"/>
          <w:lang w:val="en-US"/>
        </w:rPr>
        <w:t>Kidney International,</w:t>
      </w:r>
      <w:r w:rsidRPr="00277EC9">
        <w:rPr>
          <w:rFonts w:ascii="Calibri" w:eastAsia="Calibri" w:hAnsi="Calibri" w:cs="Calibri"/>
          <w:noProof/>
          <w:sz w:val="22"/>
          <w:szCs w:val="22"/>
          <w:lang w:val="en-US"/>
        </w:rPr>
        <w:t xml:space="preserve"> 45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328-335.</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CROWLEY, S. D., GURLEY, S. B., OLIVERIO, M. I., PAZMINO, A. K., GRIFFITHS, R., FLANNERY, P. J., SPURNEY, R. F., KIM, H.-S., SMITHIES, O. &amp; LE, T. H. 2005. Distinct roles for the kidney and systemic tissues in blood pressure regulation by the renin-angiotensin system. </w:t>
      </w:r>
      <w:r w:rsidRPr="00277EC9">
        <w:rPr>
          <w:rFonts w:ascii="Calibri" w:eastAsia="Calibri" w:hAnsi="Calibri" w:cs="Calibri"/>
          <w:i/>
          <w:noProof/>
          <w:sz w:val="22"/>
          <w:szCs w:val="22"/>
          <w:lang w:val="en-US"/>
        </w:rPr>
        <w:t>The Journal of clinical investigation,</w:t>
      </w:r>
      <w:r w:rsidRPr="00277EC9">
        <w:rPr>
          <w:rFonts w:ascii="Calibri" w:eastAsia="Calibri" w:hAnsi="Calibri" w:cs="Calibri"/>
          <w:noProof/>
          <w:sz w:val="22"/>
          <w:szCs w:val="22"/>
          <w:lang w:val="en-US"/>
        </w:rPr>
        <w:t xml:space="preserve"> 115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1092-1099.</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DAI, T., KHARKWAL, G. B., TANAKA, M., HUANG, Y.-Y., BIL DE ARCE, V. J. &amp; HAMBLIN, M. R. 2011. Animal models of external traumatic wound infections. </w:t>
      </w:r>
      <w:r w:rsidRPr="00277EC9">
        <w:rPr>
          <w:rFonts w:ascii="Calibri" w:eastAsia="Calibri" w:hAnsi="Calibri" w:cs="Calibri"/>
          <w:i/>
          <w:noProof/>
          <w:sz w:val="22"/>
          <w:szCs w:val="22"/>
          <w:lang w:val="en-US"/>
        </w:rPr>
        <w:t>Virulence,</w:t>
      </w:r>
      <w:r w:rsidRPr="00277EC9">
        <w:rPr>
          <w:rFonts w:ascii="Calibri" w:eastAsia="Calibri" w:hAnsi="Calibri" w:cs="Calibri"/>
          <w:noProof/>
          <w:sz w:val="22"/>
          <w:szCs w:val="22"/>
          <w:lang w:val="en-US"/>
        </w:rPr>
        <w:t xml:space="preserve"> 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296-315.</w:t>
      </w:r>
    </w:p>
    <w:p w:rsidR="00B166EA" w:rsidRPr="00B166EA" w:rsidRDefault="00B166EA" w:rsidP="00B166EA">
      <w:pPr>
        <w:spacing w:after="0" w:line="240" w:lineRule="auto"/>
        <w:ind w:left="720"/>
        <w:jc w:val="left"/>
        <w:rPr>
          <w:rFonts w:ascii="Calibri" w:eastAsia="Calibri" w:hAnsi="Calibri" w:cs="Calibri"/>
          <w:noProof/>
          <w:sz w:val="22"/>
          <w:szCs w:val="22"/>
          <w:lang w:val="en-US"/>
        </w:rPr>
      </w:pPr>
      <w:r w:rsidRPr="00B166EA">
        <w:rPr>
          <w:rFonts w:ascii="Calibri" w:eastAsia="Calibri" w:hAnsi="Calibri" w:cs="Calibri"/>
          <w:noProof/>
          <w:sz w:val="22"/>
          <w:szCs w:val="22"/>
          <w:lang w:val="en-US"/>
        </w:rPr>
        <w:lastRenderedPageBreak/>
        <w:t xml:space="preserve">DAIMON, S. &amp; KONI, I. 1998. Glomerular enlargement in the progression of mesangial proliferative glomerulonephritis. </w:t>
      </w:r>
      <w:r w:rsidRPr="00B166EA">
        <w:rPr>
          <w:rFonts w:ascii="Calibri" w:eastAsia="Calibri" w:hAnsi="Calibri" w:cs="Calibri"/>
          <w:i/>
          <w:noProof/>
          <w:sz w:val="22"/>
          <w:szCs w:val="22"/>
          <w:lang w:val="en-US"/>
        </w:rPr>
        <w:t>Clinical nephrology,</w:t>
      </w:r>
      <w:r w:rsidRPr="00B166EA">
        <w:rPr>
          <w:rFonts w:ascii="Calibri" w:eastAsia="Calibri" w:hAnsi="Calibri" w:cs="Calibri"/>
          <w:noProof/>
          <w:sz w:val="22"/>
          <w:szCs w:val="22"/>
          <w:lang w:val="en-US"/>
        </w:rPr>
        <w:t xml:space="preserve"> 49</w:t>
      </w:r>
      <w:r w:rsidRPr="00B166EA">
        <w:rPr>
          <w:rFonts w:ascii="Calibri" w:eastAsia="Calibri" w:hAnsi="Calibri" w:cs="Calibri"/>
          <w:b/>
          <w:noProof/>
          <w:sz w:val="22"/>
          <w:szCs w:val="22"/>
          <w:lang w:val="en-US"/>
        </w:rPr>
        <w:t>,</w:t>
      </w:r>
      <w:r w:rsidRPr="00B166EA">
        <w:rPr>
          <w:rFonts w:ascii="Calibri" w:eastAsia="Calibri" w:hAnsi="Calibri" w:cs="Calibri"/>
          <w:noProof/>
          <w:sz w:val="22"/>
          <w:szCs w:val="22"/>
          <w:lang w:val="en-US"/>
        </w:rPr>
        <w:t xml:space="preserve"> 145-152.</w:t>
      </w:r>
    </w:p>
    <w:p w:rsidR="0074329C" w:rsidRPr="00277EC9" w:rsidRDefault="0074329C" w:rsidP="00B166EA">
      <w:pPr>
        <w:spacing w:after="0" w:line="240" w:lineRule="auto"/>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DAMARE, J., BRANDAL, S. &amp; FORTENBERRY, Y. M. 2014. Inhibition of PAI-1 Antiproteolytic Activity Against tPA by RNA Aptamers. </w:t>
      </w:r>
      <w:r w:rsidRPr="00277EC9">
        <w:rPr>
          <w:rFonts w:ascii="Calibri" w:eastAsia="Calibri" w:hAnsi="Calibri" w:cs="Calibri"/>
          <w:i/>
          <w:noProof/>
          <w:sz w:val="22"/>
          <w:szCs w:val="22"/>
          <w:lang w:val="en-US"/>
        </w:rPr>
        <w:t>Nucleic Acid Therapeutics,</w:t>
      </w:r>
      <w:r w:rsidRPr="00277EC9">
        <w:rPr>
          <w:rFonts w:ascii="Calibri" w:eastAsia="Calibri" w:hAnsi="Calibri" w:cs="Calibri"/>
          <w:noProof/>
          <w:sz w:val="22"/>
          <w:szCs w:val="22"/>
          <w:lang w:val="en-US"/>
        </w:rPr>
        <w:t xml:space="preserve"> 24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239-249.</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DAOPIN, S., PIEZ, K. A., OGAWA, Y. &amp; DAVIES, D. R. 1992. Crystal- structure of transforming growth- factor- beta- 2 - An unusual fold for the superfamily. </w:t>
      </w:r>
      <w:r w:rsidRPr="00277EC9">
        <w:rPr>
          <w:rFonts w:ascii="Calibri" w:eastAsia="Calibri" w:hAnsi="Calibri" w:cs="Calibri"/>
          <w:i/>
          <w:noProof/>
          <w:sz w:val="22"/>
          <w:szCs w:val="22"/>
          <w:lang w:val="en-US"/>
        </w:rPr>
        <w:t>Science,</w:t>
      </w:r>
      <w:r w:rsidRPr="00277EC9">
        <w:rPr>
          <w:rFonts w:ascii="Calibri" w:eastAsia="Calibri" w:hAnsi="Calibri" w:cs="Calibri"/>
          <w:noProof/>
          <w:sz w:val="22"/>
          <w:szCs w:val="22"/>
          <w:lang w:val="en-US"/>
        </w:rPr>
        <w:t xml:space="preserve"> 257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369-373.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DARLING, I. M. &amp; MORRIS, M. E. 1991. Evaluation of "true" creatinine clearance in rats reveals extensive renal secretion. </w:t>
      </w:r>
      <w:r w:rsidRPr="00277EC9">
        <w:rPr>
          <w:rFonts w:ascii="Calibri" w:eastAsia="Calibri" w:hAnsi="Calibri" w:cs="Calibri"/>
          <w:i/>
          <w:noProof/>
          <w:sz w:val="22"/>
          <w:szCs w:val="22"/>
          <w:lang w:val="en-US"/>
        </w:rPr>
        <w:t>Pharm Res,</w:t>
      </w:r>
      <w:r w:rsidRPr="00277EC9">
        <w:rPr>
          <w:rFonts w:ascii="Calibri" w:eastAsia="Calibri" w:hAnsi="Calibri" w:cs="Calibri"/>
          <w:noProof/>
          <w:sz w:val="22"/>
          <w:szCs w:val="22"/>
          <w:lang w:val="en-US"/>
        </w:rPr>
        <w:t xml:space="preserve"> 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1318-22.</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DAVIS, J. &amp; FREEMAN, R. 1976. Mechanisms regulating renin release. </w:t>
      </w:r>
      <w:r w:rsidRPr="00277EC9">
        <w:rPr>
          <w:rFonts w:ascii="Calibri" w:eastAsia="Calibri" w:hAnsi="Calibri" w:cs="Calibri"/>
          <w:i/>
          <w:noProof/>
          <w:sz w:val="22"/>
          <w:szCs w:val="22"/>
          <w:lang w:val="en-US"/>
        </w:rPr>
        <w:t>Physiological Reviews,</w:t>
      </w:r>
      <w:r w:rsidRPr="00277EC9">
        <w:rPr>
          <w:rFonts w:ascii="Calibri" w:eastAsia="Calibri" w:hAnsi="Calibri" w:cs="Calibri"/>
          <w:noProof/>
          <w:sz w:val="22"/>
          <w:szCs w:val="22"/>
          <w:lang w:val="en-US"/>
        </w:rPr>
        <w:t xml:space="preserve"> 56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1-56.</w:t>
      </w:r>
    </w:p>
    <w:p w:rsidR="007237D0" w:rsidRDefault="007237D0"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DE BRUIJNE, E. L. E., MURAD, S. D., DE MAAT, M. P. M., TANCK, M. W. T., HAAGSMA, E. B., VAN HOEKS, B., ROSENDAAL, F. R., JANSSEN, H. L. A., LEEBEEK, F. W. G. &amp; LIVER THROMBOSIS STUDY, G. 2007. Genetic variation in thrombin-activatable fibrinolysis inhibitor (TAR) is associated with the risk of splanchnic vein thrombosis. </w:t>
      </w:r>
      <w:r w:rsidRPr="00277EC9">
        <w:rPr>
          <w:rFonts w:ascii="Calibri" w:eastAsia="Calibri" w:hAnsi="Calibri" w:cs="Calibri"/>
          <w:i/>
          <w:noProof/>
          <w:sz w:val="22"/>
          <w:szCs w:val="22"/>
          <w:lang w:val="en-US"/>
        </w:rPr>
        <w:t>Thrombosis and Haemostasis,</w:t>
      </w:r>
      <w:r w:rsidRPr="00277EC9">
        <w:rPr>
          <w:rFonts w:ascii="Calibri" w:eastAsia="Calibri" w:hAnsi="Calibri" w:cs="Calibri"/>
          <w:noProof/>
          <w:sz w:val="22"/>
          <w:szCs w:val="22"/>
          <w:lang w:val="en-US"/>
        </w:rPr>
        <w:t xml:space="preserve"> 97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181-185.</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DE CASTRO, B. B. A., COLUGNATI, F. A. B., CENEDEZE, M. A., SUASSUNA, P. G. D. A. &amp; PINHEIRO, H. S. 2014. Standardization of renal function evaluation in Wistar rats ( Rattus norvegicus) from the Federal University of Juiz de Fora's colony. </w:t>
      </w:r>
      <w:r w:rsidRPr="00277EC9">
        <w:rPr>
          <w:rFonts w:ascii="Calibri" w:eastAsia="Calibri" w:hAnsi="Calibri" w:cs="Calibri"/>
          <w:i/>
          <w:noProof/>
          <w:sz w:val="22"/>
          <w:szCs w:val="22"/>
          <w:lang w:val="en-US"/>
        </w:rPr>
        <w:t>Jornal brasileiro de nefrologia : ʹorgão oficial de Sociedades Brasileira e Latino-Americana de Nefrologia,</w:t>
      </w:r>
      <w:r w:rsidRPr="00277EC9">
        <w:rPr>
          <w:rFonts w:ascii="Calibri" w:eastAsia="Calibri" w:hAnsi="Calibri" w:cs="Calibri"/>
          <w:noProof/>
          <w:sz w:val="22"/>
          <w:szCs w:val="22"/>
          <w:lang w:val="en-US"/>
        </w:rPr>
        <w:t xml:space="preserve"> 36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139.</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DECKERT, T., KOFOED-ENEVOLDSEN, A., VIDAL, P., NORGAARD, K., ANDREASEN, H. B. &amp; FELDT-RASMUSSEN, B. 1993. Size- and charge selectivity of glomerular filtration in Type 1 (insulin-dependent) diabetic patients with and without albuminuria. </w:t>
      </w:r>
      <w:r w:rsidRPr="00277EC9">
        <w:rPr>
          <w:rFonts w:ascii="Calibri" w:eastAsia="Calibri" w:hAnsi="Calibri" w:cs="Calibri"/>
          <w:i/>
          <w:noProof/>
          <w:sz w:val="22"/>
          <w:szCs w:val="22"/>
          <w:lang w:val="en-US"/>
        </w:rPr>
        <w:t>Diabetologia,</w:t>
      </w:r>
      <w:r w:rsidRPr="00277EC9">
        <w:rPr>
          <w:rFonts w:ascii="Calibri" w:eastAsia="Calibri" w:hAnsi="Calibri" w:cs="Calibri"/>
          <w:noProof/>
          <w:sz w:val="22"/>
          <w:szCs w:val="22"/>
          <w:lang w:val="en-US"/>
        </w:rPr>
        <w:t xml:space="preserve"> 36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244-51.</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DEEDS, M., ANDERSON, J., ARMSTRONG, A., GASTINEAU, D., HIDDINGA, H., JAHANGIR, A., EBERHARDT, N. L. &amp; KUDVA, Y. C. 2011. Single dose streptozotocin-induced diabetes: considerations for study design in islet transplantation models. </w:t>
      </w:r>
      <w:r w:rsidRPr="00277EC9">
        <w:rPr>
          <w:rFonts w:ascii="Calibri" w:eastAsia="Calibri" w:hAnsi="Calibri" w:cs="Calibri"/>
          <w:i/>
          <w:noProof/>
          <w:sz w:val="22"/>
          <w:szCs w:val="22"/>
          <w:lang w:val="en-US"/>
        </w:rPr>
        <w:t>Laboratory animals,</w:t>
      </w:r>
      <w:r w:rsidRPr="00277EC9">
        <w:rPr>
          <w:rFonts w:ascii="Calibri" w:eastAsia="Calibri" w:hAnsi="Calibri" w:cs="Calibri"/>
          <w:noProof/>
          <w:sz w:val="22"/>
          <w:szCs w:val="22"/>
          <w:lang w:val="en-US"/>
        </w:rPr>
        <w:t xml:space="preserve"> 45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131-140.</w:t>
      </w:r>
    </w:p>
    <w:p w:rsidR="00915BEC" w:rsidRDefault="00915BEC" w:rsidP="00915BEC">
      <w:pPr>
        <w:spacing w:after="0" w:line="240" w:lineRule="auto"/>
        <w:ind w:left="720"/>
        <w:jc w:val="left"/>
        <w:rPr>
          <w:rFonts w:ascii="Calibri" w:eastAsia="Calibri" w:hAnsi="Calibri" w:cs="Calibri"/>
          <w:noProof/>
          <w:color w:val="FF0000"/>
          <w:sz w:val="22"/>
          <w:szCs w:val="22"/>
          <w:lang w:val="en-US"/>
        </w:rPr>
      </w:pPr>
    </w:p>
    <w:p w:rsidR="00915BEC" w:rsidRPr="00915BEC" w:rsidRDefault="00915BEC" w:rsidP="00915BEC">
      <w:pPr>
        <w:spacing w:after="0" w:line="240" w:lineRule="auto"/>
        <w:ind w:left="720"/>
        <w:jc w:val="left"/>
        <w:rPr>
          <w:rFonts w:ascii="Calibri" w:eastAsia="Calibri" w:hAnsi="Calibri" w:cs="Calibri"/>
          <w:noProof/>
          <w:sz w:val="22"/>
          <w:szCs w:val="22"/>
          <w:lang w:val="en-US"/>
        </w:rPr>
      </w:pPr>
      <w:r w:rsidRPr="00915BEC">
        <w:rPr>
          <w:rFonts w:ascii="Calibri" w:eastAsia="Calibri" w:hAnsi="Calibri" w:cs="Calibri"/>
          <w:noProof/>
          <w:sz w:val="22"/>
          <w:szCs w:val="22"/>
          <w:lang w:val="en-US"/>
        </w:rPr>
        <w:t xml:space="preserve">DEGEN, J. L., BUGGE, T. H. &amp; GOGUEN, J. D. 2007. Fibrin and fibrinolysis in infection and host defense. </w:t>
      </w:r>
      <w:r w:rsidRPr="00915BEC">
        <w:rPr>
          <w:rFonts w:ascii="Calibri" w:eastAsia="Calibri" w:hAnsi="Calibri" w:cs="Calibri"/>
          <w:i/>
          <w:noProof/>
          <w:sz w:val="22"/>
          <w:szCs w:val="22"/>
          <w:lang w:val="en-US"/>
        </w:rPr>
        <w:t>J Thromb Haemost,</w:t>
      </w:r>
      <w:r w:rsidRPr="00915BEC">
        <w:rPr>
          <w:rFonts w:ascii="Calibri" w:eastAsia="Calibri" w:hAnsi="Calibri" w:cs="Calibri"/>
          <w:noProof/>
          <w:sz w:val="22"/>
          <w:szCs w:val="22"/>
          <w:lang w:val="en-US"/>
        </w:rPr>
        <w:t xml:space="preserve"> 5 Suppl 1</w:t>
      </w:r>
      <w:r w:rsidRPr="00915BEC">
        <w:rPr>
          <w:rFonts w:ascii="Calibri" w:eastAsia="Calibri" w:hAnsi="Calibri" w:cs="Calibri"/>
          <w:b/>
          <w:noProof/>
          <w:sz w:val="22"/>
          <w:szCs w:val="22"/>
          <w:lang w:val="en-US"/>
        </w:rPr>
        <w:t>,</w:t>
      </w:r>
      <w:r w:rsidRPr="00915BEC">
        <w:rPr>
          <w:rFonts w:ascii="Calibri" w:eastAsia="Calibri" w:hAnsi="Calibri" w:cs="Calibri"/>
          <w:noProof/>
          <w:sz w:val="22"/>
          <w:szCs w:val="22"/>
          <w:lang w:val="en-US"/>
        </w:rPr>
        <w:t xml:space="preserve"> 24-31.</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DEY, P., SAPHOS, C. A., MCDONNELL, J. &amp; MOORE, V. L. 1992. Studies on the quantification of proteoglycans by the dimethylmethylene blue dye-binding method. Specificity, quantitation in synovial lavage fluid, and automation. </w:t>
      </w:r>
      <w:r w:rsidRPr="00277EC9">
        <w:rPr>
          <w:rFonts w:ascii="Calibri" w:eastAsia="Calibri" w:hAnsi="Calibri" w:cs="Calibri"/>
          <w:i/>
          <w:noProof/>
          <w:sz w:val="22"/>
          <w:szCs w:val="22"/>
          <w:lang w:val="en-US"/>
        </w:rPr>
        <w:t>Connect Tissue Res,</w:t>
      </w:r>
      <w:r w:rsidRPr="00277EC9">
        <w:rPr>
          <w:rFonts w:ascii="Calibri" w:eastAsia="Calibri" w:hAnsi="Calibri" w:cs="Calibri"/>
          <w:noProof/>
          <w:sz w:val="22"/>
          <w:szCs w:val="22"/>
          <w:lang w:val="en-US"/>
        </w:rPr>
        <w:t xml:space="preserve"> 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317-24.</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DOUSDAMPANIS, P., TRIGKA, K. &amp; FOURTOUNAS, C. 2012. Diagnosis and Management of Chronic Kidney Disease in the Elderly: a Field of Ongoing Debate. </w:t>
      </w:r>
      <w:r w:rsidRPr="00277EC9">
        <w:rPr>
          <w:rFonts w:ascii="Calibri" w:eastAsia="Calibri" w:hAnsi="Calibri" w:cs="Calibri"/>
          <w:i/>
          <w:noProof/>
          <w:sz w:val="22"/>
          <w:szCs w:val="22"/>
          <w:lang w:val="en-US"/>
        </w:rPr>
        <w:t>Aging and Disease,</w:t>
      </w:r>
      <w:r w:rsidRPr="00277EC9">
        <w:rPr>
          <w:rFonts w:ascii="Calibri" w:eastAsia="Calibri" w:hAnsi="Calibri" w:cs="Calibri"/>
          <w:noProof/>
          <w:sz w:val="22"/>
          <w:szCs w:val="22"/>
          <w:lang w:val="en-US"/>
        </w:rPr>
        <w:t xml:space="preserve"> 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360-372.</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DRUKKER, A. 2001. Unilateral nephrectomy: The adverse effects of live kidney donation. </w:t>
      </w:r>
      <w:r w:rsidRPr="00277EC9">
        <w:rPr>
          <w:rFonts w:ascii="Calibri" w:eastAsia="Calibri" w:hAnsi="Calibri" w:cs="Calibri"/>
          <w:i/>
          <w:noProof/>
          <w:sz w:val="22"/>
          <w:szCs w:val="22"/>
          <w:lang w:val="en-US"/>
        </w:rPr>
        <w:t>ASSIA, Jewish Medical Ethics,</w:t>
      </w:r>
      <w:r w:rsidRPr="00277EC9">
        <w:rPr>
          <w:rFonts w:ascii="Calibri" w:eastAsia="Calibri" w:hAnsi="Calibri" w:cs="Calibri"/>
          <w:noProof/>
          <w:sz w:val="22"/>
          <w:szCs w:val="22"/>
          <w:lang w:val="en-US"/>
        </w:rPr>
        <w:t xml:space="preserve"> 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7-8.</w:t>
      </w:r>
    </w:p>
    <w:p w:rsidR="00182896" w:rsidRDefault="00182896" w:rsidP="00182896">
      <w:pPr>
        <w:spacing w:after="0" w:line="240" w:lineRule="auto"/>
        <w:ind w:left="720"/>
        <w:jc w:val="left"/>
        <w:rPr>
          <w:rFonts w:ascii="Calibri" w:eastAsia="Calibri" w:hAnsi="Calibri" w:cs="Calibri"/>
          <w:noProof/>
          <w:sz w:val="22"/>
          <w:szCs w:val="22"/>
          <w:lang w:val="en-US"/>
        </w:rPr>
      </w:pPr>
    </w:p>
    <w:p w:rsidR="00182896" w:rsidRPr="00182896" w:rsidRDefault="00182896" w:rsidP="00182896">
      <w:pPr>
        <w:spacing w:after="0" w:line="240" w:lineRule="auto"/>
        <w:ind w:left="720"/>
        <w:jc w:val="left"/>
        <w:rPr>
          <w:rFonts w:ascii="Calibri" w:eastAsia="Calibri" w:hAnsi="Calibri" w:cs="Calibri"/>
          <w:noProof/>
          <w:sz w:val="22"/>
          <w:szCs w:val="22"/>
          <w:lang w:val="en-US"/>
        </w:rPr>
      </w:pPr>
      <w:r w:rsidRPr="00182896">
        <w:rPr>
          <w:rFonts w:ascii="Calibri" w:eastAsia="Calibri" w:hAnsi="Calibri" w:cs="Calibri"/>
          <w:noProof/>
          <w:sz w:val="22"/>
          <w:szCs w:val="22"/>
          <w:lang w:val="en-US"/>
        </w:rPr>
        <w:lastRenderedPageBreak/>
        <w:t xml:space="preserve">DUFFIELD, J. S. 2012. The elusive source of myofibroblasts: problem solved? </w:t>
      </w:r>
      <w:r w:rsidRPr="00182896">
        <w:rPr>
          <w:rFonts w:ascii="Calibri" w:eastAsia="Calibri" w:hAnsi="Calibri" w:cs="Calibri"/>
          <w:i/>
          <w:noProof/>
          <w:sz w:val="22"/>
          <w:szCs w:val="22"/>
          <w:lang w:val="en-US"/>
        </w:rPr>
        <w:t>Nature Medicine,</w:t>
      </w:r>
      <w:r w:rsidRPr="00182896">
        <w:rPr>
          <w:rFonts w:ascii="Calibri" w:eastAsia="Calibri" w:hAnsi="Calibri" w:cs="Calibri"/>
          <w:noProof/>
          <w:sz w:val="22"/>
          <w:szCs w:val="22"/>
          <w:lang w:val="en-US"/>
        </w:rPr>
        <w:t xml:space="preserve"> 18</w:t>
      </w:r>
      <w:r w:rsidRPr="00182896">
        <w:rPr>
          <w:rFonts w:ascii="Calibri" w:eastAsia="Calibri" w:hAnsi="Calibri" w:cs="Calibri"/>
          <w:b/>
          <w:noProof/>
          <w:sz w:val="22"/>
          <w:szCs w:val="22"/>
          <w:lang w:val="en-US"/>
        </w:rPr>
        <w:t>,</w:t>
      </w:r>
      <w:r w:rsidRPr="00182896">
        <w:rPr>
          <w:rFonts w:ascii="Calibri" w:eastAsia="Calibri" w:hAnsi="Calibri" w:cs="Calibri"/>
          <w:noProof/>
          <w:sz w:val="22"/>
          <w:szCs w:val="22"/>
          <w:lang w:val="en-US"/>
        </w:rPr>
        <w:t xml:space="preserve"> 1178-1180.</w:t>
      </w:r>
    </w:p>
    <w:p w:rsidR="0074329C" w:rsidRPr="00277EC9" w:rsidRDefault="0074329C" w:rsidP="00182896">
      <w:pPr>
        <w:spacing w:after="0" w:line="240" w:lineRule="auto"/>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EARLE, D. P., JR. &amp; BERLINER, R. W. 1946. A simplified clinical procedure for measurement of glomerular filtration rate and renal plasma flow. </w:t>
      </w:r>
      <w:r w:rsidRPr="00277EC9">
        <w:rPr>
          <w:rFonts w:ascii="Calibri" w:eastAsia="Calibri" w:hAnsi="Calibri" w:cs="Calibri"/>
          <w:i/>
          <w:noProof/>
          <w:sz w:val="22"/>
          <w:szCs w:val="22"/>
          <w:lang w:val="en-US"/>
        </w:rPr>
        <w:t>Proc Soc Exp Biol Med,</w:t>
      </w:r>
      <w:r w:rsidRPr="00277EC9">
        <w:rPr>
          <w:rFonts w:ascii="Calibri" w:eastAsia="Calibri" w:hAnsi="Calibri" w:cs="Calibri"/>
          <w:noProof/>
          <w:sz w:val="22"/>
          <w:szCs w:val="22"/>
          <w:lang w:val="en-US"/>
        </w:rPr>
        <w:t xml:space="preserve"> 62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262-4.</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EASTMAN, S., MARKHOLST, H., WILSON, D. &amp; LERNMARK, Å. 1991. Leukocytosis at the onset of diabetes in crosses of inbred BB rats. </w:t>
      </w:r>
      <w:r w:rsidRPr="00277EC9">
        <w:rPr>
          <w:rFonts w:ascii="Calibri" w:eastAsia="Calibri" w:hAnsi="Calibri" w:cs="Calibri"/>
          <w:i/>
          <w:noProof/>
          <w:sz w:val="22"/>
          <w:szCs w:val="22"/>
          <w:lang w:val="en-US"/>
        </w:rPr>
        <w:t>Diabetes research and clinical practice,</w:t>
      </w:r>
      <w:r w:rsidRPr="00277EC9">
        <w:rPr>
          <w:rFonts w:ascii="Calibri" w:eastAsia="Calibri" w:hAnsi="Calibri" w:cs="Calibri"/>
          <w:noProof/>
          <w:sz w:val="22"/>
          <w:szCs w:val="22"/>
          <w:lang w:val="en-US"/>
        </w:rPr>
        <w:t xml:space="preserve"> 12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113-123.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EATON, D. L., MALLOY, B. E., TSAI, S. P., HENZEL, W. &amp; DRAYNA, D. 1991. Isolation, molecular-cloning, and partial characterization of a novel carboxypeptidase-b from human plasma. </w:t>
      </w:r>
      <w:r w:rsidRPr="00277EC9">
        <w:rPr>
          <w:rFonts w:ascii="Calibri" w:eastAsia="Calibri" w:hAnsi="Calibri" w:cs="Calibri"/>
          <w:i/>
          <w:noProof/>
          <w:sz w:val="22"/>
          <w:szCs w:val="22"/>
          <w:lang w:val="en-US"/>
        </w:rPr>
        <w:t>Journal of Biological Chemistry,</w:t>
      </w:r>
      <w:r w:rsidRPr="00277EC9">
        <w:rPr>
          <w:rFonts w:ascii="Calibri" w:eastAsia="Calibri" w:hAnsi="Calibri" w:cs="Calibri"/>
          <w:noProof/>
          <w:sz w:val="22"/>
          <w:szCs w:val="22"/>
          <w:lang w:val="en-US"/>
        </w:rPr>
        <w:t xml:space="preserve"> 266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21833-21838.</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EBERT, T. J. &amp; MUZI, M. 1993. Sympathetic hyperactivity during desflurane anesthesia in healthy volunteers. A comparison with isoflurane. </w:t>
      </w:r>
      <w:r w:rsidRPr="00277EC9">
        <w:rPr>
          <w:rFonts w:ascii="Calibri" w:eastAsia="Calibri" w:hAnsi="Calibri" w:cs="Calibri"/>
          <w:i/>
          <w:noProof/>
          <w:sz w:val="22"/>
          <w:szCs w:val="22"/>
          <w:lang w:val="en-US"/>
        </w:rPr>
        <w:t>Anesthesiology,</w:t>
      </w:r>
      <w:r w:rsidRPr="00277EC9">
        <w:rPr>
          <w:rFonts w:ascii="Calibri" w:eastAsia="Calibri" w:hAnsi="Calibri" w:cs="Calibri"/>
          <w:noProof/>
          <w:sz w:val="22"/>
          <w:szCs w:val="22"/>
          <w:lang w:val="en-US"/>
        </w:rPr>
        <w:t xml:space="preserve"> 79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444-453.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EDWARDS, C. M., ZHUANG, J. &amp; MUNDY, G. R. 2008. The Pathogenesis of the Bone Disease of Multiple Myeloma. </w:t>
      </w:r>
      <w:r w:rsidRPr="00277EC9">
        <w:rPr>
          <w:rFonts w:ascii="Calibri" w:eastAsia="Calibri" w:hAnsi="Calibri" w:cs="Calibri"/>
          <w:i/>
          <w:noProof/>
          <w:sz w:val="22"/>
          <w:szCs w:val="22"/>
          <w:lang w:val="en-US"/>
        </w:rPr>
        <w:t>Bone,</w:t>
      </w:r>
      <w:r w:rsidRPr="00277EC9">
        <w:rPr>
          <w:rFonts w:ascii="Calibri" w:eastAsia="Calibri" w:hAnsi="Calibri" w:cs="Calibri"/>
          <w:noProof/>
          <w:sz w:val="22"/>
          <w:szCs w:val="22"/>
          <w:lang w:val="en-US"/>
        </w:rPr>
        <w:t xml:space="preserve"> 42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1007-1013.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EIGBEFOH, J. O., ISABU, P., OKPERE, E. &amp; ABEBE, J. 2008. The diagnostic accuracy of the rapid dipstick test to predict asymptomatic urinary tract infection of pregnancy. </w:t>
      </w:r>
      <w:r w:rsidRPr="00277EC9">
        <w:rPr>
          <w:rFonts w:ascii="Calibri" w:eastAsia="Calibri" w:hAnsi="Calibri" w:cs="Calibri"/>
          <w:i/>
          <w:noProof/>
          <w:sz w:val="22"/>
          <w:szCs w:val="22"/>
          <w:lang w:val="en-US"/>
        </w:rPr>
        <w:t>J Obstet Gynaecol,</w:t>
      </w:r>
      <w:r w:rsidRPr="00277EC9">
        <w:rPr>
          <w:rFonts w:ascii="Calibri" w:eastAsia="Calibri" w:hAnsi="Calibri" w:cs="Calibri"/>
          <w:noProof/>
          <w:sz w:val="22"/>
          <w:szCs w:val="22"/>
          <w:lang w:val="en-US"/>
        </w:rPr>
        <w:t xml:space="preserve"> 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490-5.</w:t>
      </w:r>
    </w:p>
    <w:p w:rsidR="00387B4B" w:rsidRPr="00277EC9" w:rsidRDefault="00387B4B"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EKNOYAN, G., LAMEIRE, N., BARSOUM, R., ECKARDT, K. U., LEVIN, A., LEVIN, N., LOCATELLI, F., MACLEOD, A., VANHOLDER, R., WALKER, R. &amp; WANG, H. 2004. The burden of kidney disease: improving global outcomes. </w:t>
      </w:r>
      <w:r w:rsidRPr="00277EC9">
        <w:rPr>
          <w:rFonts w:ascii="Calibri" w:eastAsia="Calibri" w:hAnsi="Calibri" w:cs="Calibri"/>
          <w:i/>
          <w:noProof/>
          <w:sz w:val="22"/>
          <w:szCs w:val="22"/>
          <w:lang w:val="en-US"/>
        </w:rPr>
        <w:t>Kidney Int,</w:t>
      </w:r>
      <w:r w:rsidRPr="00277EC9">
        <w:rPr>
          <w:rFonts w:ascii="Calibri" w:eastAsia="Calibri" w:hAnsi="Calibri" w:cs="Calibri"/>
          <w:noProof/>
          <w:sz w:val="22"/>
          <w:szCs w:val="22"/>
          <w:lang w:val="en-US"/>
        </w:rPr>
        <w:t xml:space="preserve"> 66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1310-4.</w:t>
      </w:r>
    </w:p>
    <w:p w:rsidR="00514E93" w:rsidRPr="00277EC9" w:rsidRDefault="00514E93" w:rsidP="0074329C">
      <w:pPr>
        <w:spacing w:after="0" w:line="240" w:lineRule="auto"/>
        <w:ind w:left="720"/>
        <w:jc w:val="left"/>
        <w:rPr>
          <w:rFonts w:ascii="Calibri" w:eastAsia="Calibri" w:hAnsi="Calibri" w:cs="Calibri"/>
          <w:noProof/>
          <w:sz w:val="22"/>
          <w:szCs w:val="22"/>
          <w:lang w:val="en-US"/>
        </w:rPr>
      </w:pPr>
      <w:r>
        <w:rPr>
          <w:rFonts w:ascii="Calibri" w:eastAsia="Calibri" w:hAnsi="Calibri" w:cs="Calibri"/>
          <w:noProof/>
          <w:sz w:val="22"/>
          <w:szCs w:val="22"/>
          <w:lang w:val="en-US"/>
        </w:rPr>
        <w:t>E</w:t>
      </w:r>
      <w:r w:rsidR="00F86620">
        <w:rPr>
          <w:rFonts w:ascii="Calibri" w:eastAsia="Calibri" w:hAnsi="Calibri" w:cs="Calibri"/>
          <w:noProof/>
          <w:sz w:val="22"/>
          <w:szCs w:val="22"/>
          <w:lang w:val="en-US"/>
        </w:rPr>
        <w:t>LLIS</w:t>
      </w:r>
      <w:r>
        <w:rPr>
          <w:rFonts w:ascii="Calibri" w:eastAsia="Calibri" w:hAnsi="Calibri" w:cs="Calibri"/>
          <w:noProof/>
          <w:sz w:val="22"/>
          <w:szCs w:val="22"/>
          <w:lang w:val="en-US"/>
        </w:rPr>
        <w:t xml:space="preserve">, V. 2013 Handbook of proteolytic enzymes chapter 645, 2938-2945 </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EL NAHAS, M. 2003. Kidney remodelling and scarring: the plasticity of cells. </w:t>
      </w:r>
      <w:r w:rsidRPr="00277EC9">
        <w:rPr>
          <w:rFonts w:ascii="Calibri" w:eastAsia="Calibri" w:hAnsi="Calibri" w:cs="Calibri"/>
          <w:i/>
          <w:noProof/>
          <w:sz w:val="22"/>
          <w:szCs w:val="22"/>
          <w:lang w:val="en-US"/>
        </w:rPr>
        <w:t>Nephrology Dialysis Transplantation,</w:t>
      </w:r>
      <w:r w:rsidRPr="00277EC9">
        <w:rPr>
          <w:rFonts w:ascii="Calibri" w:eastAsia="Calibri" w:hAnsi="Calibri" w:cs="Calibri"/>
          <w:noProof/>
          <w:sz w:val="22"/>
          <w:szCs w:val="22"/>
          <w:lang w:val="en-US"/>
        </w:rPr>
        <w:t xml:space="preserve"> 18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1959-1962.</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ENCARNACION, M., WARNER, G., CHENG, J., GRAY, C. E., NATH, K. &amp; GRANDE, J. P. 2011. n- 3 Fatty acids block TNF-alpha- stimulated MCP- 1 expression in rat mesangial cells. </w:t>
      </w:r>
      <w:r w:rsidRPr="00277EC9">
        <w:rPr>
          <w:rFonts w:ascii="Calibri" w:eastAsia="Calibri" w:hAnsi="Calibri" w:cs="Calibri"/>
          <w:i/>
          <w:noProof/>
          <w:sz w:val="22"/>
          <w:szCs w:val="22"/>
          <w:lang w:val="en-US"/>
        </w:rPr>
        <w:t>Am. J. Physiol.-Renal Physiol.,</w:t>
      </w:r>
      <w:r w:rsidRPr="00277EC9">
        <w:rPr>
          <w:rFonts w:ascii="Calibri" w:eastAsia="Calibri" w:hAnsi="Calibri" w:cs="Calibri"/>
          <w:noProof/>
          <w:sz w:val="22"/>
          <w:szCs w:val="22"/>
          <w:lang w:val="en-US"/>
        </w:rPr>
        <w:t xml:space="preserve"> 300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F1142-F1151.</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ENDO, K., TAKINO, T., MIYAMORI, H., KINSEN, H., YOSHIZAKI, T., FURUKAWA, M. &amp; SATO, H. 2003. Cleavage of syndecan-1 by membrane type matrix metalloproteinase-1 stimulates cell migration. </w:t>
      </w:r>
      <w:r w:rsidRPr="00277EC9">
        <w:rPr>
          <w:rFonts w:ascii="Calibri" w:eastAsia="Calibri" w:hAnsi="Calibri" w:cs="Calibri"/>
          <w:i/>
          <w:noProof/>
          <w:sz w:val="22"/>
          <w:szCs w:val="22"/>
          <w:lang w:val="en-US"/>
        </w:rPr>
        <w:t>J Biol Chem,</w:t>
      </w:r>
      <w:r w:rsidRPr="00277EC9">
        <w:rPr>
          <w:rFonts w:ascii="Calibri" w:eastAsia="Calibri" w:hAnsi="Calibri" w:cs="Calibri"/>
          <w:noProof/>
          <w:sz w:val="22"/>
          <w:szCs w:val="22"/>
          <w:lang w:val="en-US"/>
        </w:rPr>
        <w:t xml:space="preserve"> 278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40764-70.</w:t>
      </w:r>
    </w:p>
    <w:p w:rsidR="00F75526" w:rsidRDefault="00F75526" w:rsidP="00F75526">
      <w:pPr>
        <w:spacing w:after="0" w:line="240" w:lineRule="auto"/>
        <w:ind w:left="720"/>
        <w:jc w:val="left"/>
        <w:rPr>
          <w:rFonts w:ascii="Calibri" w:eastAsia="Calibri" w:hAnsi="Calibri" w:cs="Calibri"/>
          <w:noProof/>
          <w:color w:val="FF0000"/>
          <w:sz w:val="22"/>
          <w:szCs w:val="22"/>
          <w:lang w:val="en-US"/>
        </w:rPr>
      </w:pPr>
    </w:p>
    <w:p w:rsidR="00F75526" w:rsidRPr="00F75526" w:rsidRDefault="00F75526" w:rsidP="00F75526">
      <w:pPr>
        <w:spacing w:after="0" w:line="240" w:lineRule="auto"/>
        <w:ind w:left="720"/>
        <w:jc w:val="left"/>
        <w:rPr>
          <w:rFonts w:ascii="Calibri" w:hAnsi="Calibri" w:cs="Calibri"/>
          <w:noProof/>
          <w:sz w:val="22"/>
          <w:szCs w:val="22"/>
          <w:lang w:val="en-US"/>
        </w:rPr>
      </w:pPr>
      <w:r w:rsidRPr="00F75526">
        <w:rPr>
          <w:rFonts w:ascii="Calibri" w:eastAsia="Calibri" w:hAnsi="Calibri" w:cs="Calibri"/>
          <w:noProof/>
          <w:sz w:val="22"/>
          <w:szCs w:val="22"/>
          <w:lang w:val="en-US"/>
        </w:rPr>
        <w:t xml:space="preserve">ERMAKOVA, I., SAKUTA, G., POTEKHINA, M., FEDOROVA, M., HOFFMANN, R. &amp; MOROZOV, V. 2011. Major chondroitin sulfate proteoglycans identified in L6J1 myoblast culture. </w:t>
      </w:r>
      <w:r w:rsidRPr="00F75526">
        <w:rPr>
          <w:rFonts w:ascii="Calibri" w:eastAsia="Calibri" w:hAnsi="Calibri" w:cs="Calibri"/>
          <w:i/>
          <w:noProof/>
          <w:sz w:val="22"/>
          <w:szCs w:val="22"/>
          <w:lang w:val="en-US"/>
        </w:rPr>
        <w:t>Biochemistry (Moscow),</w:t>
      </w:r>
      <w:r w:rsidRPr="00F75526">
        <w:rPr>
          <w:rFonts w:ascii="Calibri" w:eastAsia="Calibri" w:hAnsi="Calibri" w:cs="Calibri"/>
          <w:noProof/>
          <w:sz w:val="22"/>
          <w:szCs w:val="22"/>
          <w:lang w:val="en-US"/>
        </w:rPr>
        <w:t xml:space="preserve"> 76</w:t>
      </w:r>
      <w:r w:rsidRPr="00F75526">
        <w:rPr>
          <w:rFonts w:ascii="Calibri" w:eastAsia="Calibri" w:hAnsi="Calibri" w:cs="Calibri"/>
          <w:b/>
          <w:noProof/>
          <w:sz w:val="22"/>
          <w:szCs w:val="22"/>
          <w:lang w:val="en-US"/>
        </w:rPr>
        <w:t>,</w:t>
      </w:r>
      <w:r w:rsidRPr="00F75526">
        <w:rPr>
          <w:rFonts w:ascii="Calibri" w:eastAsia="Calibri" w:hAnsi="Calibri" w:cs="Calibri"/>
          <w:noProof/>
          <w:sz w:val="22"/>
          <w:szCs w:val="22"/>
          <w:lang w:val="en-US"/>
        </w:rPr>
        <w:t xml:space="preserve"> 359-365.</w:t>
      </w:r>
    </w:p>
    <w:p w:rsidR="0074329C" w:rsidRPr="00277EC9" w:rsidRDefault="0074329C" w:rsidP="00F75526">
      <w:pPr>
        <w:spacing w:after="0" w:line="240" w:lineRule="auto"/>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FAJERS, C.-M. 1957. On Compensatory Renal hypertrophy after unilateral nephrectomy. </w:t>
      </w:r>
      <w:r w:rsidRPr="00277EC9">
        <w:rPr>
          <w:rFonts w:ascii="Calibri" w:eastAsia="Calibri" w:hAnsi="Calibri" w:cs="Calibri"/>
          <w:i/>
          <w:noProof/>
          <w:sz w:val="22"/>
          <w:szCs w:val="22"/>
          <w:lang w:val="en-US"/>
        </w:rPr>
        <w:t>Acta Pathologica Microbiologica Scandinavica,</w:t>
      </w:r>
      <w:r w:rsidRPr="00277EC9">
        <w:rPr>
          <w:rFonts w:ascii="Calibri" w:eastAsia="Calibri" w:hAnsi="Calibri" w:cs="Calibri"/>
          <w:noProof/>
          <w:sz w:val="22"/>
          <w:szCs w:val="22"/>
          <w:lang w:val="en-US"/>
        </w:rPr>
        <w:t xml:space="preserve"> 41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25-33.</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FARNDALE, R. W., BUTTLE, D. J. &amp; BARRETT, A. J. 1986. Improved quantitation and discrimination of sulphated glycosaminoglycans by use of dimethylmethylene blue. </w:t>
      </w:r>
      <w:r w:rsidRPr="00277EC9">
        <w:rPr>
          <w:rFonts w:ascii="Calibri" w:eastAsia="Calibri" w:hAnsi="Calibri" w:cs="Calibri"/>
          <w:i/>
          <w:noProof/>
          <w:sz w:val="22"/>
          <w:szCs w:val="22"/>
          <w:lang w:val="en-US"/>
        </w:rPr>
        <w:t>Biochim Biophys Acta,</w:t>
      </w:r>
      <w:r w:rsidRPr="00277EC9">
        <w:rPr>
          <w:rFonts w:ascii="Calibri" w:eastAsia="Calibri" w:hAnsi="Calibri" w:cs="Calibri"/>
          <w:noProof/>
          <w:sz w:val="22"/>
          <w:szCs w:val="22"/>
          <w:lang w:val="en-US"/>
        </w:rPr>
        <w:t xml:space="preserve"> 883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173-7.</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FARNDALE, R. W., SAYERS, C. A. &amp; BARRETT, A. J. 1982. A direct spectrophotometric microassay for sulfated glycosaminoglycans in cartilage cultures. </w:t>
      </w:r>
      <w:r w:rsidRPr="00277EC9">
        <w:rPr>
          <w:rFonts w:ascii="Calibri" w:eastAsia="Calibri" w:hAnsi="Calibri" w:cs="Calibri"/>
          <w:i/>
          <w:noProof/>
          <w:sz w:val="22"/>
          <w:szCs w:val="22"/>
          <w:lang w:val="en-US"/>
        </w:rPr>
        <w:t>Connect Tissue Res,</w:t>
      </w:r>
      <w:r w:rsidRPr="00277EC9">
        <w:rPr>
          <w:rFonts w:ascii="Calibri" w:eastAsia="Calibri" w:hAnsi="Calibri" w:cs="Calibri"/>
          <w:noProof/>
          <w:sz w:val="22"/>
          <w:szCs w:val="22"/>
          <w:lang w:val="en-US"/>
        </w:rPr>
        <w:t xml:space="preserve"> 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247-8.</w:t>
      </w:r>
    </w:p>
    <w:p w:rsidR="0074329C" w:rsidRPr="00277EC9" w:rsidRDefault="0074329C"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74329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FARQUHAR, A., MACDONALD, M. K. &amp; IRELAND, J. 1972. The role of fibrin deposition in diabetic glomerulosclerosis: a light, electron and immunofluorescence microscopy study. </w:t>
      </w:r>
      <w:r w:rsidRPr="00277EC9">
        <w:rPr>
          <w:rFonts w:ascii="Calibri" w:eastAsia="Calibri" w:hAnsi="Calibri" w:cs="Calibri"/>
          <w:i/>
          <w:noProof/>
          <w:sz w:val="22"/>
          <w:szCs w:val="22"/>
          <w:lang w:val="en-US"/>
        </w:rPr>
        <w:t>Journal of clinical pathology,</w:t>
      </w:r>
      <w:r w:rsidRPr="00277EC9">
        <w:rPr>
          <w:rFonts w:ascii="Calibri" w:eastAsia="Calibri" w:hAnsi="Calibri" w:cs="Calibri"/>
          <w:noProof/>
          <w:sz w:val="22"/>
          <w:szCs w:val="22"/>
          <w:lang w:val="en-US"/>
        </w:rPr>
        <w:t xml:space="preserve"> 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657-667.</w:t>
      </w:r>
    </w:p>
    <w:p w:rsidR="00F069FB" w:rsidRPr="00277EC9" w:rsidRDefault="00F069FB" w:rsidP="0074329C">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FARQUHAR, M. G. 1975. Editorial: The primary glomerular filtration barrier--basement membrane or epithelial slits? </w:t>
      </w:r>
      <w:r w:rsidRPr="00277EC9">
        <w:rPr>
          <w:rFonts w:ascii="Calibri" w:eastAsia="Calibri" w:hAnsi="Calibri" w:cs="Calibri"/>
          <w:i/>
          <w:noProof/>
          <w:sz w:val="22"/>
          <w:szCs w:val="22"/>
          <w:lang w:val="en-US"/>
        </w:rPr>
        <w:t>Kidney Int,</w:t>
      </w:r>
      <w:r w:rsidRPr="00277EC9">
        <w:rPr>
          <w:rFonts w:ascii="Calibri" w:eastAsia="Calibri" w:hAnsi="Calibri" w:cs="Calibri"/>
          <w:noProof/>
          <w:sz w:val="22"/>
          <w:szCs w:val="22"/>
          <w:lang w:val="en-US"/>
        </w:rPr>
        <w:t xml:space="preserve"> 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197-211.</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FARQUHAR, M. G., WISSIG, S. L. &amp; PALADE, G. E. 1999. Glomerular permeability I. Ferritin transfer across the normal glomerular capillary wall. 1961. </w:t>
      </w:r>
      <w:r w:rsidRPr="00277EC9">
        <w:rPr>
          <w:rFonts w:ascii="Calibri" w:eastAsia="Calibri" w:hAnsi="Calibri" w:cs="Calibri"/>
          <w:i/>
          <w:noProof/>
          <w:sz w:val="22"/>
          <w:szCs w:val="22"/>
          <w:lang w:val="en-US"/>
        </w:rPr>
        <w:t>J Am Soc Nephrol,</w:t>
      </w:r>
      <w:r w:rsidRPr="00277EC9">
        <w:rPr>
          <w:rFonts w:ascii="Calibri" w:eastAsia="Calibri" w:hAnsi="Calibri" w:cs="Calibri"/>
          <w:noProof/>
          <w:sz w:val="22"/>
          <w:szCs w:val="22"/>
          <w:lang w:val="en-US"/>
        </w:rPr>
        <w:t xml:space="preserve"> 10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2645-62.</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FRAGIADAKI, M., HILL, N., HEWITT, R., BOU-GHARIOS, G., COOK, T., TAM, F. W., DOMIN, J. &amp; MASON, R. M. 2012. Hyperglycemia Causes Renal Cell Damage via CCN2-Induced Activation of the TrkA Receptor: Implications for Diabetic Nephropathy. </w:t>
      </w:r>
      <w:r w:rsidRPr="00277EC9">
        <w:rPr>
          <w:rFonts w:ascii="Calibri" w:eastAsia="Calibri" w:hAnsi="Calibri" w:cs="Calibri"/>
          <w:i/>
          <w:noProof/>
          <w:sz w:val="22"/>
          <w:szCs w:val="22"/>
          <w:lang w:val="en-US"/>
        </w:rPr>
        <w:t>Diabetes,</w:t>
      </w:r>
      <w:r w:rsidRPr="00277EC9">
        <w:rPr>
          <w:rFonts w:ascii="Calibri" w:eastAsia="Calibri" w:hAnsi="Calibri" w:cs="Calibri"/>
          <w:noProof/>
          <w:sz w:val="22"/>
          <w:szCs w:val="22"/>
          <w:lang w:val="en-US"/>
        </w:rPr>
        <w:t xml:space="preserve"> 61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2280-2288.</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FRAZIER, S. B., ROODHOUSE, K. A., HOURCADE, D. E. &amp; ZHANG, L. 2008. The Quantification of Glycosaminoglycans: A Comparison of HPLC, Carbazole, and Alcian Blue Methods. </w:t>
      </w:r>
      <w:r w:rsidRPr="00277EC9">
        <w:rPr>
          <w:rFonts w:ascii="Calibri" w:eastAsia="Calibri" w:hAnsi="Calibri" w:cs="Calibri"/>
          <w:i/>
          <w:noProof/>
          <w:sz w:val="22"/>
          <w:szCs w:val="22"/>
          <w:lang w:val="en-US"/>
        </w:rPr>
        <w:t>TOGLYJ,</w:t>
      </w:r>
      <w:r w:rsidRPr="00277EC9">
        <w:rPr>
          <w:rFonts w:ascii="Calibri" w:eastAsia="Calibri" w:hAnsi="Calibri" w:cs="Calibri"/>
          <w:noProof/>
          <w:sz w:val="22"/>
          <w:szCs w:val="22"/>
          <w:lang w:val="en-US"/>
        </w:rPr>
        <w:t xml:space="preserve"> 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31-39.</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FREE, A. H. 1963. Enzymatic determinations of glucose. </w:t>
      </w:r>
      <w:r w:rsidRPr="00277EC9">
        <w:rPr>
          <w:rFonts w:ascii="Calibri" w:eastAsia="Calibri" w:hAnsi="Calibri" w:cs="Calibri"/>
          <w:i/>
          <w:noProof/>
          <w:sz w:val="22"/>
          <w:szCs w:val="22"/>
          <w:lang w:val="en-US"/>
        </w:rPr>
        <w:t>Advances in clinical chemistry,</w:t>
      </w:r>
      <w:r w:rsidRPr="00277EC9">
        <w:rPr>
          <w:rFonts w:ascii="Calibri" w:eastAsia="Calibri" w:hAnsi="Calibri" w:cs="Calibri"/>
          <w:noProof/>
          <w:sz w:val="22"/>
          <w:szCs w:val="22"/>
          <w:lang w:val="en-US"/>
        </w:rPr>
        <w:t xml:space="preserve"> 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67-96.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FRIMAN, C. &amp; JUVANI, M. 1975. Urinary excretion of glycosaminoglycans in malignant diseases of the haemopoietic and lymphatic tissues. </w:t>
      </w:r>
      <w:r w:rsidRPr="00277EC9">
        <w:rPr>
          <w:rFonts w:ascii="Calibri" w:eastAsia="Calibri" w:hAnsi="Calibri" w:cs="Calibri"/>
          <w:i/>
          <w:noProof/>
          <w:sz w:val="22"/>
          <w:szCs w:val="22"/>
          <w:lang w:val="en-US"/>
        </w:rPr>
        <w:t>Acta Med Scand,</w:t>
      </w:r>
      <w:r w:rsidRPr="00277EC9">
        <w:rPr>
          <w:rFonts w:ascii="Calibri" w:eastAsia="Calibri" w:hAnsi="Calibri" w:cs="Calibri"/>
          <w:noProof/>
          <w:sz w:val="22"/>
          <w:szCs w:val="22"/>
          <w:lang w:val="en-US"/>
        </w:rPr>
        <w:t xml:space="preserve"> 198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115-22.</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FUJIMOTO, H., GABAZZA, E. C., TAGUCHI, O., NISHII, Y., NAKAHARA, H., BRUNO, N. E., D'ALESSANDRO-GABAZZA, C. N., KASPER, M., YANO, Y. &amp; NAGASHIMA, M. 2006. Thrombin-activatable fibrinolysis inhibitor deficiency attenuates bleomycin-induced lung fibrosis. </w:t>
      </w:r>
      <w:r w:rsidRPr="00277EC9">
        <w:rPr>
          <w:rFonts w:ascii="Calibri" w:eastAsia="Calibri" w:hAnsi="Calibri" w:cs="Calibri"/>
          <w:i/>
          <w:noProof/>
          <w:sz w:val="22"/>
          <w:szCs w:val="22"/>
          <w:lang w:val="en-US"/>
        </w:rPr>
        <w:t>The American journal of pathology,</w:t>
      </w:r>
      <w:r w:rsidRPr="00277EC9">
        <w:rPr>
          <w:rFonts w:ascii="Calibri" w:eastAsia="Calibri" w:hAnsi="Calibri" w:cs="Calibri"/>
          <w:noProof/>
          <w:sz w:val="22"/>
          <w:szCs w:val="22"/>
          <w:lang w:val="en-US"/>
        </w:rPr>
        <w:t xml:space="preserve"> 168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1086-1096.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FURTH, A. J. 1997. Glycated proteins in diabetes. </w:t>
      </w:r>
      <w:r w:rsidRPr="00277EC9">
        <w:rPr>
          <w:rFonts w:ascii="Calibri" w:eastAsia="Calibri" w:hAnsi="Calibri" w:cs="Calibri"/>
          <w:i/>
          <w:noProof/>
          <w:sz w:val="22"/>
          <w:szCs w:val="22"/>
          <w:lang w:val="en-US"/>
        </w:rPr>
        <w:t>British Journal of Biomedical Science,</w:t>
      </w:r>
      <w:r w:rsidRPr="00277EC9">
        <w:rPr>
          <w:rFonts w:ascii="Calibri" w:eastAsia="Calibri" w:hAnsi="Calibri" w:cs="Calibri"/>
          <w:noProof/>
          <w:sz w:val="22"/>
          <w:szCs w:val="22"/>
          <w:lang w:val="en-US"/>
        </w:rPr>
        <w:t xml:space="preserve"> 54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192-200.</w:t>
      </w:r>
    </w:p>
    <w:p w:rsidR="007917A7" w:rsidRDefault="007917A7" w:rsidP="007917A7">
      <w:pPr>
        <w:spacing w:after="0" w:line="240" w:lineRule="auto"/>
        <w:ind w:left="720"/>
        <w:jc w:val="left"/>
        <w:rPr>
          <w:rFonts w:ascii="Calibri" w:eastAsia="Calibri" w:hAnsi="Calibri" w:cs="Calibri"/>
          <w:noProof/>
          <w:sz w:val="22"/>
          <w:szCs w:val="22"/>
          <w:lang w:val="en-US"/>
        </w:rPr>
      </w:pPr>
    </w:p>
    <w:p w:rsidR="007917A7" w:rsidRDefault="007917A7" w:rsidP="007917A7">
      <w:pPr>
        <w:spacing w:after="0" w:line="240" w:lineRule="auto"/>
        <w:ind w:left="720"/>
        <w:jc w:val="left"/>
        <w:rPr>
          <w:rFonts w:ascii="Calibri" w:eastAsia="Calibri" w:hAnsi="Calibri" w:cs="Calibri"/>
          <w:noProof/>
          <w:sz w:val="22"/>
          <w:szCs w:val="22"/>
          <w:lang w:val="en-US"/>
        </w:rPr>
      </w:pPr>
      <w:r w:rsidRPr="007917A7">
        <w:rPr>
          <w:rFonts w:ascii="Calibri" w:eastAsia="Calibri" w:hAnsi="Calibri" w:cs="Calibri"/>
          <w:noProof/>
          <w:sz w:val="22"/>
          <w:szCs w:val="22"/>
          <w:lang w:val="en-US"/>
        </w:rPr>
        <w:t xml:space="preserve">GAJDOSIK, A., GAJDOSIKOVA, A., STEFEK, M., NAVAROVA, J. &amp; HOZOVA, R. 1999. Streptozotocin-induced experimental diabetes in male Wistar rats. </w:t>
      </w:r>
      <w:r w:rsidRPr="007917A7">
        <w:rPr>
          <w:rFonts w:ascii="Calibri" w:eastAsia="Calibri" w:hAnsi="Calibri" w:cs="Calibri"/>
          <w:i/>
          <w:noProof/>
          <w:sz w:val="22"/>
          <w:szCs w:val="22"/>
          <w:lang w:val="en-US"/>
        </w:rPr>
        <w:t>General physiology and biophysics,</w:t>
      </w:r>
      <w:r w:rsidRPr="007917A7">
        <w:rPr>
          <w:rFonts w:ascii="Calibri" w:eastAsia="Calibri" w:hAnsi="Calibri" w:cs="Calibri"/>
          <w:noProof/>
          <w:sz w:val="22"/>
          <w:szCs w:val="22"/>
          <w:lang w:val="en-US"/>
        </w:rPr>
        <w:t xml:space="preserve"> 18</w:t>
      </w:r>
      <w:r w:rsidRPr="007917A7">
        <w:rPr>
          <w:rFonts w:ascii="Calibri" w:eastAsia="Calibri" w:hAnsi="Calibri" w:cs="Calibri"/>
          <w:b/>
          <w:noProof/>
          <w:sz w:val="22"/>
          <w:szCs w:val="22"/>
          <w:lang w:val="en-US"/>
        </w:rPr>
        <w:t>,</w:t>
      </w:r>
      <w:r w:rsidRPr="007917A7">
        <w:rPr>
          <w:rFonts w:ascii="Calibri" w:eastAsia="Calibri" w:hAnsi="Calibri" w:cs="Calibri"/>
          <w:noProof/>
          <w:sz w:val="22"/>
          <w:szCs w:val="22"/>
          <w:lang w:val="en-US"/>
        </w:rPr>
        <w:t xml:space="preserve"> 54-62.</w:t>
      </w:r>
    </w:p>
    <w:p w:rsidR="00141D63" w:rsidRDefault="00141D63" w:rsidP="00141D63">
      <w:pPr>
        <w:spacing w:after="0" w:line="240" w:lineRule="auto"/>
        <w:ind w:left="720"/>
        <w:jc w:val="left"/>
        <w:rPr>
          <w:rFonts w:ascii="Calibri" w:eastAsia="Calibri" w:hAnsi="Calibri" w:cs="Calibri"/>
          <w:noProof/>
          <w:color w:val="FF0000"/>
          <w:sz w:val="22"/>
          <w:szCs w:val="22"/>
          <w:lang w:val="en-US"/>
        </w:rPr>
      </w:pPr>
    </w:p>
    <w:p w:rsidR="00141D63" w:rsidRPr="00141D63" w:rsidRDefault="00141D63" w:rsidP="00141D63">
      <w:pPr>
        <w:spacing w:after="0" w:line="240" w:lineRule="auto"/>
        <w:ind w:left="720"/>
        <w:jc w:val="left"/>
        <w:rPr>
          <w:rFonts w:ascii="Calibri" w:eastAsia="Calibri" w:hAnsi="Calibri" w:cs="Calibri"/>
          <w:noProof/>
          <w:sz w:val="22"/>
          <w:szCs w:val="22"/>
          <w:lang w:val="en-US"/>
        </w:rPr>
      </w:pPr>
      <w:r w:rsidRPr="00141D63">
        <w:rPr>
          <w:rFonts w:ascii="Calibri" w:eastAsia="Calibri" w:hAnsi="Calibri" w:cs="Calibri"/>
          <w:noProof/>
          <w:sz w:val="22"/>
          <w:szCs w:val="22"/>
          <w:lang w:val="en-US"/>
        </w:rPr>
        <w:t xml:space="preserve">GALKINA, E. &amp; LEY, K. 2006. Leukocyte recruitment and vascular injury in diabetic nephropathy. </w:t>
      </w:r>
      <w:r w:rsidRPr="00141D63">
        <w:rPr>
          <w:rFonts w:ascii="Calibri" w:eastAsia="Calibri" w:hAnsi="Calibri" w:cs="Calibri"/>
          <w:i/>
          <w:noProof/>
          <w:sz w:val="22"/>
          <w:szCs w:val="22"/>
          <w:lang w:val="en-US"/>
        </w:rPr>
        <w:t>Journal of the American Society of Nephrology,</w:t>
      </w:r>
      <w:r w:rsidRPr="00141D63">
        <w:rPr>
          <w:rFonts w:ascii="Calibri" w:eastAsia="Calibri" w:hAnsi="Calibri" w:cs="Calibri"/>
          <w:noProof/>
          <w:sz w:val="22"/>
          <w:szCs w:val="22"/>
          <w:lang w:val="en-US"/>
        </w:rPr>
        <w:t xml:space="preserve"> 17</w:t>
      </w:r>
      <w:r w:rsidRPr="00141D63">
        <w:rPr>
          <w:rFonts w:ascii="Calibri" w:eastAsia="Calibri" w:hAnsi="Calibri" w:cs="Calibri"/>
          <w:b/>
          <w:noProof/>
          <w:sz w:val="22"/>
          <w:szCs w:val="22"/>
          <w:lang w:val="en-US"/>
        </w:rPr>
        <w:t>,</w:t>
      </w:r>
      <w:r w:rsidRPr="00141D63">
        <w:rPr>
          <w:rFonts w:ascii="Calibri" w:eastAsia="Calibri" w:hAnsi="Calibri" w:cs="Calibri"/>
          <w:noProof/>
          <w:sz w:val="22"/>
          <w:szCs w:val="22"/>
          <w:lang w:val="en-US"/>
        </w:rPr>
        <w:t xml:space="preserve"> 368-377.</w:t>
      </w:r>
    </w:p>
    <w:p w:rsidR="00F069FB" w:rsidRPr="00277EC9" w:rsidRDefault="00F069FB" w:rsidP="007917A7">
      <w:pPr>
        <w:spacing w:after="0" w:line="240" w:lineRule="auto"/>
        <w:jc w:val="left"/>
        <w:rPr>
          <w:rFonts w:ascii="Calibri" w:eastAsia="Calibri" w:hAnsi="Calibri" w:cs="Calibri"/>
          <w:noProof/>
          <w:sz w:val="22"/>
          <w:szCs w:val="22"/>
          <w:lang w:val="en-US"/>
        </w:rPr>
      </w:pPr>
    </w:p>
    <w:p w:rsidR="00B02242"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GAMBLE, M. &amp; WILSON, I. 2008. The hematoxylins and eosin. </w:t>
      </w:r>
      <w:r w:rsidRPr="00277EC9">
        <w:rPr>
          <w:rFonts w:ascii="Calibri" w:eastAsia="Calibri" w:hAnsi="Calibri" w:cs="Calibri"/>
          <w:i/>
          <w:noProof/>
          <w:sz w:val="22"/>
          <w:szCs w:val="22"/>
          <w:lang w:val="en-US"/>
        </w:rPr>
        <w:t>Theory and practice of histological techniques,</w:t>
      </w:r>
      <w:r w:rsidRPr="00277EC9">
        <w:rPr>
          <w:rFonts w:ascii="Calibri" w:eastAsia="Calibri" w:hAnsi="Calibri" w:cs="Calibri"/>
          <w:noProof/>
          <w:sz w:val="22"/>
          <w:szCs w:val="22"/>
          <w:lang w:val="en-US"/>
        </w:rPr>
        <w:t xml:space="preserve"> 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121-34.</w:t>
      </w:r>
    </w:p>
    <w:p w:rsidR="00FF7B00" w:rsidRDefault="00FF7B00" w:rsidP="00FF7B00">
      <w:pPr>
        <w:spacing w:after="0" w:line="240" w:lineRule="auto"/>
        <w:ind w:left="720"/>
        <w:jc w:val="left"/>
        <w:rPr>
          <w:rFonts w:ascii="Calibri" w:eastAsia="Calibri" w:hAnsi="Calibri" w:cs="Calibri"/>
          <w:noProof/>
          <w:color w:val="FF0000"/>
          <w:sz w:val="22"/>
          <w:szCs w:val="22"/>
          <w:lang w:val="en-US"/>
        </w:rPr>
      </w:pPr>
    </w:p>
    <w:p w:rsidR="00FF7B00" w:rsidRPr="00FF7B00" w:rsidRDefault="00FF7B00" w:rsidP="00FF7B00">
      <w:pPr>
        <w:spacing w:after="0" w:line="240" w:lineRule="auto"/>
        <w:ind w:left="720"/>
        <w:jc w:val="left"/>
        <w:rPr>
          <w:rFonts w:ascii="Calibri" w:hAnsi="Calibri" w:cs="Calibri"/>
          <w:noProof/>
          <w:sz w:val="22"/>
          <w:szCs w:val="22"/>
          <w:lang w:val="en-US"/>
        </w:rPr>
      </w:pPr>
      <w:r w:rsidRPr="00FF7B00">
        <w:rPr>
          <w:rFonts w:ascii="Calibri" w:eastAsia="Calibri" w:hAnsi="Calibri" w:cs="Calibri"/>
          <w:noProof/>
          <w:sz w:val="22"/>
          <w:szCs w:val="22"/>
          <w:lang w:val="en-US"/>
        </w:rPr>
        <w:t xml:space="preserve">GEORGE, S. J. 1998. Tissue inhibitors of metalloproteinases and metalloproteinases in atherosclerosis. </w:t>
      </w:r>
      <w:r w:rsidRPr="00FF7B00">
        <w:rPr>
          <w:rFonts w:ascii="Calibri" w:eastAsia="Calibri" w:hAnsi="Calibri" w:cs="Calibri"/>
          <w:i/>
          <w:noProof/>
          <w:sz w:val="22"/>
          <w:szCs w:val="22"/>
          <w:lang w:val="en-US"/>
        </w:rPr>
        <w:t>Current opinion in lipidology,</w:t>
      </w:r>
      <w:r w:rsidRPr="00FF7B00">
        <w:rPr>
          <w:rFonts w:ascii="Calibri" w:eastAsia="Calibri" w:hAnsi="Calibri" w:cs="Calibri"/>
          <w:noProof/>
          <w:sz w:val="22"/>
          <w:szCs w:val="22"/>
          <w:lang w:val="en-US"/>
        </w:rPr>
        <w:t xml:space="preserve"> 9</w:t>
      </w:r>
      <w:r w:rsidRPr="00FF7B00">
        <w:rPr>
          <w:rFonts w:ascii="Calibri" w:eastAsia="Calibri" w:hAnsi="Calibri" w:cs="Calibri"/>
          <w:b/>
          <w:noProof/>
          <w:sz w:val="22"/>
          <w:szCs w:val="22"/>
          <w:lang w:val="en-US"/>
        </w:rPr>
        <w:t>,</w:t>
      </w:r>
      <w:r w:rsidRPr="00FF7B00">
        <w:rPr>
          <w:rFonts w:ascii="Calibri" w:eastAsia="Calibri" w:hAnsi="Calibri" w:cs="Calibri"/>
          <w:noProof/>
          <w:sz w:val="22"/>
          <w:szCs w:val="22"/>
          <w:lang w:val="en-US"/>
        </w:rPr>
        <w:t xml:space="preserve"> 413-423.</w:t>
      </w:r>
    </w:p>
    <w:p w:rsidR="00F069FB" w:rsidRPr="00277EC9" w:rsidRDefault="00F069FB" w:rsidP="00FF7B00">
      <w:pPr>
        <w:spacing w:after="0" w:line="240" w:lineRule="auto"/>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GONZALEZ-CARRILLO, M., MOLONEY, A. &amp; BEWICK, M. 1982. Renal transplantation in diabetic nephropathy. </w:t>
      </w:r>
      <w:r w:rsidRPr="00277EC9">
        <w:rPr>
          <w:rFonts w:ascii="Calibri" w:eastAsia="Calibri" w:hAnsi="Calibri" w:cs="Calibri"/>
          <w:i/>
          <w:noProof/>
          <w:sz w:val="22"/>
          <w:szCs w:val="22"/>
          <w:lang w:val="en-US"/>
        </w:rPr>
        <w:t>British Medical Journal,</w:t>
      </w:r>
      <w:r w:rsidRPr="00277EC9">
        <w:rPr>
          <w:rFonts w:ascii="Calibri" w:eastAsia="Calibri" w:hAnsi="Calibri" w:cs="Calibri"/>
          <w:noProof/>
          <w:sz w:val="22"/>
          <w:szCs w:val="22"/>
          <w:lang w:val="en-US"/>
        </w:rPr>
        <w:t xml:space="preserve"> 285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1713-1716.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GOWDA, S., DESAI, P. B., KULKARNI, S. S., HULL, V. V., MATH, A. A. K. &amp; VERNEKAR, S. N. 2010. Markers of renal function tests. </w:t>
      </w:r>
      <w:r w:rsidRPr="00277EC9">
        <w:rPr>
          <w:rFonts w:ascii="Calibri" w:eastAsia="Calibri" w:hAnsi="Calibri" w:cs="Calibri"/>
          <w:i/>
          <w:noProof/>
          <w:sz w:val="22"/>
          <w:szCs w:val="22"/>
          <w:lang w:val="en-US"/>
        </w:rPr>
        <w:t>North American Journal of Medical Sciences,</w:t>
      </w:r>
      <w:r w:rsidRPr="00277EC9">
        <w:rPr>
          <w:rFonts w:ascii="Calibri" w:eastAsia="Calibri" w:hAnsi="Calibri" w:cs="Calibri"/>
          <w:noProof/>
          <w:sz w:val="22"/>
          <w:szCs w:val="22"/>
          <w:lang w:val="en-US"/>
        </w:rPr>
        <w:t xml:space="preserve"> 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170-173.</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GREEN, R. 1993. Handbook of Physiology , Section 8, Renal Physiology vol. I and II. Edited by Erich E. Windhager . Pp. 2516. Oxford University Press, 1992. £250 hardback. ISBN 0 19 506006 7.</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GRETZ, N. 1994. Accelerated renal death after unilateral nephrectomy in a rat strain suffering from autosomal dominant polycystic kidney disease. </w:t>
      </w:r>
      <w:r w:rsidRPr="00277EC9">
        <w:rPr>
          <w:rFonts w:ascii="Calibri" w:eastAsia="Calibri" w:hAnsi="Calibri" w:cs="Calibri"/>
          <w:i/>
          <w:noProof/>
          <w:sz w:val="22"/>
          <w:szCs w:val="22"/>
          <w:lang w:val="en-US"/>
        </w:rPr>
        <w:t>Journal of the American Society of Nephrology : JASN,</w:t>
      </w:r>
      <w:r w:rsidRPr="00277EC9">
        <w:rPr>
          <w:rFonts w:ascii="Calibri" w:eastAsia="Calibri" w:hAnsi="Calibri" w:cs="Calibri"/>
          <w:noProof/>
          <w:sz w:val="22"/>
          <w:szCs w:val="22"/>
          <w:lang w:val="en-US"/>
        </w:rPr>
        <w:t xml:space="preserve"> 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1925-1926.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GRIMM, P. C., NICKERSON, P., GOUGH, J., MCKENNA, R., STERN, E., JEFFERY, J. &amp; RUSH, D. N. 2003. Computerized image analysis of Sirius Red–stained renal allograft biopsies as a surrogate marker to predict long-term allograft function. </w:t>
      </w:r>
      <w:r w:rsidRPr="00277EC9">
        <w:rPr>
          <w:rFonts w:ascii="Calibri" w:eastAsia="Calibri" w:hAnsi="Calibri" w:cs="Calibri"/>
          <w:i/>
          <w:noProof/>
          <w:sz w:val="22"/>
          <w:szCs w:val="22"/>
          <w:lang w:val="en-US"/>
        </w:rPr>
        <w:t>Journal of the American Society of Nephrology,</w:t>
      </w:r>
      <w:r w:rsidRPr="00277EC9">
        <w:rPr>
          <w:rFonts w:ascii="Calibri" w:eastAsia="Calibri" w:hAnsi="Calibri" w:cs="Calibri"/>
          <w:noProof/>
          <w:sz w:val="22"/>
          <w:szCs w:val="22"/>
          <w:lang w:val="en-US"/>
        </w:rPr>
        <w:t xml:space="preserve"> 14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1662-1668.</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GUH, J. Y. 2010. Proteinuria versus albuminuria in chronic kidney disease. </w:t>
      </w:r>
      <w:r w:rsidRPr="00277EC9">
        <w:rPr>
          <w:rFonts w:ascii="Calibri" w:eastAsia="Calibri" w:hAnsi="Calibri" w:cs="Calibri"/>
          <w:i/>
          <w:noProof/>
          <w:sz w:val="22"/>
          <w:szCs w:val="22"/>
          <w:lang w:val="en-US"/>
        </w:rPr>
        <w:t>Nephrology,</w:t>
      </w:r>
      <w:r w:rsidRPr="00277EC9">
        <w:rPr>
          <w:rFonts w:ascii="Calibri" w:eastAsia="Calibri" w:hAnsi="Calibri" w:cs="Calibri"/>
          <w:noProof/>
          <w:sz w:val="22"/>
          <w:szCs w:val="22"/>
          <w:lang w:val="en-US"/>
        </w:rPr>
        <w:t xml:space="preserve"> 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53-56.</w:t>
      </w:r>
    </w:p>
    <w:p w:rsidR="00366FD8" w:rsidRDefault="00366FD8" w:rsidP="00366FD8">
      <w:pPr>
        <w:spacing w:after="0" w:line="240" w:lineRule="auto"/>
        <w:ind w:left="720"/>
        <w:jc w:val="left"/>
        <w:rPr>
          <w:rFonts w:ascii="Calibri" w:eastAsia="Calibri" w:hAnsi="Calibri" w:cs="Calibri"/>
          <w:noProof/>
          <w:color w:val="FF0000"/>
          <w:sz w:val="22"/>
          <w:szCs w:val="22"/>
          <w:lang w:val="en-US"/>
        </w:rPr>
      </w:pPr>
    </w:p>
    <w:p w:rsidR="00366FD8" w:rsidRPr="00366FD8" w:rsidRDefault="00366FD8" w:rsidP="00366FD8">
      <w:pPr>
        <w:spacing w:after="0" w:line="240" w:lineRule="auto"/>
        <w:ind w:left="720"/>
        <w:jc w:val="left"/>
        <w:rPr>
          <w:rFonts w:ascii="Calibri" w:eastAsia="Calibri" w:hAnsi="Calibri" w:cs="Calibri"/>
          <w:noProof/>
          <w:sz w:val="22"/>
          <w:szCs w:val="22"/>
          <w:lang w:val="en-US"/>
        </w:rPr>
      </w:pPr>
      <w:r w:rsidRPr="00366FD8">
        <w:rPr>
          <w:rFonts w:ascii="Calibri" w:eastAsia="Calibri" w:hAnsi="Calibri" w:cs="Calibri"/>
          <w:noProof/>
          <w:sz w:val="22"/>
          <w:szCs w:val="22"/>
          <w:lang w:val="en-US"/>
        </w:rPr>
        <w:t xml:space="preserve">GUIMARÃES, M. A. &amp; MOURÃO, P. A. 1997. Urinary excretion of sulfated polysaccharides administered to Wistar rats suggests a renal permselectivity to these polymers based on molecular size. </w:t>
      </w:r>
      <w:r w:rsidRPr="00366FD8">
        <w:rPr>
          <w:rFonts w:ascii="Calibri" w:eastAsia="Calibri" w:hAnsi="Calibri" w:cs="Calibri"/>
          <w:i/>
          <w:noProof/>
          <w:sz w:val="22"/>
          <w:szCs w:val="22"/>
          <w:lang w:val="en-US"/>
        </w:rPr>
        <w:t>Biochimica et Biophysica Acta (BBA)-General Subjects,</w:t>
      </w:r>
      <w:r w:rsidRPr="00366FD8">
        <w:rPr>
          <w:rFonts w:ascii="Calibri" w:eastAsia="Calibri" w:hAnsi="Calibri" w:cs="Calibri"/>
          <w:noProof/>
          <w:sz w:val="22"/>
          <w:szCs w:val="22"/>
          <w:lang w:val="en-US"/>
        </w:rPr>
        <w:t xml:space="preserve"> 1335</w:t>
      </w:r>
      <w:r w:rsidRPr="00366FD8">
        <w:rPr>
          <w:rFonts w:ascii="Calibri" w:eastAsia="Calibri" w:hAnsi="Calibri" w:cs="Calibri"/>
          <w:b/>
          <w:noProof/>
          <w:sz w:val="22"/>
          <w:szCs w:val="22"/>
          <w:lang w:val="en-US"/>
        </w:rPr>
        <w:t>,</w:t>
      </w:r>
      <w:r w:rsidRPr="00366FD8">
        <w:rPr>
          <w:rFonts w:ascii="Calibri" w:eastAsia="Calibri" w:hAnsi="Calibri" w:cs="Calibri"/>
          <w:noProof/>
          <w:sz w:val="22"/>
          <w:szCs w:val="22"/>
          <w:lang w:val="en-US"/>
        </w:rPr>
        <w:t xml:space="preserve"> 161-172.</w:t>
      </w:r>
    </w:p>
    <w:p w:rsidR="00F069FB" w:rsidRPr="00277EC9" w:rsidRDefault="00F069FB" w:rsidP="00366FD8">
      <w:pPr>
        <w:spacing w:after="0" w:line="240" w:lineRule="auto"/>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HAMER, R. A. &amp; EL NAHAS, A. M. 2006. The burden of chronic kidney disease - Is rising rapidly worldwide. </w:t>
      </w:r>
      <w:r w:rsidRPr="00277EC9">
        <w:rPr>
          <w:rFonts w:ascii="Calibri" w:eastAsia="Calibri" w:hAnsi="Calibri" w:cs="Calibri"/>
          <w:i/>
          <w:noProof/>
          <w:sz w:val="22"/>
          <w:szCs w:val="22"/>
          <w:lang w:val="en-US"/>
        </w:rPr>
        <w:t>British Medical Journal,</w:t>
      </w:r>
      <w:r w:rsidRPr="00277EC9">
        <w:rPr>
          <w:rFonts w:ascii="Calibri" w:eastAsia="Calibri" w:hAnsi="Calibri" w:cs="Calibri"/>
          <w:noProof/>
          <w:sz w:val="22"/>
          <w:szCs w:val="22"/>
          <w:lang w:val="en-US"/>
        </w:rPr>
        <w:t xml:space="preserve"> 332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563-564.</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HARGARTEN, S., MARTIN, I. B. K., HAUSWALD, M. &amp; HIRSHON, J. M. 2013. Executive Summary: Global Health and Emergency Care-What Do We Need to Know to Address the Burden of Illness and Injury? </w:t>
      </w:r>
      <w:r w:rsidRPr="00277EC9">
        <w:rPr>
          <w:rFonts w:ascii="Calibri" w:eastAsia="Calibri" w:hAnsi="Calibri" w:cs="Calibri"/>
          <w:i/>
          <w:noProof/>
          <w:sz w:val="22"/>
          <w:szCs w:val="22"/>
          <w:lang w:val="en-US"/>
        </w:rPr>
        <w:t>Academic Emergency Medicine,</w:t>
      </w:r>
      <w:r w:rsidRPr="00277EC9">
        <w:rPr>
          <w:rFonts w:ascii="Calibri" w:eastAsia="Calibri" w:hAnsi="Calibri" w:cs="Calibri"/>
          <w:noProof/>
          <w:sz w:val="22"/>
          <w:szCs w:val="22"/>
          <w:lang w:val="en-US"/>
        </w:rPr>
        <w:t xml:space="preserve"> 20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1213-1215.</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HATTORI, N., DEGEN, J. L., SISSON, T. H., LIU, H., MOORE, B. B., PANDRANGI, R. G., SIMON, R. H. &amp; DREW, A. F. 2000. Bleomycin-induced pulmonary fibrosis in fibrinogen-null mice. </w:t>
      </w:r>
      <w:r w:rsidRPr="00277EC9">
        <w:rPr>
          <w:rFonts w:ascii="Calibri" w:eastAsia="Calibri" w:hAnsi="Calibri" w:cs="Calibri"/>
          <w:i/>
          <w:noProof/>
          <w:sz w:val="22"/>
          <w:szCs w:val="22"/>
          <w:lang w:val="en-US"/>
        </w:rPr>
        <w:t>J Clin Invest,</w:t>
      </w:r>
      <w:r w:rsidRPr="00277EC9">
        <w:rPr>
          <w:rFonts w:ascii="Calibri" w:eastAsia="Calibri" w:hAnsi="Calibri" w:cs="Calibri"/>
          <w:noProof/>
          <w:sz w:val="22"/>
          <w:szCs w:val="22"/>
          <w:lang w:val="en-US"/>
        </w:rPr>
        <w:t xml:space="preserve"> 106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1341-50.</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HENDRIKS, D., SCHARPE, S., VANSANDE, M. &amp; LOMMAERT, M. P. 1989. A labile enzyme in fresh human- serum interferes with the assay of carboxypeptidase- n. </w:t>
      </w:r>
      <w:r w:rsidRPr="00277EC9">
        <w:rPr>
          <w:rFonts w:ascii="Calibri" w:eastAsia="Calibri" w:hAnsi="Calibri" w:cs="Calibri"/>
          <w:i/>
          <w:noProof/>
          <w:sz w:val="22"/>
          <w:szCs w:val="22"/>
          <w:lang w:val="en-US"/>
        </w:rPr>
        <w:t>Clin. Chem.,</w:t>
      </w:r>
      <w:r w:rsidRPr="00277EC9">
        <w:rPr>
          <w:rFonts w:ascii="Calibri" w:eastAsia="Calibri" w:hAnsi="Calibri" w:cs="Calibri"/>
          <w:noProof/>
          <w:sz w:val="22"/>
          <w:szCs w:val="22"/>
          <w:lang w:val="en-US"/>
        </w:rPr>
        <w:t xml:space="preserve"> 35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177-177.</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HERNÁNDEZ-FONSECA, J. P., RINCÓN, J., PEDREAÑEZ, A., VIERA, N., ARCAYA, J. L., CARRIZO, E. &amp; MOSQUERA, J. 2009. Structural and ultrastructural analysis of cerebral cortex, cerebellum, and hypothalamus from diabetic rats. </w:t>
      </w:r>
      <w:r w:rsidR="00F069FB" w:rsidRPr="00277EC9">
        <w:rPr>
          <w:rFonts w:ascii="Calibri" w:eastAsia="Calibri" w:hAnsi="Calibri" w:cs="Calibri"/>
          <w:i/>
          <w:noProof/>
          <w:sz w:val="22"/>
          <w:szCs w:val="22"/>
          <w:lang w:val="en-US"/>
        </w:rPr>
        <w:t>Experimental diabetes research</w:t>
      </w:r>
      <w:r w:rsidRPr="00277EC9">
        <w:rPr>
          <w:rFonts w:ascii="Calibri" w:eastAsia="Calibri" w:hAnsi="Calibri" w:cs="Calibri"/>
          <w:noProof/>
          <w:sz w:val="22"/>
          <w:szCs w:val="22"/>
          <w:lang w:val="en-US"/>
        </w:rPr>
        <w:t>.</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HESS, R. S., SAUNDERS, H. M., WINKLE, T. J. V. &amp; WARD, C. R. 2000. Concurrent disorders in dogs with diabetes mellitus: 221 cases (1993–1998). </w:t>
      </w:r>
      <w:r w:rsidRPr="00277EC9">
        <w:rPr>
          <w:rFonts w:ascii="Calibri" w:eastAsia="Calibri" w:hAnsi="Calibri" w:cs="Calibri"/>
          <w:i/>
          <w:noProof/>
          <w:sz w:val="22"/>
          <w:szCs w:val="22"/>
          <w:lang w:val="en-US"/>
        </w:rPr>
        <w:t>Journal of the American Veterinary Medical Association,</w:t>
      </w:r>
      <w:r w:rsidRPr="00277EC9">
        <w:rPr>
          <w:rFonts w:ascii="Calibri" w:eastAsia="Calibri" w:hAnsi="Calibri" w:cs="Calibri"/>
          <w:noProof/>
          <w:sz w:val="22"/>
          <w:szCs w:val="22"/>
          <w:lang w:val="en-US"/>
        </w:rPr>
        <w:t xml:space="preserve"> 217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1166-1173.</w:t>
      </w:r>
    </w:p>
    <w:p w:rsidR="00DC257C" w:rsidRDefault="00DC257C" w:rsidP="00DC257C">
      <w:pPr>
        <w:spacing w:after="0" w:line="240" w:lineRule="auto"/>
        <w:ind w:left="720"/>
        <w:jc w:val="left"/>
        <w:rPr>
          <w:rFonts w:ascii="Calibri" w:eastAsia="Calibri" w:hAnsi="Calibri" w:cs="Calibri"/>
          <w:noProof/>
          <w:color w:val="FF0000"/>
          <w:sz w:val="22"/>
          <w:szCs w:val="22"/>
          <w:lang w:val="en-US"/>
        </w:rPr>
      </w:pPr>
    </w:p>
    <w:p w:rsidR="00DC257C" w:rsidRPr="00DC257C" w:rsidRDefault="00DC257C" w:rsidP="00DC257C">
      <w:pPr>
        <w:spacing w:after="0" w:line="240" w:lineRule="auto"/>
        <w:ind w:left="720"/>
        <w:jc w:val="left"/>
        <w:rPr>
          <w:rFonts w:ascii="Calibri" w:hAnsi="Calibri" w:cs="Calibri"/>
          <w:noProof/>
          <w:sz w:val="22"/>
          <w:szCs w:val="22"/>
          <w:lang w:val="en-US"/>
        </w:rPr>
      </w:pPr>
      <w:r w:rsidRPr="00DC257C">
        <w:rPr>
          <w:rFonts w:ascii="Calibri" w:eastAsia="Calibri" w:hAnsi="Calibri" w:cs="Calibri"/>
          <w:noProof/>
          <w:sz w:val="22"/>
          <w:szCs w:val="22"/>
          <w:lang w:val="en-US"/>
        </w:rPr>
        <w:t xml:space="preserve">HIGAZI, A. A.-R. &amp; MAYER, M. 1990. Inhibition of plasmin by fibrinogen. </w:t>
      </w:r>
      <w:r w:rsidRPr="00DC257C">
        <w:rPr>
          <w:rFonts w:ascii="Calibri" w:eastAsia="Calibri" w:hAnsi="Calibri" w:cs="Calibri"/>
          <w:i/>
          <w:noProof/>
          <w:sz w:val="22"/>
          <w:szCs w:val="22"/>
          <w:lang w:val="en-US"/>
        </w:rPr>
        <w:t>Biochemical Journal,</w:t>
      </w:r>
      <w:r w:rsidRPr="00DC257C">
        <w:rPr>
          <w:rFonts w:ascii="Calibri" w:eastAsia="Calibri" w:hAnsi="Calibri" w:cs="Calibri"/>
          <w:noProof/>
          <w:sz w:val="22"/>
          <w:szCs w:val="22"/>
          <w:lang w:val="en-US"/>
        </w:rPr>
        <w:t xml:space="preserve"> 269</w:t>
      </w:r>
      <w:r w:rsidRPr="00DC257C">
        <w:rPr>
          <w:rFonts w:ascii="Calibri" w:eastAsia="Calibri" w:hAnsi="Calibri" w:cs="Calibri"/>
          <w:b/>
          <w:noProof/>
          <w:sz w:val="22"/>
          <w:szCs w:val="22"/>
          <w:lang w:val="en-US"/>
        </w:rPr>
        <w:t>,</w:t>
      </w:r>
      <w:r w:rsidRPr="00DC257C">
        <w:rPr>
          <w:rFonts w:ascii="Calibri" w:eastAsia="Calibri" w:hAnsi="Calibri" w:cs="Calibri"/>
          <w:noProof/>
          <w:sz w:val="22"/>
          <w:szCs w:val="22"/>
          <w:lang w:val="en-US"/>
        </w:rPr>
        <w:t xml:space="preserve"> 299-302.</w:t>
      </w:r>
    </w:p>
    <w:p w:rsidR="00182896" w:rsidRDefault="00182896" w:rsidP="00DC257C">
      <w:pPr>
        <w:spacing w:after="0" w:line="240" w:lineRule="auto"/>
        <w:jc w:val="left"/>
        <w:rPr>
          <w:rFonts w:ascii="Calibri" w:eastAsia="Calibri" w:hAnsi="Calibri" w:cs="Calibri"/>
          <w:noProof/>
          <w:sz w:val="22"/>
          <w:szCs w:val="22"/>
          <w:lang w:val="en-US"/>
        </w:rPr>
      </w:pPr>
    </w:p>
    <w:p w:rsidR="00182896" w:rsidRPr="00182896" w:rsidRDefault="00182896" w:rsidP="00F069FB">
      <w:pPr>
        <w:spacing w:after="0" w:line="240" w:lineRule="auto"/>
        <w:ind w:left="720"/>
        <w:jc w:val="left"/>
        <w:rPr>
          <w:rFonts w:asciiTheme="minorHAnsi" w:eastAsia="Calibri" w:hAnsiTheme="minorHAnsi" w:cstheme="minorHAnsi"/>
          <w:noProof/>
          <w:sz w:val="22"/>
          <w:szCs w:val="22"/>
          <w:lang w:val="en-US"/>
        </w:rPr>
      </w:pPr>
      <w:r w:rsidRPr="00182896">
        <w:rPr>
          <w:rFonts w:asciiTheme="minorHAnsi" w:hAnsiTheme="minorHAnsi" w:cstheme="minorHAnsi"/>
          <w:sz w:val="22"/>
          <w:szCs w:val="22"/>
        </w:rPr>
        <w:lastRenderedPageBreak/>
        <w:t xml:space="preserve">HINZ, B., PHAN, S. H., THANNICKAL, V. J., GALLI, A., BOCHATON-PIALLAT, M.-L. &amp; GABBIANI, G. 2007. The myofibroblast - One function, multiple origins. </w:t>
      </w:r>
      <w:r w:rsidRPr="00182896">
        <w:rPr>
          <w:rFonts w:asciiTheme="minorHAnsi" w:hAnsiTheme="minorHAnsi" w:cstheme="minorHAnsi"/>
          <w:i/>
          <w:sz w:val="22"/>
          <w:szCs w:val="22"/>
        </w:rPr>
        <w:t>American Journal of Pathology,</w:t>
      </w:r>
      <w:r w:rsidRPr="00182896">
        <w:rPr>
          <w:rFonts w:asciiTheme="minorHAnsi" w:hAnsiTheme="minorHAnsi" w:cstheme="minorHAnsi"/>
          <w:sz w:val="22"/>
          <w:szCs w:val="22"/>
        </w:rPr>
        <w:t xml:space="preserve"> 170</w:t>
      </w:r>
      <w:r w:rsidRPr="00182896">
        <w:rPr>
          <w:rFonts w:asciiTheme="minorHAnsi" w:hAnsiTheme="minorHAnsi" w:cstheme="minorHAnsi"/>
          <w:b/>
          <w:sz w:val="22"/>
          <w:szCs w:val="22"/>
        </w:rPr>
        <w:t>,</w:t>
      </w:r>
      <w:r w:rsidRPr="00182896">
        <w:rPr>
          <w:rFonts w:asciiTheme="minorHAnsi" w:hAnsiTheme="minorHAnsi" w:cstheme="minorHAnsi"/>
          <w:sz w:val="22"/>
          <w:szCs w:val="22"/>
        </w:rPr>
        <w:t xml:space="preserve"> 1807-1816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HOLBOURN, K. P., ACHARYA, K. R. &amp; PERBAL, B. 2008. The CCN family of proteins: structure– function relationships. </w:t>
      </w:r>
      <w:r w:rsidRPr="00277EC9">
        <w:rPr>
          <w:rFonts w:ascii="Calibri" w:eastAsia="Calibri" w:hAnsi="Calibri" w:cs="Calibri"/>
          <w:i/>
          <w:noProof/>
          <w:sz w:val="22"/>
          <w:szCs w:val="22"/>
          <w:lang w:val="en-US"/>
        </w:rPr>
        <w:t>Trends in Biochemical Sciences,</w:t>
      </w:r>
      <w:r w:rsidRPr="00277EC9">
        <w:rPr>
          <w:rFonts w:ascii="Calibri" w:eastAsia="Calibri" w:hAnsi="Calibri" w:cs="Calibri"/>
          <w:noProof/>
          <w:sz w:val="22"/>
          <w:szCs w:val="22"/>
          <w:lang w:val="en-US"/>
        </w:rPr>
        <w:t xml:space="preserve"> 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461-473.</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HOMMEL, E., CARSTENSEN, H., SKOTT, P., LARSEN, S. &amp; PARVING, H. H. 1987. Prevalence and causes of microscopic haematuria in type 1 (insulin-dependent) diabetic patients with persistent proteinuria. </w:t>
      </w:r>
      <w:r w:rsidRPr="00277EC9">
        <w:rPr>
          <w:rFonts w:ascii="Calibri" w:eastAsia="Calibri" w:hAnsi="Calibri" w:cs="Calibri"/>
          <w:i/>
          <w:noProof/>
          <w:sz w:val="22"/>
          <w:szCs w:val="22"/>
          <w:lang w:val="en-US"/>
        </w:rPr>
        <w:t>Diabetologia,</w:t>
      </w:r>
      <w:r w:rsidRPr="00277EC9">
        <w:rPr>
          <w:rFonts w:ascii="Calibri" w:eastAsia="Calibri" w:hAnsi="Calibri" w:cs="Calibri"/>
          <w:noProof/>
          <w:sz w:val="22"/>
          <w:szCs w:val="22"/>
          <w:lang w:val="en-US"/>
        </w:rPr>
        <w:t xml:space="preserve"> 30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627-30.</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HOOGSTRATEN-MILLER, S. L. &amp; BROWN, P. A. 2008. T</w:t>
      </w:r>
      <w:r w:rsidR="006F0208" w:rsidRPr="00277EC9">
        <w:rPr>
          <w:rFonts w:ascii="Calibri" w:eastAsia="Calibri" w:hAnsi="Calibri" w:cs="Calibri"/>
          <w:noProof/>
          <w:sz w:val="22"/>
          <w:szCs w:val="22"/>
          <w:lang w:val="en-US"/>
        </w:rPr>
        <w:t>echniques in aseptic rodent surgery</w:t>
      </w:r>
      <w:r w:rsidRPr="00277EC9">
        <w:rPr>
          <w:rFonts w:ascii="Calibri" w:eastAsia="Calibri" w:hAnsi="Calibri" w:cs="Calibri"/>
          <w:noProof/>
          <w:sz w:val="22"/>
          <w:szCs w:val="22"/>
          <w:lang w:val="en-US"/>
        </w:rPr>
        <w:t xml:space="preserve">. </w:t>
      </w:r>
      <w:r w:rsidRPr="00277EC9">
        <w:rPr>
          <w:rFonts w:ascii="Calibri" w:eastAsia="Calibri" w:hAnsi="Calibri" w:cs="Calibri"/>
          <w:i/>
          <w:noProof/>
          <w:sz w:val="22"/>
          <w:szCs w:val="22"/>
          <w:lang w:val="en-US"/>
        </w:rPr>
        <w:t>Current protocols in immunology / edited by John E. Coligan ... [et al.],</w:t>
      </w:r>
      <w:r w:rsidRPr="00277EC9">
        <w:rPr>
          <w:rFonts w:ascii="Calibri" w:eastAsia="Calibri" w:hAnsi="Calibri" w:cs="Calibri"/>
          <w:noProof/>
          <w:sz w:val="22"/>
          <w:szCs w:val="22"/>
          <w:lang w:val="en-US"/>
        </w:rPr>
        <w:t xml:space="preserve"> CHAPTER</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Unit-1.12-14.</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HOSTEN, A. O. 1976. The early diagnosis of renal disease. </w:t>
      </w:r>
      <w:r w:rsidRPr="00277EC9">
        <w:rPr>
          <w:rFonts w:ascii="Calibri" w:eastAsia="Calibri" w:hAnsi="Calibri" w:cs="Calibri"/>
          <w:i/>
          <w:noProof/>
          <w:sz w:val="22"/>
          <w:szCs w:val="22"/>
          <w:lang w:val="en-US"/>
        </w:rPr>
        <w:t>Journal of the National Medical Association,</w:t>
      </w:r>
      <w:r w:rsidRPr="00277EC9">
        <w:rPr>
          <w:rFonts w:ascii="Calibri" w:eastAsia="Calibri" w:hAnsi="Calibri" w:cs="Calibri"/>
          <w:noProof/>
          <w:sz w:val="22"/>
          <w:szCs w:val="22"/>
          <w:lang w:val="en-US"/>
        </w:rPr>
        <w:t xml:space="preserve"> 68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172-176.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HU, B. &amp; PHAN, S. H. 2013. Myofibroblasts. </w:t>
      </w:r>
      <w:r w:rsidRPr="00277EC9">
        <w:rPr>
          <w:rFonts w:ascii="Calibri" w:eastAsia="Calibri" w:hAnsi="Calibri" w:cs="Calibri"/>
          <w:i/>
          <w:noProof/>
          <w:sz w:val="22"/>
          <w:szCs w:val="22"/>
          <w:lang w:val="en-US"/>
        </w:rPr>
        <w:t>Current Opinion in Rheumatology,</w:t>
      </w:r>
      <w:r w:rsidRPr="00277EC9">
        <w:rPr>
          <w:rFonts w:ascii="Calibri" w:eastAsia="Calibri" w:hAnsi="Calibri" w:cs="Calibri"/>
          <w:noProof/>
          <w:sz w:val="22"/>
          <w:szCs w:val="22"/>
          <w:lang w:val="en-US"/>
        </w:rPr>
        <w:t xml:space="preserve"> 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71-77.</w:t>
      </w:r>
    </w:p>
    <w:p w:rsidR="00F069FB" w:rsidRPr="00277EC9" w:rsidRDefault="00F069FB" w:rsidP="00F069FB">
      <w:pPr>
        <w:spacing w:after="0" w:line="240" w:lineRule="auto"/>
        <w:ind w:firstLine="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HUANG, L., HAYLOR, J. L., HAU, Z., JONES, R. A., VICKERS, M. E., WAGNER, B., GRIFFIN, M., SAINT, R. E., COUTTS, I. G. C., EL NAHAS, A. M. &amp; JOHNSON, T. S. 2009. Transglutaminase inhibition ameliorates experimental diabetic nephropathy. </w:t>
      </w:r>
      <w:r w:rsidRPr="00277EC9">
        <w:rPr>
          <w:rFonts w:ascii="Calibri" w:eastAsia="Calibri" w:hAnsi="Calibri" w:cs="Calibri"/>
          <w:i/>
          <w:noProof/>
          <w:sz w:val="22"/>
          <w:szCs w:val="22"/>
          <w:lang w:val="en-US"/>
        </w:rPr>
        <w:t>Kidney International,</w:t>
      </w:r>
      <w:r w:rsidRPr="00277EC9">
        <w:rPr>
          <w:rFonts w:ascii="Calibri" w:eastAsia="Calibri" w:hAnsi="Calibri" w:cs="Calibri"/>
          <w:noProof/>
          <w:sz w:val="22"/>
          <w:szCs w:val="22"/>
          <w:lang w:val="en-US"/>
        </w:rPr>
        <w:t xml:space="preserve"> 76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383-394.</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HULTHÉN, U. L., CAO, Z., RUMBLE, J. R., COOPER, M. E. &amp; JOHNSTON, C. I. 1996. Vascular Hypertrophy and Albumin Permeability in a Rat Model Combining Hypertension and Diabetes Mellitus Effects of Calcium Antagonism, Angiotensin Converting Enzyme Inhibition, and Angiotensin II-AT1-receptor blockade. </w:t>
      </w:r>
      <w:r w:rsidRPr="00277EC9">
        <w:rPr>
          <w:rFonts w:ascii="Calibri" w:eastAsia="Calibri" w:hAnsi="Calibri" w:cs="Calibri"/>
          <w:i/>
          <w:noProof/>
          <w:sz w:val="22"/>
          <w:szCs w:val="22"/>
          <w:lang w:val="en-US"/>
        </w:rPr>
        <w:t>American journal of hypertension,</w:t>
      </w:r>
      <w:r w:rsidRPr="00277EC9">
        <w:rPr>
          <w:rFonts w:ascii="Calibri" w:eastAsia="Calibri" w:hAnsi="Calibri" w:cs="Calibri"/>
          <w:noProof/>
          <w:sz w:val="22"/>
          <w:szCs w:val="22"/>
          <w:lang w:val="en-US"/>
        </w:rPr>
        <w:t xml:space="preserve"> 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895-901.</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HUSDAN, H. &amp; RAPOPORT, A. 1968. Estimation of creatinine by the Jaffe reaction. </w:t>
      </w:r>
      <w:r w:rsidRPr="00277EC9">
        <w:rPr>
          <w:rFonts w:ascii="Calibri" w:eastAsia="Calibri" w:hAnsi="Calibri" w:cs="Calibri"/>
          <w:i/>
          <w:noProof/>
          <w:sz w:val="22"/>
          <w:szCs w:val="22"/>
          <w:lang w:val="en-US"/>
        </w:rPr>
        <w:t>Clinical Chemistry,</w:t>
      </w:r>
      <w:r w:rsidRPr="00277EC9">
        <w:rPr>
          <w:rFonts w:ascii="Calibri" w:eastAsia="Calibri" w:hAnsi="Calibri" w:cs="Calibri"/>
          <w:noProof/>
          <w:sz w:val="22"/>
          <w:szCs w:val="22"/>
          <w:lang w:val="en-US"/>
        </w:rPr>
        <w:t xml:space="preserve"> 14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222-238.</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IHN, H. 2002. Pathogenesis of fibrosis: role of TGF-beta and CTGF. </w:t>
      </w:r>
      <w:r w:rsidRPr="00277EC9">
        <w:rPr>
          <w:rFonts w:ascii="Calibri" w:eastAsia="Calibri" w:hAnsi="Calibri" w:cs="Calibri"/>
          <w:i/>
          <w:noProof/>
          <w:sz w:val="22"/>
          <w:szCs w:val="22"/>
          <w:lang w:val="en-US"/>
        </w:rPr>
        <w:t>Current Opinion in Rheumatology,</w:t>
      </w:r>
      <w:r w:rsidRPr="00277EC9">
        <w:rPr>
          <w:rFonts w:ascii="Calibri" w:eastAsia="Calibri" w:hAnsi="Calibri" w:cs="Calibri"/>
          <w:noProof/>
          <w:sz w:val="22"/>
          <w:szCs w:val="22"/>
          <w:lang w:val="en-US"/>
        </w:rPr>
        <w:t xml:space="preserve"> 14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681-685.</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IHN, H. &amp; IHN, H. 2002. Pathogenesis of fibrosis: role of TGF-beta and CTGF. </w:t>
      </w:r>
      <w:r w:rsidRPr="00277EC9">
        <w:rPr>
          <w:rFonts w:ascii="Calibri" w:eastAsia="Calibri" w:hAnsi="Calibri" w:cs="Calibri"/>
          <w:i/>
          <w:noProof/>
          <w:sz w:val="22"/>
          <w:szCs w:val="22"/>
          <w:lang w:val="en-US"/>
        </w:rPr>
        <w:t xml:space="preserve">Current opinion in rheumatology, </w:t>
      </w:r>
      <w:r w:rsidRPr="00277EC9">
        <w:rPr>
          <w:rFonts w:ascii="Calibri" w:eastAsia="Calibri" w:hAnsi="Calibri" w:cs="Calibri"/>
          <w:noProof/>
          <w:sz w:val="22"/>
          <w:szCs w:val="22"/>
          <w:lang w:val="en-US"/>
        </w:rPr>
        <w:t>14, 681-685.</w:t>
      </w:r>
    </w:p>
    <w:p w:rsidR="00902EE9" w:rsidRDefault="00902EE9" w:rsidP="00902EE9">
      <w:pPr>
        <w:spacing w:after="0" w:line="240" w:lineRule="auto"/>
        <w:ind w:left="720"/>
        <w:jc w:val="left"/>
        <w:rPr>
          <w:rFonts w:ascii="Calibri" w:eastAsia="Calibri" w:hAnsi="Calibri" w:cs="Calibri"/>
          <w:noProof/>
          <w:sz w:val="22"/>
          <w:szCs w:val="22"/>
          <w:lang w:val="en-US"/>
        </w:rPr>
      </w:pPr>
    </w:p>
    <w:p w:rsidR="00902EE9" w:rsidRPr="00902EE9" w:rsidRDefault="00902EE9" w:rsidP="00902EE9">
      <w:pPr>
        <w:spacing w:after="0" w:line="240" w:lineRule="auto"/>
        <w:ind w:left="720"/>
        <w:jc w:val="left"/>
        <w:rPr>
          <w:rFonts w:ascii="Calibri" w:eastAsia="Calibri" w:hAnsi="Calibri" w:cs="Calibri"/>
          <w:noProof/>
          <w:sz w:val="22"/>
          <w:szCs w:val="22"/>
          <w:lang w:val="en-US"/>
        </w:rPr>
      </w:pPr>
      <w:r w:rsidRPr="00902EE9">
        <w:rPr>
          <w:rFonts w:ascii="Calibri" w:eastAsia="Calibri" w:hAnsi="Calibri" w:cs="Calibri"/>
          <w:noProof/>
          <w:sz w:val="22"/>
          <w:szCs w:val="22"/>
          <w:lang w:val="en-US"/>
        </w:rPr>
        <w:t xml:space="preserve">IMOKAWA, S., SATO, A., HAYAKAWA, H., KOTANI, M., URANO, T. &amp; TAKADA, A. 1997. Tissue factor expression and fibrin deposition in the lungs of patients with idiopathic pulmonary fibrosis and systemic sclerosis. </w:t>
      </w:r>
      <w:r w:rsidRPr="00902EE9">
        <w:rPr>
          <w:rFonts w:ascii="Calibri" w:eastAsia="Calibri" w:hAnsi="Calibri" w:cs="Calibri"/>
          <w:i/>
          <w:noProof/>
          <w:sz w:val="22"/>
          <w:szCs w:val="22"/>
          <w:lang w:val="en-US"/>
        </w:rPr>
        <w:t>American journal of respiratory and critical care medicine,</w:t>
      </w:r>
      <w:r w:rsidRPr="00902EE9">
        <w:rPr>
          <w:rFonts w:ascii="Calibri" w:eastAsia="Calibri" w:hAnsi="Calibri" w:cs="Calibri"/>
          <w:noProof/>
          <w:sz w:val="22"/>
          <w:szCs w:val="22"/>
          <w:lang w:val="en-US"/>
        </w:rPr>
        <w:t xml:space="preserve"> 156</w:t>
      </w:r>
      <w:r w:rsidRPr="00902EE9">
        <w:rPr>
          <w:rFonts w:ascii="Calibri" w:eastAsia="Calibri" w:hAnsi="Calibri" w:cs="Calibri"/>
          <w:b/>
          <w:noProof/>
          <w:sz w:val="22"/>
          <w:szCs w:val="22"/>
          <w:lang w:val="en-US"/>
        </w:rPr>
        <w:t>,</w:t>
      </w:r>
      <w:r w:rsidRPr="00902EE9">
        <w:rPr>
          <w:rFonts w:ascii="Calibri" w:eastAsia="Calibri" w:hAnsi="Calibri" w:cs="Calibri"/>
          <w:noProof/>
          <w:sz w:val="22"/>
          <w:szCs w:val="22"/>
          <w:lang w:val="en-US"/>
        </w:rPr>
        <w:t xml:space="preserve"> 631-636.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JANKUN, J. &amp; SKRZYPCZAK-JANKUN, E. 1999. Molecular basis of specific inhibition of urokinase plasminogen activator by amiloride. </w:t>
      </w:r>
      <w:r w:rsidRPr="00277EC9">
        <w:rPr>
          <w:rFonts w:ascii="Calibri" w:eastAsia="Calibri" w:hAnsi="Calibri" w:cs="Calibri"/>
          <w:i/>
          <w:noProof/>
          <w:sz w:val="22"/>
          <w:szCs w:val="22"/>
          <w:lang w:val="en-US"/>
        </w:rPr>
        <w:t>Cancer Biochem Biophys,</w:t>
      </w:r>
      <w:r w:rsidRPr="00277EC9">
        <w:rPr>
          <w:rFonts w:ascii="Calibri" w:eastAsia="Calibri" w:hAnsi="Calibri" w:cs="Calibri"/>
          <w:noProof/>
          <w:sz w:val="22"/>
          <w:szCs w:val="22"/>
          <w:lang w:val="en-US"/>
        </w:rPr>
        <w:t xml:space="preserve"> 17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109-23.</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JEANSSON, M. &amp; HARALDSSON, B. 2005. Morphological and functional evidence for an important role of the endothelial cell glycocalyx in the glomerular barrier. </w:t>
      </w:r>
      <w:r w:rsidRPr="00277EC9">
        <w:rPr>
          <w:rFonts w:ascii="Calibri" w:eastAsia="Calibri" w:hAnsi="Calibri" w:cs="Calibri"/>
          <w:i/>
          <w:noProof/>
          <w:sz w:val="22"/>
          <w:szCs w:val="22"/>
          <w:lang w:val="en-US"/>
        </w:rPr>
        <w:t>American Journal of Physiology - Renal Physiology,</w:t>
      </w:r>
      <w:r w:rsidRPr="00277EC9">
        <w:rPr>
          <w:rFonts w:ascii="Calibri" w:eastAsia="Calibri" w:hAnsi="Calibri" w:cs="Calibri"/>
          <w:noProof/>
          <w:sz w:val="22"/>
          <w:szCs w:val="22"/>
          <w:lang w:val="en-US"/>
        </w:rPr>
        <w:t xml:space="preserve"> 290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F111.</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JOHN, P. L. S. &amp; ABRAHAMSON, D. R. 2001. Glomerular endothelial cells and podocytes jointly synthesize laminin-1 and-11 chains. </w:t>
      </w:r>
      <w:r w:rsidRPr="00277EC9">
        <w:rPr>
          <w:rFonts w:ascii="Calibri" w:eastAsia="Calibri" w:hAnsi="Calibri" w:cs="Calibri"/>
          <w:i/>
          <w:noProof/>
          <w:sz w:val="22"/>
          <w:szCs w:val="22"/>
          <w:lang w:val="en-US"/>
        </w:rPr>
        <w:t>Kidney international,</w:t>
      </w:r>
      <w:r w:rsidRPr="00277EC9">
        <w:rPr>
          <w:rFonts w:ascii="Calibri" w:eastAsia="Calibri" w:hAnsi="Calibri" w:cs="Calibri"/>
          <w:noProof/>
          <w:sz w:val="22"/>
          <w:szCs w:val="22"/>
          <w:lang w:val="en-US"/>
        </w:rPr>
        <w:t xml:space="preserve"> 60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1037-1046.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JUNG, K., WESSLAU, C., PRIEM, F., SCHREIBER, G. &amp; ZUBEK, A. 1987. Specific creatinine determination in laboratory animals using the new enzymatic test kit “Creatinine-PAP”. </w:t>
      </w:r>
      <w:r w:rsidRPr="00277EC9">
        <w:rPr>
          <w:rFonts w:ascii="Calibri" w:eastAsia="Calibri" w:hAnsi="Calibri" w:cs="Calibri"/>
          <w:i/>
          <w:noProof/>
          <w:sz w:val="22"/>
          <w:szCs w:val="22"/>
          <w:lang w:val="en-US"/>
        </w:rPr>
        <w:t>Clinical Chemistry and Laboratory Medicine,</w:t>
      </w:r>
      <w:r w:rsidRPr="00277EC9">
        <w:rPr>
          <w:rFonts w:ascii="Calibri" w:eastAsia="Calibri" w:hAnsi="Calibri" w:cs="Calibri"/>
          <w:noProof/>
          <w:sz w:val="22"/>
          <w:szCs w:val="22"/>
          <w:lang w:val="en-US"/>
        </w:rPr>
        <w:t xml:space="preserve"> 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357-362.</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JUNOD, A., LAMBERT, A. E., STAUFFACHER, W. &amp; RENOLD, A. E. 1969. Diabetogenic action of streptozotocin: relationship of dose to metabolic response. </w:t>
      </w:r>
      <w:r w:rsidRPr="00277EC9">
        <w:rPr>
          <w:rFonts w:ascii="Calibri" w:eastAsia="Calibri" w:hAnsi="Calibri" w:cs="Calibri"/>
          <w:i/>
          <w:noProof/>
          <w:sz w:val="22"/>
          <w:szCs w:val="22"/>
          <w:lang w:val="en-US"/>
        </w:rPr>
        <w:t>Journal of Clinical Investigation,</w:t>
      </w:r>
      <w:r w:rsidRPr="00277EC9">
        <w:rPr>
          <w:rFonts w:ascii="Calibri" w:eastAsia="Calibri" w:hAnsi="Calibri" w:cs="Calibri"/>
          <w:noProof/>
          <w:sz w:val="22"/>
          <w:szCs w:val="22"/>
          <w:lang w:val="en-US"/>
        </w:rPr>
        <w:t xml:space="preserve"> 48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2129-2139.</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JUNQUEIRA, L. C. U., BIGNOLAS, G. &amp; BRENTANI, R. 1979. Picrosirius staining plus polarization microscopy, a specific method for collagen detection in tissue sections. </w:t>
      </w:r>
      <w:r w:rsidRPr="00277EC9">
        <w:rPr>
          <w:rFonts w:ascii="Calibri" w:eastAsia="Calibri" w:hAnsi="Calibri" w:cs="Calibri"/>
          <w:i/>
          <w:noProof/>
          <w:sz w:val="22"/>
          <w:szCs w:val="22"/>
          <w:lang w:val="en-US"/>
        </w:rPr>
        <w:t>The Histochemical journal,</w:t>
      </w:r>
      <w:r w:rsidRPr="00277EC9">
        <w:rPr>
          <w:rFonts w:ascii="Calibri" w:eastAsia="Calibri" w:hAnsi="Calibri" w:cs="Calibri"/>
          <w:noProof/>
          <w:sz w:val="22"/>
          <w:szCs w:val="22"/>
          <w:lang w:val="en-US"/>
        </w:rPr>
        <w:t xml:space="preserve"> 11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447-455.</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KAHALY, G., HANSEN, C., OTTO, E., FORSTER, G., BEYER, J. &amp; HOMMEL, G. 1997. Diabetic microangiopathy and urinary glycosaminoglycans. </w:t>
      </w:r>
      <w:r w:rsidRPr="00277EC9">
        <w:rPr>
          <w:rFonts w:ascii="Calibri" w:eastAsia="Calibri" w:hAnsi="Calibri" w:cs="Calibri"/>
          <w:i/>
          <w:noProof/>
          <w:sz w:val="22"/>
          <w:szCs w:val="22"/>
          <w:lang w:val="en-US"/>
        </w:rPr>
        <w:t>Exp Clin Endocrinol Diabetes,</w:t>
      </w:r>
      <w:r w:rsidRPr="00277EC9">
        <w:rPr>
          <w:rFonts w:ascii="Calibri" w:eastAsia="Calibri" w:hAnsi="Calibri" w:cs="Calibri"/>
          <w:noProof/>
          <w:sz w:val="22"/>
          <w:szCs w:val="22"/>
          <w:lang w:val="en-US"/>
        </w:rPr>
        <w:t xml:space="preserve"> 105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145-51.</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KAVOURAS, S. A. 2002. Assessing hydration status. </w:t>
      </w:r>
      <w:r w:rsidRPr="00277EC9">
        <w:rPr>
          <w:rFonts w:ascii="Calibri" w:eastAsia="Calibri" w:hAnsi="Calibri" w:cs="Calibri"/>
          <w:i/>
          <w:noProof/>
          <w:sz w:val="22"/>
          <w:szCs w:val="22"/>
          <w:lang w:val="en-US"/>
        </w:rPr>
        <w:t>Current Opinion in Clinical Nutrition &amp; Metabolic Care,</w:t>
      </w:r>
      <w:r w:rsidRPr="00277EC9">
        <w:rPr>
          <w:rFonts w:ascii="Calibri" w:eastAsia="Calibri" w:hAnsi="Calibri" w:cs="Calibri"/>
          <w:noProof/>
          <w:sz w:val="22"/>
          <w:szCs w:val="22"/>
          <w:lang w:val="en-US"/>
        </w:rPr>
        <w:t xml:space="preserve"> 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519-524.</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KDIGO. 2009 Clinical practice guideline for the diagnosis, evaluation, prevention, and treatment of Chronic Kidney Disease-Mineral and Bone Disorder (CKD-MBD). </w:t>
      </w:r>
      <w:r w:rsidRPr="00277EC9">
        <w:rPr>
          <w:rFonts w:ascii="Calibri" w:eastAsia="Calibri" w:hAnsi="Calibri" w:cs="Calibri"/>
          <w:i/>
          <w:noProof/>
          <w:sz w:val="22"/>
          <w:szCs w:val="22"/>
          <w:lang w:val="en-US"/>
        </w:rPr>
        <w:t>Kidney international. Supplement</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S1.</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KERSHAW, M., NEWTON, T., BARRETT, T., BERRY, K. &amp; KIRK, J. 2005. Childhood diabetes presenting with hyperosmolar dehydration but without ketoacidosis: a report of three cases. </w:t>
      </w:r>
      <w:r w:rsidRPr="00277EC9">
        <w:rPr>
          <w:rFonts w:ascii="Calibri" w:eastAsia="Calibri" w:hAnsi="Calibri" w:cs="Calibri"/>
          <w:i/>
          <w:noProof/>
          <w:sz w:val="22"/>
          <w:szCs w:val="22"/>
          <w:lang w:val="en-US"/>
        </w:rPr>
        <w:t>Diabetic medicine,</w:t>
      </w:r>
      <w:r w:rsidRPr="00277EC9">
        <w:rPr>
          <w:rFonts w:ascii="Calibri" w:eastAsia="Calibri" w:hAnsi="Calibri" w:cs="Calibri"/>
          <w:noProof/>
          <w:sz w:val="22"/>
          <w:szCs w:val="22"/>
          <w:lang w:val="en-US"/>
        </w:rPr>
        <w:t xml:space="preserve"> 22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645-647.</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KERY, V., ORLOVSKA, M., STANCIKOVA, M., RISKO, M. &amp; ZLNAY, D. 1992. Urinary glycosaminoglycan excretion in rheumatic diseases. </w:t>
      </w:r>
      <w:r w:rsidRPr="00277EC9">
        <w:rPr>
          <w:rFonts w:ascii="Calibri" w:eastAsia="Calibri" w:hAnsi="Calibri" w:cs="Calibri"/>
          <w:i/>
          <w:noProof/>
          <w:sz w:val="22"/>
          <w:szCs w:val="22"/>
          <w:lang w:val="en-US"/>
        </w:rPr>
        <w:t>Clin Chem,</w:t>
      </w:r>
      <w:r w:rsidRPr="00277EC9">
        <w:rPr>
          <w:rFonts w:ascii="Calibri" w:eastAsia="Calibri" w:hAnsi="Calibri" w:cs="Calibri"/>
          <w:noProof/>
          <w:sz w:val="22"/>
          <w:szCs w:val="22"/>
          <w:lang w:val="en-US"/>
        </w:rPr>
        <w:t xml:space="preserve"> 38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841-6.</w:t>
      </w:r>
    </w:p>
    <w:p w:rsidR="00F069FB" w:rsidRPr="00277EC9" w:rsidRDefault="00F069FB"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F069FB">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KHOSHNOODI, J., CARTAILLER, J. P., ALVARES, K., VEIS, A. &amp; HUDSON, B. G. 2006. Molecular recognition in the assembly of collagens: terminal noncollagenous domains are key recognition modules in the formation of triple helical protomers. </w:t>
      </w:r>
      <w:r w:rsidRPr="00277EC9">
        <w:rPr>
          <w:rFonts w:ascii="Calibri" w:eastAsia="Calibri" w:hAnsi="Calibri" w:cs="Calibri"/>
          <w:i/>
          <w:noProof/>
          <w:sz w:val="22"/>
          <w:szCs w:val="22"/>
          <w:lang w:val="en-US"/>
        </w:rPr>
        <w:t>J Biol Chem,</w:t>
      </w:r>
      <w:r w:rsidRPr="00277EC9">
        <w:rPr>
          <w:rFonts w:ascii="Calibri" w:eastAsia="Calibri" w:hAnsi="Calibri" w:cs="Calibri"/>
          <w:noProof/>
          <w:sz w:val="22"/>
          <w:szCs w:val="22"/>
          <w:lang w:val="en-US"/>
        </w:rPr>
        <w:t xml:space="preserve"> 281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38117-21.</w:t>
      </w:r>
    </w:p>
    <w:p w:rsidR="00937B3C" w:rsidRPr="00277EC9" w:rsidRDefault="00937B3C" w:rsidP="00F069FB">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KIM, K. K., KUGLER, M. C., WOLTERS, P. J., ROBILLARD, L., GALVEZ, M. G., BRUMWELL, A. N., SHEPPARD, D. &amp; CHAPMAN, H. A. 2006. Alveolar epithelial cell mesenchymal transition develops in vivo during pulmonary fibrosis and is regulated by the extracellular matrix. </w:t>
      </w:r>
      <w:r w:rsidRPr="00277EC9">
        <w:rPr>
          <w:rFonts w:ascii="Calibri" w:eastAsia="Calibri" w:hAnsi="Calibri" w:cs="Calibri"/>
          <w:i/>
          <w:noProof/>
          <w:sz w:val="22"/>
          <w:szCs w:val="22"/>
          <w:lang w:val="en-US"/>
        </w:rPr>
        <w:t>Proceedings of the National Academy of Sciences of the United States of America,</w:t>
      </w:r>
      <w:r w:rsidRPr="00277EC9">
        <w:rPr>
          <w:rFonts w:ascii="Calibri" w:eastAsia="Calibri" w:hAnsi="Calibri" w:cs="Calibri"/>
          <w:noProof/>
          <w:sz w:val="22"/>
          <w:szCs w:val="22"/>
          <w:lang w:val="en-US"/>
        </w:rPr>
        <w:t xml:space="preserve"> 103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13180-13185.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KING, A. J. F. 2012. The use of animal models in diabetes research. </w:t>
      </w:r>
      <w:r w:rsidRPr="00277EC9">
        <w:rPr>
          <w:rFonts w:ascii="Calibri" w:eastAsia="Calibri" w:hAnsi="Calibri" w:cs="Calibri"/>
          <w:i/>
          <w:noProof/>
          <w:sz w:val="22"/>
          <w:szCs w:val="22"/>
          <w:lang w:val="en-US"/>
        </w:rPr>
        <w:t>British Journal of Pharmacology,</w:t>
      </w:r>
      <w:r w:rsidRPr="00277EC9">
        <w:rPr>
          <w:rFonts w:ascii="Calibri" w:eastAsia="Calibri" w:hAnsi="Calibri" w:cs="Calibri"/>
          <w:noProof/>
          <w:sz w:val="22"/>
          <w:szCs w:val="22"/>
          <w:lang w:val="en-US"/>
        </w:rPr>
        <w:t xml:space="preserve"> 166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877-894.</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KITABCHI, A. E., UMPIERREZ, G. E., MILES, J. M. &amp; FISHER, J. N. 2009. Hyperglycemic Crises in Adult Patients With Diabetes. </w:t>
      </w:r>
      <w:r w:rsidRPr="00277EC9">
        <w:rPr>
          <w:rFonts w:ascii="Calibri" w:eastAsia="Calibri" w:hAnsi="Calibri" w:cs="Calibri"/>
          <w:i/>
          <w:noProof/>
          <w:sz w:val="22"/>
          <w:szCs w:val="22"/>
          <w:lang w:val="en-US"/>
        </w:rPr>
        <w:t>Diabetes Care,</w:t>
      </w:r>
      <w:r w:rsidRPr="00277EC9">
        <w:rPr>
          <w:rFonts w:ascii="Calibri" w:eastAsia="Calibri" w:hAnsi="Calibri" w:cs="Calibri"/>
          <w:noProof/>
          <w:sz w:val="22"/>
          <w:szCs w:val="22"/>
          <w:lang w:val="en-US"/>
        </w:rPr>
        <w:t xml:space="preserve"> 32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1335-43.</w:t>
      </w:r>
    </w:p>
    <w:p w:rsidR="000A17BB" w:rsidRDefault="000A17BB" w:rsidP="000A17BB">
      <w:pPr>
        <w:spacing w:after="0" w:line="240" w:lineRule="auto"/>
        <w:ind w:left="720"/>
        <w:jc w:val="left"/>
        <w:rPr>
          <w:rFonts w:ascii="Calibri" w:eastAsia="Calibri" w:hAnsi="Calibri" w:cs="Calibri"/>
          <w:noProof/>
          <w:sz w:val="22"/>
          <w:szCs w:val="22"/>
          <w:lang w:val="en-US"/>
        </w:rPr>
      </w:pPr>
    </w:p>
    <w:p w:rsidR="000A17BB" w:rsidRPr="000A17BB" w:rsidRDefault="000A17BB" w:rsidP="000A17BB">
      <w:pPr>
        <w:spacing w:after="0" w:line="240" w:lineRule="auto"/>
        <w:ind w:left="720"/>
        <w:jc w:val="left"/>
        <w:rPr>
          <w:rFonts w:ascii="Calibri" w:eastAsia="Calibri" w:hAnsi="Calibri" w:cs="Calibri"/>
          <w:noProof/>
          <w:sz w:val="22"/>
          <w:szCs w:val="22"/>
          <w:lang w:val="en-US"/>
        </w:rPr>
      </w:pPr>
      <w:r w:rsidRPr="000A17BB">
        <w:rPr>
          <w:rFonts w:ascii="Calibri" w:eastAsia="Calibri" w:hAnsi="Calibri" w:cs="Calibri"/>
          <w:noProof/>
          <w:sz w:val="22"/>
          <w:szCs w:val="22"/>
          <w:lang w:val="en-US"/>
        </w:rPr>
        <w:t xml:space="preserve">KITCHING, A. R., HOLDSWORTH, S. R., PLOPLIS, V. A., PLOW, E. F., COLLEN, D., CARMELIET, P. &amp; TIPPING, P. G. 1997. Plasminogen and plasminogen activators protect against renal injury in crescentic glomerulonephritis. </w:t>
      </w:r>
      <w:r w:rsidRPr="000A17BB">
        <w:rPr>
          <w:rFonts w:ascii="Calibri" w:eastAsia="Calibri" w:hAnsi="Calibri" w:cs="Calibri"/>
          <w:i/>
          <w:noProof/>
          <w:sz w:val="22"/>
          <w:szCs w:val="22"/>
          <w:lang w:val="en-US"/>
        </w:rPr>
        <w:t>Journal of Experimental Medicine,</w:t>
      </w:r>
      <w:r w:rsidRPr="000A17BB">
        <w:rPr>
          <w:rFonts w:ascii="Calibri" w:eastAsia="Calibri" w:hAnsi="Calibri" w:cs="Calibri"/>
          <w:noProof/>
          <w:sz w:val="22"/>
          <w:szCs w:val="22"/>
          <w:lang w:val="en-US"/>
        </w:rPr>
        <w:t xml:space="preserve"> 185</w:t>
      </w:r>
      <w:r w:rsidRPr="000A17BB">
        <w:rPr>
          <w:rFonts w:ascii="Calibri" w:eastAsia="Calibri" w:hAnsi="Calibri" w:cs="Calibri"/>
          <w:b/>
          <w:noProof/>
          <w:sz w:val="22"/>
          <w:szCs w:val="22"/>
          <w:lang w:val="en-US"/>
        </w:rPr>
        <w:t>,</w:t>
      </w:r>
      <w:r w:rsidRPr="000A17BB">
        <w:rPr>
          <w:rFonts w:ascii="Calibri" w:eastAsia="Calibri" w:hAnsi="Calibri" w:cs="Calibri"/>
          <w:noProof/>
          <w:sz w:val="22"/>
          <w:szCs w:val="22"/>
          <w:lang w:val="en-US"/>
        </w:rPr>
        <w:t xml:space="preserve"> 963-968.</w:t>
      </w:r>
    </w:p>
    <w:p w:rsidR="000A17BB" w:rsidRPr="00277EC9" w:rsidRDefault="000A17BB" w:rsidP="00937B3C">
      <w:pPr>
        <w:spacing w:after="0" w:line="240" w:lineRule="auto"/>
        <w:ind w:left="720"/>
        <w:jc w:val="left"/>
        <w:rPr>
          <w:rFonts w:ascii="Calibri" w:eastAsia="Calibri" w:hAnsi="Calibri" w:cs="Calibri"/>
          <w:noProof/>
          <w:sz w:val="22"/>
          <w:szCs w:val="22"/>
          <w:lang w:val="en-US"/>
        </w:rPr>
      </w:pP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KLARENBACH, S., MOORE, R. B., CHAPMAN, D. W., DONG, J. &amp; BRAAM, B. 2011. Adverse Renal Outcomes in Subjects Undergoing Nephrectomy for Renal Tumors: A Population- Based Analysis. </w:t>
      </w:r>
      <w:r w:rsidRPr="00277EC9">
        <w:rPr>
          <w:rFonts w:ascii="Calibri" w:eastAsia="Calibri" w:hAnsi="Calibri" w:cs="Calibri"/>
          <w:i/>
          <w:noProof/>
          <w:sz w:val="22"/>
          <w:szCs w:val="22"/>
          <w:lang w:val="en-US"/>
        </w:rPr>
        <w:t>European Urology,</w:t>
      </w:r>
      <w:r w:rsidRPr="00277EC9">
        <w:rPr>
          <w:rFonts w:ascii="Calibri" w:eastAsia="Calibri" w:hAnsi="Calibri" w:cs="Calibri"/>
          <w:noProof/>
          <w:sz w:val="22"/>
          <w:szCs w:val="22"/>
          <w:lang w:val="en-US"/>
        </w:rPr>
        <w:t xml:space="preserve"> 59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333-339.</w:t>
      </w:r>
    </w:p>
    <w:p w:rsidR="00782D43" w:rsidRPr="00277EC9" w:rsidRDefault="00782D43" w:rsidP="00937B3C">
      <w:pPr>
        <w:spacing w:after="0" w:line="240" w:lineRule="auto"/>
        <w:ind w:left="720"/>
        <w:jc w:val="left"/>
        <w:rPr>
          <w:rFonts w:ascii="Calibri" w:eastAsia="Calibri" w:hAnsi="Calibri" w:cs="Calibri"/>
          <w:noProof/>
          <w:sz w:val="22"/>
          <w:szCs w:val="22"/>
          <w:lang w:val="en-US"/>
        </w:rPr>
      </w:pPr>
    </w:p>
    <w:p w:rsidR="00B24B6D" w:rsidRDefault="00B24B6D" w:rsidP="00B24B6D">
      <w:pPr>
        <w:spacing w:after="0" w:line="240" w:lineRule="auto"/>
        <w:ind w:left="720"/>
        <w:jc w:val="left"/>
        <w:rPr>
          <w:rFonts w:ascii="Calibri" w:eastAsia="Calibri" w:hAnsi="Calibri" w:cs="Calibri"/>
          <w:noProof/>
          <w:sz w:val="22"/>
          <w:szCs w:val="22"/>
          <w:lang w:val="en-US"/>
        </w:rPr>
      </w:pPr>
    </w:p>
    <w:p w:rsidR="00B02242" w:rsidRDefault="00B02242" w:rsidP="00B24B6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KOLÁŘOVÁ, H., AMBRŮZOVÁ, B., ŠVIHÁLKOVÁ ŠINDLEROVÁ, L., KLINKE, A. &amp; KUBALA, L. 2014. Modulation of endothelial glycocalyx structure under inflammatory conditions. </w:t>
      </w:r>
      <w:r w:rsidR="00B24B6D">
        <w:rPr>
          <w:rFonts w:ascii="Calibri" w:eastAsia="Calibri" w:hAnsi="Calibri" w:cs="Calibri"/>
          <w:noProof/>
          <w:sz w:val="22"/>
          <w:szCs w:val="22"/>
          <w:lang w:val="en-US"/>
        </w:rPr>
        <w:t xml:space="preserve">Mediators of Inflammation, </w:t>
      </w:r>
      <w:r w:rsidR="00B24B6D" w:rsidRPr="00B24B6D">
        <w:rPr>
          <w:rFonts w:ascii="Calibri" w:eastAsia="Calibri" w:hAnsi="Calibri" w:cs="Calibri"/>
          <w:noProof/>
          <w:sz w:val="22"/>
          <w:szCs w:val="22"/>
          <w:lang w:val="en-US"/>
        </w:rPr>
        <w:t>Volume 2014 (20</w:t>
      </w:r>
      <w:r w:rsidR="00B24B6D">
        <w:rPr>
          <w:rFonts w:ascii="Calibri" w:eastAsia="Calibri" w:hAnsi="Calibri" w:cs="Calibri"/>
          <w:noProof/>
          <w:sz w:val="22"/>
          <w:szCs w:val="22"/>
          <w:lang w:val="en-US"/>
        </w:rPr>
        <w:t>14), Article ID 694312</w:t>
      </w:r>
      <w:r w:rsidRPr="00277EC9">
        <w:rPr>
          <w:rFonts w:ascii="Calibri" w:eastAsia="Calibri" w:hAnsi="Calibri" w:cs="Calibri"/>
          <w:noProof/>
          <w:sz w:val="22"/>
          <w:szCs w:val="22"/>
          <w:lang w:val="en-US"/>
        </w:rPr>
        <w:t>.</w:t>
      </w:r>
    </w:p>
    <w:p w:rsidR="00D333A7" w:rsidRDefault="00D333A7" w:rsidP="00B24B6D">
      <w:pPr>
        <w:spacing w:after="0" w:line="240" w:lineRule="auto"/>
        <w:ind w:left="720"/>
        <w:jc w:val="left"/>
        <w:rPr>
          <w:rFonts w:ascii="Calibri" w:eastAsia="Calibri" w:hAnsi="Calibri" w:cs="Calibri"/>
          <w:noProof/>
          <w:sz w:val="22"/>
          <w:szCs w:val="22"/>
          <w:lang w:val="en-US"/>
        </w:rPr>
      </w:pPr>
    </w:p>
    <w:p w:rsidR="00D333A7" w:rsidRPr="00D333A7" w:rsidRDefault="00D333A7" w:rsidP="00B24B6D">
      <w:pPr>
        <w:spacing w:after="0" w:line="240" w:lineRule="auto"/>
        <w:ind w:left="720"/>
        <w:jc w:val="left"/>
        <w:rPr>
          <w:rFonts w:asciiTheme="minorHAnsi" w:eastAsia="Calibri" w:hAnsiTheme="minorHAnsi" w:cstheme="minorHAnsi"/>
          <w:noProof/>
          <w:sz w:val="22"/>
          <w:szCs w:val="22"/>
          <w:lang w:val="en-US"/>
        </w:rPr>
      </w:pPr>
      <w:r w:rsidRPr="00D333A7">
        <w:rPr>
          <w:rFonts w:asciiTheme="minorHAnsi" w:hAnsiTheme="minorHAnsi" w:cstheme="minorHAnsi"/>
          <w:sz w:val="22"/>
          <w:szCs w:val="22"/>
        </w:rPr>
        <w:t xml:space="preserve">KORDES, C., SAWITZA, I., GÖTZE, S., HEREBIAN, D. &amp; HÄUSSINGER, D. 2014. Hepatic stellate cells contribute to progenitor cells and liver regeneration. </w:t>
      </w:r>
      <w:r w:rsidRPr="00D333A7">
        <w:rPr>
          <w:rFonts w:asciiTheme="minorHAnsi" w:hAnsiTheme="minorHAnsi" w:cstheme="minorHAnsi"/>
          <w:i/>
          <w:sz w:val="22"/>
          <w:szCs w:val="22"/>
        </w:rPr>
        <w:t>The Journal of Clinical Investigation,</w:t>
      </w:r>
      <w:r w:rsidRPr="00D333A7">
        <w:rPr>
          <w:rFonts w:asciiTheme="minorHAnsi" w:hAnsiTheme="minorHAnsi" w:cstheme="minorHAnsi"/>
          <w:sz w:val="22"/>
          <w:szCs w:val="22"/>
        </w:rPr>
        <w:t xml:space="preserve"> 124</w:t>
      </w:r>
      <w:r w:rsidRPr="00D333A7">
        <w:rPr>
          <w:rFonts w:asciiTheme="minorHAnsi" w:hAnsiTheme="minorHAnsi" w:cstheme="minorHAnsi"/>
          <w:b/>
          <w:sz w:val="22"/>
          <w:szCs w:val="22"/>
        </w:rPr>
        <w:t>,</w:t>
      </w:r>
      <w:r w:rsidRPr="00D333A7">
        <w:rPr>
          <w:rFonts w:asciiTheme="minorHAnsi" w:hAnsiTheme="minorHAnsi" w:cstheme="minorHAnsi"/>
          <w:sz w:val="22"/>
          <w:szCs w:val="22"/>
        </w:rPr>
        <w:t xml:space="preserve"> 5503-5515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KOVACS, A., SZABO, L., LONGSTAFF, C., TENEKEDJIEV, K., MACHOVICH, R. &amp; KOLEV, K. 2014. Ambivalent roles of carboxypeptidase B in the lytic susceptibility of fibrin. </w:t>
      </w:r>
      <w:r w:rsidRPr="00277EC9">
        <w:rPr>
          <w:rFonts w:ascii="Calibri" w:eastAsia="Calibri" w:hAnsi="Calibri" w:cs="Calibri"/>
          <w:i/>
          <w:noProof/>
          <w:sz w:val="22"/>
          <w:szCs w:val="22"/>
          <w:lang w:val="en-US"/>
        </w:rPr>
        <w:t>Thrombosis Research,</w:t>
      </w:r>
      <w:r w:rsidRPr="00277EC9">
        <w:rPr>
          <w:rFonts w:ascii="Calibri" w:eastAsia="Calibri" w:hAnsi="Calibri" w:cs="Calibri"/>
          <w:noProof/>
          <w:sz w:val="22"/>
          <w:szCs w:val="22"/>
          <w:lang w:val="en-US"/>
        </w:rPr>
        <w:t xml:space="preserve"> 133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80-87.</w:t>
      </w:r>
    </w:p>
    <w:p w:rsidR="00F06EFF" w:rsidRDefault="00F06EFF" w:rsidP="00937B3C">
      <w:pPr>
        <w:spacing w:after="0" w:line="240" w:lineRule="auto"/>
        <w:ind w:left="720"/>
        <w:jc w:val="left"/>
        <w:rPr>
          <w:rFonts w:ascii="Calibri" w:eastAsia="Calibri" w:hAnsi="Calibri" w:cs="Calibri"/>
          <w:noProof/>
          <w:sz w:val="22"/>
          <w:szCs w:val="22"/>
          <w:lang w:val="en-US"/>
        </w:rPr>
      </w:pPr>
    </w:p>
    <w:p w:rsidR="00F06EFF" w:rsidRPr="00F06EFF" w:rsidRDefault="00F06EFF" w:rsidP="00F06EFF">
      <w:pPr>
        <w:spacing w:after="0" w:line="240" w:lineRule="auto"/>
        <w:ind w:left="720"/>
        <w:jc w:val="left"/>
        <w:rPr>
          <w:rFonts w:ascii="Calibri" w:eastAsia="Calibri" w:hAnsi="Calibri" w:cs="Calibri"/>
          <w:noProof/>
          <w:sz w:val="22"/>
          <w:szCs w:val="22"/>
          <w:lang w:val="en-US"/>
        </w:rPr>
      </w:pPr>
      <w:r w:rsidRPr="00F06EFF">
        <w:rPr>
          <w:rFonts w:ascii="Calibri" w:eastAsia="Calibri" w:hAnsi="Calibri" w:cs="Calibri"/>
          <w:noProof/>
          <w:sz w:val="22"/>
          <w:szCs w:val="22"/>
          <w:lang w:val="en-US"/>
        </w:rPr>
        <w:t xml:space="preserve">KRAFTS, K. P. 2010. Tissue repair: The hidden drama. </w:t>
      </w:r>
      <w:r w:rsidRPr="00F06EFF">
        <w:rPr>
          <w:rFonts w:ascii="Calibri" w:eastAsia="Calibri" w:hAnsi="Calibri" w:cs="Calibri"/>
          <w:i/>
          <w:noProof/>
          <w:sz w:val="22"/>
          <w:szCs w:val="22"/>
          <w:lang w:val="en-US"/>
        </w:rPr>
        <w:t>Organogenesis,</w:t>
      </w:r>
      <w:r w:rsidRPr="00F06EFF">
        <w:rPr>
          <w:rFonts w:ascii="Calibri" w:eastAsia="Calibri" w:hAnsi="Calibri" w:cs="Calibri"/>
          <w:noProof/>
          <w:sz w:val="22"/>
          <w:szCs w:val="22"/>
          <w:lang w:val="en-US"/>
        </w:rPr>
        <w:t xml:space="preserve"> 6</w:t>
      </w:r>
      <w:r w:rsidRPr="00F06EFF">
        <w:rPr>
          <w:rFonts w:ascii="Calibri" w:eastAsia="Calibri" w:hAnsi="Calibri" w:cs="Calibri"/>
          <w:b/>
          <w:noProof/>
          <w:sz w:val="22"/>
          <w:szCs w:val="22"/>
          <w:lang w:val="en-US"/>
        </w:rPr>
        <w:t>,</w:t>
      </w:r>
      <w:r w:rsidRPr="00F06EFF">
        <w:rPr>
          <w:rFonts w:ascii="Calibri" w:eastAsia="Calibri" w:hAnsi="Calibri" w:cs="Calibri"/>
          <w:noProof/>
          <w:sz w:val="22"/>
          <w:szCs w:val="22"/>
          <w:lang w:val="en-US"/>
        </w:rPr>
        <w:t xml:space="preserve"> 225-233.</w:t>
      </w:r>
    </w:p>
    <w:p w:rsidR="00937B3C" w:rsidRPr="00277EC9" w:rsidRDefault="00937B3C" w:rsidP="00F06EFF">
      <w:pPr>
        <w:spacing w:after="0" w:line="240" w:lineRule="auto"/>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KREMER HOVINGA, J. A., FRANCO, R. F., ZAGO, M. A., TEN CATE, H., WESTENDORP, R. G. J. &amp; REITSMA, P. H. 2004. A functional single nucleotide polymorphism in the thrombin-activatable fibrinolysis inhibitor (TAFI) gene associates with outcome of meningococcal disease. </w:t>
      </w:r>
      <w:r w:rsidRPr="00277EC9">
        <w:rPr>
          <w:rFonts w:ascii="Calibri" w:eastAsia="Calibri" w:hAnsi="Calibri" w:cs="Calibri"/>
          <w:i/>
          <w:noProof/>
          <w:sz w:val="22"/>
          <w:szCs w:val="22"/>
          <w:lang w:val="en-US"/>
        </w:rPr>
        <w:t>Journal of thrombosis and haemostasis : JTH,</w:t>
      </w:r>
      <w:r w:rsidRPr="00277EC9">
        <w:rPr>
          <w:rFonts w:ascii="Calibri" w:eastAsia="Calibri" w:hAnsi="Calibri" w:cs="Calibri"/>
          <w:noProof/>
          <w:sz w:val="22"/>
          <w:szCs w:val="22"/>
          <w:lang w:val="en-US"/>
        </w:rPr>
        <w:t xml:space="preserve"> 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54-7.</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KUBOTA, Y., KLEINMAN, H. K., MARTIN, G. R. &amp; LAWLEY, T. J. 1988. Role of laminin and basement membrane in the morphological differentiation of human endothelial cells into capillary-like structures. </w:t>
      </w:r>
      <w:r w:rsidRPr="00277EC9">
        <w:rPr>
          <w:rFonts w:ascii="Calibri" w:eastAsia="Calibri" w:hAnsi="Calibri" w:cs="Calibri"/>
          <w:i/>
          <w:noProof/>
          <w:sz w:val="22"/>
          <w:szCs w:val="22"/>
          <w:lang w:val="en-US"/>
        </w:rPr>
        <w:t>J Cell Biol,</w:t>
      </w:r>
      <w:r w:rsidRPr="00277EC9">
        <w:rPr>
          <w:rFonts w:ascii="Calibri" w:eastAsia="Calibri" w:hAnsi="Calibri" w:cs="Calibri"/>
          <w:noProof/>
          <w:sz w:val="22"/>
          <w:szCs w:val="22"/>
          <w:lang w:val="en-US"/>
        </w:rPr>
        <w:t xml:space="preserve"> 107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1589-98.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LAFFEL, L. 1999. Ketone bodies: a review of physiology, pathophysiology and application of monitoring to diabetes. </w:t>
      </w:r>
      <w:r w:rsidRPr="00277EC9">
        <w:rPr>
          <w:rFonts w:ascii="Calibri" w:eastAsia="Calibri" w:hAnsi="Calibri" w:cs="Calibri"/>
          <w:i/>
          <w:noProof/>
          <w:sz w:val="22"/>
          <w:szCs w:val="22"/>
          <w:lang w:val="en-US"/>
        </w:rPr>
        <w:t>Diabetes/Metabolism Research and Reviews,</w:t>
      </w:r>
      <w:r w:rsidRPr="00277EC9">
        <w:rPr>
          <w:rFonts w:ascii="Calibri" w:eastAsia="Calibri" w:hAnsi="Calibri" w:cs="Calibri"/>
          <w:noProof/>
          <w:sz w:val="22"/>
          <w:szCs w:val="22"/>
          <w:lang w:val="en-US"/>
        </w:rPr>
        <w:t xml:space="preserve"> 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412-426.</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LAMB, E. J., MACKENZIE, F. &amp; STEVENS, P. E. 2009. How should proteinuria be detected and measured? </w:t>
      </w:r>
      <w:r w:rsidRPr="00277EC9">
        <w:rPr>
          <w:rFonts w:ascii="Calibri" w:eastAsia="Calibri" w:hAnsi="Calibri" w:cs="Calibri"/>
          <w:i/>
          <w:noProof/>
          <w:sz w:val="22"/>
          <w:szCs w:val="22"/>
          <w:lang w:val="en-US"/>
        </w:rPr>
        <w:t>Ann Clin Biochem,</w:t>
      </w:r>
      <w:r w:rsidRPr="00277EC9">
        <w:rPr>
          <w:rFonts w:ascii="Calibri" w:eastAsia="Calibri" w:hAnsi="Calibri" w:cs="Calibri"/>
          <w:noProof/>
          <w:sz w:val="22"/>
          <w:szCs w:val="22"/>
          <w:lang w:val="en-US"/>
        </w:rPr>
        <w:t xml:space="preserve"> 46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205-17.</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LARCOTODARO, J. E. J. J. D., DE LARCO, J. E. &amp; TODARO, G. J. 1978. Epithelioid and fibroblastic rat kidney cell clones: epidermal growth factor (EGF) receptors and the effect of mouse sarcoma virus transformation. </w:t>
      </w:r>
      <w:r w:rsidRPr="00277EC9">
        <w:rPr>
          <w:rFonts w:ascii="Calibri" w:eastAsia="Calibri" w:hAnsi="Calibri" w:cs="Calibri"/>
          <w:i/>
          <w:noProof/>
          <w:sz w:val="22"/>
          <w:szCs w:val="22"/>
          <w:lang w:val="en-US"/>
        </w:rPr>
        <w:t>J CELL PHYSIOL,</w:t>
      </w:r>
      <w:r w:rsidRPr="00277EC9">
        <w:rPr>
          <w:rFonts w:ascii="Calibri" w:eastAsia="Calibri" w:hAnsi="Calibri" w:cs="Calibri"/>
          <w:noProof/>
          <w:sz w:val="22"/>
          <w:szCs w:val="22"/>
          <w:lang w:val="en-US"/>
        </w:rPr>
        <w:t xml:space="preserve"> 94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335-342.</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LASHMET, F. &amp; NEWBURGH, L. 1932. A comparative study of the excretion of water and solids by normal and abnormal kidneys. </w:t>
      </w:r>
      <w:r w:rsidRPr="00277EC9">
        <w:rPr>
          <w:rFonts w:ascii="Calibri" w:eastAsia="Calibri" w:hAnsi="Calibri" w:cs="Calibri"/>
          <w:i/>
          <w:noProof/>
          <w:sz w:val="22"/>
          <w:szCs w:val="22"/>
          <w:lang w:val="en-US"/>
        </w:rPr>
        <w:t>Journal of Clinical Investigation,</w:t>
      </w:r>
      <w:r w:rsidRPr="00277EC9">
        <w:rPr>
          <w:rFonts w:ascii="Calibri" w:eastAsia="Calibri" w:hAnsi="Calibri" w:cs="Calibri"/>
          <w:noProof/>
          <w:sz w:val="22"/>
          <w:szCs w:val="22"/>
          <w:lang w:val="en-US"/>
        </w:rPr>
        <w:t xml:space="preserve"> 11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1003.</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LEES, G. E. 2004. Early diagnosis of renal disease and renal failure. </w:t>
      </w:r>
      <w:r w:rsidRPr="00277EC9">
        <w:rPr>
          <w:rFonts w:ascii="Calibri" w:eastAsia="Calibri" w:hAnsi="Calibri" w:cs="Calibri"/>
          <w:i/>
          <w:noProof/>
          <w:sz w:val="22"/>
          <w:szCs w:val="22"/>
          <w:lang w:val="en-US"/>
        </w:rPr>
        <w:t>Veterinary Clinics of North America: Small Animal Practice,</w:t>
      </w:r>
      <w:r w:rsidRPr="00277EC9">
        <w:rPr>
          <w:rFonts w:ascii="Calibri" w:eastAsia="Calibri" w:hAnsi="Calibri" w:cs="Calibri"/>
          <w:noProof/>
          <w:sz w:val="22"/>
          <w:szCs w:val="22"/>
          <w:lang w:val="en-US"/>
        </w:rPr>
        <w:t xml:space="preserve"> 34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867-885.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LEURS, J. &amp; HENDRIKS, D. 2005. Carboxypeptidase U (TAFla): a metallocarboxypeptidase with a distinct role in haemostasis and a possible risk factor for thrombotic disease. </w:t>
      </w:r>
      <w:r w:rsidRPr="00277EC9">
        <w:rPr>
          <w:rFonts w:ascii="Calibri" w:eastAsia="Calibri" w:hAnsi="Calibri" w:cs="Calibri"/>
          <w:i/>
          <w:noProof/>
          <w:sz w:val="22"/>
          <w:szCs w:val="22"/>
          <w:lang w:val="en-US"/>
        </w:rPr>
        <w:t>Thrombosis and Haemostasis,</w:t>
      </w:r>
      <w:r w:rsidRPr="00277EC9">
        <w:rPr>
          <w:rFonts w:ascii="Calibri" w:eastAsia="Calibri" w:hAnsi="Calibri" w:cs="Calibri"/>
          <w:noProof/>
          <w:sz w:val="22"/>
          <w:szCs w:val="22"/>
          <w:lang w:val="en-US"/>
        </w:rPr>
        <w:t xml:space="preserve"> 94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471-487.</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LEVEY, A. S., CORESH, J., BALK, E., KAUSZ, A. T., LEVIN, A., STEFFES, M. W., HOGG, R. J., PERRONE, R. D., LAU, J. &amp; EKNOYAN, G. 2003. National Kidney Foundation practice guidelines for chronic kidney disease: evaluation, classification, and stratification. </w:t>
      </w:r>
      <w:r w:rsidRPr="00277EC9">
        <w:rPr>
          <w:rFonts w:ascii="Calibri" w:eastAsia="Calibri" w:hAnsi="Calibri" w:cs="Calibri"/>
          <w:i/>
          <w:noProof/>
          <w:sz w:val="22"/>
          <w:szCs w:val="22"/>
          <w:lang w:val="en-US"/>
        </w:rPr>
        <w:t>Annals of internal medicine,</w:t>
      </w:r>
      <w:r w:rsidRPr="00277EC9">
        <w:rPr>
          <w:rFonts w:ascii="Calibri" w:eastAsia="Calibri" w:hAnsi="Calibri" w:cs="Calibri"/>
          <w:noProof/>
          <w:sz w:val="22"/>
          <w:szCs w:val="22"/>
          <w:lang w:val="en-US"/>
        </w:rPr>
        <w:t xml:space="preserve"> 139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137-147.</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i/>
          <w:noProof/>
          <w:sz w:val="22"/>
          <w:szCs w:val="22"/>
          <w:lang w:val="en-US"/>
        </w:rPr>
      </w:pPr>
      <w:r w:rsidRPr="00277EC9">
        <w:rPr>
          <w:rFonts w:ascii="Calibri" w:eastAsia="Calibri" w:hAnsi="Calibri" w:cs="Calibri"/>
          <w:noProof/>
          <w:sz w:val="22"/>
          <w:szCs w:val="22"/>
          <w:lang w:val="en-US"/>
        </w:rPr>
        <w:t xml:space="preserve">LI, J. 2005. </w:t>
      </w:r>
      <w:r w:rsidRPr="00277EC9">
        <w:rPr>
          <w:rFonts w:ascii="Calibri" w:eastAsia="Calibri" w:hAnsi="Calibri" w:cs="Calibri"/>
          <w:i/>
          <w:noProof/>
          <w:sz w:val="22"/>
          <w:szCs w:val="22"/>
          <w:lang w:val="en-US"/>
        </w:rPr>
        <w:t>Multifunctional roles of plasmin in inflammation: Studies of animal models on rheumatoid arthritis, multiple sclerosis, wound healing and infection.</w:t>
      </w:r>
    </w:p>
    <w:p w:rsidR="00937B3C" w:rsidRPr="00277EC9" w:rsidRDefault="00937B3C" w:rsidP="00937B3C">
      <w:pPr>
        <w:spacing w:after="0" w:line="240" w:lineRule="auto"/>
        <w:ind w:left="720"/>
        <w:jc w:val="left"/>
        <w:rPr>
          <w:rFonts w:ascii="Calibri" w:eastAsia="Calibri" w:hAnsi="Calibri" w:cs="Calibri"/>
          <w: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LIBBY, P., WARNER, S. J. C., SALOMON, R. N. &amp; BIRINYI, L. K. 1988. Production of platelet- derived growth factor- like mitogen by smooth- muscle cells from human atheroma. </w:t>
      </w:r>
      <w:r w:rsidRPr="00277EC9">
        <w:rPr>
          <w:rFonts w:ascii="Calibri" w:eastAsia="Calibri" w:hAnsi="Calibri" w:cs="Calibri"/>
          <w:i/>
          <w:noProof/>
          <w:sz w:val="22"/>
          <w:szCs w:val="22"/>
          <w:lang w:val="en-US"/>
        </w:rPr>
        <w:t>New England Journal of Medicine,</w:t>
      </w:r>
      <w:r w:rsidRPr="00277EC9">
        <w:rPr>
          <w:rFonts w:ascii="Calibri" w:eastAsia="Calibri" w:hAnsi="Calibri" w:cs="Calibri"/>
          <w:noProof/>
          <w:sz w:val="22"/>
          <w:szCs w:val="22"/>
          <w:lang w:val="en-US"/>
        </w:rPr>
        <w:t xml:space="preserve"> 318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1493-1498.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LIJNEN, H. R. 2001. Plasmin and matrix metalloproteinases in vascular remodeling. </w:t>
      </w:r>
      <w:r w:rsidRPr="00277EC9">
        <w:rPr>
          <w:rFonts w:ascii="Calibri" w:eastAsia="Calibri" w:hAnsi="Calibri" w:cs="Calibri"/>
          <w:i/>
          <w:noProof/>
          <w:sz w:val="22"/>
          <w:szCs w:val="22"/>
          <w:lang w:val="en-US"/>
        </w:rPr>
        <w:t>Thrombosis and Haemostasis,</w:t>
      </w:r>
      <w:r w:rsidRPr="00277EC9">
        <w:rPr>
          <w:rFonts w:ascii="Calibri" w:eastAsia="Calibri" w:hAnsi="Calibri" w:cs="Calibri"/>
          <w:noProof/>
          <w:sz w:val="22"/>
          <w:szCs w:val="22"/>
          <w:lang w:val="en-US"/>
        </w:rPr>
        <w:t xml:space="preserve"> 86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324-333.</w:t>
      </w:r>
    </w:p>
    <w:p w:rsidR="0091172A" w:rsidRPr="00277EC9" w:rsidRDefault="0091172A"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LIM, B. J., YANG, H.-C. &amp; FOGO, A. B. 2014. Animal models of regression/progression of kidney disease. </w:t>
      </w:r>
      <w:r w:rsidRPr="00277EC9">
        <w:rPr>
          <w:rFonts w:ascii="Calibri" w:eastAsia="Calibri" w:hAnsi="Calibri" w:cs="Calibri"/>
          <w:i/>
          <w:noProof/>
          <w:sz w:val="22"/>
          <w:szCs w:val="22"/>
          <w:lang w:val="en-US"/>
        </w:rPr>
        <w:t>Drug discovery today. Disease models,</w:t>
      </w:r>
      <w:r w:rsidRPr="00277EC9">
        <w:rPr>
          <w:rFonts w:ascii="Calibri" w:eastAsia="Calibri" w:hAnsi="Calibri" w:cs="Calibri"/>
          <w:noProof/>
          <w:sz w:val="22"/>
          <w:szCs w:val="22"/>
          <w:lang w:val="en-US"/>
        </w:rPr>
        <w:t xml:space="preserve"> 11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45-51.</w:t>
      </w:r>
    </w:p>
    <w:p w:rsidR="0091172A" w:rsidRPr="00277EC9" w:rsidRDefault="0091172A" w:rsidP="0091172A">
      <w:pPr>
        <w:spacing w:after="0" w:line="240" w:lineRule="auto"/>
        <w:jc w:val="left"/>
        <w:rPr>
          <w:rFonts w:ascii="Calibri" w:eastAsia="Calibri" w:hAnsi="Calibri" w:cs="Calibri"/>
          <w:noProof/>
          <w:sz w:val="22"/>
          <w:szCs w:val="22"/>
          <w:lang w:val="en-US"/>
        </w:rPr>
      </w:pP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LIOTTA, L. A., TRYGGVASON, K., GARBISA, S., HART, I., FOLTZ, C. M. &amp; SHAFIE, S. 1980. Metastatic potential correlates with enzymatic degradation of basement membrane collagen. </w:t>
      </w:r>
      <w:r w:rsidRPr="00277EC9">
        <w:rPr>
          <w:rFonts w:ascii="Calibri" w:eastAsia="Calibri" w:hAnsi="Calibri" w:cs="Calibri"/>
          <w:i/>
          <w:noProof/>
          <w:sz w:val="22"/>
          <w:szCs w:val="22"/>
          <w:lang w:val="en-US"/>
        </w:rPr>
        <w:t>Nature,</w:t>
      </w:r>
      <w:r w:rsidRPr="00277EC9">
        <w:rPr>
          <w:rFonts w:ascii="Calibri" w:eastAsia="Calibri" w:hAnsi="Calibri" w:cs="Calibri"/>
          <w:noProof/>
          <w:sz w:val="22"/>
          <w:szCs w:val="22"/>
          <w:lang w:val="en-US"/>
        </w:rPr>
        <w:t xml:space="preserve"> 284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67-8.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LIPOWSKY, H. H. 2011. Protease Activity and the Role of the Endothelial Glycocalyx in Inflammation. </w:t>
      </w:r>
      <w:r w:rsidRPr="00277EC9">
        <w:rPr>
          <w:rFonts w:ascii="Calibri" w:eastAsia="Calibri" w:hAnsi="Calibri" w:cs="Calibri"/>
          <w:i/>
          <w:noProof/>
          <w:sz w:val="22"/>
          <w:szCs w:val="22"/>
          <w:lang w:val="en-US"/>
        </w:rPr>
        <w:t>Drug Discov Today Dis Models,</w:t>
      </w:r>
      <w:r w:rsidRPr="00277EC9">
        <w:rPr>
          <w:rFonts w:ascii="Calibri" w:eastAsia="Calibri" w:hAnsi="Calibri" w:cs="Calibri"/>
          <w:noProof/>
          <w:sz w:val="22"/>
          <w:szCs w:val="22"/>
          <w:lang w:val="en-US"/>
        </w:rPr>
        <w:t xml:space="preserve"> 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57-62.</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LODGE, M. D. S., EL NAHAS, M. &amp; JOHNSON, T. S. 2013. Urinary transglutaminase 2 as a potential biomarker of chronic kidney disease detection and progression. </w:t>
      </w:r>
      <w:r w:rsidRPr="00277EC9">
        <w:rPr>
          <w:rFonts w:ascii="Calibri" w:eastAsia="Calibri" w:hAnsi="Calibri" w:cs="Calibri"/>
          <w:i/>
          <w:noProof/>
          <w:sz w:val="22"/>
          <w:szCs w:val="22"/>
          <w:lang w:val="en-US"/>
        </w:rPr>
        <w:t>Lancet,</w:t>
      </w:r>
      <w:r w:rsidRPr="00277EC9">
        <w:rPr>
          <w:rFonts w:ascii="Calibri" w:eastAsia="Calibri" w:hAnsi="Calibri" w:cs="Calibri"/>
          <w:noProof/>
          <w:sz w:val="22"/>
          <w:szCs w:val="22"/>
          <w:lang w:val="en-US"/>
        </w:rPr>
        <w:t xml:space="preserve"> 381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33-33.</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LOPEZ-BASTIDA, J., OLIVA MORENO, J., WORBES CEREZO, M., PERESTELO PEREZ, L., SERRANO-AGUILAR, P. &amp; MONTÓN-ÁLVAREZ, F. 2012. Social and economic costs and health-related quality of life in stroke survivors in the Canary Islands, Spain. </w:t>
      </w:r>
      <w:r w:rsidRPr="00277EC9">
        <w:rPr>
          <w:rFonts w:ascii="Calibri" w:eastAsia="Calibri" w:hAnsi="Calibri" w:cs="Calibri"/>
          <w:i/>
          <w:noProof/>
          <w:sz w:val="22"/>
          <w:szCs w:val="22"/>
          <w:lang w:val="en-US"/>
        </w:rPr>
        <w:t>BMC Health Services Research,</w:t>
      </w:r>
      <w:r w:rsidRPr="00277EC9">
        <w:rPr>
          <w:rFonts w:ascii="Calibri" w:eastAsia="Calibri" w:hAnsi="Calibri" w:cs="Calibri"/>
          <w:noProof/>
          <w:sz w:val="22"/>
          <w:szCs w:val="22"/>
          <w:lang w:val="en-US"/>
        </w:rPr>
        <w:t xml:space="preserve"> 12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315.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LOSKUTOFF, D. J. &amp; QUIGLEY, J. P. 2000. PAI-1, fibrosis, and the elusive provisional fibrin matrix. </w:t>
      </w:r>
      <w:r w:rsidRPr="00277EC9">
        <w:rPr>
          <w:rFonts w:ascii="Calibri" w:eastAsia="Calibri" w:hAnsi="Calibri" w:cs="Calibri"/>
          <w:i/>
          <w:noProof/>
          <w:sz w:val="22"/>
          <w:szCs w:val="22"/>
          <w:lang w:val="en-US"/>
        </w:rPr>
        <w:t>Journal of Clinical Investigation,</w:t>
      </w:r>
      <w:r w:rsidRPr="00277EC9">
        <w:rPr>
          <w:rFonts w:ascii="Calibri" w:eastAsia="Calibri" w:hAnsi="Calibri" w:cs="Calibri"/>
          <w:noProof/>
          <w:sz w:val="22"/>
          <w:szCs w:val="22"/>
          <w:lang w:val="en-US"/>
        </w:rPr>
        <w:t xml:space="preserve"> 106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1441-1443.</w:t>
      </w:r>
    </w:p>
    <w:p w:rsidR="00E15151" w:rsidRDefault="00E15151" w:rsidP="00E15151">
      <w:pPr>
        <w:spacing w:after="0" w:line="240" w:lineRule="auto"/>
        <w:ind w:left="720"/>
        <w:jc w:val="left"/>
        <w:rPr>
          <w:rFonts w:ascii="Calibri" w:eastAsia="Calibri" w:hAnsi="Calibri" w:cs="Calibri"/>
          <w:noProof/>
          <w:color w:val="FF0000"/>
          <w:sz w:val="22"/>
          <w:szCs w:val="22"/>
          <w:lang w:val="en-US"/>
        </w:rPr>
      </w:pPr>
    </w:p>
    <w:p w:rsidR="00E15151" w:rsidRPr="00E15151" w:rsidRDefault="00E15151" w:rsidP="00E15151">
      <w:pPr>
        <w:spacing w:after="0" w:line="240" w:lineRule="auto"/>
        <w:ind w:left="720"/>
        <w:jc w:val="left"/>
        <w:rPr>
          <w:rFonts w:ascii="Calibri" w:eastAsia="Calibri" w:hAnsi="Calibri" w:cs="Calibri"/>
          <w:noProof/>
          <w:sz w:val="22"/>
          <w:szCs w:val="22"/>
          <w:lang w:val="en-US"/>
        </w:rPr>
      </w:pPr>
      <w:r w:rsidRPr="00E15151">
        <w:rPr>
          <w:rFonts w:ascii="Calibri" w:eastAsia="Calibri" w:hAnsi="Calibri" w:cs="Calibri"/>
          <w:noProof/>
          <w:sz w:val="22"/>
          <w:szCs w:val="22"/>
          <w:lang w:val="en-US"/>
        </w:rPr>
        <w:t xml:space="preserve">LUND, L. R., RØMER, J., BUGGE, T. H., NIELSEN, B. S., FRANDSEN, T. L., DEGEN, J. L., STEPHENS, R. W. &amp; DANØ, K. 1999. Functional overlap between two classes of matrix‐degrading proteases in wound healing. </w:t>
      </w:r>
      <w:r w:rsidRPr="00E15151">
        <w:rPr>
          <w:rFonts w:ascii="Calibri" w:eastAsia="Calibri" w:hAnsi="Calibri" w:cs="Calibri"/>
          <w:i/>
          <w:noProof/>
          <w:sz w:val="22"/>
          <w:szCs w:val="22"/>
          <w:lang w:val="en-US"/>
        </w:rPr>
        <w:t>The EMBO Journal,</w:t>
      </w:r>
      <w:r w:rsidRPr="00E15151">
        <w:rPr>
          <w:rFonts w:ascii="Calibri" w:eastAsia="Calibri" w:hAnsi="Calibri" w:cs="Calibri"/>
          <w:noProof/>
          <w:sz w:val="22"/>
          <w:szCs w:val="22"/>
          <w:lang w:val="en-US"/>
        </w:rPr>
        <w:t xml:space="preserve"> 18</w:t>
      </w:r>
      <w:r w:rsidRPr="00E15151">
        <w:rPr>
          <w:rFonts w:ascii="Calibri" w:eastAsia="Calibri" w:hAnsi="Calibri" w:cs="Calibri"/>
          <w:b/>
          <w:noProof/>
          <w:sz w:val="22"/>
          <w:szCs w:val="22"/>
          <w:lang w:val="en-US"/>
        </w:rPr>
        <w:t>,</w:t>
      </w:r>
      <w:r w:rsidRPr="00E15151">
        <w:rPr>
          <w:rFonts w:ascii="Calibri" w:eastAsia="Calibri" w:hAnsi="Calibri" w:cs="Calibri"/>
          <w:noProof/>
          <w:sz w:val="22"/>
          <w:szCs w:val="22"/>
          <w:lang w:val="en-US"/>
        </w:rPr>
        <w:t xml:space="preserve"> 4645-4656.</w:t>
      </w:r>
    </w:p>
    <w:p w:rsidR="00937B3C" w:rsidRPr="00277EC9" w:rsidRDefault="00937B3C" w:rsidP="00E15151">
      <w:pPr>
        <w:spacing w:after="0" w:line="240" w:lineRule="auto"/>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LYON, C. J. &amp; HSUEH, W. A. 2003. Effect of plasminogen activator inhibitor–1 in diabetes mellitus and cardiovascular disease. </w:t>
      </w:r>
      <w:r w:rsidRPr="00277EC9">
        <w:rPr>
          <w:rFonts w:ascii="Calibri" w:eastAsia="Calibri" w:hAnsi="Calibri" w:cs="Calibri"/>
          <w:i/>
          <w:noProof/>
          <w:sz w:val="22"/>
          <w:szCs w:val="22"/>
          <w:lang w:val="en-US"/>
        </w:rPr>
        <w:t>The American journal of medicine,</w:t>
      </w:r>
      <w:r w:rsidRPr="00277EC9">
        <w:rPr>
          <w:rFonts w:ascii="Calibri" w:eastAsia="Calibri" w:hAnsi="Calibri" w:cs="Calibri"/>
          <w:noProof/>
          <w:sz w:val="22"/>
          <w:szCs w:val="22"/>
          <w:lang w:val="en-US"/>
        </w:rPr>
        <w:t xml:space="preserve"> 115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62-68.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MAGRI, C. J. &amp; FAVA, S. 2009. The role of tubular injury in diabetic nephropathy. </w:t>
      </w:r>
      <w:r w:rsidRPr="00277EC9">
        <w:rPr>
          <w:rFonts w:ascii="Calibri" w:eastAsia="Calibri" w:hAnsi="Calibri" w:cs="Calibri"/>
          <w:i/>
          <w:noProof/>
          <w:sz w:val="22"/>
          <w:szCs w:val="22"/>
          <w:lang w:val="en-US"/>
        </w:rPr>
        <w:t>European journal of internal medicine,</w:t>
      </w:r>
      <w:r w:rsidRPr="00277EC9">
        <w:rPr>
          <w:rFonts w:ascii="Calibri" w:eastAsia="Calibri" w:hAnsi="Calibri" w:cs="Calibri"/>
          <w:noProof/>
          <w:sz w:val="22"/>
          <w:szCs w:val="22"/>
          <w:lang w:val="en-US"/>
        </w:rPr>
        <w:t xml:space="preserve"> 20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551-555.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MAINWARING-BURTON, R. W. 1991. Clinical Urinalysis. The Principles and Practice of Urine Testing in the Hospital and Community. </w:t>
      </w:r>
      <w:r w:rsidRPr="00277EC9">
        <w:rPr>
          <w:rFonts w:ascii="Calibri" w:eastAsia="Calibri" w:hAnsi="Calibri" w:cs="Calibri"/>
          <w:i/>
          <w:noProof/>
          <w:sz w:val="22"/>
          <w:szCs w:val="22"/>
          <w:lang w:val="en-US"/>
        </w:rPr>
        <w:t>Journal of Clinical Pathology,</w:t>
      </w:r>
      <w:r w:rsidRPr="00277EC9">
        <w:rPr>
          <w:rFonts w:ascii="Calibri" w:eastAsia="Calibri" w:hAnsi="Calibri" w:cs="Calibri"/>
          <w:noProof/>
          <w:sz w:val="22"/>
          <w:szCs w:val="22"/>
          <w:lang w:val="en-US"/>
        </w:rPr>
        <w:t xml:space="preserve"> 44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702.</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MARX, P. F., HACKENG, T. M., DAWSON, P. E., GRIFFIN, J. H., MEIJERS, J. C. M. &amp; BOUMA, B. N. 2000. Inactivation of active thrombin- activable fibrinolysis inhibitor takes place by a process that involves conformational instability rather than proteolytic cleavage. </w:t>
      </w:r>
      <w:r w:rsidRPr="00277EC9">
        <w:rPr>
          <w:rFonts w:ascii="Calibri" w:eastAsia="Calibri" w:hAnsi="Calibri" w:cs="Calibri"/>
          <w:i/>
          <w:noProof/>
          <w:sz w:val="22"/>
          <w:szCs w:val="22"/>
          <w:lang w:val="en-US"/>
        </w:rPr>
        <w:t>J. Biol. Chem.,</w:t>
      </w:r>
      <w:r w:rsidRPr="00277EC9">
        <w:rPr>
          <w:rFonts w:ascii="Calibri" w:eastAsia="Calibri" w:hAnsi="Calibri" w:cs="Calibri"/>
          <w:noProof/>
          <w:sz w:val="22"/>
          <w:szCs w:val="22"/>
          <w:lang w:val="en-US"/>
        </w:rPr>
        <w:t xml:space="preserve"> 275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12410-12415.</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MASHITANI, T., HAYASHINO, Y., OKAMURA, S., TSUJII, S. &amp; ISHII, H. 2014. Correlations Between Serum Bilirubin Levels and Diabetic Nephropathy Progression Among Japanese Type 2 Diabetic Patients: A Prospective Cohort Study (Diabetes Distress and Care Registry at Tenri [DDCRT 5]). </w:t>
      </w:r>
      <w:r w:rsidRPr="00277EC9">
        <w:rPr>
          <w:rFonts w:ascii="Calibri" w:eastAsia="Calibri" w:hAnsi="Calibri" w:cs="Calibri"/>
          <w:i/>
          <w:noProof/>
          <w:sz w:val="22"/>
          <w:szCs w:val="22"/>
          <w:lang w:val="en-US"/>
        </w:rPr>
        <w:t>Diabetes Care,</w:t>
      </w:r>
      <w:r w:rsidRPr="00277EC9">
        <w:rPr>
          <w:rFonts w:ascii="Calibri" w:eastAsia="Calibri" w:hAnsi="Calibri" w:cs="Calibri"/>
          <w:noProof/>
          <w:sz w:val="22"/>
          <w:szCs w:val="22"/>
          <w:lang w:val="en-US"/>
        </w:rPr>
        <w:t xml:space="preserve"> 37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252-258.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MASON, R. M. 2013. Fell-Muir lecture: connective tissue growth factor (CCN2) - a pernicious and pleiotropic player in the development of kidney fibrosis. </w:t>
      </w:r>
      <w:r w:rsidRPr="00277EC9">
        <w:rPr>
          <w:rFonts w:ascii="Calibri" w:eastAsia="Calibri" w:hAnsi="Calibri" w:cs="Calibri"/>
          <w:i/>
          <w:noProof/>
          <w:sz w:val="22"/>
          <w:szCs w:val="22"/>
          <w:lang w:val="en-US"/>
        </w:rPr>
        <w:t>International Journal of Experimental Pathology,</w:t>
      </w:r>
      <w:r w:rsidRPr="00277EC9">
        <w:rPr>
          <w:rFonts w:ascii="Calibri" w:eastAsia="Calibri" w:hAnsi="Calibri" w:cs="Calibri"/>
          <w:noProof/>
          <w:sz w:val="22"/>
          <w:szCs w:val="22"/>
          <w:lang w:val="en-US"/>
        </w:rPr>
        <w:t xml:space="preserve"> 94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1-16.</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MATSUMOTO, A., ITOH, K. &amp; MATSUMOTO, R. 2000. A novel carboxypeptidase B that processes native beta-amyloid precursor protein is present in human hippocampus. </w:t>
      </w:r>
      <w:r w:rsidRPr="00277EC9">
        <w:rPr>
          <w:rFonts w:ascii="Calibri" w:eastAsia="Calibri" w:hAnsi="Calibri" w:cs="Calibri"/>
          <w:i/>
          <w:noProof/>
          <w:sz w:val="22"/>
          <w:szCs w:val="22"/>
          <w:lang w:val="en-US"/>
        </w:rPr>
        <w:t>European Journal of Neuroscience,</w:t>
      </w:r>
      <w:r w:rsidRPr="00277EC9">
        <w:rPr>
          <w:rFonts w:ascii="Calibri" w:eastAsia="Calibri" w:hAnsi="Calibri" w:cs="Calibri"/>
          <w:noProof/>
          <w:sz w:val="22"/>
          <w:szCs w:val="22"/>
          <w:lang w:val="en-US"/>
        </w:rPr>
        <w:t xml:space="preserve"> 12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227-238.</w:t>
      </w:r>
    </w:p>
    <w:p w:rsidR="000A47F4" w:rsidRDefault="000A47F4" w:rsidP="00E90168">
      <w:pPr>
        <w:spacing w:after="0" w:line="240" w:lineRule="auto"/>
        <w:jc w:val="left"/>
        <w:rPr>
          <w:rFonts w:ascii="Calibri" w:eastAsia="Calibri" w:hAnsi="Calibri" w:cs="Calibri"/>
          <w:noProof/>
          <w:sz w:val="22"/>
          <w:szCs w:val="22"/>
          <w:lang w:val="en-US"/>
        </w:rPr>
      </w:pPr>
    </w:p>
    <w:p w:rsidR="000A47F4" w:rsidRDefault="000A47F4" w:rsidP="000A47F4">
      <w:pPr>
        <w:spacing w:after="0" w:line="240" w:lineRule="auto"/>
        <w:ind w:left="720"/>
        <w:jc w:val="left"/>
        <w:rPr>
          <w:rFonts w:ascii="Calibri" w:eastAsia="Calibri" w:hAnsi="Calibri" w:cs="Calibri"/>
          <w:noProof/>
          <w:sz w:val="22"/>
          <w:szCs w:val="22"/>
          <w:lang w:val="en-US"/>
        </w:rPr>
      </w:pPr>
      <w:r w:rsidRPr="000A47F4">
        <w:rPr>
          <w:rFonts w:ascii="Calibri" w:eastAsia="Calibri" w:hAnsi="Calibri" w:cs="Calibri"/>
          <w:noProof/>
          <w:sz w:val="22"/>
          <w:szCs w:val="22"/>
          <w:lang w:val="en-US"/>
        </w:rPr>
        <w:t xml:space="preserve">MATSUO, O., SAKAI, T., TAKAKURA, Y. &amp; MIHARA, H. 1983. Substrate specificity of tissue plasminogen activator and urokinase as determined with synthetic chromogenic substrates. </w:t>
      </w:r>
      <w:r w:rsidRPr="000A47F4">
        <w:rPr>
          <w:rFonts w:ascii="Calibri" w:eastAsia="Calibri" w:hAnsi="Calibri" w:cs="Calibri"/>
          <w:i/>
          <w:noProof/>
          <w:sz w:val="22"/>
          <w:szCs w:val="22"/>
          <w:lang w:val="en-US"/>
        </w:rPr>
        <w:t>The Japanese journal of physiology,</w:t>
      </w:r>
      <w:r w:rsidRPr="000A47F4">
        <w:rPr>
          <w:rFonts w:ascii="Calibri" w:eastAsia="Calibri" w:hAnsi="Calibri" w:cs="Calibri"/>
          <w:noProof/>
          <w:sz w:val="22"/>
          <w:szCs w:val="22"/>
          <w:lang w:val="en-US"/>
        </w:rPr>
        <w:t xml:space="preserve"> 33</w:t>
      </w:r>
      <w:r w:rsidRPr="000A47F4">
        <w:rPr>
          <w:rFonts w:ascii="Calibri" w:eastAsia="Calibri" w:hAnsi="Calibri" w:cs="Calibri"/>
          <w:b/>
          <w:noProof/>
          <w:sz w:val="22"/>
          <w:szCs w:val="22"/>
          <w:lang w:val="en-US"/>
        </w:rPr>
        <w:t>,</w:t>
      </w:r>
      <w:r w:rsidRPr="000A47F4">
        <w:rPr>
          <w:rFonts w:ascii="Calibri" w:eastAsia="Calibri" w:hAnsi="Calibri" w:cs="Calibri"/>
          <w:noProof/>
          <w:sz w:val="22"/>
          <w:szCs w:val="22"/>
          <w:lang w:val="en-US"/>
        </w:rPr>
        <w:t xml:space="preserve"> 1031-1037.</w:t>
      </w:r>
    </w:p>
    <w:p w:rsidR="00EE06F4" w:rsidRDefault="00EE06F4" w:rsidP="00EE06F4">
      <w:pPr>
        <w:spacing w:after="0" w:line="240" w:lineRule="auto"/>
        <w:ind w:left="720"/>
        <w:jc w:val="left"/>
        <w:rPr>
          <w:rFonts w:ascii="Calibri" w:eastAsia="Calibri" w:hAnsi="Calibri" w:cs="Calibri"/>
          <w:noProof/>
          <w:color w:val="FF0000"/>
          <w:sz w:val="22"/>
          <w:szCs w:val="22"/>
          <w:lang w:val="en-US"/>
        </w:rPr>
      </w:pPr>
    </w:p>
    <w:p w:rsidR="00EE06F4" w:rsidRPr="00EE06F4" w:rsidRDefault="00EE06F4" w:rsidP="00EE06F4">
      <w:pPr>
        <w:spacing w:after="0" w:line="240" w:lineRule="auto"/>
        <w:ind w:left="720"/>
        <w:jc w:val="left"/>
        <w:rPr>
          <w:rFonts w:ascii="Calibri" w:eastAsia="Calibri" w:hAnsi="Calibri" w:cs="Calibri"/>
          <w:noProof/>
          <w:sz w:val="22"/>
          <w:szCs w:val="22"/>
          <w:lang w:val="en-US"/>
        </w:rPr>
      </w:pPr>
      <w:r w:rsidRPr="00EE06F4">
        <w:rPr>
          <w:rFonts w:ascii="Calibri" w:eastAsia="Calibri" w:hAnsi="Calibri" w:cs="Calibri"/>
          <w:noProof/>
          <w:sz w:val="22"/>
          <w:szCs w:val="22"/>
          <w:lang w:val="en-US"/>
        </w:rPr>
        <w:t xml:space="preserve">MAUER, S. M., BROWN, D. M., MATAS, A. J. &amp; STEFFES, M. W. 1978. Effects of pancreatic islet transplantation on the increased urinary albumin excretion rates in intact and uninephrectomized rats with diabetes mellitus. </w:t>
      </w:r>
      <w:r w:rsidRPr="00EE06F4">
        <w:rPr>
          <w:rFonts w:ascii="Calibri" w:eastAsia="Calibri" w:hAnsi="Calibri" w:cs="Calibri"/>
          <w:i/>
          <w:noProof/>
          <w:sz w:val="22"/>
          <w:szCs w:val="22"/>
          <w:lang w:val="en-US"/>
        </w:rPr>
        <w:t>Diabetes,</w:t>
      </w:r>
      <w:r w:rsidRPr="00EE06F4">
        <w:rPr>
          <w:rFonts w:ascii="Calibri" w:eastAsia="Calibri" w:hAnsi="Calibri" w:cs="Calibri"/>
          <w:noProof/>
          <w:sz w:val="22"/>
          <w:szCs w:val="22"/>
          <w:lang w:val="en-US"/>
        </w:rPr>
        <w:t xml:space="preserve"> 27</w:t>
      </w:r>
      <w:r w:rsidRPr="00EE06F4">
        <w:rPr>
          <w:rFonts w:ascii="Calibri" w:eastAsia="Calibri" w:hAnsi="Calibri" w:cs="Calibri"/>
          <w:b/>
          <w:noProof/>
          <w:sz w:val="22"/>
          <w:szCs w:val="22"/>
          <w:lang w:val="en-US"/>
        </w:rPr>
        <w:t>,</w:t>
      </w:r>
      <w:r w:rsidRPr="00EE06F4">
        <w:rPr>
          <w:rFonts w:ascii="Calibri" w:eastAsia="Calibri" w:hAnsi="Calibri" w:cs="Calibri"/>
          <w:noProof/>
          <w:sz w:val="22"/>
          <w:szCs w:val="22"/>
          <w:lang w:val="en-US"/>
        </w:rPr>
        <w:t xml:space="preserve"> 959-964.</w:t>
      </w:r>
    </w:p>
    <w:p w:rsidR="000A47F4" w:rsidRDefault="000A47F4" w:rsidP="00EE06F4">
      <w:pPr>
        <w:spacing w:after="0" w:line="240" w:lineRule="auto"/>
        <w:jc w:val="left"/>
        <w:rPr>
          <w:rFonts w:ascii="Calibri" w:eastAsia="Calibri" w:hAnsi="Calibri" w:cs="Calibri"/>
          <w:noProof/>
          <w:sz w:val="22"/>
          <w:szCs w:val="22"/>
          <w:lang w:val="en-US"/>
        </w:rPr>
      </w:pPr>
    </w:p>
    <w:p w:rsidR="00B02242" w:rsidRPr="00277EC9" w:rsidRDefault="008E7C73" w:rsidP="00937B3C">
      <w:pPr>
        <w:spacing w:after="0" w:line="240" w:lineRule="auto"/>
        <w:ind w:left="720"/>
        <w:jc w:val="left"/>
        <w:rPr>
          <w:rFonts w:ascii="Calibri" w:eastAsia="Calibri" w:hAnsi="Calibri" w:cs="Calibri"/>
          <w:noProof/>
          <w:sz w:val="22"/>
          <w:szCs w:val="22"/>
          <w:lang w:val="en-US"/>
        </w:rPr>
      </w:pPr>
      <w:r>
        <w:rPr>
          <w:rFonts w:ascii="Calibri" w:eastAsia="Calibri" w:hAnsi="Calibri" w:cs="Calibri"/>
          <w:noProof/>
          <w:sz w:val="22"/>
          <w:szCs w:val="22"/>
          <w:lang w:val="en-US"/>
        </w:rPr>
        <w:t>Mc</w:t>
      </w:r>
      <w:r w:rsidR="00B02242" w:rsidRPr="00277EC9">
        <w:rPr>
          <w:rFonts w:ascii="Calibri" w:eastAsia="Calibri" w:hAnsi="Calibri" w:cs="Calibri"/>
          <w:noProof/>
          <w:sz w:val="22"/>
          <w:szCs w:val="22"/>
          <w:lang w:val="en-US"/>
        </w:rPr>
        <w:t xml:space="preserve">CARTY, K. S., JR., SZABO, E., FLOWERS, J. L., COX, E. B., LEIGHT, G. S., MILLER, L., KONRATH, J., SOPER, J. T., BUDWIT, D. A., CREASMAN, W. T. &amp; ET AL. 1986. Use of a monoclonal anti-estrogen receptor antibody in the immunohistochemical evaluation of human tumors. </w:t>
      </w:r>
      <w:r w:rsidR="00B02242" w:rsidRPr="00277EC9">
        <w:rPr>
          <w:rFonts w:ascii="Calibri" w:eastAsia="Calibri" w:hAnsi="Calibri" w:cs="Calibri"/>
          <w:i/>
          <w:noProof/>
          <w:sz w:val="22"/>
          <w:szCs w:val="22"/>
          <w:lang w:val="en-US"/>
        </w:rPr>
        <w:t>Cancer Res,</w:t>
      </w:r>
      <w:r w:rsidR="00B02242" w:rsidRPr="00277EC9">
        <w:rPr>
          <w:rFonts w:ascii="Calibri" w:eastAsia="Calibri" w:hAnsi="Calibri" w:cs="Calibri"/>
          <w:noProof/>
          <w:sz w:val="22"/>
          <w:szCs w:val="22"/>
          <w:lang w:val="en-US"/>
        </w:rPr>
        <w:t xml:space="preserve"> 46</w:t>
      </w:r>
      <w:r w:rsidR="00B02242" w:rsidRPr="00277EC9">
        <w:rPr>
          <w:rFonts w:ascii="Calibri" w:eastAsia="Calibri" w:hAnsi="Calibri" w:cs="Calibri"/>
          <w:b/>
          <w:noProof/>
          <w:sz w:val="22"/>
          <w:szCs w:val="22"/>
          <w:lang w:val="en-US"/>
        </w:rPr>
        <w:t>,</w:t>
      </w:r>
      <w:r w:rsidR="00B02242" w:rsidRPr="00277EC9">
        <w:rPr>
          <w:rFonts w:ascii="Calibri" w:eastAsia="Calibri" w:hAnsi="Calibri" w:cs="Calibri"/>
          <w:noProof/>
          <w:sz w:val="22"/>
          <w:szCs w:val="22"/>
          <w:lang w:val="en-US"/>
        </w:rPr>
        <w:t xml:space="preserve"> 4244s-4248s.</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MELTZER, M. E., DOGGEN, C. J. M., DE GROOT, P. G., MEIJERS, J. C. M., ROSENDAAL, F. R. &amp; LISMAN, T. 2009. Low thrombin activatable fibrinolysis inhibitor activity levels are associated with an increased risk of a first myocardial infarction in men. </w:t>
      </w:r>
      <w:r w:rsidRPr="00277EC9">
        <w:rPr>
          <w:rFonts w:ascii="Calibri" w:eastAsia="Calibri" w:hAnsi="Calibri" w:cs="Calibri"/>
          <w:i/>
          <w:noProof/>
          <w:sz w:val="22"/>
          <w:szCs w:val="22"/>
          <w:lang w:val="en-US"/>
        </w:rPr>
        <w:t>Haematologica-the Hematology Journal,</w:t>
      </w:r>
      <w:r w:rsidRPr="00277EC9">
        <w:rPr>
          <w:rFonts w:ascii="Calibri" w:eastAsia="Calibri" w:hAnsi="Calibri" w:cs="Calibri"/>
          <w:noProof/>
          <w:sz w:val="22"/>
          <w:szCs w:val="22"/>
          <w:lang w:val="en-US"/>
        </w:rPr>
        <w:t xml:space="preserve"> 94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811-818.</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MENZEL, R., KAISAKI, P., RJASANOWSKI, I., HEINKE, P., KERNER, W. &amp; MENZEL, S. 1998. A low renal threshold for glucose in diabetic patients with a mutation in the hepatocyte nuclear factor‐1α (HNF‐1α) gene. </w:t>
      </w:r>
      <w:r w:rsidRPr="00277EC9">
        <w:rPr>
          <w:rFonts w:ascii="Calibri" w:eastAsia="Calibri" w:hAnsi="Calibri" w:cs="Calibri"/>
          <w:i/>
          <w:noProof/>
          <w:sz w:val="22"/>
          <w:szCs w:val="22"/>
          <w:lang w:val="en-US"/>
        </w:rPr>
        <w:t>Diabetic medicine,</w:t>
      </w:r>
      <w:r w:rsidRPr="00277EC9">
        <w:rPr>
          <w:rFonts w:ascii="Calibri" w:eastAsia="Calibri" w:hAnsi="Calibri" w:cs="Calibri"/>
          <w:noProof/>
          <w:sz w:val="22"/>
          <w:szCs w:val="22"/>
          <w:lang w:val="en-US"/>
        </w:rPr>
        <w:t xml:space="preserve"> 15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816-820.</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MENZEL, S. &amp; MOELLER, M. J. 2011. Role of the podocyte in proteinuria. </w:t>
      </w:r>
      <w:r w:rsidRPr="00277EC9">
        <w:rPr>
          <w:rFonts w:ascii="Calibri" w:eastAsia="Calibri" w:hAnsi="Calibri" w:cs="Calibri"/>
          <w:i/>
          <w:noProof/>
          <w:sz w:val="22"/>
          <w:szCs w:val="22"/>
          <w:lang w:val="en-US"/>
        </w:rPr>
        <w:t>Pediatric Nephrology (Berlin, Germany),</w:t>
      </w:r>
      <w:r w:rsidRPr="00277EC9">
        <w:rPr>
          <w:rFonts w:ascii="Calibri" w:eastAsia="Calibri" w:hAnsi="Calibri" w:cs="Calibri"/>
          <w:noProof/>
          <w:sz w:val="22"/>
          <w:szCs w:val="22"/>
          <w:lang w:val="en-US"/>
        </w:rPr>
        <w:t xml:space="preserve"> 26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1775-1780.</w:t>
      </w:r>
    </w:p>
    <w:p w:rsidR="00D80A6F" w:rsidRPr="00277EC9" w:rsidRDefault="00D80A6F" w:rsidP="00937B3C">
      <w:pPr>
        <w:spacing w:after="0" w:line="240" w:lineRule="auto"/>
        <w:ind w:left="720"/>
        <w:jc w:val="left"/>
        <w:rPr>
          <w:rFonts w:ascii="Calibri" w:eastAsia="Calibri" w:hAnsi="Calibri" w:cs="Calibri"/>
          <w:noProof/>
          <w:sz w:val="22"/>
          <w:szCs w:val="22"/>
          <w:lang w:val="en-US"/>
        </w:rPr>
      </w:pPr>
    </w:p>
    <w:p w:rsidR="00D80A6F" w:rsidRPr="00D80A6F" w:rsidRDefault="00D80A6F" w:rsidP="00D80A6F">
      <w:pPr>
        <w:spacing w:after="0" w:line="240" w:lineRule="auto"/>
        <w:ind w:left="720"/>
        <w:jc w:val="left"/>
        <w:rPr>
          <w:rFonts w:ascii="Calibri" w:eastAsia="Calibri" w:hAnsi="Calibri" w:cs="Calibri"/>
          <w:noProof/>
          <w:sz w:val="22"/>
          <w:szCs w:val="22"/>
          <w:lang w:val="en-US"/>
        </w:rPr>
      </w:pPr>
      <w:r w:rsidRPr="00D80A6F">
        <w:rPr>
          <w:rFonts w:ascii="Calibri" w:eastAsia="Calibri" w:hAnsi="Calibri" w:cs="Calibri"/>
          <w:noProof/>
          <w:sz w:val="22"/>
          <w:szCs w:val="22"/>
          <w:lang w:val="en-US"/>
        </w:rPr>
        <w:t xml:space="preserve">MEOLA, M., SAMONI, S. &amp; PETRUCCI, I. 2016. Imaging in chronic kidney disease. </w:t>
      </w:r>
      <w:r w:rsidRPr="00D80A6F">
        <w:rPr>
          <w:rFonts w:ascii="Calibri" w:eastAsia="Calibri" w:hAnsi="Calibri" w:cs="Calibri"/>
          <w:i/>
          <w:noProof/>
          <w:sz w:val="22"/>
          <w:szCs w:val="22"/>
          <w:lang w:val="en-US"/>
        </w:rPr>
        <w:t>Ultrasound Imaging in Acute and Chronic Kidney Disease.</w:t>
      </w:r>
      <w:r w:rsidRPr="00D80A6F">
        <w:rPr>
          <w:rFonts w:ascii="Calibri" w:eastAsia="Calibri" w:hAnsi="Calibri" w:cs="Calibri"/>
          <w:noProof/>
          <w:sz w:val="22"/>
          <w:szCs w:val="22"/>
          <w:lang w:val="en-US"/>
        </w:rPr>
        <w:t xml:space="preserve"> Karger Publishers.</w:t>
      </w:r>
    </w:p>
    <w:p w:rsidR="00937B3C" w:rsidRPr="00277EC9" w:rsidRDefault="00937B3C" w:rsidP="00937B3C">
      <w:pPr>
        <w:spacing w:after="0" w:line="240" w:lineRule="auto"/>
        <w:ind w:left="720"/>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MICHELACCI, Y. M., GLASHAN, R. Q. &amp; SCHOR, N. 1989. Urinary excretion of glycosaminoglycans in normal and stone forming subjects. </w:t>
      </w:r>
      <w:r w:rsidRPr="00277EC9">
        <w:rPr>
          <w:rFonts w:ascii="Calibri" w:eastAsia="Calibri" w:hAnsi="Calibri" w:cs="Calibri"/>
          <w:i/>
          <w:noProof/>
          <w:sz w:val="22"/>
          <w:szCs w:val="22"/>
          <w:lang w:val="en-US"/>
        </w:rPr>
        <w:t>Kidney Int,</w:t>
      </w:r>
      <w:r w:rsidRPr="00277EC9">
        <w:rPr>
          <w:rFonts w:ascii="Calibri" w:eastAsia="Calibri" w:hAnsi="Calibri" w:cs="Calibri"/>
          <w:noProof/>
          <w:sz w:val="22"/>
          <w:szCs w:val="22"/>
          <w:lang w:val="en-US"/>
        </w:rPr>
        <w:t xml:space="preserve"> 36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1022-8.</w:t>
      </w:r>
    </w:p>
    <w:p w:rsidR="00B166EA" w:rsidRDefault="00B166EA" w:rsidP="00B166EA">
      <w:pPr>
        <w:spacing w:after="0" w:line="240" w:lineRule="auto"/>
        <w:ind w:left="720"/>
        <w:jc w:val="left"/>
        <w:rPr>
          <w:rFonts w:ascii="Calibri" w:eastAsia="Calibri" w:hAnsi="Calibri" w:cs="Calibri"/>
          <w:noProof/>
          <w:color w:val="FF0000"/>
          <w:sz w:val="22"/>
          <w:szCs w:val="22"/>
          <w:lang w:val="en-US"/>
        </w:rPr>
      </w:pPr>
    </w:p>
    <w:p w:rsidR="00B166EA" w:rsidRPr="00B166EA" w:rsidRDefault="00B166EA" w:rsidP="00B166EA">
      <w:pPr>
        <w:spacing w:after="0" w:line="240" w:lineRule="auto"/>
        <w:ind w:left="720"/>
        <w:jc w:val="left"/>
        <w:rPr>
          <w:rFonts w:ascii="Calibri" w:eastAsia="Calibri" w:hAnsi="Calibri" w:cs="Calibri"/>
          <w:noProof/>
          <w:sz w:val="22"/>
          <w:szCs w:val="22"/>
          <w:lang w:val="en-US"/>
        </w:rPr>
      </w:pPr>
      <w:r w:rsidRPr="00B166EA">
        <w:rPr>
          <w:rFonts w:ascii="Calibri" w:eastAsia="Calibri" w:hAnsi="Calibri" w:cs="Calibri"/>
          <w:noProof/>
          <w:sz w:val="22"/>
          <w:szCs w:val="22"/>
          <w:lang w:val="en-US"/>
        </w:rPr>
        <w:t xml:space="preserve">MICHELS, L. D., DAVIDMAN, M. &amp; KEANE, W. F. 1982. Glomerular permeability to neutral and anionic dextrans in experimental diabetes. </w:t>
      </w:r>
      <w:r w:rsidRPr="00B166EA">
        <w:rPr>
          <w:rFonts w:ascii="Calibri" w:eastAsia="Calibri" w:hAnsi="Calibri" w:cs="Calibri"/>
          <w:i/>
          <w:noProof/>
          <w:sz w:val="22"/>
          <w:szCs w:val="22"/>
          <w:lang w:val="en-US"/>
        </w:rPr>
        <w:t>Kidney international,</w:t>
      </w:r>
      <w:r w:rsidRPr="00B166EA">
        <w:rPr>
          <w:rFonts w:ascii="Calibri" w:eastAsia="Calibri" w:hAnsi="Calibri" w:cs="Calibri"/>
          <w:noProof/>
          <w:sz w:val="22"/>
          <w:szCs w:val="22"/>
          <w:lang w:val="en-US"/>
        </w:rPr>
        <w:t xml:space="preserve"> 21</w:t>
      </w:r>
      <w:r w:rsidRPr="00B166EA">
        <w:rPr>
          <w:rFonts w:ascii="Calibri" w:eastAsia="Calibri" w:hAnsi="Calibri" w:cs="Calibri"/>
          <w:b/>
          <w:noProof/>
          <w:sz w:val="22"/>
          <w:szCs w:val="22"/>
          <w:lang w:val="en-US"/>
        </w:rPr>
        <w:t>,</w:t>
      </w:r>
      <w:r w:rsidRPr="00B166EA">
        <w:rPr>
          <w:rFonts w:ascii="Calibri" w:eastAsia="Calibri" w:hAnsi="Calibri" w:cs="Calibri"/>
          <w:noProof/>
          <w:sz w:val="22"/>
          <w:szCs w:val="22"/>
          <w:lang w:val="en-US"/>
        </w:rPr>
        <w:t xml:space="preserve"> 699-705.</w:t>
      </w:r>
    </w:p>
    <w:p w:rsidR="00937B3C" w:rsidRPr="00277EC9" w:rsidRDefault="00937B3C" w:rsidP="00B166EA">
      <w:pPr>
        <w:spacing w:after="0" w:line="240" w:lineRule="auto"/>
        <w:jc w:val="left"/>
        <w:rPr>
          <w:rFonts w:ascii="Calibri" w:eastAsia="Calibri" w:hAnsi="Calibri" w:cs="Calibri"/>
          <w:noProof/>
          <w:sz w:val="22"/>
          <w:szCs w:val="22"/>
          <w:lang w:val="en-US"/>
        </w:rPr>
      </w:pPr>
    </w:p>
    <w:p w:rsidR="00B02242"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MINER, J. H. 2012. The glomerular basement membrane. </w:t>
      </w:r>
      <w:r w:rsidRPr="00277EC9">
        <w:rPr>
          <w:rFonts w:ascii="Calibri" w:eastAsia="Calibri" w:hAnsi="Calibri" w:cs="Calibri"/>
          <w:i/>
          <w:noProof/>
          <w:sz w:val="22"/>
          <w:szCs w:val="22"/>
          <w:lang w:val="en-US"/>
        </w:rPr>
        <w:t>Experimental cell research,</w:t>
      </w:r>
      <w:r w:rsidRPr="00277EC9">
        <w:rPr>
          <w:rFonts w:ascii="Calibri" w:eastAsia="Calibri" w:hAnsi="Calibri" w:cs="Calibri"/>
          <w:noProof/>
          <w:sz w:val="22"/>
          <w:szCs w:val="22"/>
          <w:lang w:val="en-US"/>
        </w:rPr>
        <w:t xml:space="preserve"> 318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973-978.</w:t>
      </w:r>
    </w:p>
    <w:p w:rsidR="00CE052D" w:rsidRDefault="00CE052D" w:rsidP="00CE052D">
      <w:pPr>
        <w:spacing w:after="0" w:line="240" w:lineRule="auto"/>
        <w:ind w:left="720"/>
        <w:jc w:val="left"/>
        <w:rPr>
          <w:rFonts w:ascii="Calibri" w:eastAsia="Calibri" w:hAnsi="Calibri" w:cs="Calibri"/>
          <w:noProof/>
          <w:color w:val="FF0000"/>
          <w:sz w:val="22"/>
          <w:szCs w:val="22"/>
          <w:lang w:val="en-US"/>
        </w:rPr>
      </w:pPr>
    </w:p>
    <w:p w:rsidR="00CE052D" w:rsidRPr="00CE052D" w:rsidRDefault="00CE052D" w:rsidP="00CE052D">
      <w:pPr>
        <w:spacing w:after="0" w:line="240" w:lineRule="auto"/>
        <w:ind w:left="720"/>
        <w:jc w:val="left"/>
        <w:rPr>
          <w:rFonts w:ascii="Calibri" w:eastAsia="Calibri" w:hAnsi="Calibri" w:cs="Calibri"/>
          <w:noProof/>
          <w:sz w:val="22"/>
          <w:szCs w:val="22"/>
          <w:lang w:val="en-US"/>
        </w:rPr>
      </w:pPr>
      <w:r w:rsidRPr="00CE052D">
        <w:rPr>
          <w:rFonts w:ascii="Calibri" w:eastAsia="Calibri" w:hAnsi="Calibri" w:cs="Calibri"/>
          <w:noProof/>
          <w:sz w:val="22"/>
          <w:szCs w:val="22"/>
          <w:lang w:val="en-US"/>
        </w:rPr>
        <w:t xml:space="preserve">MNIF, M. F., KAMOUN, M., KACEM, F. H., BOUAZIZ, Z., CHARFI, N., MNIF, F., NACEUR, B. B., REKIK, N. &amp; ABID, M. 2013. Complicated urinary tract infections associated with diabetes mellitus: Pathogenesis, diagnosis and management. </w:t>
      </w:r>
      <w:r w:rsidRPr="00CE052D">
        <w:rPr>
          <w:rFonts w:ascii="Calibri" w:eastAsia="Calibri" w:hAnsi="Calibri" w:cs="Calibri"/>
          <w:i/>
          <w:noProof/>
          <w:sz w:val="22"/>
          <w:szCs w:val="22"/>
          <w:lang w:val="en-US"/>
        </w:rPr>
        <w:t>Indian Journal of Endocrinology and Metabolism,</w:t>
      </w:r>
      <w:r w:rsidRPr="00CE052D">
        <w:rPr>
          <w:rFonts w:ascii="Calibri" w:eastAsia="Calibri" w:hAnsi="Calibri" w:cs="Calibri"/>
          <w:noProof/>
          <w:sz w:val="22"/>
          <w:szCs w:val="22"/>
          <w:lang w:val="en-US"/>
        </w:rPr>
        <w:t xml:space="preserve"> 17</w:t>
      </w:r>
      <w:r w:rsidRPr="00CE052D">
        <w:rPr>
          <w:rFonts w:ascii="Calibri" w:eastAsia="Calibri" w:hAnsi="Calibri" w:cs="Calibri"/>
          <w:b/>
          <w:noProof/>
          <w:sz w:val="22"/>
          <w:szCs w:val="22"/>
          <w:lang w:val="en-US"/>
        </w:rPr>
        <w:t>,</w:t>
      </w:r>
      <w:r w:rsidRPr="00CE052D">
        <w:rPr>
          <w:rFonts w:ascii="Calibri" w:eastAsia="Calibri" w:hAnsi="Calibri" w:cs="Calibri"/>
          <w:noProof/>
          <w:sz w:val="22"/>
          <w:szCs w:val="22"/>
          <w:lang w:val="en-US"/>
        </w:rPr>
        <w:t xml:space="preserve"> 442-445.</w:t>
      </w:r>
    </w:p>
    <w:p w:rsidR="00937B3C" w:rsidRPr="00277EC9" w:rsidRDefault="00937B3C" w:rsidP="00CE052D">
      <w:pPr>
        <w:spacing w:after="0" w:line="240" w:lineRule="auto"/>
        <w:jc w:val="left"/>
        <w:rPr>
          <w:rFonts w:ascii="Calibri" w:eastAsia="Calibri" w:hAnsi="Calibri" w:cs="Calibri"/>
          <w:noProof/>
          <w:sz w:val="22"/>
          <w:szCs w:val="22"/>
          <w:lang w:val="en-US"/>
        </w:rPr>
      </w:pPr>
    </w:p>
    <w:p w:rsidR="00B02242" w:rsidRPr="00277EC9" w:rsidRDefault="00B02242" w:rsidP="00937B3C">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MOLONEY, A., TUNBRIDGE, W. M., IRELAND, J. &amp; WATKINS, P. 1983. Mortality from diabetic nephropathy in the United Kingdom. </w:t>
      </w:r>
      <w:r w:rsidRPr="00277EC9">
        <w:rPr>
          <w:rFonts w:ascii="Calibri" w:eastAsia="Calibri" w:hAnsi="Calibri" w:cs="Calibri"/>
          <w:i/>
          <w:noProof/>
          <w:sz w:val="22"/>
          <w:szCs w:val="22"/>
          <w:lang w:val="en-US"/>
        </w:rPr>
        <w:t>Diabetologia,</w:t>
      </w:r>
      <w:r w:rsidRPr="00277EC9">
        <w:rPr>
          <w:rFonts w:ascii="Calibri" w:eastAsia="Calibri" w:hAnsi="Calibri" w:cs="Calibri"/>
          <w:noProof/>
          <w:sz w:val="22"/>
          <w:szCs w:val="22"/>
          <w:lang w:val="en-US"/>
        </w:rPr>
        <w:t xml:space="preserve"> 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26-30.</w:t>
      </w:r>
    </w:p>
    <w:p w:rsidR="00ED41C3" w:rsidRPr="00277EC9" w:rsidRDefault="00ED41C3" w:rsidP="00937B3C">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MONTGOMERY, A. M. P., DECLERCK, Y. A., LANGLEY, K. E., REISFELD, R. A. &amp; MUELLER, B. M. 1993. Melanoma-mediated dissolution of extracellular-matrix - contribution of urokinase-dependent and metalloproteinase-dependent proteolytic pathways. </w:t>
      </w:r>
      <w:r w:rsidRPr="00277EC9">
        <w:rPr>
          <w:rFonts w:ascii="Calibri" w:eastAsia="Calibri" w:hAnsi="Calibri" w:cs="Calibri"/>
          <w:i/>
          <w:noProof/>
          <w:sz w:val="22"/>
          <w:szCs w:val="22"/>
          <w:lang w:val="en-US"/>
        </w:rPr>
        <w:t>Cancer Research,</w:t>
      </w:r>
      <w:r w:rsidRPr="00277EC9">
        <w:rPr>
          <w:rFonts w:ascii="Calibri" w:eastAsia="Calibri" w:hAnsi="Calibri" w:cs="Calibri"/>
          <w:noProof/>
          <w:sz w:val="22"/>
          <w:szCs w:val="22"/>
          <w:lang w:val="en-US"/>
        </w:rPr>
        <w:t xml:space="preserve"> 53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693-700.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MOODY, W. E., FERRO, C. J., EDWARDS, N. C., CHUE, C. D., LIN, E. L. S., TAYLOR, R. J., COCKWELL, P., STEEDS, R. P. &amp; TOWNEND, J. N. 2016. Cardiovascular effects of unilateral nephrectomy in living kidney donors. </w:t>
      </w:r>
      <w:r w:rsidRPr="00277EC9">
        <w:rPr>
          <w:rFonts w:ascii="Calibri" w:eastAsia="Calibri" w:hAnsi="Calibri" w:cs="Calibri"/>
          <w:i/>
          <w:noProof/>
          <w:sz w:val="22"/>
          <w:szCs w:val="22"/>
          <w:lang w:val="en-US"/>
        </w:rPr>
        <w:t>Hypertension,</w:t>
      </w:r>
      <w:r w:rsidRPr="00277EC9">
        <w:rPr>
          <w:rFonts w:ascii="Calibri" w:eastAsia="Calibri" w:hAnsi="Calibri" w:cs="Calibri"/>
          <w:noProof/>
          <w:sz w:val="22"/>
          <w:szCs w:val="22"/>
          <w:lang w:val="en-US"/>
        </w:rPr>
        <w:t xml:space="preserve"> 67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368-377.</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MORI, R., YONEMOTO, N., FITZGERALD, A., TULLUS, K., VERRIER-JONES, K. &amp; LAKHANPAUL, M. 2010. Diagnostic performance of urine dipstick testing in children with suspected UTI: a systematic review of relationship with age and comparison with microscopy. </w:t>
      </w:r>
      <w:r w:rsidRPr="00277EC9">
        <w:rPr>
          <w:rFonts w:ascii="Calibri" w:eastAsia="Calibri" w:hAnsi="Calibri" w:cs="Calibri"/>
          <w:i/>
          <w:noProof/>
          <w:sz w:val="22"/>
          <w:szCs w:val="22"/>
          <w:lang w:val="en-US"/>
        </w:rPr>
        <w:t>Acta Paediatr,</w:t>
      </w:r>
      <w:r w:rsidRPr="00277EC9">
        <w:rPr>
          <w:rFonts w:ascii="Calibri" w:eastAsia="Calibri" w:hAnsi="Calibri" w:cs="Calibri"/>
          <w:noProof/>
          <w:sz w:val="22"/>
          <w:szCs w:val="22"/>
          <w:lang w:val="en-US"/>
        </w:rPr>
        <w:t xml:space="preserve"> 99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581-4.</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MORRIS, A. D., BOYLE, D. I., MCMAHON, A. D., GREENE, S. A., MACDONALD, T. M., NEWTON, R. W. &amp; COLLABORATION, D. M. 1997. Adherence to insulin treatment, glycaemic control, and ketoacidosis in insulin-dependent diabetes mellitus. </w:t>
      </w:r>
      <w:r w:rsidRPr="00277EC9">
        <w:rPr>
          <w:rFonts w:ascii="Calibri" w:eastAsia="Calibri" w:hAnsi="Calibri" w:cs="Calibri"/>
          <w:i/>
          <w:noProof/>
          <w:sz w:val="22"/>
          <w:szCs w:val="22"/>
          <w:lang w:val="en-US"/>
        </w:rPr>
        <w:t>The Lancet,</w:t>
      </w:r>
      <w:r w:rsidRPr="00277EC9">
        <w:rPr>
          <w:rFonts w:ascii="Calibri" w:eastAsia="Calibri" w:hAnsi="Calibri" w:cs="Calibri"/>
          <w:noProof/>
          <w:sz w:val="22"/>
          <w:szCs w:val="22"/>
          <w:lang w:val="en-US"/>
        </w:rPr>
        <w:t xml:space="preserve"> 350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1505-1510.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MOUSSAD, E. &amp; BRIGSTOCK, D. R. 2000. Connective tissue growth factor: What's in a name? </w:t>
      </w:r>
      <w:r w:rsidRPr="00277EC9">
        <w:rPr>
          <w:rFonts w:ascii="Calibri" w:eastAsia="Calibri" w:hAnsi="Calibri" w:cs="Calibri"/>
          <w:i/>
          <w:noProof/>
          <w:sz w:val="22"/>
          <w:szCs w:val="22"/>
          <w:lang w:val="en-US"/>
        </w:rPr>
        <w:t>Molecular Genetics and Metabolism,</w:t>
      </w:r>
      <w:r w:rsidRPr="00277EC9">
        <w:rPr>
          <w:rFonts w:ascii="Calibri" w:eastAsia="Calibri" w:hAnsi="Calibri" w:cs="Calibri"/>
          <w:noProof/>
          <w:sz w:val="22"/>
          <w:szCs w:val="22"/>
          <w:lang w:val="en-US"/>
        </w:rPr>
        <w:t xml:space="preserve"> 71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276-292.</w:t>
      </w:r>
    </w:p>
    <w:p w:rsidR="00DC257C" w:rsidRDefault="00DC257C" w:rsidP="00DC257C">
      <w:pPr>
        <w:spacing w:after="0" w:line="240" w:lineRule="auto"/>
        <w:ind w:left="720"/>
        <w:jc w:val="left"/>
        <w:rPr>
          <w:rFonts w:ascii="Calibri" w:eastAsia="Calibri" w:hAnsi="Calibri" w:cs="Calibri"/>
          <w:noProof/>
          <w:color w:val="FF0000"/>
          <w:sz w:val="22"/>
          <w:szCs w:val="22"/>
          <w:lang w:val="en-US"/>
        </w:rPr>
      </w:pPr>
    </w:p>
    <w:p w:rsidR="00DC257C" w:rsidRPr="00DC257C" w:rsidRDefault="00DC257C" w:rsidP="00DC257C">
      <w:pPr>
        <w:spacing w:after="0" w:line="240" w:lineRule="auto"/>
        <w:ind w:left="720"/>
        <w:jc w:val="left"/>
        <w:rPr>
          <w:rFonts w:ascii="Calibri" w:hAnsi="Calibri" w:cs="Calibri"/>
          <w:noProof/>
          <w:sz w:val="22"/>
          <w:szCs w:val="22"/>
          <w:lang w:val="en-US"/>
        </w:rPr>
      </w:pPr>
      <w:r w:rsidRPr="00DC257C">
        <w:rPr>
          <w:rFonts w:ascii="Calibri" w:eastAsia="Calibri" w:hAnsi="Calibri" w:cs="Calibri"/>
          <w:noProof/>
          <w:sz w:val="22"/>
          <w:szCs w:val="22"/>
          <w:lang w:val="en-US"/>
        </w:rPr>
        <w:t xml:space="preserve">MÜLLERTZ, S. 1953. The Action of Plasmin on Fibrin and Fibrinogen in Blood.1. </w:t>
      </w:r>
      <w:r w:rsidRPr="00DC257C">
        <w:rPr>
          <w:rFonts w:ascii="Calibri" w:eastAsia="Calibri" w:hAnsi="Calibri" w:cs="Calibri"/>
          <w:i/>
          <w:noProof/>
          <w:sz w:val="22"/>
          <w:szCs w:val="22"/>
          <w:lang w:val="en-US"/>
        </w:rPr>
        <w:t>Acta Physiologica Scandinavica,</w:t>
      </w:r>
      <w:r w:rsidRPr="00DC257C">
        <w:rPr>
          <w:rFonts w:ascii="Calibri" w:eastAsia="Calibri" w:hAnsi="Calibri" w:cs="Calibri"/>
          <w:noProof/>
          <w:sz w:val="22"/>
          <w:szCs w:val="22"/>
          <w:lang w:val="en-US"/>
        </w:rPr>
        <w:t xml:space="preserve"> 28</w:t>
      </w:r>
      <w:r w:rsidRPr="00DC257C">
        <w:rPr>
          <w:rFonts w:ascii="Calibri" w:eastAsia="Calibri" w:hAnsi="Calibri" w:cs="Calibri"/>
          <w:b/>
          <w:noProof/>
          <w:sz w:val="22"/>
          <w:szCs w:val="22"/>
          <w:lang w:val="en-US"/>
        </w:rPr>
        <w:t>,</w:t>
      </w:r>
      <w:r w:rsidRPr="00DC257C">
        <w:rPr>
          <w:rFonts w:ascii="Calibri" w:eastAsia="Calibri" w:hAnsi="Calibri" w:cs="Calibri"/>
          <w:noProof/>
          <w:sz w:val="22"/>
          <w:szCs w:val="22"/>
          <w:lang w:val="en-US"/>
        </w:rPr>
        <w:t xml:space="preserve"> 29-40.</w:t>
      </w:r>
    </w:p>
    <w:p w:rsidR="00ED41C3" w:rsidRPr="00277EC9" w:rsidRDefault="00ED41C3" w:rsidP="00DC257C">
      <w:pPr>
        <w:spacing w:after="0" w:line="240" w:lineRule="auto"/>
        <w:jc w:val="left"/>
        <w:rPr>
          <w:rFonts w:ascii="Calibri" w:eastAsia="Calibri" w:hAnsi="Calibri" w:cs="Calibri"/>
          <w:noProof/>
          <w:sz w:val="22"/>
          <w:szCs w:val="22"/>
          <w:lang w:val="en-US"/>
        </w:rPr>
      </w:pPr>
    </w:p>
    <w:p w:rsidR="00B02242" w:rsidRDefault="00B02242" w:rsidP="00ED41C3">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MURPHY, G. 2011. Tissue inhibitors of metalloproteinases. </w:t>
      </w:r>
      <w:r w:rsidRPr="00277EC9">
        <w:rPr>
          <w:rFonts w:ascii="Calibri" w:eastAsia="Calibri" w:hAnsi="Calibri" w:cs="Calibri"/>
          <w:i/>
          <w:noProof/>
          <w:sz w:val="22"/>
          <w:szCs w:val="22"/>
          <w:lang w:val="en-US"/>
        </w:rPr>
        <w:t>Genome Biology,</w:t>
      </w:r>
      <w:r w:rsidRPr="00277EC9">
        <w:rPr>
          <w:rFonts w:ascii="Calibri" w:eastAsia="Calibri" w:hAnsi="Calibri" w:cs="Calibri"/>
          <w:noProof/>
          <w:sz w:val="22"/>
          <w:szCs w:val="22"/>
          <w:lang w:val="en-US"/>
        </w:rPr>
        <w:t xml:space="preserve"> 12.</w:t>
      </w:r>
    </w:p>
    <w:p w:rsidR="00D333A7" w:rsidRPr="00277EC9" w:rsidRDefault="00D333A7" w:rsidP="00ED41C3">
      <w:pPr>
        <w:spacing w:after="0" w:line="240" w:lineRule="auto"/>
        <w:ind w:firstLine="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MUSA, M. U. 2015. The Role of Urine Investigations in Urology Practice. </w:t>
      </w:r>
      <w:r w:rsidRPr="00277EC9">
        <w:rPr>
          <w:rFonts w:ascii="Calibri" w:eastAsia="Calibri" w:hAnsi="Calibri" w:cs="Calibri"/>
          <w:i/>
          <w:noProof/>
          <w:sz w:val="22"/>
          <w:szCs w:val="22"/>
          <w:lang w:val="en-US"/>
        </w:rPr>
        <w:t>Open Journal of Orthopedics,</w:t>
      </w:r>
      <w:r w:rsidRPr="00277EC9">
        <w:rPr>
          <w:rFonts w:ascii="Calibri" w:eastAsia="Calibri" w:hAnsi="Calibri" w:cs="Calibri"/>
          <w:noProof/>
          <w:sz w:val="22"/>
          <w:szCs w:val="22"/>
          <w:lang w:val="en-US"/>
        </w:rPr>
        <w:t xml:space="preserve"> 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MYTHREYE, K. &amp; BLOBE, G. C. 2009. Proteoglycan signaling co-receptors: roles in cell adhesion, migration and invasion. </w:t>
      </w:r>
      <w:r w:rsidRPr="00277EC9">
        <w:rPr>
          <w:rFonts w:ascii="Calibri" w:eastAsia="Calibri" w:hAnsi="Calibri" w:cs="Calibri"/>
          <w:i/>
          <w:noProof/>
          <w:sz w:val="22"/>
          <w:szCs w:val="22"/>
          <w:lang w:val="en-US"/>
        </w:rPr>
        <w:t>Cellular signalling,</w:t>
      </w:r>
      <w:r w:rsidRPr="00277EC9">
        <w:rPr>
          <w:rFonts w:ascii="Calibri" w:eastAsia="Calibri" w:hAnsi="Calibri" w:cs="Calibri"/>
          <w:noProof/>
          <w:sz w:val="22"/>
          <w:szCs w:val="22"/>
          <w:lang w:val="en-US"/>
        </w:rPr>
        <w:t xml:space="preserve"> 21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1548-1558.</w:t>
      </w:r>
    </w:p>
    <w:p w:rsidR="00FF7B00" w:rsidRPr="00277EC9" w:rsidRDefault="00FF7B00"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NA, G. H., KIM, D. G., KIM, Y. H., HAN, J. H. &amp; JUNG, E. S. 2014. Effects of glucose concentration in the medium on rat hepatocyte culture. </w:t>
      </w:r>
      <w:r w:rsidRPr="00277EC9">
        <w:rPr>
          <w:rFonts w:ascii="Calibri" w:eastAsia="Calibri" w:hAnsi="Calibri" w:cs="Calibri"/>
          <w:i/>
          <w:noProof/>
          <w:sz w:val="22"/>
          <w:szCs w:val="22"/>
          <w:lang w:val="en-US"/>
        </w:rPr>
        <w:t>Ann Surg Treat Res,</w:t>
      </w:r>
      <w:r w:rsidRPr="00277EC9">
        <w:rPr>
          <w:rFonts w:ascii="Calibri" w:eastAsia="Calibri" w:hAnsi="Calibri" w:cs="Calibri"/>
          <w:noProof/>
          <w:sz w:val="22"/>
          <w:szCs w:val="22"/>
          <w:lang w:val="en-US"/>
        </w:rPr>
        <w:t xml:space="preserve"> 87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53-60.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NAGAOKA, M. R., KOUYOUMDJIAN, M. &amp; BORGES, D. R. 2000. The hepatic clearance of recombinant tissue-type plasminogen activator decreases after an inflammatory stimulus. </w:t>
      </w:r>
      <w:r w:rsidRPr="00277EC9">
        <w:rPr>
          <w:rFonts w:ascii="Calibri" w:eastAsia="Calibri" w:hAnsi="Calibri" w:cs="Calibri"/>
          <w:i/>
          <w:noProof/>
          <w:sz w:val="22"/>
          <w:szCs w:val="22"/>
          <w:lang w:val="en-US"/>
        </w:rPr>
        <w:t>Brazilian Journal of Medical and Biological Research,</w:t>
      </w:r>
      <w:r w:rsidRPr="00277EC9">
        <w:rPr>
          <w:rFonts w:ascii="Calibri" w:eastAsia="Calibri" w:hAnsi="Calibri" w:cs="Calibri"/>
          <w:noProof/>
          <w:sz w:val="22"/>
          <w:szCs w:val="22"/>
          <w:lang w:val="en-US"/>
        </w:rPr>
        <w:t xml:space="preserve"> 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119-125.</w:t>
      </w:r>
    </w:p>
    <w:p w:rsidR="00184E38" w:rsidRDefault="00184E38" w:rsidP="00184E38">
      <w:pPr>
        <w:spacing w:after="0" w:line="240" w:lineRule="auto"/>
        <w:ind w:left="720"/>
        <w:jc w:val="left"/>
        <w:rPr>
          <w:rFonts w:ascii="Calibri" w:eastAsia="Calibri" w:hAnsi="Calibri" w:cs="Calibri"/>
          <w:noProof/>
          <w:color w:val="FF0000"/>
          <w:sz w:val="22"/>
          <w:szCs w:val="22"/>
          <w:lang w:val="en-US"/>
        </w:rPr>
      </w:pPr>
    </w:p>
    <w:p w:rsidR="00184E38" w:rsidRPr="00184E38" w:rsidRDefault="00184E38" w:rsidP="00184E38">
      <w:pPr>
        <w:spacing w:after="0" w:line="240" w:lineRule="auto"/>
        <w:ind w:left="720"/>
        <w:jc w:val="left"/>
        <w:rPr>
          <w:rFonts w:ascii="Calibri" w:eastAsia="Calibri" w:hAnsi="Calibri" w:cs="Calibri"/>
          <w:noProof/>
          <w:sz w:val="22"/>
          <w:szCs w:val="22"/>
          <w:lang w:val="en-US"/>
        </w:rPr>
      </w:pPr>
      <w:r w:rsidRPr="00184E38">
        <w:rPr>
          <w:rFonts w:ascii="Calibri" w:eastAsia="Calibri" w:hAnsi="Calibri" w:cs="Calibri"/>
          <w:noProof/>
          <w:sz w:val="22"/>
          <w:szCs w:val="22"/>
          <w:lang w:val="en-US"/>
        </w:rPr>
        <w:lastRenderedPageBreak/>
        <w:t xml:space="preserve">NARKUN-BURGESS, D. M., NOLAN, C. R., NORMAN, J. E., PAGE, W. F., MILLER, P. L. &amp; MEYER, T. W. 1993. Forty-five year follow-up after uninephrectomy. </w:t>
      </w:r>
      <w:r w:rsidRPr="00184E38">
        <w:rPr>
          <w:rFonts w:ascii="Calibri" w:eastAsia="Calibri" w:hAnsi="Calibri" w:cs="Calibri"/>
          <w:i/>
          <w:noProof/>
          <w:sz w:val="22"/>
          <w:szCs w:val="22"/>
          <w:lang w:val="en-US"/>
        </w:rPr>
        <w:t>Kidney international,</w:t>
      </w:r>
      <w:r w:rsidRPr="00184E38">
        <w:rPr>
          <w:rFonts w:ascii="Calibri" w:eastAsia="Calibri" w:hAnsi="Calibri" w:cs="Calibri"/>
          <w:noProof/>
          <w:sz w:val="22"/>
          <w:szCs w:val="22"/>
          <w:lang w:val="en-US"/>
        </w:rPr>
        <w:t xml:space="preserve"> 43</w:t>
      </w:r>
      <w:r w:rsidRPr="00184E38">
        <w:rPr>
          <w:rFonts w:ascii="Calibri" w:eastAsia="Calibri" w:hAnsi="Calibri" w:cs="Calibri"/>
          <w:b/>
          <w:noProof/>
          <w:sz w:val="22"/>
          <w:szCs w:val="22"/>
          <w:lang w:val="en-US"/>
        </w:rPr>
        <w:t>,</w:t>
      </w:r>
      <w:r w:rsidRPr="00184E38">
        <w:rPr>
          <w:rFonts w:ascii="Calibri" w:eastAsia="Calibri" w:hAnsi="Calibri" w:cs="Calibri"/>
          <w:noProof/>
          <w:sz w:val="22"/>
          <w:szCs w:val="22"/>
          <w:lang w:val="en-US"/>
        </w:rPr>
        <w:t xml:space="preserve"> 1110-1115.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NAVARRO-GONZÁLEZ, J. F. &amp; MORA-FERNÁNDEZ, C. 2008. The role of inflammatory cytokines in diabetic nephropathy. </w:t>
      </w:r>
      <w:r w:rsidRPr="00277EC9">
        <w:rPr>
          <w:rFonts w:ascii="Calibri" w:eastAsia="Calibri" w:hAnsi="Calibri" w:cs="Calibri"/>
          <w:i/>
          <w:noProof/>
          <w:sz w:val="22"/>
          <w:szCs w:val="22"/>
          <w:lang w:val="en-US"/>
        </w:rPr>
        <w:t>Journal of the American Society of Nephrology,</w:t>
      </w:r>
      <w:r w:rsidRPr="00277EC9">
        <w:rPr>
          <w:rFonts w:ascii="Calibri" w:eastAsia="Calibri" w:hAnsi="Calibri" w:cs="Calibri"/>
          <w:noProof/>
          <w:sz w:val="22"/>
          <w:szCs w:val="22"/>
          <w:lang w:val="en-US"/>
        </w:rPr>
        <w:t xml:space="preserve"> 19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433-442.</w:t>
      </w:r>
    </w:p>
    <w:p w:rsidR="00421A1F" w:rsidRDefault="00421A1F" w:rsidP="00421A1F">
      <w:pPr>
        <w:spacing w:after="0" w:line="240" w:lineRule="auto"/>
        <w:ind w:left="720"/>
        <w:jc w:val="left"/>
        <w:rPr>
          <w:rFonts w:ascii="Calibri" w:eastAsia="Calibri" w:hAnsi="Calibri" w:cs="Calibri"/>
          <w:noProof/>
          <w:color w:val="FF0000"/>
          <w:sz w:val="22"/>
          <w:szCs w:val="22"/>
          <w:lang w:val="en-US"/>
        </w:rPr>
      </w:pPr>
    </w:p>
    <w:p w:rsidR="00421A1F" w:rsidRPr="00421A1F" w:rsidRDefault="00421A1F" w:rsidP="00421A1F">
      <w:pPr>
        <w:spacing w:after="0" w:line="240" w:lineRule="auto"/>
        <w:ind w:left="720"/>
        <w:jc w:val="left"/>
        <w:rPr>
          <w:rFonts w:ascii="Calibri" w:eastAsia="Calibri" w:hAnsi="Calibri" w:cs="Calibri"/>
          <w:noProof/>
          <w:sz w:val="22"/>
          <w:szCs w:val="22"/>
          <w:lang w:val="en-US"/>
        </w:rPr>
      </w:pPr>
      <w:r w:rsidRPr="00421A1F">
        <w:rPr>
          <w:rFonts w:ascii="Calibri" w:eastAsia="Calibri" w:hAnsi="Calibri" w:cs="Calibri"/>
          <w:noProof/>
          <w:sz w:val="22"/>
          <w:szCs w:val="22"/>
          <w:lang w:val="en-US"/>
        </w:rPr>
        <w:t xml:space="preserve">NETTLETON, J. A., STEFFEN, L. M., PALMAS, W., BURKE, G. L. &amp; JACOBS, D. R. 2008. Associations between microalbuminuria and animal foods, plant foods, and dietary patterns in the Multiethnic Study of Atherosclerosis. </w:t>
      </w:r>
      <w:r w:rsidRPr="00421A1F">
        <w:rPr>
          <w:rFonts w:ascii="Calibri" w:eastAsia="Calibri" w:hAnsi="Calibri" w:cs="Calibri"/>
          <w:i/>
          <w:noProof/>
          <w:sz w:val="22"/>
          <w:szCs w:val="22"/>
          <w:lang w:val="en-US"/>
        </w:rPr>
        <w:t>The American journal of clinical nutrition,</w:t>
      </w:r>
      <w:r w:rsidRPr="00421A1F">
        <w:rPr>
          <w:rFonts w:ascii="Calibri" w:eastAsia="Calibri" w:hAnsi="Calibri" w:cs="Calibri"/>
          <w:noProof/>
          <w:sz w:val="22"/>
          <w:szCs w:val="22"/>
          <w:lang w:val="en-US"/>
        </w:rPr>
        <w:t xml:space="preserve"> 87</w:t>
      </w:r>
      <w:r w:rsidRPr="00421A1F">
        <w:rPr>
          <w:rFonts w:ascii="Calibri" w:eastAsia="Calibri" w:hAnsi="Calibri" w:cs="Calibri"/>
          <w:b/>
          <w:noProof/>
          <w:sz w:val="22"/>
          <w:szCs w:val="22"/>
          <w:lang w:val="en-US"/>
        </w:rPr>
        <w:t>,</w:t>
      </w:r>
      <w:r w:rsidRPr="00421A1F">
        <w:rPr>
          <w:rFonts w:ascii="Calibri" w:eastAsia="Calibri" w:hAnsi="Calibri" w:cs="Calibri"/>
          <w:noProof/>
          <w:sz w:val="22"/>
          <w:szCs w:val="22"/>
          <w:lang w:val="en-US"/>
        </w:rPr>
        <w:t xml:space="preserve"> 1825-1836.</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NICOLA, V. 2006. Therapeutic Applications of Glycosaminoglycans. </w:t>
      </w:r>
      <w:r w:rsidRPr="00277EC9">
        <w:rPr>
          <w:rFonts w:ascii="Calibri" w:eastAsia="Calibri" w:hAnsi="Calibri" w:cs="Calibri"/>
          <w:i/>
          <w:noProof/>
          <w:sz w:val="22"/>
          <w:szCs w:val="22"/>
          <w:lang w:val="en-US"/>
        </w:rPr>
        <w:t>Current Medicinal Chemistry,</w:t>
      </w:r>
      <w:r w:rsidRPr="00277EC9">
        <w:rPr>
          <w:rFonts w:ascii="Calibri" w:eastAsia="Calibri" w:hAnsi="Calibri" w:cs="Calibri"/>
          <w:noProof/>
          <w:sz w:val="22"/>
          <w:szCs w:val="22"/>
          <w:lang w:val="en-US"/>
        </w:rPr>
        <w:t xml:space="preserve"> 13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1799-1810.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NISHITANI, Y., IWANO, M., YAMAGUCHI, Y., HARADA, K., NAKATANI, K., AKAI, Y., NISHINO, T., SHIIKI, H., KANAUCHI, M., SAITO, Y. &amp; NEILSON, E. G. 2005. Fibroblast-specific protein 1 is a specific prognostic marker for renal survival in patients with IgAN. </w:t>
      </w:r>
      <w:r w:rsidRPr="00277EC9">
        <w:rPr>
          <w:rFonts w:ascii="Calibri" w:eastAsia="Calibri" w:hAnsi="Calibri" w:cs="Calibri"/>
          <w:i/>
          <w:noProof/>
          <w:sz w:val="22"/>
          <w:szCs w:val="22"/>
          <w:lang w:val="en-US"/>
        </w:rPr>
        <w:t>Kidney International,</w:t>
      </w:r>
      <w:r w:rsidRPr="00277EC9">
        <w:rPr>
          <w:rFonts w:ascii="Calibri" w:eastAsia="Calibri" w:hAnsi="Calibri" w:cs="Calibri"/>
          <w:noProof/>
          <w:sz w:val="22"/>
          <w:szCs w:val="22"/>
          <w:lang w:val="en-US"/>
        </w:rPr>
        <w:t xml:space="preserve"> 68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1078-1085.</w:t>
      </w:r>
    </w:p>
    <w:p w:rsidR="003B1399" w:rsidRDefault="003B1399" w:rsidP="003B1399">
      <w:pPr>
        <w:spacing w:after="0" w:line="240" w:lineRule="auto"/>
        <w:ind w:left="720"/>
        <w:jc w:val="left"/>
        <w:rPr>
          <w:rFonts w:ascii="Calibri" w:eastAsia="Calibri" w:hAnsi="Calibri" w:cs="Calibri"/>
          <w:noProof/>
          <w:color w:val="FF0000"/>
          <w:sz w:val="22"/>
          <w:szCs w:val="22"/>
          <w:lang w:val="en-US"/>
        </w:rPr>
      </w:pPr>
    </w:p>
    <w:p w:rsidR="003B1399" w:rsidRPr="003B1399" w:rsidRDefault="003B1399" w:rsidP="003B1399">
      <w:pPr>
        <w:spacing w:after="0" w:line="240" w:lineRule="auto"/>
        <w:ind w:left="720"/>
        <w:jc w:val="left"/>
        <w:rPr>
          <w:rFonts w:ascii="Calibri" w:eastAsia="Calibri" w:hAnsi="Calibri" w:cs="Calibri"/>
          <w:noProof/>
          <w:sz w:val="22"/>
          <w:szCs w:val="22"/>
          <w:lang w:val="en-US"/>
        </w:rPr>
      </w:pPr>
      <w:r w:rsidRPr="003B1399">
        <w:rPr>
          <w:rFonts w:ascii="Calibri" w:eastAsia="Calibri" w:hAnsi="Calibri" w:cs="Calibri"/>
          <w:noProof/>
          <w:sz w:val="22"/>
          <w:szCs w:val="22"/>
          <w:lang w:val="en-US"/>
        </w:rPr>
        <w:t xml:space="preserve">NOORAFSHAN, A., ESMAIL-ZADEH, B., BAHMANPOUR, S. &amp; POOST-PASAND, A. 2005. Early stereological changes in liver of Sprague-Dawley rats after streptozotocin injection. </w:t>
      </w:r>
      <w:r w:rsidRPr="003B1399">
        <w:rPr>
          <w:rFonts w:ascii="Calibri" w:eastAsia="Calibri" w:hAnsi="Calibri" w:cs="Calibri"/>
          <w:i/>
          <w:noProof/>
          <w:sz w:val="22"/>
          <w:szCs w:val="22"/>
          <w:lang w:val="en-US"/>
        </w:rPr>
        <w:t>Indian Journal of Gastroenterology,</w:t>
      </w:r>
      <w:r w:rsidRPr="003B1399">
        <w:rPr>
          <w:rFonts w:ascii="Calibri" w:eastAsia="Calibri" w:hAnsi="Calibri" w:cs="Calibri"/>
          <w:noProof/>
          <w:sz w:val="22"/>
          <w:szCs w:val="22"/>
          <w:lang w:val="en-US"/>
        </w:rPr>
        <w:t xml:space="preserve"> 24</w:t>
      </w:r>
      <w:r w:rsidRPr="003B1399">
        <w:rPr>
          <w:rFonts w:ascii="Calibri" w:eastAsia="Calibri" w:hAnsi="Calibri" w:cs="Calibri"/>
          <w:b/>
          <w:noProof/>
          <w:sz w:val="22"/>
          <w:szCs w:val="22"/>
          <w:lang w:val="en-US"/>
        </w:rPr>
        <w:t>,</w:t>
      </w:r>
      <w:r w:rsidRPr="003B1399">
        <w:rPr>
          <w:rFonts w:ascii="Calibri" w:eastAsia="Calibri" w:hAnsi="Calibri" w:cs="Calibri"/>
          <w:noProof/>
          <w:sz w:val="22"/>
          <w:szCs w:val="22"/>
          <w:lang w:val="en-US"/>
        </w:rPr>
        <w:t xml:space="preserve"> 104.</w:t>
      </w:r>
    </w:p>
    <w:p w:rsidR="00ED41C3" w:rsidRPr="00277EC9" w:rsidRDefault="00ED41C3" w:rsidP="003B1399">
      <w:pPr>
        <w:spacing w:after="0" w:line="240" w:lineRule="auto"/>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NOVICK, A. C., GEPHARDT, G., GUZ, B., STEINMULLER, D. &amp; TUBBS, R. R. 1991. Long-term follow-up after partial removal of a solitary kidney. </w:t>
      </w:r>
      <w:r w:rsidRPr="00277EC9">
        <w:rPr>
          <w:rFonts w:ascii="Calibri" w:eastAsia="Calibri" w:hAnsi="Calibri" w:cs="Calibri"/>
          <w:i/>
          <w:noProof/>
          <w:sz w:val="22"/>
          <w:szCs w:val="22"/>
          <w:lang w:val="en-US"/>
        </w:rPr>
        <w:t>N Engl J Med,</w:t>
      </w:r>
      <w:r w:rsidRPr="00277EC9">
        <w:rPr>
          <w:rFonts w:ascii="Calibri" w:eastAsia="Calibri" w:hAnsi="Calibri" w:cs="Calibri"/>
          <w:noProof/>
          <w:sz w:val="22"/>
          <w:szCs w:val="22"/>
          <w:lang w:val="en-US"/>
        </w:rPr>
        <w:t xml:space="preserve"> 325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1058-62.</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O'BRIEN, B. A., HARMON, B. V., CAMERON, D. P. &amp; ALLAN, D. J. 1996. Beta-cell apoptosis is responsible for the development of IDDM in the multiple low-dose streptozotocin model. </w:t>
      </w:r>
      <w:r w:rsidRPr="00277EC9">
        <w:rPr>
          <w:rFonts w:ascii="Calibri" w:eastAsia="Calibri" w:hAnsi="Calibri" w:cs="Calibri"/>
          <w:i/>
          <w:noProof/>
          <w:sz w:val="22"/>
          <w:szCs w:val="22"/>
          <w:lang w:val="en-US"/>
        </w:rPr>
        <w:t>J Pathol,</w:t>
      </w:r>
      <w:r w:rsidRPr="00277EC9">
        <w:rPr>
          <w:rFonts w:ascii="Calibri" w:eastAsia="Calibri" w:hAnsi="Calibri" w:cs="Calibri"/>
          <w:noProof/>
          <w:sz w:val="22"/>
          <w:szCs w:val="22"/>
          <w:lang w:val="en-US"/>
        </w:rPr>
        <w:t xml:space="preserve"> 178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176-81.</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O'NEILL, W. M., JR., WALLIN, J. D. &amp; WALKER, P. D. 1983. Hematuria and red cell casts in typical diabetic nephropathy. </w:t>
      </w:r>
      <w:r w:rsidRPr="00277EC9">
        <w:rPr>
          <w:rFonts w:ascii="Calibri" w:eastAsia="Calibri" w:hAnsi="Calibri" w:cs="Calibri"/>
          <w:i/>
          <w:noProof/>
          <w:sz w:val="22"/>
          <w:szCs w:val="22"/>
          <w:lang w:val="en-US"/>
        </w:rPr>
        <w:t>Am J Med,</w:t>
      </w:r>
      <w:r w:rsidRPr="00277EC9">
        <w:rPr>
          <w:rFonts w:ascii="Calibri" w:eastAsia="Calibri" w:hAnsi="Calibri" w:cs="Calibri"/>
          <w:noProof/>
          <w:sz w:val="22"/>
          <w:szCs w:val="22"/>
          <w:lang w:val="en-US"/>
        </w:rPr>
        <w:t xml:space="preserve"> 74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389-95.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ODANI, H., SHINZATO, T., MATSUMOTO, Y., USAMI, J. &amp; MAEDA, K. 1999. Increase in three alpha,beta-dicarbonyl compound levels in human uremic plasma: Specific in vivo determination of intermediates in advanced Maillard reaction. </w:t>
      </w:r>
      <w:r w:rsidRPr="00277EC9">
        <w:rPr>
          <w:rFonts w:ascii="Calibri" w:eastAsia="Calibri" w:hAnsi="Calibri" w:cs="Calibri"/>
          <w:i/>
          <w:noProof/>
          <w:sz w:val="22"/>
          <w:szCs w:val="22"/>
          <w:lang w:val="en-US"/>
        </w:rPr>
        <w:t>Biochemical and Biophysical Research Communications,</w:t>
      </w:r>
      <w:r w:rsidRPr="00277EC9">
        <w:rPr>
          <w:rFonts w:ascii="Calibri" w:eastAsia="Calibri" w:hAnsi="Calibri" w:cs="Calibri"/>
          <w:noProof/>
          <w:sz w:val="22"/>
          <w:szCs w:val="22"/>
          <w:lang w:val="en-US"/>
        </w:rPr>
        <w:t xml:space="preserve"> 256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89-93.</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OLIVA- MORENO, J. &amp; OLIVA-MORENO, J. 2012. Loss of labour productivity caused by disease and health problems: what is the magnitude of its effect on Spain’s Economy? </w:t>
      </w:r>
      <w:r w:rsidRPr="00277EC9">
        <w:rPr>
          <w:rFonts w:ascii="Calibri" w:eastAsia="Calibri" w:hAnsi="Calibri" w:cs="Calibri"/>
          <w:i/>
          <w:noProof/>
          <w:sz w:val="22"/>
          <w:szCs w:val="22"/>
          <w:lang w:val="en-US"/>
        </w:rPr>
        <w:t>Health Economics in Prevention and Care,</w:t>
      </w:r>
      <w:r w:rsidRPr="00277EC9">
        <w:rPr>
          <w:rFonts w:ascii="Calibri" w:eastAsia="Calibri" w:hAnsi="Calibri" w:cs="Calibri"/>
          <w:noProof/>
          <w:sz w:val="22"/>
          <w:szCs w:val="22"/>
          <w:lang w:val="en-US"/>
        </w:rPr>
        <w:t xml:space="preserve"> 13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605-614.</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OLIVA-MORENO, J. 2012. Loss of labour productivity caused by disease and health problems: what is the magnitude of its effect on Spain's Economy? </w:t>
      </w:r>
      <w:r w:rsidRPr="00277EC9">
        <w:rPr>
          <w:rFonts w:ascii="Calibri" w:eastAsia="Calibri" w:hAnsi="Calibri" w:cs="Calibri"/>
          <w:i/>
          <w:noProof/>
          <w:sz w:val="22"/>
          <w:szCs w:val="22"/>
          <w:lang w:val="en-US"/>
        </w:rPr>
        <w:t>European Journal of Health Economics,</w:t>
      </w:r>
      <w:r w:rsidRPr="00277EC9">
        <w:rPr>
          <w:rFonts w:ascii="Calibri" w:eastAsia="Calibri" w:hAnsi="Calibri" w:cs="Calibri"/>
          <w:noProof/>
          <w:sz w:val="22"/>
          <w:szCs w:val="22"/>
          <w:lang w:val="en-US"/>
        </w:rPr>
        <w:t xml:space="preserve"> 13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605-614.</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ORLANDO, R., FLOREANI, M., PADRINI, R. &amp; PALATINI, P. 1998. Determination of inulin clearance by bolus intravenous injection in healthy subjects and ascitic patients: equivalence </w:t>
      </w:r>
      <w:r w:rsidRPr="00277EC9">
        <w:rPr>
          <w:rFonts w:ascii="Calibri" w:eastAsia="Calibri" w:hAnsi="Calibri" w:cs="Calibri"/>
          <w:noProof/>
          <w:sz w:val="22"/>
          <w:szCs w:val="22"/>
          <w:lang w:val="en-US"/>
        </w:rPr>
        <w:lastRenderedPageBreak/>
        <w:t xml:space="preserve">of systemic and renal clearances as glomerular filtration markers. </w:t>
      </w:r>
      <w:r w:rsidRPr="00277EC9">
        <w:rPr>
          <w:rFonts w:ascii="Calibri" w:eastAsia="Calibri" w:hAnsi="Calibri" w:cs="Calibri"/>
          <w:i/>
          <w:noProof/>
          <w:sz w:val="22"/>
          <w:szCs w:val="22"/>
          <w:lang w:val="en-US"/>
        </w:rPr>
        <w:t>Br J Clin Pharmacol,</w:t>
      </w:r>
      <w:r w:rsidRPr="00277EC9">
        <w:rPr>
          <w:rFonts w:ascii="Calibri" w:eastAsia="Calibri" w:hAnsi="Calibri" w:cs="Calibri"/>
          <w:noProof/>
          <w:sz w:val="22"/>
          <w:szCs w:val="22"/>
          <w:lang w:val="en-US"/>
        </w:rPr>
        <w:t xml:space="preserve"> 46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605-9.</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OWEN, O. E., CAPRIO, S., REICHARD, G. A., MOZZOLI, M. A., BODEN, G. &amp; OWEN, R. S. 1983. Ketosis of starvation: A revisit and new perspectives. </w:t>
      </w:r>
      <w:r w:rsidRPr="00277EC9">
        <w:rPr>
          <w:rFonts w:ascii="Calibri" w:eastAsia="Calibri" w:hAnsi="Calibri" w:cs="Calibri"/>
          <w:i/>
          <w:noProof/>
          <w:sz w:val="22"/>
          <w:szCs w:val="22"/>
          <w:lang w:val="en-US"/>
        </w:rPr>
        <w:t>Clinics in endocrinology and metabolism,</w:t>
      </w:r>
      <w:r w:rsidRPr="00277EC9">
        <w:rPr>
          <w:rFonts w:ascii="Calibri" w:eastAsia="Calibri" w:hAnsi="Calibri" w:cs="Calibri"/>
          <w:noProof/>
          <w:sz w:val="22"/>
          <w:szCs w:val="22"/>
          <w:lang w:val="en-US"/>
        </w:rPr>
        <w:t xml:space="preserve"> 12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359-379.</w:t>
      </w:r>
    </w:p>
    <w:p w:rsidR="00237326" w:rsidRPr="00277EC9" w:rsidRDefault="00237326"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PAQUIGNON, A., TRAN, G. &amp; PROVOST, J. P. 1993. Evaluation of the clinitek- 200 urinary test- strip reader in the analysis of dog and rat urines in preclinical toxicology studies. </w:t>
      </w:r>
      <w:r w:rsidRPr="00277EC9">
        <w:rPr>
          <w:rFonts w:ascii="Calibri" w:eastAsia="Calibri" w:hAnsi="Calibri" w:cs="Calibri"/>
          <w:i/>
          <w:noProof/>
          <w:sz w:val="22"/>
          <w:szCs w:val="22"/>
          <w:lang w:val="en-US"/>
        </w:rPr>
        <w:t>Laboratory Animals,</w:t>
      </w:r>
      <w:r w:rsidRPr="00277EC9">
        <w:rPr>
          <w:rFonts w:ascii="Calibri" w:eastAsia="Calibri" w:hAnsi="Calibri" w:cs="Calibri"/>
          <w:noProof/>
          <w:sz w:val="22"/>
          <w:szCs w:val="22"/>
          <w:lang w:val="en-US"/>
        </w:rPr>
        <w:t xml:space="preserve"> 27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240-246.</w:t>
      </w:r>
    </w:p>
    <w:p w:rsidR="00915BEC" w:rsidRDefault="00915BEC" w:rsidP="00915BEC">
      <w:pPr>
        <w:spacing w:after="0" w:line="240" w:lineRule="auto"/>
        <w:ind w:left="720"/>
        <w:jc w:val="left"/>
        <w:rPr>
          <w:rFonts w:ascii="Calibri" w:eastAsia="Calibri" w:hAnsi="Calibri" w:cs="Calibri"/>
          <w:noProof/>
          <w:color w:val="FF0000"/>
          <w:sz w:val="22"/>
          <w:szCs w:val="22"/>
          <w:lang w:val="en-US"/>
        </w:rPr>
      </w:pPr>
    </w:p>
    <w:p w:rsidR="00915BEC" w:rsidRPr="00915BEC" w:rsidRDefault="00915BEC" w:rsidP="00915BEC">
      <w:pPr>
        <w:spacing w:after="0" w:line="240" w:lineRule="auto"/>
        <w:ind w:left="720"/>
        <w:jc w:val="left"/>
        <w:rPr>
          <w:rFonts w:ascii="Calibri" w:eastAsia="Calibri" w:hAnsi="Calibri" w:cs="Calibri"/>
          <w:noProof/>
          <w:sz w:val="22"/>
          <w:szCs w:val="22"/>
          <w:lang w:val="en-US"/>
        </w:rPr>
      </w:pPr>
      <w:r w:rsidRPr="00915BEC">
        <w:rPr>
          <w:rFonts w:ascii="Calibri" w:eastAsia="Calibri" w:hAnsi="Calibri" w:cs="Calibri"/>
          <w:noProof/>
          <w:sz w:val="22"/>
          <w:szCs w:val="22"/>
          <w:lang w:val="en-US"/>
        </w:rPr>
        <w:t xml:space="preserve">PEARCE, G., MCGINNIS, J. &amp; RYAN, C. A. 1984. NUTRITIONAL STUDIES OF A CARBOXYPEPTIDASE INHIBITOR FROM POTATO-TUBERS. </w:t>
      </w:r>
      <w:r w:rsidRPr="00915BEC">
        <w:rPr>
          <w:rFonts w:ascii="Calibri" w:eastAsia="Calibri" w:hAnsi="Calibri" w:cs="Calibri"/>
          <w:i/>
          <w:noProof/>
          <w:sz w:val="22"/>
          <w:szCs w:val="22"/>
          <w:lang w:val="en-US"/>
        </w:rPr>
        <w:t>Advances in Experimental Medicine and Biology,</w:t>
      </w:r>
      <w:r w:rsidRPr="00915BEC">
        <w:rPr>
          <w:rFonts w:ascii="Calibri" w:eastAsia="Calibri" w:hAnsi="Calibri" w:cs="Calibri"/>
          <w:noProof/>
          <w:sz w:val="22"/>
          <w:szCs w:val="22"/>
          <w:lang w:val="en-US"/>
        </w:rPr>
        <w:t xml:space="preserve"> 177</w:t>
      </w:r>
      <w:r w:rsidRPr="00915BEC">
        <w:rPr>
          <w:rFonts w:ascii="Calibri" w:eastAsia="Calibri" w:hAnsi="Calibri" w:cs="Calibri"/>
          <w:b/>
          <w:noProof/>
          <w:sz w:val="22"/>
          <w:szCs w:val="22"/>
          <w:lang w:val="en-US"/>
        </w:rPr>
        <w:t>,</w:t>
      </w:r>
      <w:r w:rsidRPr="00915BEC">
        <w:rPr>
          <w:rFonts w:ascii="Calibri" w:eastAsia="Calibri" w:hAnsi="Calibri" w:cs="Calibri"/>
          <w:noProof/>
          <w:sz w:val="22"/>
          <w:szCs w:val="22"/>
          <w:lang w:val="en-US"/>
        </w:rPr>
        <w:t xml:space="preserve"> 321-332.</w:t>
      </w:r>
    </w:p>
    <w:p w:rsidR="00ED41C3" w:rsidRPr="00277EC9" w:rsidRDefault="00ED41C3" w:rsidP="00915BEC">
      <w:pPr>
        <w:spacing w:after="0" w:line="240" w:lineRule="auto"/>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PELS, R. J., BOR, D. H., WOOLHANDLER, S., HIMMELSTEIN, D. U. &amp; LAWRENCE, R. S. 1989. Dipstick urinalysis screening of asymptomatic adults for urinary tract disorders: Ii. bacteriuria. </w:t>
      </w:r>
      <w:r w:rsidRPr="00277EC9">
        <w:rPr>
          <w:rFonts w:ascii="Calibri" w:eastAsia="Calibri" w:hAnsi="Calibri" w:cs="Calibri"/>
          <w:i/>
          <w:noProof/>
          <w:sz w:val="22"/>
          <w:szCs w:val="22"/>
          <w:lang w:val="en-US"/>
        </w:rPr>
        <w:t>JAMA,</w:t>
      </w:r>
      <w:r w:rsidRPr="00277EC9">
        <w:rPr>
          <w:rFonts w:ascii="Calibri" w:eastAsia="Calibri" w:hAnsi="Calibri" w:cs="Calibri"/>
          <w:noProof/>
          <w:sz w:val="22"/>
          <w:szCs w:val="22"/>
          <w:lang w:val="en-US"/>
        </w:rPr>
        <w:t xml:space="preserve"> 262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1220-1224.</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PESTEL, S., KRZYKALLA, V. &amp; WECKESSER, G. 2007. Measurement of glomerular filtration rate in the conscious rat. </w:t>
      </w:r>
      <w:r w:rsidRPr="00277EC9">
        <w:rPr>
          <w:rFonts w:ascii="Calibri" w:eastAsia="Calibri" w:hAnsi="Calibri" w:cs="Calibri"/>
          <w:i/>
          <w:noProof/>
          <w:sz w:val="22"/>
          <w:szCs w:val="22"/>
          <w:lang w:val="en-US"/>
        </w:rPr>
        <w:t>J Pharmacol Toxicol Methods,</w:t>
      </w:r>
      <w:r w:rsidRPr="00277EC9">
        <w:rPr>
          <w:rFonts w:ascii="Calibri" w:eastAsia="Calibri" w:hAnsi="Calibri" w:cs="Calibri"/>
          <w:noProof/>
          <w:sz w:val="22"/>
          <w:szCs w:val="22"/>
          <w:lang w:val="en-US"/>
        </w:rPr>
        <w:t xml:space="preserve"> 56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277-89.</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PHADNIS, S. V., ATILADE, A., BOWRING, J., KYRGIOU, M., YOUNG, M. P. A., EVANS, H., PARASKEVAIDIS, E. &amp; WALKER, P. 2011. Regeneration of cervix after excisional treatment for cervical intraepithelial neoplasia: a study of collagen distribution. </w:t>
      </w:r>
      <w:r w:rsidRPr="00277EC9">
        <w:rPr>
          <w:rFonts w:ascii="Calibri" w:eastAsia="Calibri" w:hAnsi="Calibri" w:cs="Calibri"/>
          <w:i/>
          <w:noProof/>
          <w:sz w:val="22"/>
          <w:szCs w:val="22"/>
          <w:lang w:val="en-US"/>
        </w:rPr>
        <w:t>BJOG: An International Journal of Obstetrics &amp; Gynaecology,</w:t>
      </w:r>
      <w:r w:rsidRPr="00277EC9">
        <w:rPr>
          <w:rFonts w:ascii="Calibri" w:eastAsia="Calibri" w:hAnsi="Calibri" w:cs="Calibri"/>
          <w:noProof/>
          <w:sz w:val="22"/>
          <w:szCs w:val="22"/>
          <w:lang w:val="en-US"/>
        </w:rPr>
        <w:t xml:space="preserve"> 118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1585-1591.</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PIERA-VELAZQUEZ, S., LI, Z. &amp; JIMENEZ, S. A. 2011. Role of Endothelial-Mesenchymal Transition (EndoMT) in the Pathogenesis of Fibrotic Disorders. </w:t>
      </w:r>
      <w:r w:rsidRPr="00277EC9">
        <w:rPr>
          <w:rFonts w:ascii="Calibri" w:eastAsia="Calibri" w:hAnsi="Calibri" w:cs="Calibri"/>
          <w:i/>
          <w:noProof/>
          <w:sz w:val="22"/>
          <w:szCs w:val="22"/>
          <w:lang w:val="en-US"/>
        </w:rPr>
        <w:t>American Journal of Pathology,</w:t>
      </w:r>
      <w:r w:rsidRPr="00277EC9">
        <w:rPr>
          <w:rFonts w:ascii="Calibri" w:eastAsia="Calibri" w:hAnsi="Calibri" w:cs="Calibri"/>
          <w:noProof/>
          <w:sz w:val="22"/>
          <w:szCs w:val="22"/>
          <w:lang w:val="en-US"/>
        </w:rPr>
        <w:t xml:space="preserve"> 179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1074-1080.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PLATT, D., BIRD, J. L. &amp; BAYLISS, M. T. 1998. Ageing of equine articular cartilage: structure and composition of aggrecan and decorin. </w:t>
      </w:r>
      <w:r w:rsidRPr="00277EC9">
        <w:rPr>
          <w:rFonts w:ascii="Calibri" w:eastAsia="Calibri" w:hAnsi="Calibri" w:cs="Calibri"/>
          <w:i/>
          <w:noProof/>
          <w:sz w:val="22"/>
          <w:szCs w:val="22"/>
          <w:lang w:val="en-US"/>
        </w:rPr>
        <w:t>Equine Vet J,</w:t>
      </w:r>
      <w:r w:rsidRPr="00277EC9">
        <w:rPr>
          <w:rFonts w:ascii="Calibri" w:eastAsia="Calibri" w:hAnsi="Calibri" w:cs="Calibri"/>
          <w:noProof/>
          <w:sz w:val="22"/>
          <w:szCs w:val="22"/>
          <w:lang w:val="en-US"/>
        </w:rPr>
        <w:t xml:space="preserve"> 30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43-52.</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POMIN, V. H. &amp; MULLOY, B. 2015. Current structural biology of the heparin interactome. </w:t>
      </w:r>
      <w:r w:rsidRPr="00277EC9">
        <w:rPr>
          <w:rFonts w:ascii="Calibri" w:eastAsia="Calibri" w:hAnsi="Calibri" w:cs="Calibri"/>
          <w:i/>
          <w:noProof/>
          <w:sz w:val="22"/>
          <w:szCs w:val="22"/>
          <w:lang w:val="en-US"/>
        </w:rPr>
        <w:t>Current opinion in structural biology,</w:t>
      </w:r>
      <w:r w:rsidRPr="00277EC9">
        <w:rPr>
          <w:rFonts w:ascii="Calibri" w:eastAsia="Calibri" w:hAnsi="Calibri" w:cs="Calibri"/>
          <w:noProof/>
          <w:sz w:val="22"/>
          <w:szCs w:val="22"/>
          <w:lang w:val="en-US"/>
        </w:rPr>
        <w:t xml:space="preserve"> 34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17-25.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PROVOOST, A. &amp; BRENNER, B. 1993. Long-term follow-up of humans with single kidneys: the need for longitudinal studies to assess true changes in renal function. </w:t>
      </w:r>
      <w:r w:rsidRPr="00277EC9">
        <w:rPr>
          <w:rFonts w:ascii="Calibri" w:eastAsia="Calibri" w:hAnsi="Calibri" w:cs="Calibri"/>
          <w:i/>
          <w:noProof/>
          <w:sz w:val="22"/>
          <w:szCs w:val="22"/>
          <w:lang w:val="en-US"/>
        </w:rPr>
        <w:t>Current opinion in nephrology and hypertension,</w:t>
      </w:r>
      <w:r w:rsidRPr="00277EC9">
        <w:rPr>
          <w:rFonts w:ascii="Calibri" w:eastAsia="Calibri" w:hAnsi="Calibri" w:cs="Calibri"/>
          <w:noProof/>
          <w:sz w:val="22"/>
          <w:szCs w:val="22"/>
          <w:lang w:val="en-US"/>
        </w:rPr>
        <w:t xml:space="preserve"> 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521-526.</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PUCCI, L., TRISCORNIA, S., LUCCHESI, D., FOTINO, C., PELLEGRINI, G., PARDINI, E., MICCOLI, R., DEL PRATO, S. &amp; PENNO, G. 2007. Cystatin C and estimates of renal function: searching for a better measure of kidney function in diabetic patients. </w:t>
      </w:r>
      <w:r w:rsidRPr="00277EC9">
        <w:rPr>
          <w:rFonts w:ascii="Calibri" w:eastAsia="Calibri" w:hAnsi="Calibri" w:cs="Calibri"/>
          <w:i/>
          <w:noProof/>
          <w:sz w:val="22"/>
          <w:szCs w:val="22"/>
          <w:lang w:val="en-US"/>
        </w:rPr>
        <w:t>Clinical chemistry,</w:t>
      </w:r>
      <w:r w:rsidRPr="00277EC9">
        <w:rPr>
          <w:rFonts w:ascii="Calibri" w:eastAsia="Calibri" w:hAnsi="Calibri" w:cs="Calibri"/>
          <w:noProof/>
          <w:sz w:val="22"/>
          <w:szCs w:val="22"/>
          <w:lang w:val="en-US"/>
        </w:rPr>
        <w:t xml:space="preserve"> 53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480-488.</w:t>
      </w:r>
    </w:p>
    <w:p w:rsidR="00184E38" w:rsidRDefault="00184E38" w:rsidP="00184E38">
      <w:pPr>
        <w:spacing w:after="0" w:line="240" w:lineRule="auto"/>
        <w:ind w:left="720"/>
        <w:jc w:val="left"/>
        <w:rPr>
          <w:rFonts w:ascii="Calibri" w:eastAsia="Calibri" w:hAnsi="Calibri" w:cs="Calibri"/>
          <w:noProof/>
          <w:color w:val="FF0000"/>
          <w:sz w:val="22"/>
          <w:szCs w:val="22"/>
          <w:lang w:val="en-US"/>
        </w:rPr>
      </w:pPr>
    </w:p>
    <w:p w:rsidR="00184E38" w:rsidRPr="00184E38" w:rsidRDefault="00184E38" w:rsidP="00184E38">
      <w:pPr>
        <w:spacing w:after="0" w:line="240" w:lineRule="auto"/>
        <w:ind w:left="720"/>
        <w:jc w:val="left"/>
        <w:rPr>
          <w:rFonts w:ascii="Calibri" w:eastAsia="Calibri" w:hAnsi="Calibri" w:cs="Calibri"/>
          <w:noProof/>
          <w:sz w:val="22"/>
          <w:szCs w:val="22"/>
          <w:lang w:val="en-US"/>
        </w:rPr>
      </w:pPr>
      <w:r w:rsidRPr="00184E38">
        <w:rPr>
          <w:rFonts w:ascii="Calibri" w:eastAsia="Calibri" w:hAnsi="Calibri" w:cs="Calibri"/>
          <w:noProof/>
          <w:sz w:val="22"/>
          <w:szCs w:val="22"/>
          <w:lang w:val="en-US"/>
        </w:rPr>
        <w:t xml:space="preserve">QINNA, N. A. &amp; BADWAN, A. A. 2015. Impact of streptozotocin on altering normal glucose homeostasis during insulin testing in diabetic rats compared to normoglycemic rats. </w:t>
      </w:r>
      <w:r w:rsidRPr="00184E38">
        <w:rPr>
          <w:rFonts w:ascii="Calibri" w:eastAsia="Calibri" w:hAnsi="Calibri" w:cs="Calibri"/>
          <w:i/>
          <w:noProof/>
          <w:sz w:val="22"/>
          <w:szCs w:val="22"/>
          <w:lang w:val="en-US"/>
        </w:rPr>
        <w:t>Drug Design, Development and Therapy,</w:t>
      </w:r>
      <w:r w:rsidRPr="00184E38">
        <w:rPr>
          <w:rFonts w:ascii="Calibri" w:eastAsia="Calibri" w:hAnsi="Calibri" w:cs="Calibri"/>
          <w:noProof/>
          <w:sz w:val="22"/>
          <w:szCs w:val="22"/>
          <w:lang w:val="en-US"/>
        </w:rPr>
        <w:t xml:space="preserve"> 9</w:t>
      </w:r>
      <w:r w:rsidRPr="00184E38">
        <w:rPr>
          <w:rFonts w:ascii="Calibri" w:eastAsia="Calibri" w:hAnsi="Calibri" w:cs="Calibri"/>
          <w:b/>
          <w:noProof/>
          <w:sz w:val="22"/>
          <w:szCs w:val="22"/>
          <w:lang w:val="en-US"/>
        </w:rPr>
        <w:t>,</w:t>
      </w:r>
      <w:r w:rsidRPr="00184E38">
        <w:rPr>
          <w:rFonts w:ascii="Calibri" w:eastAsia="Calibri" w:hAnsi="Calibri" w:cs="Calibri"/>
          <w:noProof/>
          <w:sz w:val="22"/>
          <w:szCs w:val="22"/>
          <w:lang w:val="en-US"/>
        </w:rPr>
        <w:t xml:space="preserve"> 2515-2525.</w:t>
      </w:r>
    </w:p>
    <w:p w:rsidR="00ED41C3" w:rsidRPr="00277EC9" w:rsidRDefault="00ED41C3" w:rsidP="00184E38">
      <w:pPr>
        <w:spacing w:after="0" w:line="240" w:lineRule="auto"/>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RAWLINGS, N. D., WALLER, M., BARRETT, A. J. &amp; BATEMAN, A. 2014. MEROPS: the database of proteolytic enzymes, their substrates and inhibitors. </w:t>
      </w:r>
      <w:r w:rsidRPr="00277EC9">
        <w:rPr>
          <w:rFonts w:ascii="Calibri" w:eastAsia="Calibri" w:hAnsi="Calibri" w:cs="Calibri"/>
          <w:i/>
          <w:noProof/>
          <w:sz w:val="22"/>
          <w:szCs w:val="22"/>
          <w:lang w:val="en-US"/>
        </w:rPr>
        <w:t>Nucleic Acids Research,</w:t>
      </w:r>
      <w:r w:rsidRPr="00277EC9">
        <w:rPr>
          <w:rFonts w:ascii="Calibri" w:eastAsia="Calibri" w:hAnsi="Calibri" w:cs="Calibri"/>
          <w:noProof/>
          <w:sz w:val="22"/>
          <w:szCs w:val="22"/>
          <w:lang w:val="en-US"/>
        </w:rPr>
        <w:t xml:space="preserve"> 42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D503-D509.</w:t>
      </w:r>
    </w:p>
    <w:p w:rsidR="00DB4691" w:rsidRDefault="00DB4691" w:rsidP="00DB4691">
      <w:pPr>
        <w:spacing w:after="0" w:line="240" w:lineRule="auto"/>
        <w:ind w:left="720"/>
        <w:jc w:val="left"/>
        <w:rPr>
          <w:rFonts w:ascii="Calibri" w:eastAsia="Calibri" w:hAnsi="Calibri" w:cs="Calibri"/>
          <w:noProof/>
          <w:color w:val="FF0000"/>
          <w:sz w:val="22"/>
          <w:szCs w:val="22"/>
          <w:lang w:val="en-US"/>
        </w:rPr>
      </w:pPr>
    </w:p>
    <w:p w:rsidR="00DB4691" w:rsidRPr="00DB4691" w:rsidRDefault="00DB4691" w:rsidP="00DB4691">
      <w:pPr>
        <w:spacing w:after="0" w:line="240" w:lineRule="auto"/>
        <w:ind w:left="720"/>
        <w:jc w:val="left"/>
        <w:rPr>
          <w:rFonts w:ascii="Calibri" w:hAnsi="Calibri" w:cs="Calibri"/>
          <w:noProof/>
          <w:sz w:val="22"/>
          <w:szCs w:val="22"/>
          <w:lang w:val="en-US"/>
        </w:rPr>
      </w:pPr>
      <w:r w:rsidRPr="00DB4691">
        <w:rPr>
          <w:rFonts w:ascii="Calibri" w:eastAsia="Calibri" w:hAnsi="Calibri" w:cs="Calibri"/>
          <w:noProof/>
          <w:sz w:val="22"/>
          <w:szCs w:val="22"/>
          <w:lang w:val="en-US"/>
        </w:rPr>
        <w:t xml:space="preserve">REICHEL, C. A., HESSENAUER, M. E., PFLIEGER, K., REHBERG, M., KANSE, S. M., ZAHLER, S., KROMBACH, F., BERGHAUS, A. &amp; STRIETH, S. 2015. Components of the Plasminogen Activation System Promote Engraftment of Porous Polyethylene Biomaterial via Common and Distinct Effects. </w:t>
      </w:r>
      <w:r w:rsidRPr="00DB4691">
        <w:rPr>
          <w:rFonts w:ascii="Calibri" w:eastAsia="Calibri" w:hAnsi="Calibri" w:cs="Calibri"/>
          <w:i/>
          <w:noProof/>
          <w:sz w:val="22"/>
          <w:szCs w:val="22"/>
          <w:lang w:val="en-US"/>
        </w:rPr>
        <w:t>PloS one,</w:t>
      </w:r>
      <w:r w:rsidRPr="00DB4691">
        <w:rPr>
          <w:rFonts w:ascii="Calibri" w:eastAsia="Calibri" w:hAnsi="Calibri" w:cs="Calibri"/>
          <w:noProof/>
          <w:sz w:val="22"/>
          <w:szCs w:val="22"/>
          <w:lang w:val="en-US"/>
        </w:rPr>
        <w:t xml:space="preserve"> 10</w:t>
      </w:r>
      <w:r w:rsidRPr="00DB4691">
        <w:rPr>
          <w:rFonts w:ascii="Calibri" w:eastAsia="Calibri" w:hAnsi="Calibri" w:cs="Calibri"/>
          <w:b/>
          <w:noProof/>
          <w:sz w:val="22"/>
          <w:szCs w:val="22"/>
          <w:lang w:val="en-US"/>
        </w:rPr>
        <w:t>,</w:t>
      </w:r>
      <w:r w:rsidRPr="00DB4691">
        <w:rPr>
          <w:rFonts w:ascii="Calibri" w:eastAsia="Calibri" w:hAnsi="Calibri" w:cs="Calibri"/>
          <w:noProof/>
          <w:sz w:val="22"/>
          <w:szCs w:val="22"/>
          <w:lang w:val="en-US"/>
        </w:rPr>
        <w:t xml:space="preserve"> e0116883.</w:t>
      </w:r>
    </w:p>
    <w:p w:rsidR="0095781C" w:rsidRDefault="0095781C" w:rsidP="00DB4691">
      <w:pPr>
        <w:spacing w:after="0" w:line="240" w:lineRule="auto"/>
        <w:jc w:val="left"/>
        <w:rPr>
          <w:rFonts w:ascii="Calibri" w:eastAsia="Calibri" w:hAnsi="Calibri" w:cs="Calibri"/>
          <w:noProof/>
          <w:sz w:val="22"/>
          <w:szCs w:val="22"/>
          <w:lang w:val="en-US"/>
        </w:rPr>
      </w:pPr>
    </w:p>
    <w:p w:rsidR="0095781C" w:rsidRPr="0095781C" w:rsidRDefault="0095781C" w:rsidP="0095781C">
      <w:pPr>
        <w:spacing w:after="0" w:line="240" w:lineRule="auto"/>
        <w:ind w:left="720"/>
        <w:jc w:val="left"/>
        <w:rPr>
          <w:rFonts w:ascii="Calibri" w:eastAsia="Calibri" w:hAnsi="Calibri" w:cs="Calibri"/>
          <w:noProof/>
          <w:sz w:val="22"/>
          <w:szCs w:val="22"/>
          <w:lang w:val="en-US"/>
        </w:rPr>
      </w:pPr>
      <w:r w:rsidRPr="0095781C">
        <w:rPr>
          <w:rFonts w:ascii="Calibri" w:eastAsia="Calibri" w:hAnsi="Calibri" w:cs="Calibri"/>
          <w:noProof/>
          <w:sz w:val="22"/>
          <w:szCs w:val="22"/>
          <w:lang w:val="en-US"/>
        </w:rPr>
        <w:t xml:space="preserve">REIJERKERK, A., MEIJERS, J. C., HAVIK, S. R., BOUMA, B. N., VOEST, E. E. &amp; GEBBINK, M. F. 2004. Tumor growth and metastasis are not affected in thrombin‐activatable fibrinolysis inhibitor‐deficient mice. </w:t>
      </w:r>
      <w:r w:rsidRPr="0095781C">
        <w:rPr>
          <w:rFonts w:ascii="Calibri" w:eastAsia="Calibri" w:hAnsi="Calibri" w:cs="Calibri"/>
          <w:i/>
          <w:noProof/>
          <w:sz w:val="22"/>
          <w:szCs w:val="22"/>
          <w:lang w:val="en-US"/>
        </w:rPr>
        <w:t>Journal of Thrombosis and Haemostasis,</w:t>
      </w:r>
      <w:r w:rsidRPr="0095781C">
        <w:rPr>
          <w:rFonts w:ascii="Calibri" w:eastAsia="Calibri" w:hAnsi="Calibri" w:cs="Calibri"/>
          <w:noProof/>
          <w:sz w:val="22"/>
          <w:szCs w:val="22"/>
          <w:lang w:val="en-US"/>
        </w:rPr>
        <w:t xml:space="preserve"> 2</w:t>
      </w:r>
      <w:r w:rsidRPr="0095781C">
        <w:rPr>
          <w:rFonts w:ascii="Calibri" w:eastAsia="Calibri" w:hAnsi="Calibri" w:cs="Calibri"/>
          <w:b/>
          <w:noProof/>
          <w:sz w:val="22"/>
          <w:szCs w:val="22"/>
          <w:lang w:val="en-US"/>
        </w:rPr>
        <w:t>,</w:t>
      </w:r>
      <w:r w:rsidRPr="0095781C">
        <w:rPr>
          <w:rFonts w:ascii="Calibri" w:eastAsia="Calibri" w:hAnsi="Calibri" w:cs="Calibri"/>
          <w:noProof/>
          <w:sz w:val="22"/>
          <w:szCs w:val="22"/>
          <w:lang w:val="en-US"/>
        </w:rPr>
        <w:t xml:space="preserve"> 769-779.</w:t>
      </w:r>
    </w:p>
    <w:p w:rsidR="00421A1F" w:rsidRDefault="00421A1F" w:rsidP="0095781C">
      <w:pPr>
        <w:spacing w:after="0" w:line="240" w:lineRule="auto"/>
        <w:jc w:val="left"/>
        <w:rPr>
          <w:rFonts w:ascii="Calibri" w:eastAsia="Calibri" w:hAnsi="Calibri" w:cs="Calibri"/>
          <w:noProof/>
          <w:sz w:val="22"/>
          <w:szCs w:val="22"/>
          <w:lang w:val="en-US"/>
        </w:rPr>
      </w:pPr>
    </w:p>
    <w:p w:rsidR="00421A1F" w:rsidRPr="00421A1F" w:rsidRDefault="00421A1F" w:rsidP="00421A1F">
      <w:pPr>
        <w:spacing w:after="0" w:line="240" w:lineRule="auto"/>
        <w:ind w:left="720"/>
        <w:jc w:val="left"/>
        <w:rPr>
          <w:rFonts w:ascii="Calibri" w:eastAsia="Calibri" w:hAnsi="Calibri" w:cs="Calibri"/>
          <w:noProof/>
          <w:sz w:val="22"/>
          <w:szCs w:val="22"/>
          <w:lang w:val="en-US"/>
        </w:rPr>
      </w:pPr>
      <w:r w:rsidRPr="00421A1F">
        <w:rPr>
          <w:rFonts w:ascii="Calibri" w:eastAsia="Calibri" w:hAnsi="Calibri" w:cs="Calibri"/>
          <w:noProof/>
          <w:sz w:val="22"/>
          <w:szCs w:val="22"/>
          <w:lang w:val="en-US"/>
        </w:rPr>
        <w:t xml:space="preserve">REMUZZI, G., SCHIEPPATI, A. &amp; RUGGENENTI, P. 2002. Nephropathy in Patients with Type 2 Diabetes. </w:t>
      </w:r>
      <w:r w:rsidRPr="00421A1F">
        <w:rPr>
          <w:rFonts w:ascii="Calibri" w:eastAsia="Calibri" w:hAnsi="Calibri" w:cs="Calibri"/>
          <w:i/>
          <w:noProof/>
          <w:sz w:val="22"/>
          <w:szCs w:val="22"/>
          <w:lang w:val="en-US"/>
        </w:rPr>
        <w:t>The New England Journal of Medicine,</w:t>
      </w:r>
      <w:r w:rsidRPr="00421A1F">
        <w:rPr>
          <w:rFonts w:ascii="Calibri" w:eastAsia="Calibri" w:hAnsi="Calibri" w:cs="Calibri"/>
          <w:noProof/>
          <w:sz w:val="22"/>
          <w:szCs w:val="22"/>
          <w:lang w:val="en-US"/>
        </w:rPr>
        <w:t xml:space="preserve"> 346</w:t>
      </w:r>
      <w:r w:rsidRPr="00421A1F">
        <w:rPr>
          <w:rFonts w:ascii="Calibri" w:eastAsia="Calibri" w:hAnsi="Calibri" w:cs="Calibri"/>
          <w:b/>
          <w:noProof/>
          <w:sz w:val="22"/>
          <w:szCs w:val="22"/>
          <w:lang w:val="en-US"/>
        </w:rPr>
        <w:t>,</w:t>
      </w:r>
      <w:r w:rsidRPr="00421A1F">
        <w:rPr>
          <w:rFonts w:ascii="Calibri" w:eastAsia="Calibri" w:hAnsi="Calibri" w:cs="Calibri"/>
          <w:noProof/>
          <w:sz w:val="22"/>
          <w:szCs w:val="22"/>
          <w:lang w:val="en-US"/>
        </w:rPr>
        <w:t xml:space="preserve"> 1145-1151.</w:t>
      </w:r>
    </w:p>
    <w:p w:rsidR="00ED41C3" w:rsidRPr="00277EC9" w:rsidRDefault="00ED41C3" w:rsidP="00421A1F">
      <w:pPr>
        <w:spacing w:after="0" w:line="240" w:lineRule="auto"/>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RHODES, J. M. &amp; SIMONS, M. 2007. The extracellular matrix and blood vessel formation: not just a scaffold. </w:t>
      </w:r>
      <w:r w:rsidRPr="00277EC9">
        <w:rPr>
          <w:rFonts w:ascii="Calibri" w:eastAsia="Calibri" w:hAnsi="Calibri" w:cs="Calibri"/>
          <w:i/>
          <w:noProof/>
          <w:sz w:val="22"/>
          <w:szCs w:val="22"/>
          <w:lang w:val="en-US"/>
        </w:rPr>
        <w:t>Journal of Cellular and Molecular Medicine,</w:t>
      </w:r>
      <w:r w:rsidRPr="00277EC9">
        <w:rPr>
          <w:rFonts w:ascii="Calibri" w:eastAsia="Calibri" w:hAnsi="Calibri" w:cs="Calibri"/>
          <w:noProof/>
          <w:sz w:val="22"/>
          <w:szCs w:val="22"/>
          <w:lang w:val="en-US"/>
        </w:rPr>
        <w:t xml:space="preserve"> 11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176-205.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RIOPEL, M., LI, J., TRINDER, M., FELLOWS, G. F. &amp; WANG, R. 2015. Fibrin supports human fetal islet-epithelial cell differentiation via p70s6k and promotes vascular formation during transplantation. </w:t>
      </w:r>
      <w:r w:rsidRPr="00277EC9">
        <w:rPr>
          <w:rFonts w:ascii="Calibri" w:eastAsia="Calibri" w:hAnsi="Calibri" w:cs="Calibri"/>
          <w:i/>
          <w:noProof/>
          <w:sz w:val="22"/>
          <w:szCs w:val="22"/>
          <w:lang w:val="en-US"/>
        </w:rPr>
        <w:t>Lab Invest,</w:t>
      </w:r>
      <w:r w:rsidRPr="00277EC9">
        <w:rPr>
          <w:rFonts w:ascii="Calibri" w:eastAsia="Calibri" w:hAnsi="Calibri" w:cs="Calibri"/>
          <w:noProof/>
          <w:sz w:val="22"/>
          <w:szCs w:val="22"/>
          <w:lang w:val="en-US"/>
        </w:rPr>
        <w:t xml:space="preserve"> 95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925-936.</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ROBSON, C. J., CHURCHILL, B. M. &amp; ANDERSON, W. 2002. The results of radical nephrectomy for renal cell carcinoma. </w:t>
      </w:r>
      <w:r w:rsidRPr="00277EC9">
        <w:rPr>
          <w:rFonts w:ascii="Calibri" w:eastAsia="Calibri" w:hAnsi="Calibri" w:cs="Calibri"/>
          <w:i/>
          <w:noProof/>
          <w:sz w:val="22"/>
          <w:szCs w:val="22"/>
          <w:lang w:val="en-US"/>
        </w:rPr>
        <w:t>The Journal of Urology,</w:t>
      </w:r>
      <w:r w:rsidRPr="00277EC9">
        <w:rPr>
          <w:rFonts w:ascii="Calibri" w:eastAsia="Calibri" w:hAnsi="Calibri" w:cs="Calibri"/>
          <w:noProof/>
          <w:sz w:val="22"/>
          <w:szCs w:val="22"/>
          <w:lang w:val="en-US"/>
        </w:rPr>
        <w:t xml:space="preserve"> 167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873-875.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ROSE, B. D. 1977. </w:t>
      </w:r>
      <w:r w:rsidRPr="00277EC9">
        <w:rPr>
          <w:rFonts w:ascii="Calibri" w:eastAsia="Calibri" w:hAnsi="Calibri" w:cs="Calibri"/>
          <w:i/>
          <w:noProof/>
          <w:sz w:val="22"/>
          <w:szCs w:val="22"/>
          <w:lang w:val="en-US"/>
        </w:rPr>
        <w:t>Clinical physiology of acid-base and electrolyte disorders</w:t>
      </w:r>
      <w:r w:rsidRPr="00277EC9">
        <w:rPr>
          <w:rFonts w:ascii="Calibri" w:eastAsia="Calibri" w:hAnsi="Calibri" w:cs="Calibri"/>
          <w:noProof/>
          <w:sz w:val="22"/>
          <w:szCs w:val="22"/>
          <w:lang w:val="en-US"/>
        </w:rPr>
        <w:t>, McGraw-Hill.</w:t>
      </w:r>
    </w:p>
    <w:p w:rsidR="00ED41C3" w:rsidRPr="00277EC9" w:rsidRDefault="00ED41C3" w:rsidP="00ED41C3">
      <w:pPr>
        <w:spacing w:after="0" w:line="240" w:lineRule="auto"/>
        <w:ind w:firstLine="720"/>
        <w:jc w:val="left"/>
        <w:rPr>
          <w:rFonts w:ascii="Calibri" w:eastAsia="Calibri" w:hAnsi="Calibri" w:cs="Calibri"/>
          <w:noProof/>
          <w:sz w:val="22"/>
          <w:szCs w:val="22"/>
          <w:lang w:val="en-US"/>
        </w:rPr>
      </w:pPr>
    </w:p>
    <w:p w:rsidR="00B02242" w:rsidRPr="00277EC9" w:rsidRDefault="00B02242" w:rsidP="00ED41C3">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ROSS, R. 1989. Platelet- derived growth factor. </w:t>
      </w:r>
      <w:r w:rsidRPr="00277EC9">
        <w:rPr>
          <w:rFonts w:ascii="Calibri" w:eastAsia="Calibri" w:hAnsi="Calibri" w:cs="Calibri"/>
          <w:i/>
          <w:noProof/>
          <w:sz w:val="22"/>
          <w:szCs w:val="22"/>
          <w:lang w:val="en-US"/>
        </w:rPr>
        <w:t>The Lancet,</w:t>
      </w:r>
      <w:r w:rsidRPr="00277EC9">
        <w:rPr>
          <w:rFonts w:ascii="Calibri" w:eastAsia="Calibri" w:hAnsi="Calibri" w:cs="Calibri"/>
          <w:noProof/>
          <w:sz w:val="22"/>
          <w:szCs w:val="22"/>
          <w:lang w:val="en-US"/>
        </w:rPr>
        <w:t xml:space="preserve"> 333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1179-1182.</w:t>
      </w:r>
    </w:p>
    <w:p w:rsidR="00AB675B" w:rsidRDefault="00AB675B"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RUDERMAN, N. B., ROSS, P. S., BERGER, M. &amp; GOODMAN, M. N. 1974. Regulation of glucose and ketone-body metabolism in brain of anaesthetized rats. </w:t>
      </w:r>
      <w:r w:rsidRPr="00277EC9">
        <w:rPr>
          <w:rFonts w:ascii="Calibri" w:eastAsia="Calibri" w:hAnsi="Calibri" w:cs="Calibri"/>
          <w:i/>
          <w:noProof/>
          <w:sz w:val="22"/>
          <w:szCs w:val="22"/>
          <w:lang w:val="en-US"/>
        </w:rPr>
        <w:t>Biochemical Journal,</w:t>
      </w:r>
      <w:r w:rsidRPr="00277EC9">
        <w:rPr>
          <w:rFonts w:ascii="Calibri" w:eastAsia="Calibri" w:hAnsi="Calibri" w:cs="Calibri"/>
          <w:noProof/>
          <w:sz w:val="22"/>
          <w:szCs w:val="22"/>
          <w:lang w:val="en-US"/>
        </w:rPr>
        <w:t xml:space="preserve"> 138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RUGIU, C., OLDRIZZI, L., LUPO, A., VALVO, E., LOSCHIAVO, C., TESSITORE, N., GAMMARO, L., ORTALDA, V., FABRIS, A., PANZETTA, G. &amp; ET AL. 1986. Clinical features of patients with solitary kidneys. </w:t>
      </w:r>
      <w:r w:rsidRPr="00277EC9">
        <w:rPr>
          <w:rFonts w:ascii="Calibri" w:eastAsia="Calibri" w:hAnsi="Calibri" w:cs="Calibri"/>
          <w:i/>
          <w:noProof/>
          <w:sz w:val="22"/>
          <w:szCs w:val="22"/>
          <w:lang w:val="en-US"/>
        </w:rPr>
        <w:t>Nephron,</w:t>
      </w:r>
      <w:r w:rsidRPr="00277EC9">
        <w:rPr>
          <w:rFonts w:ascii="Calibri" w:eastAsia="Calibri" w:hAnsi="Calibri" w:cs="Calibri"/>
          <w:noProof/>
          <w:sz w:val="22"/>
          <w:szCs w:val="22"/>
          <w:lang w:val="en-US"/>
        </w:rPr>
        <w:t xml:space="preserve"> 43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10-5.</w:t>
      </w:r>
    </w:p>
    <w:p w:rsidR="00AB4CF3" w:rsidRPr="00AB4CF3" w:rsidRDefault="00AB4CF3" w:rsidP="00AB4CF3">
      <w:pPr>
        <w:spacing w:after="0" w:line="240" w:lineRule="auto"/>
        <w:ind w:left="720"/>
        <w:jc w:val="left"/>
        <w:rPr>
          <w:rFonts w:ascii="Calibri" w:eastAsia="Calibri" w:hAnsi="Calibri" w:cs="Calibri"/>
          <w:noProof/>
          <w:sz w:val="22"/>
          <w:szCs w:val="22"/>
          <w:lang w:val="en-US"/>
        </w:rPr>
      </w:pPr>
    </w:p>
    <w:p w:rsidR="00AB4CF3" w:rsidRPr="00AB4CF3" w:rsidRDefault="00AB4CF3" w:rsidP="00AB4CF3">
      <w:pPr>
        <w:spacing w:after="0" w:line="240" w:lineRule="auto"/>
        <w:ind w:left="720"/>
        <w:jc w:val="left"/>
        <w:rPr>
          <w:rFonts w:ascii="Calibri" w:eastAsia="Calibri" w:hAnsi="Calibri" w:cs="Calibri"/>
          <w:noProof/>
          <w:sz w:val="22"/>
          <w:szCs w:val="22"/>
          <w:lang w:val="en-US"/>
        </w:rPr>
      </w:pPr>
      <w:r w:rsidRPr="00AB4CF3">
        <w:rPr>
          <w:rFonts w:ascii="Calibri" w:eastAsia="Calibri" w:hAnsi="Calibri" w:cs="Calibri"/>
          <w:noProof/>
          <w:sz w:val="22"/>
          <w:szCs w:val="22"/>
          <w:lang w:val="en-US"/>
        </w:rPr>
        <w:t xml:space="preserve">SAKSELA, O. &amp; RIFKIN, D. B. 1988. Cell-associated plasminogen activation: regulation and physiological functions. </w:t>
      </w:r>
      <w:r w:rsidRPr="00AB4CF3">
        <w:rPr>
          <w:rFonts w:ascii="Calibri" w:eastAsia="Calibri" w:hAnsi="Calibri" w:cs="Calibri"/>
          <w:i/>
          <w:noProof/>
          <w:sz w:val="22"/>
          <w:szCs w:val="22"/>
          <w:lang w:val="en-US"/>
        </w:rPr>
        <w:t>Annual review of cell biology,</w:t>
      </w:r>
      <w:r w:rsidRPr="00AB4CF3">
        <w:rPr>
          <w:rFonts w:ascii="Calibri" w:eastAsia="Calibri" w:hAnsi="Calibri" w:cs="Calibri"/>
          <w:noProof/>
          <w:sz w:val="22"/>
          <w:szCs w:val="22"/>
          <w:lang w:val="en-US"/>
        </w:rPr>
        <w:t xml:space="preserve"> 4</w:t>
      </w:r>
      <w:r w:rsidRPr="00AB4CF3">
        <w:rPr>
          <w:rFonts w:ascii="Calibri" w:eastAsia="Calibri" w:hAnsi="Calibri" w:cs="Calibri"/>
          <w:b/>
          <w:noProof/>
          <w:sz w:val="22"/>
          <w:szCs w:val="22"/>
          <w:lang w:val="en-US"/>
        </w:rPr>
        <w:t>,</w:t>
      </w:r>
      <w:r w:rsidRPr="00AB4CF3">
        <w:rPr>
          <w:rFonts w:ascii="Calibri" w:eastAsia="Calibri" w:hAnsi="Calibri" w:cs="Calibri"/>
          <w:noProof/>
          <w:sz w:val="22"/>
          <w:szCs w:val="22"/>
          <w:lang w:val="en-US"/>
        </w:rPr>
        <w:t xml:space="preserve"> 93-120.</w:t>
      </w:r>
    </w:p>
    <w:p w:rsidR="00ED41C3" w:rsidRPr="00277EC9" w:rsidRDefault="00ED41C3" w:rsidP="00AB4CF3">
      <w:pPr>
        <w:spacing w:after="0" w:line="240" w:lineRule="auto"/>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SALMON, A. H. &amp; SATCHELL, S. C. 2012. Endothelial glycocalyx dysfunction in disease: albuminuria and increased microvascular permeability. </w:t>
      </w:r>
      <w:r w:rsidRPr="00277EC9">
        <w:rPr>
          <w:rFonts w:ascii="Calibri" w:eastAsia="Calibri" w:hAnsi="Calibri" w:cs="Calibri"/>
          <w:i/>
          <w:noProof/>
          <w:sz w:val="22"/>
          <w:szCs w:val="22"/>
          <w:lang w:val="en-US"/>
        </w:rPr>
        <w:t>J Pathol,</w:t>
      </w:r>
      <w:r w:rsidRPr="00277EC9">
        <w:rPr>
          <w:rFonts w:ascii="Calibri" w:eastAsia="Calibri" w:hAnsi="Calibri" w:cs="Calibri"/>
          <w:noProof/>
          <w:sz w:val="22"/>
          <w:szCs w:val="22"/>
          <w:lang w:val="en-US"/>
        </w:rPr>
        <w:t xml:space="preserve"> 226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562-74.</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SANDS, M. F., OHTAKE, P. J., MAHAJAN, S. D., TAKYAR, S. S., AALINKEEL, R., FANG, Y. V., BLUME, J. W., MULLAN, B. A., SYKES, D. E., LACHINA, S., KNIGHT, P. R. &amp; SCHWARTZ, S. A. 2009. Tissue inhibitor of metalloproteinase-1 modulates allergic lung inflammation in murine asthma. </w:t>
      </w:r>
      <w:r w:rsidRPr="00277EC9">
        <w:rPr>
          <w:rFonts w:ascii="Calibri" w:eastAsia="Calibri" w:hAnsi="Calibri" w:cs="Calibri"/>
          <w:i/>
          <w:noProof/>
          <w:sz w:val="22"/>
          <w:szCs w:val="22"/>
          <w:lang w:val="en-US"/>
        </w:rPr>
        <w:t>Clinical Immunology,</w:t>
      </w:r>
      <w:r w:rsidRPr="00277EC9">
        <w:rPr>
          <w:rFonts w:ascii="Calibri" w:eastAsia="Calibri" w:hAnsi="Calibri" w:cs="Calibri"/>
          <w:noProof/>
          <w:sz w:val="22"/>
          <w:szCs w:val="22"/>
          <w:lang w:val="en-US"/>
        </w:rPr>
        <w:t xml:space="preserve"> 130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186-198.</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SCHLATZER, D. M., DAZARD, J.-E., DHARSEE, M., EWING, R. M., ILCHENKO, S., STEWART, I., CHRIST, G. &amp; CHANCE, M. R. 2009. Urinary protein profiles in a rat model for diabetic complications. </w:t>
      </w:r>
      <w:r w:rsidRPr="00277EC9">
        <w:rPr>
          <w:rFonts w:ascii="Calibri" w:eastAsia="Calibri" w:hAnsi="Calibri" w:cs="Calibri"/>
          <w:i/>
          <w:noProof/>
          <w:sz w:val="22"/>
          <w:szCs w:val="22"/>
          <w:lang w:val="en-US"/>
        </w:rPr>
        <w:t>Molecular &amp;amp; cellular proteomics : MCP,</w:t>
      </w:r>
      <w:r w:rsidRPr="00277EC9">
        <w:rPr>
          <w:rFonts w:ascii="Calibri" w:eastAsia="Calibri" w:hAnsi="Calibri" w:cs="Calibri"/>
          <w:noProof/>
          <w:sz w:val="22"/>
          <w:szCs w:val="22"/>
          <w:lang w:val="en-US"/>
        </w:rPr>
        <w:t xml:space="preserve"> 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2145.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SCHNELLMANN, R. G. 2001. Toxic responses of the kidney. </w:t>
      </w:r>
      <w:r w:rsidRPr="00277EC9">
        <w:rPr>
          <w:rFonts w:ascii="Calibri" w:eastAsia="Calibri" w:hAnsi="Calibri" w:cs="Calibri"/>
          <w:i/>
          <w:noProof/>
          <w:sz w:val="22"/>
          <w:szCs w:val="22"/>
          <w:lang w:val="en-US"/>
        </w:rPr>
        <w:t>Casarett and Doull’s toxicology: the basic science of poisons,</w:t>
      </w:r>
      <w:r w:rsidRPr="00277EC9">
        <w:rPr>
          <w:rFonts w:ascii="Calibri" w:eastAsia="Calibri" w:hAnsi="Calibri" w:cs="Calibri"/>
          <w:noProof/>
          <w:sz w:val="22"/>
          <w:szCs w:val="22"/>
          <w:lang w:val="en-US"/>
        </w:rPr>
        <w:t xml:space="preserve"> 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491-514.</w:t>
      </w:r>
    </w:p>
    <w:p w:rsidR="00FD561E" w:rsidRDefault="00FD561E" w:rsidP="00ED41C3">
      <w:pPr>
        <w:spacing w:after="0" w:line="240" w:lineRule="auto"/>
        <w:ind w:left="720"/>
        <w:jc w:val="left"/>
        <w:rPr>
          <w:rFonts w:ascii="Calibri" w:eastAsia="Calibri" w:hAnsi="Calibri" w:cs="Calibri"/>
          <w:noProof/>
          <w:sz w:val="22"/>
          <w:szCs w:val="22"/>
          <w:lang w:val="en-US"/>
        </w:rPr>
      </w:pPr>
    </w:p>
    <w:p w:rsidR="00FD561E" w:rsidRPr="00FD561E" w:rsidRDefault="00FD561E" w:rsidP="00FD561E">
      <w:pPr>
        <w:spacing w:after="0" w:line="240" w:lineRule="auto"/>
        <w:ind w:left="720"/>
        <w:jc w:val="left"/>
        <w:rPr>
          <w:rFonts w:ascii="Calibri" w:eastAsia="Calibri" w:hAnsi="Calibri" w:cs="Calibri"/>
          <w:noProof/>
          <w:sz w:val="22"/>
          <w:szCs w:val="22"/>
          <w:lang w:val="en-US"/>
        </w:rPr>
      </w:pPr>
      <w:r w:rsidRPr="00FD561E">
        <w:rPr>
          <w:rFonts w:ascii="Calibri" w:eastAsia="Calibri" w:hAnsi="Calibri" w:cs="Calibri"/>
          <w:noProof/>
          <w:sz w:val="22"/>
          <w:szCs w:val="22"/>
          <w:lang w:val="en-US"/>
        </w:rPr>
        <w:t xml:space="preserve">SCHROEDER, V., WILMER, M., BUEHLER, B. &amp; KOHLER, H. P. 2006. TAFI activity in coronary artery disease: a contribution to the current discussion on TAFI assays. </w:t>
      </w:r>
      <w:r w:rsidRPr="00FD561E">
        <w:rPr>
          <w:rFonts w:ascii="Calibri" w:eastAsia="Calibri" w:hAnsi="Calibri" w:cs="Calibri"/>
          <w:i/>
          <w:noProof/>
          <w:sz w:val="22"/>
          <w:szCs w:val="22"/>
          <w:lang w:val="en-US"/>
        </w:rPr>
        <w:t>Thromb Haemost,</w:t>
      </w:r>
      <w:r w:rsidRPr="00FD561E">
        <w:rPr>
          <w:rFonts w:ascii="Calibri" w:eastAsia="Calibri" w:hAnsi="Calibri" w:cs="Calibri"/>
          <w:noProof/>
          <w:sz w:val="22"/>
          <w:szCs w:val="22"/>
          <w:lang w:val="en-US"/>
        </w:rPr>
        <w:t xml:space="preserve"> 96</w:t>
      </w:r>
      <w:r w:rsidRPr="00FD561E">
        <w:rPr>
          <w:rFonts w:ascii="Calibri" w:eastAsia="Calibri" w:hAnsi="Calibri" w:cs="Calibri"/>
          <w:b/>
          <w:noProof/>
          <w:sz w:val="22"/>
          <w:szCs w:val="22"/>
          <w:lang w:val="en-US"/>
        </w:rPr>
        <w:t>,</w:t>
      </w:r>
      <w:r w:rsidRPr="00FD561E">
        <w:rPr>
          <w:rFonts w:ascii="Calibri" w:eastAsia="Calibri" w:hAnsi="Calibri" w:cs="Calibri"/>
          <w:noProof/>
          <w:sz w:val="22"/>
          <w:szCs w:val="22"/>
          <w:lang w:val="en-US"/>
        </w:rPr>
        <w:t xml:space="preserve"> 236-7.</w:t>
      </w:r>
    </w:p>
    <w:p w:rsidR="00ED41C3" w:rsidRPr="00277EC9" w:rsidRDefault="00ED41C3" w:rsidP="00FD561E">
      <w:pPr>
        <w:spacing w:after="0" w:line="240" w:lineRule="auto"/>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SCHROER, A. K. &amp; MERRYMAN, W. D. 2015. Mechanobiology of myofibroblast adhesion in fibrotic cardiac disease. </w:t>
      </w:r>
      <w:r w:rsidRPr="00277EC9">
        <w:rPr>
          <w:rFonts w:ascii="Calibri" w:eastAsia="Calibri" w:hAnsi="Calibri" w:cs="Calibri"/>
          <w:i/>
          <w:noProof/>
          <w:sz w:val="22"/>
          <w:szCs w:val="22"/>
          <w:lang w:val="en-US"/>
        </w:rPr>
        <w:t>Journal of Cell Science,</w:t>
      </w:r>
      <w:r w:rsidRPr="00277EC9">
        <w:rPr>
          <w:rFonts w:ascii="Calibri" w:eastAsia="Calibri" w:hAnsi="Calibri" w:cs="Calibri"/>
          <w:noProof/>
          <w:sz w:val="22"/>
          <w:szCs w:val="22"/>
          <w:lang w:val="en-US"/>
        </w:rPr>
        <w:t xml:space="preserve"> 128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1865-1875.</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SELMAN, M. 2002. From anti-inflammatory drugs through antifibrotic agents to lung transplantation - A long road of research, clinical attempts, and failures in the treatment of idiopathic pulmonary fibrosis. </w:t>
      </w:r>
      <w:r w:rsidRPr="00277EC9">
        <w:rPr>
          <w:rFonts w:ascii="Calibri" w:eastAsia="Calibri" w:hAnsi="Calibri" w:cs="Calibri"/>
          <w:i/>
          <w:noProof/>
          <w:sz w:val="22"/>
          <w:szCs w:val="22"/>
          <w:lang w:val="en-US"/>
        </w:rPr>
        <w:t>Chest,</w:t>
      </w:r>
      <w:r w:rsidRPr="00277EC9">
        <w:rPr>
          <w:rFonts w:ascii="Calibri" w:eastAsia="Calibri" w:hAnsi="Calibri" w:cs="Calibri"/>
          <w:noProof/>
          <w:sz w:val="22"/>
          <w:szCs w:val="22"/>
          <w:lang w:val="en-US"/>
        </w:rPr>
        <w:t xml:space="preserve"> 122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759-761.</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SENSENBACH, W. 1944. Effects of unilateral nephrectomy in treatment of hypertension: An evaluation. </w:t>
      </w:r>
      <w:r w:rsidRPr="00277EC9">
        <w:rPr>
          <w:rFonts w:ascii="Calibri" w:eastAsia="Calibri" w:hAnsi="Calibri" w:cs="Calibri"/>
          <w:i/>
          <w:noProof/>
          <w:sz w:val="22"/>
          <w:szCs w:val="22"/>
          <w:lang w:val="en-US"/>
        </w:rPr>
        <w:t>Archives of Internal Medicine,</w:t>
      </w:r>
      <w:r w:rsidRPr="00277EC9">
        <w:rPr>
          <w:rFonts w:ascii="Calibri" w:eastAsia="Calibri" w:hAnsi="Calibri" w:cs="Calibri"/>
          <w:noProof/>
          <w:sz w:val="22"/>
          <w:szCs w:val="22"/>
          <w:lang w:val="en-US"/>
        </w:rPr>
        <w:t xml:space="preserve"> 73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123-130.</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SHAIKH, S. &amp; NICHOLSON, L. F. B. 2008. Advanced glycation end products induce in vitro cross-linking of alpha-synuclein and accelerate the process of intracellular inclusion body formation. </w:t>
      </w:r>
      <w:r w:rsidRPr="00277EC9">
        <w:rPr>
          <w:rFonts w:ascii="Calibri" w:eastAsia="Calibri" w:hAnsi="Calibri" w:cs="Calibri"/>
          <w:i/>
          <w:noProof/>
          <w:sz w:val="22"/>
          <w:szCs w:val="22"/>
          <w:lang w:val="en-US"/>
        </w:rPr>
        <w:t>Journal of Neuroscience Research,</w:t>
      </w:r>
      <w:r w:rsidRPr="00277EC9">
        <w:rPr>
          <w:rFonts w:ascii="Calibri" w:eastAsia="Calibri" w:hAnsi="Calibri" w:cs="Calibri"/>
          <w:noProof/>
          <w:sz w:val="22"/>
          <w:szCs w:val="22"/>
          <w:lang w:val="en-US"/>
        </w:rPr>
        <w:t xml:space="preserve"> 86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2071-2082.</w:t>
      </w:r>
    </w:p>
    <w:p w:rsidR="00635000" w:rsidRDefault="00635000" w:rsidP="00ED41C3">
      <w:pPr>
        <w:spacing w:after="0" w:line="240" w:lineRule="auto"/>
        <w:ind w:left="720"/>
        <w:jc w:val="left"/>
        <w:rPr>
          <w:rFonts w:ascii="Calibri" w:eastAsia="Calibri" w:hAnsi="Calibri" w:cs="Calibri"/>
          <w:noProof/>
          <w:sz w:val="22"/>
          <w:szCs w:val="22"/>
          <w:lang w:val="en-US"/>
        </w:rPr>
      </w:pPr>
    </w:p>
    <w:p w:rsidR="00635000" w:rsidRPr="00635000" w:rsidRDefault="00635000" w:rsidP="00635000">
      <w:pPr>
        <w:spacing w:after="0" w:line="240" w:lineRule="auto"/>
        <w:ind w:left="720"/>
        <w:jc w:val="left"/>
        <w:rPr>
          <w:rFonts w:ascii="Calibri" w:eastAsia="Calibri" w:hAnsi="Calibri" w:cs="Calibri"/>
          <w:noProof/>
          <w:sz w:val="22"/>
          <w:szCs w:val="22"/>
          <w:lang w:val="en-US"/>
        </w:rPr>
      </w:pPr>
      <w:r w:rsidRPr="00635000">
        <w:rPr>
          <w:rFonts w:ascii="Calibri" w:eastAsia="Calibri" w:hAnsi="Calibri" w:cs="Calibri"/>
          <w:noProof/>
          <w:sz w:val="22"/>
          <w:szCs w:val="22"/>
          <w:lang w:val="en-US"/>
        </w:rPr>
        <w:t xml:space="preserve">SHARMA, S. K. &amp; CASTELLINO, F. J. 1990. The chemical synthesis of the chromogenic substrates HD-VAL-L-LEU-L-LYS-p-Nitroanilide (S2251) and HD-ILE-L-PRO-L-ARG-p-NITROANILIDE (S2288). </w:t>
      </w:r>
      <w:r w:rsidRPr="00635000">
        <w:rPr>
          <w:rFonts w:ascii="Calibri" w:eastAsia="Calibri" w:hAnsi="Calibri" w:cs="Calibri"/>
          <w:i/>
          <w:noProof/>
          <w:sz w:val="22"/>
          <w:szCs w:val="22"/>
          <w:lang w:val="en-US"/>
        </w:rPr>
        <w:t>Thrombosis research,</w:t>
      </w:r>
      <w:r w:rsidRPr="00635000">
        <w:rPr>
          <w:rFonts w:ascii="Calibri" w:eastAsia="Calibri" w:hAnsi="Calibri" w:cs="Calibri"/>
          <w:noProof/>
          <w:sz w:val="22"/>
          <w:szCs w:val="22"/>
          <w:lang w:val="en-US"/>
        </w:rPr>
        <w:t xml:space="preserve"> 57</w:t>
      </w:r>
      <w:r w:rsidRPr="00635000">
        <w:rPr>
          <w:rFonts w:ascii="Calibri" w:eastAsia="Calibri" w:hAnsi="Calibri" w:cs="Calibri"/>
          <w:b/>
          <w:noProof/>
          <w:sz w:val="22"/>
          <w:szCs w:val="22"/>
          <w:lang w:val="en-US"/>
        </w:rPr>
        <w:t>,</w:t>
      </w:r>
      <w:r w:rsidRPr="00635000">
        <w:rPr>
          <w:rFonts w:ascii="Calibri" w:eastAsia="Calibri" w:hAnsi="Calibri" w:cs="Calibri"/>
          <w:noProof/>
          <w:sz w:val="22"/>
          <w:szCs w:val="22"/>
          <w:lang w:val="en-US"/>
        </w:rPr>
        <w:t xml:space="preserve"> 127-138.</w:t>
      </w:r>
    </w:p>
    <w:p w:rsidR="00ED41C3" w:rsidRPr="00277EC9" w:rsidRDefault="00ED41C3" w:rsidP="00BD6F9E">
      <w:pPr>
        <w:spacing w:after="0" w:line="240" w:lineRule="auto"/>
        <w:jc w:val="left"/>
        <w:rPr>
          <w:rFonts w:ascii="Calibri" w:eastAsia="Calibri" w:hAnsi="Calibri" w:cs="Calibri"/>
          <w:noProof/>
          <w:sz w:val="22"/>
          <w:szCs w:val="22"/>
          <w:lang w:val="en-US"/>
        </w:rPr>
      </w:pPr>
    </w:p>
    <w:p w:rsidR="00B02242"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SHAW, J. E., SICREE, R. A. &amp; ZIMMET, P. Z. 2010. Global estimates of the prevalence of diabetes for 2010 and 2030. </w:t>
      </w:r>
      <w:r w:rsidRPr="00277EC9">
        <w:rPr>
          <w:rFonts w:ascii="Calibri" w:eastAsia="Calibri" w:hAnsi="Calibri" w:cs="Calibri"/>
          <w:i/>
          <w:noProof/>
          <w:sz w:val="22"/>
          <w:szCs w:val="22"/>
          <w:lang w:val="en-US"/>
        </w:rPr>
        <w:t>Diabetes Research and Clinical Practice,</w:t>
      </w:r>
      <w:r w:rsidRPr="00277EC9">
        <w:rPr>
          <w:rFonts w:ascii="Calibri" w:eastAsia="Calibri" w:hAnsi="Calibri" w:cs="Calibri"/>
          <w:noProof/>
          <w:sz w:val="22"/>
          <w:szCs w:val="22"/>
          <w:lang w:val="en-US"/>
        </w:rPr>
        <w:t xml:space="preserve"> 87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4-14.</w:t>
      </w:r>
    </w:p>
    <w:p w:rsidR="00BD6F9E" w:rsidRDefault="00BD6F9E" w:rsidP="00BD6F9E">
      <w:pPr>
        <w:spacing w:after="0" w:line="240" w:lineRule="auto"/>
        <w:ind w:left="720"/>
        <w:jc w:val="left"/>
        <w:rPr>
          <w:rFonts w:ascii="Calibri" w:eastAsia="Calibri" w:hAnsi="Calibri" w:cs="Calibri"/>
          <w:noProof/>
          <w:sz w:val="22"/>
          <w:szCs w:val="22"/>
          <w:lang w:val="en-US"/>
        </w:rPr>
      </w:pPr>
    </w:p>
    <w:p w:rsidR="00BD6F9E" w:rsidRPr="00277EC9" w:rsidRDefault="00BD6F9E" w:rsidP="00BD6F9E">
      <w:pPr>
        <w:spacing w:after="0" w:line="240" w:lineRule="auto"/>
        <w:ind w:left="720"/>
        <w:jc w:val="left"/>
        <w:rPr>
          <w:rFonts w:ascii="Calibri" w:eastAsia="Calibri" w:hAnsi="Calibri" w:cs="Calibri"/>
          <w:noProof/>
          <w:sz w:val="22"/>
          <w:szCs w:val="22"/>
          <w:lang w:val="en-US"/>
        </w:rPr>
      </w:pPr>
      <w:r w:rsidRPr="00BD6F9E">
        <w:rPr>
          <w:rFonts w:ascii="Calibri" w:eastAsia="Calibri" w:hAnsi="Calibri" w:cs="Calibri"/>
          <w:noProof/>
          <w:sz w:val="22"/>
          <w:szCs w:val="22"/>
          <w:lang w:val="en-US"/>
        </w:rPr>
        <w:t xml:space="preserve">SIMERVILLE, J. A., MAXTED, W. C. &amp; PAHIRA, J. J. 2005. Urinalysis: a comprehensive review. </w:t>
      </w:r>
      <w:r w:rsidRPr="00BD6F9E">
        <w:rPr>
          <w:rFonts w:ascii="Calibri" w:eastAsia="Calibri" w:hAnsi="Calibri" w:cs="Calibri"/>
          <w:i/>
          <w:noProof/>
          <w:sz w:val="22"/>
          <w:szCs w:val="22"/>
          <w:lang w:val="en-US"/>
        </w:rPr>
        <w:t>Am Fam Physician,</w:t>
      </w:r>
      <w:r w:rsidRPr="00BD6F9E">
        <w:rPr>
          <w:rFonts w:ascii="Calibri" w:eastAsia="Calibri" w:hAnsi="Calibri" w:cs="Calibri"/>
          <w:noProof/>
          <w:sz w:val="22"/>
          <w:szCs w:val="22"/>
          <w:lang w:val="en-US"/>
        </w:rPr>
        <w:t xml:space="preserve"> 71</w:t>
      </w:r>
      <w:r w:rsidRPr="00BD6F9E">
        <w:rPr>
          <w:rFonts w:ascii="Calibri" w:eastAsia="Calibri" w:hAnsi="Calibri" w:cs="Calibri"/>
          <w:b/>
          <w:noProof/>
          <w:sz w:val="22"/>
          <w:szCs w:val="22"/>
          <w:lang w:val="en-US"/>
        </w:rPr>
        <w:t>,</w:t>
      </w:r>
      <w:r w:rsidRPr="00BD6F9E">
        <w:rPr>
          <w:rFonts w:ascii="Calibri" w:eastAsia="Calibri" w:hAnsi="Calibri" w:cs="Calibri"/>
          <w:noProof/>
          <w:sz w:val="22"/>
          <w:szCs w:val="22"/>
          <w:lang w:val="en-US"/>
        </w:rPr>
        <w:t xml:space="preserve"> 1153-62.</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SINGH, A., FRIDEN, V., DASGUPTA, I., FOSTER, R. R., WELSH, G. I., TOOKE, J. E., HARALDSSON, B., MATHIESON, P. W. &amp; SATCHELL, S. C. 2011. High glucose causes dysfunction of the human glomerular endothelial glycocalyx. </w:t>
      </w:r>
      <w:r w:rsidRPr="00277EC9">
        <w:rPr>
          <w:rFonts w:ascii="Calibri" w:eastAsia="Calibri" w:hAnsi="Calibri" w:cs="Calibri"/>
          <w:i/>
          <w:noProof/>
          <w:sz w:val="22"/>
          <w:szCs w:val="22"/>
          <w:lang w:val="en-US"/>
        </w:rPr>
        <w:t>Am J Physiol Renal Physiol,</w:t>
      </w:r>
      <w:r w:rsidRPr="00277EC9">
        <w:rPr>
          <w:rFonts w:ascii="Calibri" w:eastAsia="Calibri" w:hAnsi="Calibri" w:cs="Calibri"/>
          <w:noProof/>
          <w:sz w:val="22"/>
          <w:szCs w:val="22"/>
          <w:lang w:val="en-US"/>
        </w:rPr>
        <w:t xml:space="preserve"> 300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F40-8.</w:t>
      </w:r>
    </w:p>
    <w:p w:rsidR="00ED41C3" w:rsidRPr="00277EC9" w:rsidRDefault="00ED41C3"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ED41C3">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SINGH, A., SATCHELL, S. C., NEAL, C. R., MCKENZIE, E. A., TOOKE, J. E. &amp; MATHIESON, P. W. 2007. Glomerular endothelial glycocalyx constitutes a barrier to protein permeability. </w:t>
      </w:r>
      <w:r w:rsidRPr="00277EC9">
        <w:rPr>
          <w:rFonts w:ascii="Calibri" w:eastAsia="Calibri" w:hAnsi="Calibri" w:cs="Calibri"/>
          <w:i/>
          <w:noProof/>
          <w:sz w:val="22"/>
          <w:szCs w:val="22"/>
          <w:lang w:val="en-US"/>
        </w:rPr>
        <w:t>J Am Soc Nephrol,</w:t>
      </w:r>
      <w:r w:rsidRPr="00277EC9">
        <w:rPr>
          <w:rFonts w:ascii="Calibri" w:eastAsia="Calibri" w:hAnsi="Calibri" w:cs="Calibri"/>
          <w:noProof/>
          <w:sz w:val="22"/>
          <w:szCs w:val="22"/>
          <w:lang w:val="en-US"/>
        </w:rPr>
        <w:t xml:space="preserve"> 18</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2885-93.</w:t>
      </w:r>
    </w:p>
    <w:p w:rsidR="003F60ED" w:rsidRPr="00277EC9" w:rsidRDefault="003F60ED" w:rsidP="00ED41C3">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SINGH, R., BARDEN, A., MORI, T. &amp; BEILIN, L. 2001. Advanced glycation end-products: a review. </w:t>
      </w:r>
      <w:r w:rsidRPr="00277EC9">
        <w:rPr>
          <w:rFonts w:ascii="Calibri" w:eastAsia="Calibri" w:hAnsi="Calibri" w:cs="Calibri"/>
          <w:i/>
          <w:noProof/>
          <w:sz w:val="22"/>
          <w:szCs w:val="22"/>
          <w:lang w:val="en-US"/>
        </w:rPr>
        <w:t>Diabetologia,</w:t>
      </w:r>
      <w:r w:rsidRPr="00277EC9">
        <w:rPr>
          <w:rFonts w:ascii="Calibri" w:eastAsia="Calibri" w:hAnsi="Calibri" w:cs="Calibri"/>
          <w:noProof/>
          <w:sz w:val="22"/>
          <w:szCs w:val="22"/>
          <w:lang w:val="en-US"/>
        </w:rPr>
        <w:t xml:space="preserve"> 44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129-146.</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SKILL, N. J., JOHNSON, T. S., COUTTS, I. G. C., SAINT, R. E., FISHER, M., HUANG, L. H., EL NAHAS, A. M., COLLIGHAN, R. J. &amp; GRIFFIN, M. 2004. Inhibition of transglutaminase activity reduces extracellular matrix accumulation induced by high glucose levels in proximal tubular epithelial cells. </w:t>
      </w:r>
      <w:r w:rsidRPr="00277EC9">
        <w:rPr>
          <w:rFonts w:ascii="Calibri" w:eastAsia="Calibri" w:hAnsi="Calibri" w:cs="Calibri"/>
          <w:i/>
          <w:noProof/>
          <w:sz w:val="22"/>
          <w:szCs w:val="22"/>
          <w:lang w:val="en-US"/>
        </w:rPr>
        <w:t>Journal of Biological Chemistry,</w:t>
      </w:r>
      <w:r w:rsidRPr="00277EC9">
        <w:rPr>
          <w:rFonts w:ascii="Calibri" w:eastAsia="Calibri" w:hAnsi="Calibri" w:cs="Calibri"/>
          <w:noProof/>
          <w:sz w:val="22"/>
          <w:szCs w:val="22"/>
          <w:lang w:val="en-US"/>
        </w:rPr>
        <w:t xml:space="preserve"> 279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47754-47762.</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SMITH, B., PEAKE, M. &amp; FRASER, C. 1977. Urinalysis by use of multi-test reagent strips: two dipsticks compared. </w:t>
      </w:r>
      <w:r w:rsidRPr="00277EC9">
        <w:rPr>
          <w:rFonts w:ascii="Calibri" w:eastAsia="Calibri" w:hAnsi="Calibri" w:cs="Calibri"/>
          <w:i/>
          <w:noProof/>
          <w:sz w:val="22"/>
          <w:szCs w:val="22"/>
          <w:lang w:val="en-US"/>
        </w:rPr>
        <w:t>Clinical chemistry,</w:t>
      </w:r>
      <w:r w:rsidRPr="00277EC9">
        <w:rPr>
          <w:rFonts w:ascii="Calibri" w:eastAsia="Calibri" w:hAnsi="Calibri" w:cs="Calibri"/>
          <w:noProof/>
          <w:sz w:val="22"/>
          <w:szCs w:val="22"/>
          <w:lang w:val="en-US"/>
        </w:rPr>
        <w:t xml:space="preserve"> 23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2337-2340.</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SNYDER, S. &amp; PENDERGRAPH, B. 2005. Detection and evaluation of chronic kidney disease. </w:t>
      </w:r>
      <w:r w:rsidRPr="00277EC9">
        <w:rPr>
          <w:rFonts w:ascii="Calibri" w:eastAsia="Calibri" w:hAnsi="Calibri" w:cs="Calibri"/>
          <w:i/>
          <w:noProof/>
          <w:sz w:val="22"/>
          <w:szCs w:val="22"/>
          <w:lang w:val="en-US"/>
        </w:rPr>
        <w:t>Interventions,</w:t>
      </w:r>
      <w:r w:rsidRPr="00277EC9">
        <w:rPr>
          <w:rFonts w:ascii="Calibri" w:eastAsia="Calibri" w:hAnsi="Calibri" w:cs="Calibri"/>
          <w:noProof/>
          <w:sz w:val="22"/>
          <w:szCs w:val="22"/>
          <w:lang w:val="en-US"/>
        </w:rPr>
        <w:t xml:space="preserve"> 100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24-25.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SONI, M. G., KIMURA, H. &amp; BURDOCK, G. A. 2001. Chronic study of diacylglycerol oil in rats. </w:t>
      </w:r>
      <w:r w:rsidRPr="00277EC9">
        <w:rPr>
          <w:rFonts w:ascii="Calibri" w:eastAsia="Calibri" w:hAnsi="Calibri" w:cs="Calibri"/>
          <w:i/>
          <w:noProof/>
          <w:sz w:val="22"/>
          <w:szCs w:val="22"/>
          <w:lang w:val="en-US"/>
        </w:rPr>
        <w:t>Food Chem Toxicol,</w:t>
      </w:r>
      <w:r w:rsidRPr="00277EC9">
        <w:rPr>
          <w:rFonts w:ascii="Calibri" w:eastAsia="Calibri" w:hAnsi="Calibri" w:cs="Calibri"/>
          <w:noProof/>
          <w:sz w:val="22"/>
          <w:szCs w:val="22"/>
          <w:lang w:val="en-US"/>
        </w:rPr>
        <w:t xml:space="preserve"> 39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317-29.</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SPRADLING, A., GANETSKY, B., HIETER, P., JOHNSTON, M., OLSON, M., ORR-WEAVER, T., ROSSANT, J., SANCHEZ, A. &amp; WATERSTON, R. 2006. New roles for model genetic organisms in understanding and treating human disease: report from the 2006 Genetics Society of America meeting. </w:t>
      </w:r>
      <w:r w:rsidRPr="00277EC9">
        <w:rPr>
          <w:rFonts w:ascii="Calibri" w:eastAsia="Calibri" w:hAnsi="Calibri" w:cs="Calibri"/>
          <w:i/>
          <w:noProof/>
          <w:sz w:val="22"/>
          <w:szCs w:val="22"/>
          <w:lang w:val="en-US"/>
        </w:rPr>
        <w:t>Genetics,</w:t>
      </w:r>
      <w:r w:rsidRPr="00277EC9">
        <w:rPr>
          <w:rFonts w:ascii="Calibri" w:eastAsia="Calibri" w:hAnsi="Calibri" w:cs="Calibri"/>
          <w:noProof/>
          <w:sz w:val="22"/>
          <w:szCs w:val="22"/>
          <w:lang w:val="en-US"/>
        </w:rPr>
        <w:t xml:space="preserve"> 172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2025-2032.</w:t>
      </w:r>
    </w:p>
    <w:p w:rsidR="00AB4CF3" w:rsidRDefault="00AB4CF3" w:rsidP="00AB4CF3">
      <w:pPr>
        <w:spacing w:after="0" w:line="240" w:lineRule="auto"/>
        <w:ind w:left="720"/>
        <w:jc w:val="left"/>
        <w:rPr>
          <w:rFonts w:ascii="Calibri" w:eastAsia="Calibri" w:hAnsi="Calibri" w:cs="Calibri"/>
          <w:noProof/>
          <w:color w:val="FF0000"/>
          <w:sz w:val="22"/>
          <w:szCs w:val="22"/>
          <w:lang w:val="en-US"/>
        </w:rPr>
      </w:pPr>
    </w:p>
    <w:p w:rsidR="00AB4CF3" w:rsidRPr="00AB4CF3" w:rsidRDefault="00AB4CF3" w:rsidP="00AB4CF3">
      <w:pPr>
        <w:spacing w:after="0" w:line="240" w:lineRule="auto"/>
        <w:ind w:left="720"/>
        <w:jc w:val="left"/>
        <w:rPr>
          <w:rFonts w:ascii="Calibri" w:eastAsia="Calibri" w:hAnsi="Calibri" w:cs="Calibri"/>
          <w:noProof/>
          <w:sz w:val="22"/>
          <w:szCs w:val="22"/>
          <w:lang w:val="en-US"/>
        </w:rPr>
      </w:pPr>
      <w:r w:rsidRPr="00AB4CF3">
        <w:rPr>
          <w:rFonts w:ascii="Calibri" w:eastAsia="Calibri" w:hAnsi="Calibri" w:cs="Calibri"/>
          <w:noProof/>
          <w:sz w:val="22"/>
          <w:szCs w:val="22"/>
          <w:lang w:val="en-US"/>
        </w:rPr>
        <w:t xml:space="preserve">STASKO, J., HUDECEK, J. &amp; KUBISZ, P. 2004. [Thrombin activatable fibrinolysis inhibitor (TAFI) and its importance in the regulation of fibrinolysis]. </w:t>
      </w:r>
      <w:r w:rsidRPr="00AB4CF3">
        <w:rPr>
          <w:rFonts w:ascii="Calibri" w:eastAsia="Calibri" w:hAnsi="Calibri" w:cs="Calibri"/>
          <w:i/>
          <w:noProof/>
          <w:sz w:val="22"/>
          <w:szCs w:val="22"/>
          <w:lang w:val="en-US"/>
        </w:rPr>
        <w:t>Vnitr Lek,</w:t>
      </w:r>
      <w:r w:rsidRPr="00AB4CF3">
        <w:rPr>
          <w:rFonts w:ascii="Calibri" w:eastAsia="Calibri" w:hAnsi="Calibri" w:cs="Calibri"/>
          <w:noProof/>
          <w:sz w:val="22"/>
          <w:szCs w:val="22"/>
          <w:lang w:val="en-US"/>
        </w:rPr>
        <w:t xml:space="preserve"> 50</w:t>
      </w:r>
      <w:r w:rsidRPr="00AB4CF3">
        <w:rPr>
          <w:rFonts w:ascii="Calibri" w:eastAsia="Calibri" w:hAnsi="Calibri" w:cs="Calibri"/>
          <w:b/>
          <w:noProof/>
          <w:sz w:val="22"/>
          <w:szCs w:val="22"/>
          <w:lang w:val="en-US"/>
        </w:rPr>
        <w:t>,</w:t>
      </w:r>
      <w:r w:rsidRPr="00AB4CF3">
        <w:rPr>
          <w:rFonts w:ascii="Calibri" w:eastAsia="Calibri" w:hAnsi="Calibri" w:cs="Calibri"/>
          <w:noProof/>
          <w:sz w:val="22"/>
          <w:szCs w:val="22"/>
          <w:lang w:val="en-US"/>
        </w:rPr>
        <w:t xml:space="preserve"> 36-44.</w:t>
      </w:r>
    </w:p>
    <w:p w:rsidR="003F60ED" w:rsidRPr="00277EC9" w:rsidRDefault="003F60ED" w:rsidP="00AB4CF3">
      <w:pPr>
        <w:spacing w:after="0" w:line="240" w:lineRule="auto"/>
        <w:jc w:val="left"/>
        <w:rPr>
          <w:rFonts w:ascii="Calibri" w:eastAsia="Calibri" w:hAnsi="Calibri" w:cs="Calibri"/>
          <w:noProof/>
          <w:sz w:val="22"/>
          <w:szCs w:val="22"/>
          <w:lang w:val="en-US"/>
        </w:rPr>
      </w:pPr>
    </w:p>
    <w:p w:rsidR="00B02242" w:rsidRPr="00277EC9" w:rsidRDefault="00B02242" w:rsidP="003F60ED">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STOPPELLI, M. P. 2013. The plasminogen activation system in cell invasion.</w:t>
      </w:r>
    </w:p>
    <w:p w:rsidR="003F60ED" w:rsidRPr="00277EC9" w:rsidRDefault="003F60ED" w:rsidP="003F60ED">
      <w:pPr>
        <w:spacing w:after="0" w:line="240" w:lineRule="auto"/>
        <w:ind w:firstLine="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SUGIYAMA, S., MIYATA, T., HORIE, K., IIDA, Y., TSUYUKI, M., TANAKA, H. &amp; MAEDA, K. 1996. Advanced glycation end-products in diabetic nephropathy. </w:t>
      </w:r>
      <w:r w:rsidRPr="00277EC9">
        <w:rPr>
          <w:rFonts w:ascii="Calibri" w:eastAsia="Calibri" w:hAnsi="Calibri" w:cs="Calibri"/>
          <w:i/>
          <w:noProof/>
          <w:sz w:val="22"/>
          <w:szCs w:val="22"/>
          <w:lang w:val="en-US"/>
        </w:rPr>
        <w:t>Nephrology Dialysis Transplantation,</w:t>
      </w:r>
      <w:r w:rsidRPr="00277EC9">
        <w:rPr>
          <w:rFonts w:ascii="Calibri" w:eastAsia="Calibri" w:hAnsi="Calibri" w:cs="Calibri"/>
          <w:noProof/>
          <w:sz w:val="22"/>
          <w:szCs w:val="22"/>
          <w:lang w:val="en-US"/>
        </w:rPr>
        <w:t xml:space="preserve"> 11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91-94.</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SUH, J. H. &amp; MINER, J. H. 2013. The Glomerular Basement Membrane as a Barrier to Albumin. </w:t>
      </w:r>
      <w:r w:rsidRPr="00277EC9">
        <w:rPr>
          <w:rFonts w:ascii="Calibri" w:eastAsia="Calibri" w:hAnsi="Calibri" w:cs="Calibri"/>
          <w:i/>
          <w:noProof/>
          <w:sz w:val="22"/>
          <w:szCs w:val="22"/>
          <w:lang w:val="en-US"/>
        </w:rPr>
        <w:t>Nature reviews. Nephrology,</w:t>
      </w:r>
      <w:r w:rsidRPr="00277EC9">
        <w:rPr>
          <w:rFonts w:ascii="Calibri" w:eastAsia="Calibri" w:hAnsi="Calibri" w:cs="Calibri"/>
          <w:noProof/>
          <w:sz w:val="22"/>
          <w:szCs w:val="22"/>
          <w:lang w:val="en-US"/>
        </w:rPr>
        <w:t xml:space="preserve"> 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10.1038/nrneph.2013.109.</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SUMI, H., KOZAKI, Y., YATAGI, C. &amp; HAMADA, H. 1998. Effects of wine on plasma fibrinolytic and coagulation systems. </w:t>
      </w:r>
      <w:r w:rsidRPr="00277EC9">
        <w:rPr>
          <w:rFonts w:ascii="Calibri" w:eastAsia="Calibri" w:hAnsi="Calibri" w:cs="Calibri"/>
          <w:i/>
          <w:noProof/>
          <w:sz w:val="22"/>
          <w:szCs w:val="22"/>
          <w:lang w:val="en-US"/>
        </w:rPr>
        <w:t>Japanese Journal of Alcohol Studies and Drug Dependence,</w:t>
      </w:r>
      <w:r w:rsidRPr="00277EC9">
        <w:rPr>
          <w:rFonts w:ascii="Calibri" w:eastAsia="Calibri" w:hAnsi="Calibri" w:cs="Calibri"/>
          <w:noProof/>
          <w:sz w:val="22"/>
          <w:szCs w:val="22"/>
          <w:lang w:val="en-US"/>
        </w:rPr>
        <w:t xml:space="preserve"> 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263-272.</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TABISH, S. A. 2007. Is Diabetes Becoming the Biggest Epidemic of the Twenty-first Century? </w:t>
      </w:r>
      <w:r w:rsidRPr="00277EC9">
        <w:rPr>
          <w:rFonts w:ascii="Calibri" w:eastAsia="Calibri" w:hAnsi="Calibri" w:cs="Calibri"/>
          <w:i/>
          <w:noProof/>
          <w:sz w:val="22"/>
          <w:szCs w:val="22"/>
          <w:lang w:val="en-US"/>
        </w:rPr>
        <w:t>International journal of health sciences,</w:t>
      </w:r>
      <w:r w:rsidRPr="00277EC9">
        <w:rPr>
          <w:rFonts w:ascii="Calibri" w:eastAsia="Calibri" w:hAnsi="Calibri" w:cs="Calibri"/>
          <w:noProof/>
          <w:sz w:val="22"/>
          <w:szCs w:val="22"/>
          <w:lang w:val="en-US"/>
        </w:rPr>
        <w:t xml:space="preserve"> 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V-VIII.</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TAN, G., LEWIS, A., JAMES, T., ALTMANN, P., TAYLOR, R. &amp; LEVY, J. 2002. Clinical usefulness of cystatin C for the estimation of glomerular filtration rate in type 1 diabetes. </w:t>
      </w:r>
      <w:r w:rsidRPr="00277EC9">
        <w:rPr>
          <w:rFonts w:ascii="Calibri" w:eastAsia="Calibri" w:hAnsi="Calibri" w:cs="Calibri"/>
          <w:i/>
          <w:noProof/>
          <w:sz w:val="22"/>
          <w:szCs w:val="22"/>
          <w:lang w:val="en-US"/>
        </w:rPr>
        <w:t>Diabetes care,</w:t>
      </w:r>
      <w:r w:rsidRPr="00277EC9">
        <w:rPr>
          <w:rFonts w:ascii="Calibri" w:eastAsia="Calibri" w:hAnsi="Calibri" w:cs="Calibri"/>
          <w:noProof/>
          <w:sz w:val="22"/>
          <w:szCs w:val="22"/>
          <w:lang w:val="en-US"/>
        </w:rPr>
        <w:t xml:space="preserve"> 25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2004-2009.</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TAYLOR, K. R. &amp; GALLO, R. L. 2006. Glycosaminoglycans and their proteoglycans: host-associated molecular patterns for initiation and modulation of inflammation. </w:t>
      </w:r>
      <w:r w:rsidRPr="00277EC9">
        <w:rPr>
          <w:rFonts w:ascii="Calibri" w:eastAsia="Calibri" w:hAnsi="Calibri" w:cs="Calibri"/>
          <w:i/>
          <w:noProof/>
          <w:sz w:val="22"/>
          <w:szCs w:val="22"/>
          <w:lang w:val="en-US"/>
        </w:rPr>
        <w:t>Faseb j,</w:t>
      </w:r>
      <w:r w:rsidRPr="00277EC9">
        <w:rPr>
          <w:rFonts w:ascii="Calibri" w:eastAsia="Calibri" w:hAnsi="Calibri" w:cs="Calibri"/>
          <w:noProof/>
          <w:sz w:val="22"/>
          <w:szCs w:val="22"/>
          <w:lang w:val="en-US"/>
        </w:rPr>
        <w:t xml:space="preserve"> 20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9-22.</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TENCER, J., TORFFVIT, O., GRUBB, A., BJORNSSON, S., THYSELL, H. &amp; RIPPE, B. 1997. Decreased excretion of urine glycosaminoglycans as marker in renal amyloidosis. </w:t>
      </w:r>
      <w:r w:rsidRPr="00277EC9">
        <w:rPr>
          <w:rFonts w:ascii="Calibri" w:eastAsia="Calibri" w:hAnsi="Calibri" w:cs="Calibri"/>
          <w:i/>
          <w:noProof/>
          <w:sz w:val="22"/>
          <w:szCs w:val="22"/>
          <w:lang w:val="en-US"/>
        </w:rPr>
        <w:t>Nephrol Dial Transplant,</w:t>
      </w:r>
      <w:r w:rsidRPr="00277EC9">
        <w:rPr>
          <w:rFonts w:ascii="Calibri" w:eastAsia="Calibri" w:hAnsi="Calibri" w:cs="Calibri"/>
          <w:noProof/>
          <w:sz w:val="22"/>
          <w:szCs w:val="22"/>
          <w:lang w:val="en-US"/>
        </w:rPr>
        <w:t xml:space="preserve"> 12</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1161-6.</w:t>
      </w:r>
    </w:p>
    <w:p w:rsidR="00EA14FC" w:rsidRDefault="00EA14FC" w:rsidP="003F60ED">
      <w:pPr>
        <w:spacing w:after="0" w:line="240" w:lineRule="auto"/>
        <w:ind w:left="720"/>
        <w:jc w:val="left"/>
        <w:rPr>
          <w:rFonts w:ascii="Calibri" w:eastAsia="Calibri" w:hAnsi="Calibri" w:cs="Calibri"/>
          <w:noProof/>
          <w:sz w:val="22"/>
          <w:szCs w:val="22"/>
          <w:lang w:val="en-US"/>
        </w:rPr>
      </w:pPr>
    </w:p>
    <w:p w:rsidR="00CB2600" w:rsidRPr="00EA14FC" w:rsidRDefault="00EA14FC" w:rsidP="00EA14FC">
      <w:pPr>
        <w:spacing w:after="0" w:line="240" w:lineRule="auto"/>
        <w:ind w:left="720"/>
        <w:jc w:val="left"/>
        <w:rPr>
          <w:rFonts w:ascii="Calibri" w:eastAsia="Calibri" w:hAnsi="Calibri" w:cs="Calibri"/>
          <w:noProof/>
          <w:sz w:val="22"/>
          <w:szCs w:val="22"/>
          <w:lang w:val="en-US"/>
        </w:rPr>
      </w:pPr>
      <w:r w:rsidRPr="00EA14FC">
        <w:rPr>
          <w:rFonts w:ascii="Calibri" w:eastAsia="Calibri" w:hAnsi="Calibri" w:cs="Calibri"/>
          <w:noProof/>
          <w:sz w:val="22"/>
          <w:szCs w:val="22"/>
          <w:lang w:val="en-US"/>
        </w:rPr>
        <w:fldChar w:fldCharType="begin"/>
      </w:r>
      <w:r w:rsidR="00CB2600" w:rsidRPr="00EA14FC">
        <w:rPr>
          <w:rFonts w:ascii="Calibri" w:eastAsia="Calibri" w:hAnsi="Calibri" w:cs="Calibri"/>
          <w:noProof/>
          <w:sz w:val="22"/>
          <w:szCs w:val="22"/>
          <w:lang w:val="en-US"/>
        </w:rPr>
        <w:instrText xml:space="preserve"> ADDIN EN.REFLIST </w:instrText>
      </w:r>
      <w:r w:rsidRPr="00EA14FC">
        <w:rPr>
          <w:rFonts w:ascii="Calibri" w:eastAsia="Calibri" w:hAnsi="Calibri" w:cs="Calibri"/>
          <w:noProof/>
          <w:sz w:val="22"/>
          <w:szCs w:val="22"/>
          <w:lang w:val="en-US"/>
        </w:rPr>
        <w:fldChar w:fldCharType="separate"/>
      </w:r>
      <w:r w:rsidR="00CB2600" w:rsidRPr="00EA14FC">
        <w:rPr>
          <w:rFonts w:ascii="Calibri" w:eastAsia="Calibri" w:hAnsi="Calibri" w:cs="Calibri"/>
          <w:noProof/>
          <w:sz w:val="22"/>
          <w:szCs w:val="22"/>
          <w:lang w:val="en-US"/>
        </w:rPr>
        <w:t xml:space="preserve">TESCH, G. H. &amp; ALLEN, T. J. 2007. Rodent models of streptozotocin‐induced diabetic nephropathy (Methods in Renal Research). </w:t>
      </w:r>
      <w:r w:rsidR="00CB2600" w:rsidRPr="00EA14FC">
        <w:rPr>
          <w:rFonts w:ascii="Calibri" w:eastAsia="Calibri" w:hAnsi="Calibri" w:cs="Calibri"/>
          <w:i/>
          <w:noProof/>
          <w:sz w:val="22"/>
          <w:szCs w:val="22"/>
          <w:lang w:val="en-US"/>
        </w:rPr>
        <w:t>Nephrology,</w:t>
      </w:r>
      <w:r w:rsidR="00CB2600" w:rsidRPr="00EA14FC">
        <w:rPr>
          <w:rFonts w:ascii="Calibri" w:eastAsia="Calibri" w:hAnsi="Calibri" w:cs="Calibri"/>
          <w:noProof/>
          <w:sz w:val="22"/>
          <w:szCs w:val="22"/>
          <w:lang w:val="en-US"/>
        </w:rPr>
        <w:t xml:space="preserve"> 12</w:t>
      </w:r>
      <w:r w:rsidR="00CB2600" w:rsidRPr="00EA14FC">
        <w:rPr>
          <w:rFonts w:ascii="Calibri" w:eastAsia="Calibri" w:hAnsi="Calibri" w:cs="Calibri"/>
          <w:b/>
          <w:noProof/>
          <w:sz w:val="22"/>
          <w:szCs w:val="22"/>
          <w:lang w:val="en-US"/>
        </w:rPr>
        <w:t>,</w:t>
      </w:r>
      <w:r w:rsidR="00CB2600" w:rsidRPr="00EA14FC">
        <w:rPr>
          <w:rFonts w:ascii="Calibri" w:eastAsia="Calibri" w:hAnsi="Calibri" w:cs="Calibri"/>
          <w:noProof/>
          <w:sz w:val="22"/>
          <w:szCs w:val="22"/>
          <w:lang w:val="en-US"/>
        </w:rPr>
        <w:t xml:space="preserve"> 261-266.</w:t>
      </w:r>
    </w:p>
    <w:p w:rsidR="00641E35" w:rsidRPr="00EA14FC" w:rsidRDefault="00EA14FC" w:rsidP="00EA14FC">
      <w:pPr>
        <w:spacing w:after="0" w:line="240" w:lineRule="auto"/>
        <w:ind w:left="720"/>
        <w:jc w:val="left"/>
        <w:rPr>
          <w:rFonts w:ascii="Calibri" w:eastAsia="Calibri" w:hAnsi="Calibri" w:cs="Calibri"/>
          <w:noProof/>
          <w:sz w:val="22"/>
          <w:szCs w:val="22"/>
          <w:lang w:val="en-US"/>
        </w:rPr>
      </w:pPr>
      <w:r w:rsidRPr="00EA14FC">
        <w:rPr>
          <w:rFonts w:ascii="Calibri" w:eastAsia="Calibri" w:hAnsi="Calibri" w:cs="Calibri"/>
          <w:noProof/>
          <w:sz w:val="22"/>
          <w:szCs w:val="22"/>
          <w:lang w:val="en-US"/>
        </w:rPr>
        <w:fldChar w:fldCharType="end"/>
      </w:r>
    </w:p>
    <w:p w:rsidR="00641E35" w:rsidRPr="00641E35" w:rsidRDefault="00641E35" w:rsidP="00641E35">
      <w:pPr>
        <w:spacing w:after="0" w:line="240" w:lineRule="auto"/>
        <w:ind w:left="720"/>
        <w:jc w:val="left"/>
        <w:rPr>
          <w:rFonts w:ascii="Calibri" w:hAnsi="Calibri" w:cs="Calibri"/>
          <w:noProof/>
          <w:sz w:val="22"/>
          <w:szCs w:val="22"/>
          <w:lang w:val="en-US"/>
        </w:rPr>
      </w:pPr>
      <w:r w:rsidRPr="00641E35">
        <w:rPr>
          <w:rFonts w:ascii="Calibri" w:eastAsia="Calibri" w:hAnsi="Calibri" w:cs="Calibri"/>
          <w:noProof/>
          <w:sz w:val="22"/>
          <w:szCs w:val="22"/>
          <w:lang w:val="en-US"/>
        </w:rPr>
        <w:t xml:space="preserve">THELWELL, C. &amp; LONGSTAFF, C. 2007. The regulation by fibrinogen and fibrin of tissue plasminogen activator kinetics and inhibition by plasminogen activator inhibitor 1. </w:t>
      </w:r>
      <w:r w:rsidRPr="00641E35">
        <w:rPr>
          <w:rFonts w:ascii="Calibri" w:eastAsia="Calibri" w:hAnsi="Calibri" w:cs="Calibri"/>
          <w:i/>
          <w:noProof/>
          <w:sz w:val="22"/>
          <w:szCs w:val="22"/>
          <w:lang w:val="en-US"/>
        </w:rPr>
        <w:t>Journal of Thrombosis and Haemostasis,</w:t>
      </w:r>
      <w:r w:rsidRPr="00641E35">
        <w:rPr>
          <w:rFonts w:ascii="Calibri" w:eastAsia="Calibri" w:hAnsi="Calibri" w:cs="Calibri"/>
          <w:noProof/>
          <w:sz w:val="22"/>
          <w:szCs w:val="22"/>
          <w:lang w:val="en-US"/>
        </w:rPr>
        <w:t xml:space="preserve"> 5</w:t>
      </w:r>
      <w:r w:rsidRPr="00641E35">
        <w:rPr>
          <w:rFonts w:ascii="Calibri" w:eastAsia="Calibri" w:hAnsi="Calibri" w:cs="Calibri"/>
          <w:b/>
          <w:noProof/>
          <w:sz w:val="22"/>
          <w:szCs w:val="22"/>
          <w:lang w:val="en-US"/>
        </w:rPr>
        <w:t>,</w:t>
      </w:r>
      <w:r w:rsidRPr="00641E35">
        <w:rPr>
          <w:rFonts w:ascii="Calibri" w:eastAsia="Calibri" w:hAnsi="Calibri" w:cs="Calibri"/>
          <w:noProof/>
          <w:sz w:val="22"/>
          <w:szCs w:val="22"/>
          <w:lang w:val="en-US"/>
        </w:rPr>
        <w:t xml:space="preserve"> 804-811.</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firstLine="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TITFORD, M. 2005. The long history of hematoxylin. </w:t>
      </w:r>
      <w:r w:rsidRPr="00277EC9">
        <w:rPr>
          <w:rFonts w:ascii="Calibri" w:eastAsia="Calibri" w:hAnsi="Calibri" w:cs="Calibri"/>
          <w:i/>
          <w:noProof/>
          <w:sz w:val="22"/>
          <w:szCs w:val="22"/>
          <w:lang w:val="en-US"/>
        </w:rPr>
        <w:t>Biotech Histochem,</w:t>
      </w:r>
      <w:r w:rsidRPr="00277EC9">
        <w:rPr>
          <w:rFonts w:ascii="Calibri" w:eastAsia="Calibri" w:hAnsi="Calibri" w:cs="Calibri"/>
          <w:noProof/>
          <w:sz w:val="22"/>
          <w:szCs w:val="22"/>
          <w:lang w:val="en-US"/>
        </w:rPr>
        <w:t xml:space="preserve"> 80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73-8.</w:t>
      </w:r>
    </w:p>
    <w:p w:rsidR="003F60ED" w:rsidRPr="00277EC9" w:rsidRDefault="003F60ED" w:rsidP="003F60ED">
      <w:pPr>
        <w:spacing w:after="0" w:line="240" w:lineRule="auto"/>
        <w:ind w:firstLine="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lastRenderedPageBreak/>
        <w:t xml:space="preserve">TORFFVIT, O. 1999. Urinary sulphated glycosaminoglycans and Tamm-Horsfall protein in type 1 diabetic patients. </w:t>
      </w:r>
      <w:r w:rsidRPr="00277EC9">
        <w:rPr>
          <w:rFonts w:ascii="Calibri" w:eastAsia="Calibri" w:hAnsi="Calibri" w:cs="Calibri"/>
          <w:i/>
          <w:noProof/>
          <w:sz w:val="22"/>
          <w:szCs w:val="22"/>
          <w:lang w:val="en-US"/>
        </w:rPr>
        <w:t>Scand J Urol Nephrol,</w:t>
      </w:r>
      <w:r w:rsidRPr="00277EC9">
        <w:rPr>
          <w:rFonts w:ascii="Calibri" w:eastAsia="Calibri" w:hAnsi="Calibri" w:cs="Calibri"/>
          <w:noProof/>
          <w:sz w:val="22"/>
          <w:szCs w:val="22"/>
          <w:lang w:val="en-US"/>
        </w:rPr>
        <w:t xml:space="preserve"> 33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328-32.</w:t>
      </w:r>
    </w:p>
    <w:p w:rsidR="00C16A97" w:rsidRDefault="00C16A97" w:rsidP="003F60ED">
      <w:pPr>
        <w:spacing w:after="0" w:line="240" w:lineRule="auto"/>
        <w:ind w:left="720"/>
        <w:jc w:val="left"/>
        <w:rPr>
          <w:rFonts w:ascii="Calibri" w:eastAsia="Calibri" w:hAnsi="Calibri" w:cs="Calibri"/>
          <w:noProof/>
          <w:sz w:val="22"/>
          <w:szCs w:val="22"/>
          <w:lang w:val="en-US"/>
        </w:rPr>
      </w:pPr>
    </w:p>
    <w:p w:rsidR="00C16A97" w:rsidRDefault="00C16A97" w:rsidP="00C16A97">
      <w:pPr>
        <w:spacing w:after="0" w:line="240" w:lineRule="auto"/>
        <w:ind w:left="720"/>
        <w:jc w:val="left"/>
        <w:rPr>
          <w:rFonts w:ascii="Calibri" w:eastAsia="Calibri" w:hAnsi="Calibri" w:cs="Calibri"/>
          <w:noProof/>
          <w:sz w:val="22"/>
          <w:szCs w:val="22"/>
          <w:lang w:val="en-US"/>
        </w:rPr>
      </w:pPr>
      <w:r w:rsidRPr="00C16A97">
        <w:rPr>
          <w:rFonts w:ascii="Calibri" w:eastAsia="Calibri" w:hAnsi="Calibri" w:cs="Calibri"/>
          <w:noProof/>
          <w:sz w:val="22"/>
          <w:szCs w:val="22"/>
          <w:lang w:val="en-US"/>
        </w:rPr>
        <w:t xml:space="preserve">TORIIHARA, A., KITAZUME, Y., NISHIDA, H., KUBOTA, K., NAKADATE, M. &amp; TATEISHI, U. 2015. Comparison of FDG-PET/CT images between chronic renal failure patients on hemodialysis and controls. </w:t>
      </w:r>
      <w:r w:rsidRPr="00C16A97">
        <w:rPr>
          <w:rFonts w:ascii="Calibri" w:eastAsia="Calibri" w:hAnsi="Calibri" w:cs="Calibri"/>
          <w:i/>
          <w:noProof/>
          <w:sz w:val="22"/>
          <w:szCs w:val="22"/>
          <w:lang w:val="en-US"/>
        </w:rPr>
        <w:t>American journal of nuclear medicine and molecular imaging,</w:t>
      </w:r>
      <w:r w:rsidRPr="00C16A97">
        <w:rPr>
          <w:rFonts w:ascii="Calibri" w:eastAsia="Calibri" w:hAnsi="Calibri" w:cs="Calibri"/>
          <w:noProof/>
          <w:sz w:val="22"/>
          <w:szCs w:val="22"/>
          <w:lang w:val="en-US"/>
        </w:rPr>
        <w:t xml:space="preserve"> 5</w:t>
      </w:r>
      <w:r w:rsidRPr="00C16A97">
        <w:rPr>
          <w:rFonts w:ascii="Calibri" w:eastAsia="Calibri" w:hAnsi="Calibri" w:cs="Calibri"/>
          <w:b/>
          <w:noProof/>
          <w:sz w:val="22"/>
          <w:szCs w:val="22"/>
          <w:lang w:val="en-US"/>
        </w:rPr>
        <w:t>,</w:t>
      </w:r>
      <w:r w:rsidRPr="00C16A97">
        <w:rPr>
          <w:rFonts w:ascii="Calibri" w:eastAsia="Calibri" w:hAnsi="Calibri" w:cs="Calibri"/>
          <w:noProof/>
          <w:sz w:val="22"/>
          <w:szCs w:val="22"/>
          <w:lang w:val="en-US"/>
        </w:rPr>
        <w:t xml:space="preserve"> 204.</w:t>
      </w:r>
    </w:p>
    <w:p w:rsidR="009D109F" w:rsidRDefault="009D109F" w:rsidP="009D109F">
      <w:pPr>
        <w:spacing w:after="0" w:line="240" w:lineRule="auto"/>
        <w:ind w:left="720"/>
        <w:jc w:val="left"/>
        <w:rPr>
          <w:rFonts w:ascii="Calibri" w:eastAsia="Calibri" w:hAnsi="Calibri" w:cs="Calibri"/>
          <w:noProof/>
          <w:sz w:val="22"/>
          <w:szCs w:val="22"/>
          <w:lang w:val="en-US"/>
        </w:rPr>
      </w:pPr>
    </w:p>
    <w:p w:rsidR="009D109F" w:rsidRPr="009D109F" w:rsidRDefault="009D109F" w:rsidP="009D109F">
      <w:pPr>
        <w:spacing w:after="0" w:line="240" w:lineRule="auto"/>
        <w:ind w:left="720"/>
        <w:jc w:val="left"/>
        <w:rPr>
          <w:rFonts w:ascii="Calibri" w:eastAsia="Calibri" w:hAnsi="Calibri" w:cs="Calibri"/>
          <w:noProof/>
          <w:sz w:val="22"/>
          <w:szCs w:val="22"/>
          <w:lang w:val="en-US"/>
        </w:rPr>
      </w:pPr>
      <w:r w:rsidRPr="009D109F">
        <w:rPr>
          <w:rFonts w:ascii="Calibri" w:eastAsia="Calibri" w:hAnsi="Calibri" w:cs="Calibri"/>
          <w:noProof/>
          <w:sz w:val="22"/>
          <w:szCs w:val="22"/>
          <w:lang w:val="en-US"/>
        </w:rPr>
        <w:t xml:space="preserve">TUTTLE, K. R. 2005. Linking metabolism and immunology: diabetic nephropathy is an inflammatory disease. </w:t>
      </w:r>
      <w:r w:rsidRPr="009D109F">
        <w:rPr>
          <w:rFonts w:ascii="Calibri" w:eastAsia="Calibri" w:hAnsi="Calibri" w:cs="Calibri"/>
          <w:i/>
          <w:noProof/>
          <w:sz w:val="22"/>
          <w:szCs w:val="22"/>
          <w:lang w:val="en-US"/>
        </w:rPr>
        <w:t>Journal of the American Society of Nephrology,</w:t>
      </w:r>
      <w:r w:rsidRPr="009D109F">
        <w:rPr>
          <w:rFonts w:ascii="Calibri" w:eastAsia="Calibri" w:hAnsi="Calibri" w:cs="Calibri"/>
          <w:noProof/>
          <w:sz w:val="22"/>
          <w:szCs w:val="22"/>
          <w:lang w:val="en-US"/>
        </w:rPr>
        <w:t xml:space="preserve"> 16</w:t>
      </w:r>
      <w:r w:rsidRPr="009D109F">
        <w:rPr>
          <w:rFonts w:ascii="Calibri" w:eastAsia="Calibri" w:hAnsi="Calibri" w:cs="Calibri"/>
          <w:b/>
          <w:noProof/>
          <w:sz w:val="22"/>
          <w:szCs w:val="22"/>
          <w:lang w:val="en-US"/>
        </w:rPr>
        <w:t>,</w:t>
      </w:r>
      <w:r w:rsidRPr="009D109F">
        <w:rPr>
          <w:rFonts w:ascii="Calibri" w:eastAsia="Calibri" w:hAnsi="Calibri" w:cs="Calibri"/>
          <w:noProof/>
          <w:sz w:val="22"/>
          <w:szCs w:val="22"/>
          <w:lang w:val="en-US"/>
        </w:rPr>
        <w:t xml:space="preserve"> 1537-1538.</w:t>
      </w:r>
    </w:p>
    <w:p w:rsidR="009D109F" w:rsidRPr="00C16A97" w:rsidRDefault="009D109F" w:rsidP="00C16A97">
      <w:pPr>
        <w:spacing w:after="0" w:line="240" w:lineRule="auto"/>
        <w:ind w:left="720"/>
        <w:jc w:val="left"/>
        <w:rPr>
          <w:rFonts w:ascii="Calibri" w:eastAsia="Calibri" w:hAnsi="Calibri" w:cs="Calibri"/>
          <w:noProof/>
          <w:sz w:val="22"/>
          <w:szCs w:val="22"/>
          <w:lang w:val="en-US"/>
        </w:rPr>
      </w:pPr>
    </w:p>
    <w:p w:rsidR="00F43524" w:rsidRPr="00277EC9" w:rsidRDefault="00F43524"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UETA, I., TAKAMATSU, K. &amp; HASHIMOTO, K. 1995. [Urinary glycosaminoglycans in patients with incipient diabetic nephropathy]. </w:t>
      </w:r>
      <w:r w:rsidRPr="00277EC9">
        <w:rPr>
          <w:rFonts w:ascii="Calibri" w:eastAsia="Calibri" w:hAnsi="Calibri" w:cs="Calibri"/>
          <w:i/>
          <w:noProof/>
          <w:sz w:val="22"/>
          <w:szCs w:val="22"/>
          <w:lang w:val="en-US"/>
        </w:rPr>
        <w:t>Nihon Jinzo Gakkai Shi,</w:t>
      </w:r>
      <w:r w:rsidRPr="00277EC9">
        <w:rPr>
          <w:rFonts w:ascii="Calibri" w:eastAsia="Calibri" w:hAnsi="Calibri" w:cs="Calibri"/>
          <w:noProof/>
          <w:sz w:val="22"/>
          <w:szCs w:val="22"/>
          <w:lang w:val="en-US"/>
        </w:rPr>
        <w:t xml:space="preserve"> 37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17-23.</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VADIVELU, N., MITRA, S., SCHERMER, E., KODUMUDI, V., KAYE, A. D. &amp; URMAN, R. D. 2014. Preventive analgesia for postoperative pain control: a broader concept. </w:t>
      </w:r>
      <w:r w:rsidRPr="00277EC9">
        <w:rPr>
          <w:rFonts w:ascii="Calibri" w:eastAsia="Calibri" w:hAnsi="Calibri" w:cs="Calibri"/>
          <w:i/>
          <w:noProof/>
          <w:sz w:val="22"/>
          <w:szCs w:val="22"/>
          <w:lang w:val="en-US"/>
        </w:rPr>
        <w:t>Local and Regional Anesthesia,</w:t>
      </w:r>
      <w:r w:rsidRPr="00277EC9">
        <w:rPr>
          <w:rFonts w:ascii="Calibri" w:eastAsia="Calibri" w:hAnsi="Calibri" w:cs="Calibri"/>
          <w:noProof/>
          <w:sz w:val="22"/>
          <w:szCs w:val="22"/>
          <w:lang w:val="en-US"/>
        </w:rPr>
        <w:t xml:space="preserve"> 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17-22.</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VAN LIEW, J. B., ZAMLAUSKI-TUCKER, M. J. &amp; FELD, L. G. 1993. Endogenous creatinine clearance in the rat: strain variation. </w:t>
      </w:r>
      <w:r w:rsidRPr="00277EC9">
        <w:rPr>
          <w:rFonts w:ascii="Calibri" w:eastAsia="Calibri" w:hAnsi="Calibri" w:cs="Calibri"/>
          <w:i/>
          <w:noProof/>
          <w:sz w:val="22"/>
          <w:szCs w:val="22"/>
          <w:lang w:val="en-US"/>
        </w:rPr>
        <w:t>Life Sci,</w:t>
      </w:r>
      <w:r w:rsidRPr="00277EC9">
        <w:rPr>
          <w:rFonts w:ascii="Calibri" w:eastAsia="Calibri" w:hAnsi="Calibri" w:cs="Calibri"/>
          <w:noProof/>
          <w:sz w:val="22"/>
          <w:szCs w:val="22"/>
          <w:lang w:val="en-US"/>
        </w:rPr>
        <w:t xml:space="preserve"> 53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1015-21.</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VISTOLI, G., DE MADDIS, D., CIPAK, A., ZARKOVIC, N., CARINI, M. &amp; ALDINI, G. 2013. Advanced glycoxidation and lipoxidation end products (AGEs and ALEs): an overview of their mechanisms of formation. </w:t>
      </w:r>
      <w:r w:rsidRPr="00277EC9">
        <w:rPr>
          <w:rFonts w:ascii="Calibri" w:eastAsia="Calibri" w:hAnsi="Calibri" w:cs="Calibri"/>
          <w:i/>
          <w:noProof/>
          <w:sz w:val="22"/>
          <w:szCs w:val="22"/>
          <w:lang w:val="en-US"/>
        </w:rPr>
        <w:t>Free Radical Research,</w:t>
      </w:r>
      <w:r w:rsidRPr="00277EC9">
        <w:rPr>
          <w:rFonts w:ascii="Calibri" w:eastAsia="Calibri" w:hAnsi="Calibri" w:cs="Calibri"/>
          <w:noProof/>
          <w:sz w:val="22"/>
          <w:szCs w:val="22"/>
          <w:lang w:val="en-US"/>
        </w:rPr>
        <w:t xml:space="preserve"> 47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3-27.</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VÍTEK, L. 2012. The Role of Bilirubin in Diabetes, Metabolic Syndrome, and Cardiovascular Diseases. </w:t>
      </w:r>
      <w:r w:rsidRPr="00277EC9">
        <w:rPr>
          <w:rFonts w:ascii="Calibri" w:eastAsia="Calibri" w:hAnsi="Calibri" w:cs="Calibri"/>
          <w:i/>
          <w:noProof/>
          <w:sz w:val="22"/>
          <w:szCs w:val="22"/>
          <w:lang w:val="en-US"/>
        </w:rPr>
        <w:t>Frontiers in Pharmacology,</w:t>
      </w:r>
      <w:r w:rsidRPr="00277EC9">
        <w:rPr>
          <w:rFonts w:ascii="Calibri" w:eastAsia="Calibri" w:hAnsi="Calibri" w:cs="Calibri"/>
          <w:noProof/>
          <w:sz w:val="22"/>
          <w:szCs w:val="22"/>
          <w:lang w:val="en-US"/>
        </w:rPr>
        <w:t xml:space="preserve"> 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55.</w:t>
      </w:r>
    </w:p>
    <w:p w:rsidR="00010DF0" w:rsidRDefault="00010DF0" w:rsidP="003F60ED">
      <w:pPr>
        <w:spacing w:after="0" w:line="240" w:lineRule="auto"/>
        <w:ind w:left="720"/>
        <w:jc w:val="left"/>
        <w:rPr>
          <w:rFonts w:ascii="Calibri" w:eastAsia="Calibri" w:hAnsi="Calibri" w:cs="Calibri"/>
          <w:noProof/>
          <w:sz w:val="22"/>
          <w:szCs w:val="22"/>
          <w:lang w:val="en-US"/>
        </w:rPr>
      </w:pPr>
    </w:p>
    <w:p w:rsidR="00010DF0" w:rsidRPr="00010DF0" w:rsidRDefault="00010DF0" w:rsidP="003F60ED">
      <w:pPr>
        <w:spacing w:after="0" w:line="240" w:lineRule="auto"/>
        <w:ind w:left="720"/>
        <w:jc w:val="left"/>
        <w:rPr>
          <w:rFonts w:asciiTheme="minorHAnsi" w:eastAsia="Calibri" w:hAnsiTheme="minorHAnsi" w:cstheme="minorHAnsi"/>
          <w:noProof/>
          <w:sz w:val="22"/>
          <w:szCs w:val="22"/>
          <w:lang w:val="en-US"/>
        </w:rPr>
      </w:pPr>
      <w:r w:rsidRPr="00010DF0">
        <w:rPr>
          <w:rFonts w:asciiTheme="minorHAnsi" w:hAnsiTheme="minorHAnsi" w:cstheme="minorHAnsi"/>
          <w:sz w:val="22"/>
          <w:szCs w:val="22"/>
        </w:rPr>
        <w:t xml:space="preserve">VOUDOURI, K., BERDIAKI, A., TZARDI, M., TZANAKAKIS, G. N. &amp; NIKITOVIC, D. 2015. Insulin-Like Growth Factor and Epidermal Growth Factor Signaling in Breast Cancer Cell Growth: Focus on Endocrine Resistant Disease. </w:t>
      </w:r>
      <w:r w:rsidRPr="00010DF0">
        <w:rPr>
          <w:rFonts w:asciiTheme="minorHAnsi" w:hAnsiTheme="minorHAnsi" w:cstheme="minorHAnsi"/>
          <w:i/>
          <w:sz w:val="22"/>
          <w:szCs w:val="22"/>
        </w:rPr>
        <w:t>Analytical Cellular Pathology (Amsterdam),</w:t>
      </w:r>
      <w:r w:rsidRPr="00010DF0">
        <w:rPr>
          <w:rFonts w:asciiTheme="minorHAnsi" w:hAnsiTheme="minorHAnsi" w:cstheme="minorHAnsi"/>
          <w:sz w:val="22"/>
          <w:szCs w:val="22"/>
        </w:rPr>
        <w:t xml:space="preserve"> 2015</w:t>
      </w:r>
      <w:r w:rsidRPr="00010DF0">
        <w:rPr>
          <w:rFonts w:asciiTheme="minorHAnsi" w:hAnsiTheme="minorHAnsi" w:cstheme="minorHAnsi"/>
          <w:b/>
          <w:sz w:val="22"/>
          <w:szCs w:val="22"/>
        </w:rPr>
        <w:t>,</w:t>
      </w:r>
      <w:r w:rsidRPr="00010DF0">
        <w:rPr>
          <w:rFonts w:asciiTheme="minorHAnsi" w:hAnsiTheme="minorHAnsi" w:cstheme="minorHAnsi"/>
          <w:sz w:val="22"/>
          <w:szCs w:val="22"/>
        </w:rPr>
        <w:t xml:space="preserve"> 975495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WAHAB, N. A., WESTON, B. S., ROBERTS, T. &amp; MASON, R. M. 2002. Connective tissue growth factor and regulation of the mesangial cell cycle: Role in cellular hypertrophy. </w:t>
      </w:r>
      <w:r w:rsidRPr="00277EC9">
        <w:rPr>
          <w:rFonts w:ascii="Calibri" w:eastAsia="Calibri" w:hAnsi="Calibri" w:cs="Calibri"/>
          <w:i/>
          <w:noProof/>
          <w:sz w:val="22"/>
          <w:szCs w:val="22"/>
          <w:lang w:val="en-US"/>
        </w:rPr>
        <w:t>Journal of the American Society of Nephrology,</w:t>
      </w:r>
      <w:r w:rsidRPr="00277EC9">
        <w:rPr>
          <w:rFonts w:ascii="Calibri" w:eastAsia="Calibri" w:hAnsi="Calibri" w:cs="Calibri"/>
          <w:noProof/>
          <w:sz w:val="22"/>
          <w:szCs w:val="22"/>
          <w:lang w:val="en-US"/>
        </w:rPr>
        <w:t xml:space="preserve"> 13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2437-2445.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WAHAB, N. A., YEVDOKIMOVA, N., WESTON, B. S., ROBERTS, T., LI, X. J., BRINKMAN, H. &amp; MASON, R. M. 2001. Role of connective tissue growth factor in the pathogenesis of diabetic nephropathy. </w:t>
      </w:r>
      <w:r w:rsidRPr="00277EC9">
        <w:rPr>
          <w:rFonts w:ascii="Calibri" w:eastAsia="Calibri" w:hAnsi="Calibri" w:cs="Calibri"/>
          <w:i/>
          <w:noProof/>
          <w:sz w:val="22"/>
          <w:szCs w:val="22"/>
          <w:lang w:val="en-US"/>
        </w:rPr>
        <w:t>Biochemical Journal,</w:t>
      </w:r>
      <w:r w:rsidRPr="00277EC9">
        <w:rPr>
          <w:rFonts w:ascii="Calibri" w:eastAsia="Calibri" w:hAnsi="Calibri" w:cs="Calibri"/>
          <w:noProof/>
          <w:sz w:val="22"/>
          <w:szCs w:val="22"/>
          <w:lang w:val="en-US"/>
        </w:rPr>
        <w:t xml:space="preserve"> 359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77-87.</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WALKER, J. B. &amp; BAJZAR, L. 2004. The intrinsic threshold of the fibrinolytic system is modulated by basic carboxypeptidases, but the magnitude of the antifibrinolytic effect of activated thrombin-activable fibrinolysis inhibitor is masked by its instability. </w:t>
      </w:r>
      <w:r w:rsidRPr="00277EC9">
        <w:rPr>
          <w:rFonts w:ascii="Calibri" w:eastAsia="Calibri" w:hAnsi="Calibri" w:cs="Calibri"/>
          <w:i/>
          <w:noProof/>
          <w:sz w:val="22"/>
          <w:szCs w:val="22"/>
          <w:lang w:val="en-US"/>
        </w:rPr>
        <w:t>Journal of Biological Chemistry,</w:t>
      </w:r>
      <w:r w:rsidRPr="00277EC9">
        <w:rPr>
          <w:rFonts w:ascii="Calibri" w:eastAsia="Calibri" w:hAnsi="Calibri" w:cs="Calibri"/>
          <w:noProof/>
          <w:sz w:val="22"/>
          <w:szCs w:val="22"/>
          <w:lang w:val="en-US"/>
        </w:rPr>
        <w:t xml:space="preserve"> 279</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27896-27904.</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WANG, H. D., DWYER-LINDGREN, L., LOFGREN, K. T., RAJARATNAM, J. K., MARCUS, J. R., LEVIN-RECTOR, A., LEVITZ, C. E., LOPEZ, A. D. &amp; MURRAY, C. J. L. 2012. Age- specific and sex- specific mortality in 187 countries, 1970- 2010: a systematic analysis for the Global Burden of Disease Study 2010. </w:t>
      </w:r>
      <w:r w:rsidRPr="00277EC9">
        <w:rPr>
          <w:rFonts w:ascii="Calibri" w:eastAsia="Calibri" w:hAnsi="Calibri" w:cs="Calibri"/>
          <w:i/>
          <w:noProof/>
          <w:sz w:val="22"/>
          <w:szCs w:val="22"/>
          <w:lang w:val="en-US"/>
        </w:rPr>
        <w:t>Lancet,</w:t>
      </w:r>
      <w:r w:rsidRPr="00277EC9">
        <w:rPr>
          <w:rFonts w:ascii="Calibri" w:eastAsia="Calibri" w:hAnsi="Calibri" w:cs="Calibri"/>
          <w:noProof/>
          <w:sz w:val="22"/>
          <w:szCs w:val="22"/>
          <w:lang w:val="en-US"/>
        </w:rPr>
        <w:t xml:space="preserve"> 380</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2071-2094.</w:t>
      </w:r>
    </w:p>
    <w:p w:rsidR="007A2554" w:rsidRDefault="007A2554" w:rsidP="003F60ED">
      <w:pPr>
        <w:spacing w:after="0" w:line="240" w:lineRule="auto"/>
        <w:ind w:left="720"/>
        <w:jc w:val="left"/>
        <w:rPr>
          <w:rFonts w:ascii="Calibri" w:eastAsia="Calibri" w:hAnsi="Calibri" w:cs="Calibri"/>
          <w:noProof/>
          <w:sz w:val="22"/>
          <w:szCs w:val="22"/>
          <w:lang w:val="en-US"/>
        </w:rPr>
      </w:pPr>
    </w:p>
    <w:p w:rsidR="007A2554" w:rsidRDefault="007A2554" w:rsidP="007A2554">
      <w:pPr>
        <w:spacing w:after="0" w:line="240" w:lineRule="auto"/>
        <w:ind w:left="720"/>
        <w:jc w:val="left"/>
        <w:rPr>
          <w:rFonts w:ascii="Calibri" w:eastAsia="Calibri" w:hAnsi="Calibri" w:cs="Calibri"/>
          <w:noProof/>
          <w:sz w:val="22"/>
          <w:szCs w:val="22"/>
          <w:lang w:val="en-US"/>
        </w:rPr>
      </w:pPr>
      <w:r w:rsidRPr="007A2554">
        <w:rPr>
          <w:rFonts w:ascii="Calibri" w:eastAsia="Calibri" w:hAnsi="Calibri" w:cs="Calibri"/>
          <w:noProof/>
          <w:sz w:val="22"/>
          <w:szCs w:val="22"/>
          <w:lang w:val="en-US"/>
        </w:rPr>
        <w:lastRenderedPageBreak/>
        <w:t xml:space="preserve">WARRAM, J. H., SCOTT, L. J., HANNA, L. S., WANTMAN, M., COHEN, S. E., LAFFEL, L. M., RYAN, L. &amp; KROLEWSKI, A. S. 2000. Progression of microalbuminuria to proteinuria in type 1 diabetes: nonlinear relationship with hyperglycemia. </w:t>
      </w:r>
      <w:r w:rsidRPr="007A2554">
        <w:rPr>
          <w:rFonts w:ascii="Calibri" w:eastAsia="Calibri" w:hAnsi="Calibri" w:cs="Calibri"/>
          <w:i/>
          <w:noProof/>
          <w:sz w:val="22"/>
          <w:szCs w:val="22"/>
          <w:lang w:val="en-US"/>
        </w:rPr>
        <w:t>Diabetes,</w:t>
      </w:r>
      <w:r w:rsidRPr="007A2554">
        <w:rPr>
          <w:rFonts w:ascii="Calibri" w:eastAsia="Calibri" w:hAnsi="Calibri" w:cs="Calibri"/>
          <w:noProof/>
          <w:sz w:val="22"/>
          <w:szCs w:val="22"/>
          <w:lang w:val="en-US"/>
        </w:rPr>
        <w:t xml:space="preserve"> 49</w:t>
      </w:r>
      <w:r w:rsidRPr="007A2554">
        <w:rPr>
          <w:rFonts w:ascii="Calibri" w:eastAsia="Calibri" w:hAnsi="Calibri" w:cs="Calibri"/>
          <w:b/>
          <w:noProof/>
          <w:sz w:val="22"/>
          <w:szCs w:val="22"/>
          <w:lang w:val="en-US"/>
        </w:rPr>
        <w:t>,</w:t>
      </w:r>
      <w:r w:rsidRPr="007A2554">
        <w:rPr>
          <w:rFonts w:ascii="Calibri" w:eastAsia="Calibri" w:hAnsi="Calibri" w:cs="Calibri"/>
          <w:noProof/>
          <w:sz w:val="22"/>
          <w:szCs w:val="22"/>
          <w:lang w:val="en-US"/>
        </w:rPr>
        <w:t xml:space="preserve"> 94-100.</w:t>
      </w:r>
    </w:p>
    <w:p w:rsidR="00B166EA" w:rsidRDefault="00B166EA" w:rsidP="00B166EA">
      <w:pPr>
        <w:spacing w:after="0" w:line="240" w:lineRule="auto"/>
        <w:ind w:left="720"/>
        <w:jc w:val="left"/>
        <w:rPr>
          <w:rFonts w:ascii="Calibri" w:eastAsia="Calibri" w:hAnsi="Calibri" w:cs="Calibri"/>
          <w:noProof/>
          <w:color w:val="FF0000"/>
          <w:sz w:val="22"/>
          <w:szCs w:val="22"/>
          <w:lang w:val="en-US"/>
        </w:rPr>
      </w:pPr>
    </w:p>
    <w:p w:rsidR="00B166EA" w:rsidRPr="00B166EA" w:rsidRDefault="00B166EA" w:rsidP="00B166EA">
      <w:pPr>
        <w:spacing w:after="0" w:line="240" w:lineRule="auto"/>
        <w:ind w:left="720"/>
        <w:jc w:val="left"/>
        <w:rPr>
          <w:rFonts w:ascii="Calibri" w:eastAsia="Calibri" w:hAnsi="Calibri" w:cs="Calibri"/>
          <w:noProof/>
          <w:sz w:val="22"/>
          <w:szCs w:val="22"/>
          <w:lang w:val="en-US"/>
        </w:rPr>
      </w:pPr>
      <w:r w:rsidRPr="00B166EA">
        <w:rPr>
          <w:rFonts w:ascii="Calibri" w:eastAsia="Calibri" w:hAnsi="Calibri" w:cs="Calibri"/>
          <w:noProof/>
          <w:sz w:val="22"/>
          <w:szCs w:val="22"/>
          <w:lang w:val="en-US"/>
        </w:rPr>
        <w:t xml:space="preserve">WAUTIER, J.-L., ZOUKOURIAN, C., CHAPPEY, O., WAUTIER, M.-P., GUILLAUSSEAU, P.-J., CAO, R., HORI, O., STERN, D. &amp; SCHMIDT, A. M. 1996. Receptor-mediated endothelial cell dysfunction in diabetic vasculopathy. Soluble receptor for advanced glycation end products blocks hyperpermeability in diabetic rats. </w:t>
      </w:r>
      <w:r w:rsidRPr="00B166EA">
        <w:rPr>
          <w:rFonts w:ascii="Calibri" w:eastAsia="Calibri" w:hAnsi="Calibri" w:cs="Calibri"/>
          <w:i/>
          <w:noProof/>
          <w:sz w:val="22"/>
          <w:szCs w:val="22"/>
          <w:lang w:val="en-US"/>
        </w:rPr>
        <w:t>Journal of Clinical Investigation,</w:t>
      </w:r>
      <w:r w:rsidRPr="00B166EA">
        <w:rPr>
          <w:rFonts w:ascii="Calibri" w:eastAsia="Calibri" w:hAnsi="Calibri" w:cs="Calibri"/>
          <w:noProof/>
          <w:sz w:val="22"/>
          <w:szCs w:val="22"/>
          <w:lang w:val="en-US"/>
        </w:rPr>
        <w:t xml:space="preserve"> 97</w:t>
      </w:r>
      <w:r w:rsidRPr="00B166EA">
        <w:rPr>
          <w:rFonts w:ascii="Calibri" w:eastAsia="Calibri" w:hAnsi="Calibri" w:cs="Calibri"/>
          <w:b/>
          <w:noProof/>
          <w:sz w:val="22"/>
          <w:szCs w:val="22"/>
          <w:lang w:val="en-US"/>
        </w:rPr>
        <w:t>,</w:t>
      </w:r>
      <w:r w:rsidRPr="00B166EA">
        <w:rPr>
          <w:rFonts w:ascii="Calibri" w:eastAsia="Calibri" w:hAnsi="Calibri" w:cs="Calibri"/>
          <w:noProof/>
          <w:sz w:val="22"/>
          <w:szCs w:val="22"/>
          <w:lang w:val="en-US"/>
        </w:rPr>
        <w:t xml:space="preserve"> 238.</w:t>
      </w:r>
    </w:p>
    <w:p w:rsidR="003F60ED" w:rsidRPr="00277EC9" w:rsidRDefault="003F60ED" w:rsidP="007A2554">
      <w:pPr>
        <w:spacing w:after="0" w:line="240" w:lineRule="auto"/>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WEENING, J. J. &amp; JENNETTE, J. C. 2012. Historical milestones in renal pathology. </w:t>
      </w:r>
      <w:r w:rsidRPr="00277EC9">
        <w:rPr>
          <w:rFonts w:ascii="Calibri" w:eastAsia="Calibri" w:hAnsi="Calibri" w:cs="Calibri"/>
          <w:i/>
          <w:noProof/>
          <w:sz w:val="22"/>
          <w:szCs w:val="22"/>
          <w:lang w:val="en-US"/>
        </w:rPr>
        <w:t>Virchows Archiv,</w:t>
      </w:r>
      <w:r w:rsidRPr="00277EC9">
        <w:rPr>
          <w:rFonts w:ascii="Calibri" w:eastAsia="Calibri" w:hAnsi="Calibri" w:cs="Calibri"/>
          <w:noProof/>
          <w:sz w:val="22"/>
          <w:szCs w:val="22"/>
          <w:lang w:val="en-US"/>
        </w:rPr>
        <w:t xml:space="preserve"> 461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3-11.</w:t>
      </w:r>
    </w:p>
    <w:p w:rsidR="00B26497" w:rsidRDefault="00B26497" w:rsidP="00B26497">
      <w:pPr>
        <w:spacing w:after="0" w:line="240" w:lineRule="auto"/>
        <w:ind w:left="720"/>
        <w:jc w:val="left"/>
        <w:rPr>
          <w:rFonts w:ascii="Calibri" w:eastAsia="Calibri" w:hAnsi="Calibri" w:cs="Calibri"/>
          <w:noProof/>
          <w:color w:val="FF0000"/>
          <w:sz w:val="22"/>
          <w:szCs w:val="22"/>
          <w:lang w:val="en-US"/>
        </w:rPr>
      </w:pPr>
    </w:p>
    <w:p w:rsidR="00B26497" w:rsidRPr="00B26497" w:rsidRDefault="00B26497" w:rsidP="00B26497">
      <w:pPr>
        <w:spacing w:after="0" w:line="240" w:lineRule="auto"/>
        <w:ind w:left="720"/>
        <w:jc w:val="left"/>
        <w:rPr>
          <w:rFonts w:ascii="Calibri" w:hAnsi="Calibri" w:cs="Calibri"/>
          <w:noProof/>
          <w:sz w:val="22"/>
          <w:szCs w:val="22"/>
          <w:lang w:val="en-US"/>
        </w:rPr>
      </w:pPr>
      <w:r w:rsidRPr="00B26497">
        <w:rPr>
          <w:rFonts w:ascii="Calibri" w:eastAsia="Calibri" w:hAnsi="Calibri" w:cs="Calibri"/>
          <w:noProof/>
          <w:sz w:val="22"/>
          <w:szCs w:val="22"/>
          <w:lang w:val="en-US"/>
        </w:rPr>
        <w:t xml:space="preserve">WIMAN, B., LIJNEN, H. &amp; COLLEN, D. 1979. On the specific interaction between the lysine-binding sites in plasmin and complementary sites in α2-antiplasmin and in fibrinogen. </w:t>
      </w:r>
      <w:r w:rsidRPr="00B26497">
        <w:rPr>
          <w:rFonts w:ascii="Calibri" w:eastAsia="Calibri" w:hAnsi="Calibri" w:cs="Calibri"/>
          <w:i/>
          <w:noProof/>
          <w:sz w:val="22"/>
          <w:szCs w:val="22"/>
          <w:lang w:val="en-US"/>
        </w:rPr>
        <w:t>Biochimica et Biophysica Acta (BBA)-Protein Structure,</w:t>
      </w:r>
      <w:r w:rsidRPr="00B26497">
        <w:rPr>
          <w:rFonts w:ascii="Calibri" w:eastAsia="Calibri" w:hAnsi="Calibri" w:cs="Calibri"/>
          <w:noProof/>
          <w:sz w:val="22"/>
          <w:szCs w:val="22"/>
          <w:lang w:val="en-US"/>
        </w:rPr>
        <w:t xml:space="preserve"> 579</w:t>
      </w:r>
      <w:r w:rsidRPr="00B26497">
        <w:rPr>
          <w:rFonts w:ascii="Calibri" w:eastAsia="Calibri" w:hAnsi="Calibri" w:cs="Calibri"/>
          <w:b/>
          <w:noProof/>
          <w:sz w:val="22"/>
          <w:szCs w:val="22"/>
          <w:lang w:val="en-US"/>
        </w:rPr>
        <w:t>,</w:t>
      </w:r>
      <w:r w:rsidRPr="00B26497">
        <w:rPr>
          <w:rFonts w:ascii="Calibri" w:eastAsia="Calibri" w:hAnsi="Calibri" w:cs="Calibri"/>
          <w:noProof/>
          <w:sz w:val="22"/>
          <w:szCs w:val="22"/>
          <w:lang w:val="en-US"/>
        </w:rPr>
        <w:t xml:space="preserve"> 142-154.</w:t>
      </w:r>
    </w:p>
    <w:p w:rsidR="003F60ED" w:rsidRPr="00277EC9" w:rsidRDefault="003F60ED" w:rsidP="00B26497">
      <w:pPr>
        <w:spacing w:after="0" w:line="240" w:lineRule="auto"/>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WONG, A. P., CORTEZ, S. L. &amp; BARICOS, W. H. 1992. Role of plasmin and gelatinase in extracellular-matrix degradation by cultured rat mesangial cells. </w:t>
      </w:r>
      <w:r w:rsidRPr="00277EC9">
        <w:rPr>
          <w:rFonts w:ascii="Calibri" w:eastAsia="Calibri" w:hAnsi="Calibri" w:cs="Calibri"/>
          <w:i/>
          <w:noProof/>
          <w:sz w:val="22"/>
          <w:szCs w:val="22"/>
          <w:lang w:val="en-US"/>
        </w:rPr>
        <w:t>American Journal of Physiology,</w:t>
      </w:r>
      <w:r w:rsidRPr="00277EC9">
        <w:rPr>
          <w:rFonts w:ascii="Calibri" w:eastAsia="Calibri" w:hAnsi="Calibri" w:cs="Calibri"/>
          <w:noProof/>
          <w:sz w:val="22"/>
          <w:szCs w:val="22"/>
          <w:lang w:val="en-US"/>
        </w:rPr>
        <w:t xml:space="preserve"> 263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F1112-F1118.</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WOOLLEY, D. E., ROBERTS, D. R. &amp; EVANSON, J. M. 1975. I</w:t>
      </w:r>
      <w:r w:rsidR="00FF7B00" w:rsidRPr="00277EC9">
        <w:rPr>
          <w:rFonts w:ascii="Calibri" w:eastAsia="Calibri" w:hAnsi="Calibri" w:cs="Calibri"/>
          <w:noProof/>
          <w:sz w:val="22"/>
          <w:szCs w:val="22"/>
          <w:lang w:val="en-US"/>
        </w:rPr>
        <w:t>nhibition of human collagenase activity by a small molecular-weight serum-protein</w:t>
      </w:r>
      <w:r w:rsidRPr="00277EC9">
        <w:rPr>
          <w:rFonts w:ascii="Calibri" w:eastAsia="Calibri" w:hAnsi="Calibri" w:cs="Calibri"/>
          <w:noProof/>
          <w:sz w:val="22"/>
          <w:szCs w:val="22"/>
          <w:lang w:val="en-US"/>
        </w:rPr>
        <w:t xml:space="preserve">. </w:t>
      </w:r>
      <w:r w:rsidRPr="00277EC9">
        <w:rPr>
          <w:rFonts w:ascii="Calibri" w:eastAsia="Calibri" w:hAnsi="Calibri" w:cs="Calibri"/>
          <w:i/>
          <w:noProof/>
          <w:sz w:val="22"/>
          <w:szCs w:val="22"/>
          <w:lang w:val="en-US"/>
        </w:rPr>
        <w:t>Biochemical and Biophysical Research Communications,</w:t>
      </w:r>
      <w:r w:rsidRPr="00277EC9">
        <w:rPr>
          <w:rFonts w:ascii="Calibri" w:eastAsia="Calibri" w:hAnsi="Calibri" w:cs="Calibri"/>
          <w:noProof/>
          <w:sz w:val="22"/>
          <w:szCs w:val="22"/>
          <w:lang w:val="en-US"/>
        </w:rPr>
        <w:t xml:space="preserve"> 66</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747-754.</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WYNN, T. A. 2008. Cellular and molecular mechanisms of fibrosis. </w:t>
      </w:r>
      <w:r w:rsidRPr="00277EC9">
        <w:rPr>
          <w:rFonts w:ascii="Calibri" w:eastAsia="Calibri" w:hAnsi="Calibri" w:cs="Calibri"/>
          <w:i/>
          <w:noProof/>
          <w:sz w:val="22"/>
          <w:szCs w:val="22"/>
          <w:lang w:val="en-US"/>
        </w:rPr>
        <w:t>The Journal of pathology,</w:t>
      </w:r>
      <w:r w:rsidRPr="00277EC9">
        <w:rPr>
          <w:rFonts w:ascii="Calibri" w:eastAsia="Calibri" w:hAnsi="Calibri" w:cs="Calibri"/>
          <w:noProof/>
          <w:sz w:val="22"/>
          <w:szCs w:val="22"/>
          <w:lang w:val="en-US"/>
        </w:rPr>
        <w:t xml:space="preserve"> 214</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199-210.</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YACH, D., HAWKES, C., GOULD, C. L. &amp; HOFMAN, K. J. 2004. The global burden of chronic diseases - Overcoming impediments to prevention and control. </w:t>
      </w:r>
      <w:r w:rsidRPr="00277EC9">
        <w:rPr>
          <w:rFonts w:ascii="Calibri" w:eastAsia="Calibri" w:hAnsi="Calibri" w:cs="Calibri"/>
          <w:i/>
          <w:noProof/>
          <w:sz w:val="22"/>
          <w:szCs w:val="22"/>
          <w:lang w:val="en-US"/>
        </w:rPr>
        <w:t>Jama-Journal of the American Medical Association,</w:t>
      </w:r>
      <w:r w:rsidRPr="00277EC9">
        <w:rPr>
          <w:rFonts w:ascii="Calibri" w:eastAsia="Calibri" w:hAnsi="Calibri" w:cs="Calibri"/>
          <w:noProof/>
          <w:sz w:val="22"/>
          <w:szCs w:val="22"/>
          <w:lang w:val="en-US"/>
        </w:rPr>
        <w:t xml:space="preserve"> 291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2616-2622.</w:t>
      </w:r>
    </w:p>
    <w:p w:rsidR="006A1BC9" w:rsidRDefault="006A1BC9" w:rsidP="006A1BC9">
      <w:pPr>
        <w:spacing w:after="0" w:line="240" w:lineRule="auto"/>
        <w:ind w:left="720"/>
        <w:jc w:val="left"/>
        <w:rPr>
          <w:rFonts w:ascii="Calibri" w:eastAsia="Calibri" w:hAnsi="Calibri" w:cs="Calibri"/>
          <w:noProof/>
          <w:color w:val="FF0000"/>
          <w:sz w:val="22"/>
          <w:szCs w:val="22"/>
          <w:lang w:val="en-US"/>
        </w:rPr>
      </w:pPr>
    </w:p>
    <w:p w:rsidR="006A1BC9" w:rsidRPr="006A1BC9" w:rsidRDefault="006A1BC9" w:rsidP="006A1BC9">
      <w:pPr>
        <w:spacing w:after="0" w:line="240" w:lineRule="auto"/>
        <w:ind w:left="720"/>
        <w:jc w:val="left"/>
        <w:rPr>
          <w:rFonts w:ascii="Calibri" w:hAnsi="Calibri" w:cs="Calibri"/>
          <w:noProof/>
          <w:sz w:val="22"/>
          <w:szCs w:val="22"/>
          <w:lang w:val="en-US"/>
        </w:rPr>
      </w:pPr>
      <w:r w:rsidRPr="006A1BC9">
        <w:rPr>
          <w:rFonts w:ascii="Calibri" w:eastAsia="Calibri" w:hAnsi="Calibri" w:cs="Calibri"/>
          <w:noProof/>
          <w:sz w:val="22"/>
          <w:szCs w:val="22"/>
          <w:lang w:val="en-US"/>
        </w:rPr>
        <w:t xml:space="preserve">YALE, J. F., BAKRIS, G., CARIOU, B., YUE, D., DAVID‐NETO, E., XI, L., FIGUEROA, K., WAJS, E., USISKIN, K. &amp; MEININGER, G. 2013. Efficacy and safety of canagliflozin in subjects with type 2 diabetes and chronic kidney disease. </w:t>
      </w:r>
      <w:r w:rsidRPr="006A1BC9">
        <w:rPr>
          <w:rFonts w:ascii="Calibri" w:eastAsia="Calibri" w:hAnsi="Calibri" w:cs="Calibri"/>
          <w:i/>
          <w:noProof/>
          <w:sz w:val="22"/>
          <w:szCs w:val="22"/>
          <w:lang w:val="en-US"/>
        </w:rPr>
        <w:t>Diabetes, Obesity and Metabolism,</w:t>
      </w:r>
      <w:r w:rsidRPr="006A1BC9">
        <w:rPr>
          <w:rFonts w:ascii="Calibri" w:eastAsia="Calibri" w:hAnsi="Calibri" w:cs="Calibri"/>
          <w:noProof/>
          <w:sz w:val="22"/>
          <w:szCs w:val="22"/>
          <w:lang w:val="en-US"/>
        </w:rPr>
        <w:t xml:space="preserve"> 15</w:t>
      </w:r>
      <w:r w:rsidRPr="006A1BC9">
        <w:rPr>
          <w:rFonts w:ascii="Calibri" w:eastAsia="Calibri" w:hAnsi="Calibri" w:cs="Calibri"/>
          <w:b/>
          <w:noProof/>
          <w:sz w:val="22"/>
          <w:szCs w:val="22"/>
          <w:lang w:val="en-US"/>
        </w:rPr>
        <w:t>,</w:t>
      </w:r>
      <w:r w:rsidRPr="006A1BC9">
        <w:rPr>
          <w:rFonts w:ascii="Calibri" w:eastAsia="Calibri" w:hAnsi="Calibri" w:cs="Calibri"/>
          <w:noProof/>
          <w:sz w:val="22"/>
          <w:szCs w:val="22"/>
          <w:lang w:val="en-US"/>
        </w:rPr>
        <w:t xml:space="preserve"> 463-473.</w:t>
      </w:r>
    </w:p>
    <w:p w:rsidR="006A1BC9" w:rsidRPr="00277EC9" w:rsidRDefault="006A1BC9" w:rsidP="003F60ED">
      <w:pPr>
        <w:spacing w:after="0" w:line="240" w:lineRule="auto"/>
        <w:ind w:left="720"/>
        <w:jc w:val="left"/>
        <w:rPr>
          <w:rFonts w:ascii="Calibri" w:eastAsia="Calibri" w:hAnsi="Calibri" w:cs="Calibri"/>
          <w:noProof/>
          <w:sz w:val="22"/>
          <w:szCs w:val="22"/>
          <w:lang w:val="en-US"/>
        </w:rPr>
      </w:pP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YANG, H. C., ZUO, Y. &amp; FOGO, A. B. 2010. Models of chronic kidney disease. </w:t>
      </w:r>
      <w:r w:rsidRPr="00277EC9">
        <w:rPr>
          <w:rFonts w:ascii="Calibri" w:eastAsia="Calibri" w:hAnsi="Calibri" w:cs="Calibri"/>
          <w:i/>
          <w:noProof/>
          <w:sz w:val="22"/>
          <w:szCs w:val="22"/>
          <w:lang w:val="en-US"/>
        </w:rPr>
        <w:t>Drug Discov els,</w:t>
      </w:r>
      <w:r w:rsidRPr="00277EC9">
        <w:rPr>
          <w:rFonts w:ascii="Calibri" w:eastAsia="Calibri" w:hAnsi="Calibri" w:cs="Calibri"/>
          <w:noProof/>
          <w:sz w:val="22"/>
          <w:szCs w:val="22"/>
          <w:lang w:val="en-US"/>
        </w:rPr>
        <w:t xml:space="preserve"> 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13-19.</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YOHANNES, E., CHANG, J., CHRIST, G. J., DAVIES, K. P. &amp; CHANCE, M. R. 2008. Proteomics Analysis Identifies Molecular Targets Related to Diabetes Mellitus-associated Bladder Dysfunction. </w:t>
      </w:r>
      <w:r w:rsidRPr="00277EC9">
        <w:rPr>
          <w:rFonts w:ascii="Calibri" w:eastAsia="Calibri" w:hAnsi="Calibri" w:cs="Calibri"/>
          <w:i/>
          <w:noProof/>
          <w:sz w:val="22"/>
          <w:szCs w:val="22"/>
          <w:lang w:val="en-US"/>
        </w:rPr>
        <w:t>Molecular &amp; Cellular Proteomics : MCP,</w:t>
      </w:r>
      <w:r w:rsidRPr="00277EC9">
        <w:rPr>
          <w:rFonts w:ascii="Calibri" w:eastAsia="Calibri" w:hAnsi="Calibri" w:cs="Calibri"/>
          <w:noProof/>
          <w:sz w:val="22"/>
          <w:szCs w:val="22"/>
          <w:lang w:val="en-US"/>
        </w:rPr>
        <w:t xml:space="preserve"> 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1270-1285.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YU, W. H. &amp; WOESSNER, J. F., JR. 2000. Heparan sulfate proteoglycans as extracellular docking molecules for matrilysin (matrix metalloproteinase 7). </w:t>
      </w:r>
      <w:r w:rsidRPr="00277EC9">
        <w:rPr>
          <w:rFonts w:ascii="Calibri" w:eastAsia="Calibri" w:hAnsi="Calibri" w:cs="Calibri"/>
          <w:i/>
          <w:noProof/>
          <w:sz w:val="22"/>
          <w:szCs w:val="22"/>
          <w:lang w:val="en-US"/>
        </w:rPr>
        <w:t>J Biol Chem,</w:t>
      </w:r>
      <w:r w:rsidRPr="00277EC9">
        <w:rPr>
          <w:rFonts w:ascii="Calibri" w:eastAsia="Calibri" w:hAnsi="Calibri" w:cs="Calibri"/>
          <w:noProof/>
          <w:sz w:val="22"/>
          <w:szCs w:val="22"/>
          <w:lang w:val="en-US"/>
        </w:rPr>
        <w:t xml:space="preserve"> 275</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4183-91.</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YUEN, N., ANDERSON, S. E., GLASER, N., TANCREDI, D. J. &amp; O'DONNELL, M. E. 2008. Cerebral Blood Flow and Cerebral Edema in Rats With Diabetic Ketoacidosis. </w:t>
      </w:r>
      <w:r w:rsidRPr="00277EC9">
        <w:rPr>
          <w:rFonts w:ascii="Calibri" w:eastAsia="Calibri" w:hAnsi="Calibri" w:cs="Calibri"/>
          <w:i/>
          <w:noProof/>
          <w:sz w:val="22"/>
          <w:szCs w:val="22"/>
          <w:lang w:val="en-US"/>
        </w:rPr>
        <w:t>Diabetes,</w:t>
      </w:r>
      <w:r w:rsidRPr="00277EC9">
        <w:rPr>
          <w:rFonts w:ascii="Calibri" w:eastAsia="Calibri" w:hAnsi="Calibri" w:cs="Calibri"/>
          <w:noProof/>
          <w:sz w:val="22"/>
          <w:szCs w:val="22"/>
          <w:lang w:val="en-US"/>
        </w:rPr>
        <w:t xml:space="preserve"> 57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2588-2594.</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YUTAKA, I., AKIRA, S. &amp; YAMAGUCHI, A. 1968. A removing method of the resin from epoxy-embedded sections for light microscopy. </w:t>
      </w:r>
      <w:r w:rsidRPr="00277EC9">
        <w:rPr>
          <w:rFonts w:ascii="Calibri" w:eastAsia="Calibri" w:hAnsi="Calibri" w:cs="Calibri"/>
          <w:i/>
          <w:noProof/>
          <w:sz w:val="22"/>
          <w:szCs w:val="22"/>
          <w:lang w:val="en-US"/>
        </w:rPr>
        <w:t>Journal of Electron Microscopy,</w:t>
      </w:r>
      <w:r w:rsidRPr="00277EC9">
        <w:rPr>
          <w:rFonts w:ascii="Calibri" w:eastAsia="Calibri" w:hAnsi="Calibri" w:cs="Calibri"/>
          <w:noProof/>
          <w:sz w:val="22"/>
          <w:szCs w:val="22"/>
          <w:lang w:val="en-US"/>
        </w:rPr>
        <w:t xml:space="preserve"> 17</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84-85.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ZHOU, J., CHEN, X., XIE, Y., LI, J., YAMANAKA, N. &amp; TONG, X. 2008. A differential diagnostic model of diabetic nephropathy and non-diabetic renal diseases. </w:t>
      </w:r>
      <w:r w:rsidRPr="00277EC9">
        <w:rPr>
          <w:rFonts w:ascii="Calibri" w:eastAsia="Calibri" w:hAnsi="Calibri" w:cs="Calibri"/>
          <w:i/>
          <w:noProof/>
          <w:sz w:val="22"/>
          <w:szCs w:val="22"/>
          <w:lang w:val="en-US"/>
        </w:rPr>
        <w:t>Nephrology Dialysis Transplantation,</w:t>
      </w:r>
      <w:r w:rsidRPr="00277EC9">
        <w:rPr>
          <w:rFonts w:ascii="Calibri" w:eastAsia="Calibri" w:hAnsi="Calibri" w:cs="Calibri"/>
          <w:noProof/>
          <w:sz w:val="22"/>
          <w:szCs w:val="22"/>
          <w:lang w:val="en-US"/>
        </w:rPr>
        <w:t xml:space="preserve"> 23</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1940-1945.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after="0"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ZWEMER, C. F. 1999. Unilateral nephrectomy in the rat as a teaching model of renal function. </w:t>
      </w:r>
      <w:r w:rsidRPr="00277EC9">
        <w:rPr>
          <w:rFonts w:ascii="Calibri" w:eastAsia="Calibri" w:hAnsi="Calibri" w:cs="Calibri"/>
          <w:i/>
          <w:noProof/>
          <w:sz w:val="22"/>
          <w:szCs w:val="22"/>
          <w:lang w:val="en-US"/>
        </w:rPr>
        <w:t>American Journal of Physiology - Advances in Physiology Education,</w:t>
      </w:r>
      <w:r w:rsidRPr="00277EC9">
        <w:rPr>
          <w:rFonts w:ascii="Calibri" w:eastAsia="Calibri" w:hAnsi="Calibri" w:cs="Calibri"/>
          <w:noProof/>
          <w:sz w:val="22"/>
          <w:szCs w:val="22"/>
          <w:lang w:val="en-US"/>
        </w:rPr>
        <w:t xml:space="preserve"> 21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S79-S85.</w:t>
      </w:r>
    </w:p>
    <w:p w:rsidR="003F60ED" w:rsidRPr="00277EC9" w:rsidRDefault="003F60ED" w:rsidP="003F60ED">
      <w:pPr>
        <w:spacing w:after="0" w:line="240" w:lineRule="auto"/>
        <w:ind w:left="720"/>
        <w:jc w:val="left"/>
        <w:rPr>
          <w:rFonts w:ascii="Calibri" w:eastAsia="Calibri" w:hAnsi="Calibri" w:cs="Calibri"/>
          <w:noProof/>
          <w:sz w:val="22"/>
          <w:szCs w:val="22"/>
          <w:lang w:val="en-US"/>
        </w:rPr>
      </w:pPr>
    </w:p>
    <w:p w:rsidR="00B02242" w:rsidRPr="00277EC9" w:rsidRDefault="00B02242" w:rsidP="003F60ED">
      <w:pPr>
        <w:spacing w:line="240" w:lineRule="auto"/>
        <w:ind w:left="720"/>
        <w:jc w:val="left"/>
        <w:rPr>
          <w:rFonts w:ascii="Calibri" w:eastAsia="Calibri" w:hAnsi="Calibri" w:cs="Calibri"/>
          <w:noProof/>
          <w:sz w:val="22"/>
          <w:szCs w:val="22"/>
          <w:lang w:val="en-US"/>
        </w:rPr>
      </w:pPr>
      <w:r w:rsidRPr="00277EC9">
        <w:rPr>
          <w:rFonts w:ascii="Calibri" w:eastAsia="Calibri" w:hAnsi="Calibri" w:cs="Calibri"/>
          <w:noProof/>
          <w:sz w:val="22"/>
          <w:szCs w:val="22"/>
          <w:lang w:val="en-US"/>
        </w:rPr>
        <w:t xml:space="preserve">ØSTERBY, R., ASPLUND, J., BANGSTAD, H.-J., NYBERG, G., RUDBERG, S., VIBERTI, G. C. &amp; WALKER, J. D. 1997. Glomerular volume and the glomerular vascular pole area in patients with insulin-dependent diabetes mellitus. </w:t>
      </w:r>
      <w:r w:rsidRPr="00277EC9">
        <w:rPr>
          <w:rFonts w:ascii="Calibri" w:eastAsia="Calibri" w:hAnsi="Calibri" w:cs="Calibri"/>
          <w:i/>
          <w:noProof/>
          <w:sz w:val="22"/>
          <w:szCs w:val="22"/>
          <w:lang w:val="en-US"/>
        </w:rPr>
        <w:t>Virchows Archiv,</w:t>
      </w:r>
      <w:r w:rsidRPr="00277EC9">
        <w:rPr>
          <w:rFonts w:ascii="Calibri" w:eastAsia="Calibri" w:hAnsi="Calibri" w:cs="Calibri"/>
          <w:noProof/>
          <w:sz w:val="22"/>
          <w:szCs w:val="22"/>
          <w:lang w:val="en-US"/>
        </w:rPr>
        <w:t xml:space="preserve"> 431</w:t>
      </w:r>
      <w:r w:rsidRPr="00277EC9">
        <w:rPr>
          <w:rFonts w:ascii="Calibri" w:eastAsia="Calibri" w:hAnsi="Calibri" w:cs="Calibri"/>
          <w:b/>
          <w:noProof/>
          <w:sz w:val="22"/>
          <w:szCs w:val="22"/>
          <w:lang w:val="en-US"/>
        </w:rPr>
        <w:t>,</w:t>
      </w:r>
      <w:r w:rsidRPr="00277EC9">
        <w:rPr>
          <w:rFonts w:ascii="Calibri" w:eastAsia="Calibri" w:hAnsi="Calibri" w:cs="Calibri"/>
          <w:noProof/>
          <w:sz w:val="22"/>
          <w:szCs w:val="22"/>
          <w:lang w:val="en-US"/>
        </w:rPr>
        <w:t xml:space="preserve"> 351-357.</w:t>
      </w:r>
    </w:p>
    <w:p w:rsidR="00B02242" w:rsidRPr="00B02242" w:rsidRDefault="00B02242" w:rsidP="00B02242">
      <w:pPr>
        <w:jc w:val="left"/>
        <w:rPr>
          <w:rFonts w:ascii="Times New Roman" w:eastAsia="Calibri" w:hAnsi="Times New Roman"/>
          <w:lang w:val="en-US"/>
        </w:rPr>
      </w:pPr>
      <w:r w:rsidRPr="00277EC9">
        <w:rPr>
          <w:rFonts w:ascii="Times New Roman" w:eastAsia="Calibri" w:hAnsi="Times New Roman"/>
          <w:lang w:val="en-US"/>
        </w:rPr>
        <w:fldChar w:fldCharType="end"/>
      </w:r>
    </w:p>
    <w:p w:rsidR="00B02242" w:rsidRPr="00736A8C" w:rsidRDefault="00B02242" w:rsidP="000B0B92">
      <w:pPr>
        <w:ind w:left="720"/>
        <w:sectPr w:rsidR="00B02242" w:rsidRPr="00736A8C">
          <w:pgSz w:w="11906" w:h="16838"/>
          <w:pgMar w:top="1440" w:right="1440" w:bottom="1440" w:left="1440" w:header="708" w:footer="708" w:gutter="0"/>
          <w:cols w:space="708"/>
          <w:docGrid w:linePitch="360"/>
        </w:sectPr>
      </w:pPr>
    </w:p>
    <w:p w:rsidR="009A7933" w:rsidRPr="009A7933" w:rsidRDefault="009A7933" w:rsidP="00031092">
      <w:pPr>
        <w:spacing w:before="280" w:after="40" w:line="259" w:lineRule="auto"/>
      </w:pPr>
    </w:p>
    <w:sectPr w:rsidR="009A7933" w:rsidRPr="009A7933" w:rsidSect="0036201D">
      <w:pgSz w:w="11906" w:h="16838"/>
      <w:pgMar w:top="1985" w:right="1985" w:bottom="1985" w:left="2268" w:header="709" w:footer="709" w:gutter="0"/>
      <w:pgNumType w:start="1"/>
      <w:cols w:space="708"/>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3416" w:rsidRDefault="00203416" w:rsidP="00580B34">
      <w:pPr>
        <w:spacing w:after="0" w:line="240" w:lineRule="auto"/>
      </w:pPr>
      <w:r>
        <w:separator/>
      </w:r>
    </w:p>
  </w:endnote>
  <w:endnote w:type="continuationSeparator" w:id="0">
    <w:p w:rsidR="00203416" w:rsidRDefault="00203416" w:rsidP="00580B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 w:name="TUOS Stephenson">
    <w:panose1 w:val="02070503080000020004"/>
    <w:charset w:val="00"/>
    <w:family w:val="roman"/>
    <w:pitch w:val="variable"/>
    <w:sig w:usb0="8000002F" w:usb1="4000004A" w:usb2="00000000" w:usb3="00000000" w:csb0="00000011" w:csb1="00000000"/>
  </w:font>
  <w:font w:name="Cambria Math">
    <w:panose1 w:val="02040503050406030204"/>
    <w:charset w:val="01"/>
    <w:family w:val="roman"/>
    <w:notTrueType/>
    <w:pitch w:val="variable"/>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A02" w:rsidRDefault="00AD6A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3416199"/>
      <w:docPartObj>
        <w:docPartGallery w:val="Page Numbers (Bottom of Page)"/>
        <w:docPartUnique/>
      </w:docPartObj>
    </w:sdtPr>
    <w:sdtEndPr>
      <w:rPr>
        <w:noProof/>
      </w:rPr>
    </w:sdtEndPr>
    <w:sdtContent>
      <w:p w:rsidR="00AD6A02" w:rsidRDefault="00AD6A02">
        <w:pPr>
          <w:pStyle w:val="Footer"/>
          <w:jc w:val="right"/>
        </w:pPr>
        <w:r>
          <w:fldChar w:fldCharType="begin"/>
        </w:r>
        <w:r>
          <w:instrText xml:space="preserve"> PAGE   \* MERGEFORMAT </w:instrText>
        </w:r>
        <w:r>
          <w:fldChar w:fldCharType="separate"/>
        </w:r>
        <w:r w:rsidR="00F12B48">
          <w:rPr>
            <w:noProof/>
          </w:rPr>
          <w:t>193</w:t>
        </w:r>
        <w:r>
          <w:rPr>
            <w:noProof/>
          </w:rPr>
          <w:fldChar w:fldCharType="end"/>
        </w:r>
      </w:p>
    </w:sdtContent>
  </w:sdt>
  <w:p w:rsidR="00AD6A02" w:rsidRDefault="00AD6A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A02" w:rsidRDefault="00AD6A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3416" w:rsidRDefault="00203416" w:rsidP="00580B34">
      <w:pPr>
        <w:spacing w:after="0" w:line="240" w:lineRule="auto"/>
      </w:pPr>
      <w:r>
        <w:separator/>
      </w:r>
    </w:p>
  </w:footnote>
  <w:footnote w:type="continuationSeparator" w:id="0">
    <w:p w:rsidR="00203416" w:rsidRDefault="00203416" w:rsidP="00580B3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A02" w:rsidRDefault="00AD6A0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A02" w:rsidRDefault="00AD6A0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6A02" w:rsidRDefault="00AD6A0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0AD27E1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E3278A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7480C9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E9C20E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4B077A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A0638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E1472AA"/>
    <w:lvl w:ilvl="0">
      <w:start w:val="1"/>
      <w:numFmt w:val="bullet"/>
      <w:pStyle w:val="Heading8"/>
      <w:lvlText w:val=""/>
      <w:lvlJc w:val="left"/>
      <w:pPr>
        <w:tabs>
          <w:tab w:val="num" w:pos="360"/>
        </w:tabs>
        <w:ind w:left="360" w:hanging="360"/>
      </w:pPr>
      <w:rPr>
        <w:rFonts w:ascii="Symbol" w:hAnsi="Symbol" w:hint="default"/>
      </w:rPr>
    </w:lvl>
  </w:abstractNum>
  <w:abstractNum w:abstractNumId="7" w15:restartNumberingAfterBreak="0">
    <w:nsid w:val="FFFFFF83"/>
    <w:multiLevelType w:val="singleLevel"/>
    <w:tmpl w:val="995AAC8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560D93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3DEC7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203DCF"/>
    <w:multiLevelType w:val="hybridMultilevel"/>
    <w:tmpl w:val="84E00C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052873E7"/>
    <w:multiLevelType w:val="hybridMultilevel"/>
    <w:tmpl w:val="7DBE42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09524455"/>
    <w:multiLevelType w:val="multilevel"/>
    <w:tmpl w:val="472CDA28"/>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3" w15:restartNumberingAfterBreak="0">
    <w:nsid w:val="0DF77FBB"/>
    <w:multiLevelType w:val="hybridMultilevel"/>
    <w:tmpl w:val="9FB8FC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100F3381"/>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5B44681"/>
    <w:multiLevelType w:val="multilevel"/>
    <w:tmpl w:val="FC5E392C"/>
    <w:lvl w:ilvl="0">
      <w:start w:val="1"/>
      <w:numFmt w:val="bullet"/>
      <w:lvlText w:val="●"/>
      <w:lvlJc w:val="left"/>
      <w:pPr>
        <w:ind w:left="1080" w:firstLine="360"/>
      </w:pPr>
      <w:rPr>
        <w:rFonts w:ascii="Arial" w:eastAsia="Arial" w:hAnsi="Arial" w:cs="Arial"/>
        <w:sz w:val="20"/>
        <w:szCs w:val="20"/>
      </w:rPr>
    </w:lvl>
    <w:lvl w:ilvl="1">
      <w:start w:val="1"/>
      <w:numFmt w:val="bullet"/>
      <w:lvlText w:val="o"/>
      <w:lvlJc w:val="left"/>
      <w:pPr>
        <w:ind w:left="1800" w:firstLine="1080"/>
      </w:pPr>
      <w:rPr>
        <w:rFonts w:ascii="Arial" w:eastAsia="Arial" w:hAnsi="Arial" w:cs="Arial"/>
        <w:sz w:val="20"/>
        <w:szCs w:val="20"/>
      </w:rPr>
    </w:lvl>
    <w:lvl w:ilvl="2">
      <w:start w:val="1"/>
      <w:numFmt w:val="bullet"/>
      <w:lvlText w:val="▪"/>
      <w:lvlJc w:val="left"/>
      <w:pPr>
        <w:ind w:left="2520" w:firstLine="1800"/>
      </w:pPr>
      <w:rPr>
        <w:rFonts w:ascii="Arial" w:eastAsia="Arial" w:hAnsi="Arial" w:cs="Arial"/>
        <w:sz w:val="20"/>
        <w:szCs w:val="20"/>
      </w:rPr>
    </w:lvl>
    <w:lvl w:ilvl="3">
      <w:start w:val="1"/>
      <w:numFmt w:val="bullet"/>
      <w:lvlText w:val="▪"/>
      <w:lvlJc w:val="left"/>
      <w:pPr>
        <w:ind w:left="3240" w:firstLine="2520"/>
      </w:pPr>
      <w:rPr>
        <w:rFonts w:ascii="Arial" w:eastAsia="Arial" w:hAnsi="Arial" w:cs="Arial"/>
        <w:sz w:val="20"/>
        <w:szCs w:val="20"/>
      </w:rPr>
    </w:lvl>
    <w:lvl w:ilvl="4">
      <w:start w:val="1"/>
      <w:numFmt w:val="bullet"/>
      <w:lvlText w:val="▪"/>
      <w:lvlJc w:val="left"/>
      <w:pPr>
        <w:ind w:left="3960" w:firstLine="3240"/>
      </w:pPr>
      <w:rPr>
        <w:rFonts w:ascii="Arial" w:eastAsia="Arial" w:hAnsi="Arial" w:cs="Arial"/>
        <w:sz w:val="20"/>
        <w:szCs w:val="20"/>
      </w:rPr>
    </w:lvl>
    <w:lvl w:ilvl="5">
      <w:start w:val="1"/>
      <w:numFmt w:val="bullet"/>
      <w:lvlText w:val="▪"/>
      <w:lvlJc w:val="left"/>
      <w:pPr>
        <w:ind w:left="4680" w:firstLine="3960"/>
      </w:pPr>
      <w:rPr>
        <w:rFonts w:ascii="Arial" w:eastAsia="Arial" w:hAnsi="Arial" w:cs="Arial"/>
        <w:sz w:val="20"/>
        <w:szCs w:val="20"/>
      </w:rPr>
    </w:lvl>
    <w:lvl w:ilvl="6">
      <w:start w:val="1"/>
      <w:numFmt w:val="bullet"/>
      <w:lvlText w:val="▪"/>
      <w:lvlJc w:val="left"/>
      <w:pPr>
        <w:ind w:left="5400" w:firstLine="4680"/>
      </w:pPr>
      <w:rPr>
        <w:rFonts w:ascii="Arial" w:eastAsia="Arial" w:hAnsi="Arial" w:cs="Arial"/>
        <w:sz w:val="20"/>
        <w:szCs w:val="20"/>
      </w:rPr>
    </w:lvl>
    <w:lvl w:ilvl="7">
      <w:start w:val="1"/>
      <w:numFmt w:val="bullet"/>
      <w:lvlText w:val="▪"/>
      <w:lvlJc w:val="left"/>
      <w:pPr>
        <w:ind w:left="6120" w:firstLine="5400"/>
      </w:pPr>
      <w:rPr>
        <w:rFonts w:ascii="Arial" w:eastAsia="Arial" w:hAnsi="Arial" w:cs="Arial"/>
        <w:sz w:val="20"/>
        <w:szCs w:val="20"/>
      </w:rPr>
    </w:lvl>
    <w:lvl w:ilvl="8">
      <w:start w:val="1"/>
      <w:numFmt w:val="bullet"/>
      <w:lvlText w:val="▪"/>
      <w:lvlJc w:val="left"/>
      <w:pPr>
        <w:ind w:left="6840" w:firstLine="6120"/>
      </w:pPr>
      <w:rPr>
        <w:rFonts w:ascii="Arial" w:eastAsia="Arial" w:hAnsi="Arial" w:cs="Arial"/>
        <w:sz w:val="20"/>
        <w:szCs w:val="20"/>
      </w:rPr>
    </w:lvl>
  </w:abstractNum>
  <w:abstractNum w:abstractNumId="16" w15:restartNumberingAfterBreak="0">
    <w:nsid w:val="16376A00"/>
    <w:multiLevelType w:val="multilevel"/>
    <w:tmpl w:val="DC00A1F6"/>
    <w:styleLink w:val="ArticleSection"/>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7" w15:restartNumberingAfterBreak="0">
    <w:nsid w:val="166140FC"/>
    <w:multiLevelType w:val="hybridMultilevel"/>
    <w:tmpl w:val="6F709410"/>
    <w:lvl w:ilvl="0" w:tplc="B3CE975E">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 w15:restartNumberingAfterBreak="0">
    <w:nsid w:val="17112A0E"/>
    <w:multiLevelType w:val="hybridMultilevel"/>
    <w:tmpl w:val="9D38E2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17FE1906"/>
    <w:multiLevelType w:val="hybridMultilevel"/>
    <w:tmpl w:val="D340F5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1A8504ED"/>
    <w:multiLevelType w:val="hybridMultilevel"/>
    <w:tmpl w:val="50E85036"/>
    <w:lvl w:ilvl="0" w:tplc="D9228FC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20632758"/>
    <w:multiLevelType w:val="hybridMultilevel"/>
    <w:tmpl w:val="DF8212BA"/>
    <w:lvl w:ilvl="0" w:tplc="08090011">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2" w15:restartNumberingAfterBreak="0">
    <w:nsid w:val="23037024"/>
    <w:multiLevelType w:val="hybridMultilevel"/>
    <w:tmpl w:val="BA805136"/>
    <w:lvl w:ilvl="0" w:tplc="15E6965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15:restartNumberingAfterBreak="0">
    <w:nsid w:val="240C1CC2"/>
    <w:multiLevelType w:val="multilevel"/>
    <w:tmpl w:val="0809001F"/>
    <w:styleLink w:val="111111"/>
    <w:lvl w:ilvl="0">
      <w:start w:val="1"/>
      <w:numFmt w:val="decimal"/>
      <w:lvlText w:val="%1."/>
      <w:lvlJc w:val="left"/>
      <w:pPr>
        <w:tabs>
          <w:tab w:val="num" w:pos="643"/>
        </w:tabs>
        <w:ind w:left="643" w:hanging="360"/>
      </w:pPr>
    </w:lvl>
    <w:lvl w:ilvl="1">
      <w:start w:val="1"/>
      <w:numFmt w:val="decimal"/>
      <w:lvlText w:val="%1.%2."/>
      <w:lvlJc w:val="left"/>
      <w:pPr>
        <w:tabs>
          <w:tab w:val="num" w:pos="1221"/>
        </w:tabs>
        <w:ind w:left="933" w:hanging="432"/>
      </w:pPr>
    </w:lvl>
    <w:lvl w:ilvl="2">
      <w:start w:val="1"/>
      <w:numFmt w:val="decimal"/>
      <w:lvlText w:val="%1.%2.%3."/>
      <w:lvlJc w:val="left"/>
      <w:pPr>
        <w:tabs>
          <w:tab w:val="num" w:pos="1941"/>
        </w:tabs>
        <w:ind w:left="1365" w:hanging="504"/>
      </w:pPr>
    </w:lvl>
    <w:lvl w:ilvl="3">
      <w:start w:val="1"/>
      <w:numFmt w:val="decimal"/>
      <w:lvlText w:val="%1.%2.%3.%4."/>
      <w:lvlJc w:val="left"/>
      <w:pPr>
        <w:tabs>
          <w:tab w:val="num" w:pos="2661"/>
        </w:tabs>
        <w:ind w:left="1869" w:hanging="648"/>
      </w:pPr>
    </w:lvl>
    <w:lvl w:ilvl="4">
      <w:start w:val="1"/>
      <w:numFmt w:val="decimal"/>
      <w:lvlText w:val="%1.%2.%3.%4.%5."/>
      <w:lvlJc w:val="left"/>
      <w:pPr>
        <w:tabs>
          <w:tab w:val="num" w:pos="3021"/>
        </w:tabs>
        <w:ind w:left="2373" w:hanging="792"/>
      </w:pPr>
    </w:lvl>
    <w:lvl w:ilvl="5">
      <w:start w:val="1"/>
      <w:numFmt w:val="decimal"/>
      <w:lvlText w:val="%1.%2.%3.%4.%5.%6."/>
      <w:lvlJc w:val="left"/>
      <w:pPr>
        <w:tabs>
          <w:tab w:val="num" w:pos="3741"/>
        </w:tabs>
        <w:ind w:left="2877" w:hanging="936"/>
      </w:pPr>
    </w:lvl>
    <w:lvl w:ilvl="6">
      <w:start w:val="1"/>
      <w:numFmt w:val="decimal"/>
      <w:lvlText w:val="%1.%2.%3.%4.%5.%6.%7."/>
      <w:lvlJc w:val="left"/>
      <w:pPr>
        <w:tabs>
          <w:tab w:val="num" w:pos="4461"/>
        </w:tabs>
        <w:ind w:left="3381" w:hanging="1080"/>
      </w:pPr>
    </w:lvl>
    <w:lvl w:ilvl="7">
      <w:start w:val="1"/>
      <w:numFmt w:val="decimal"/>
      <w:lvlText w:val="%1.%2.%3.%4.%5.%6.%7.%8."/>
      <w:lvlJc w:val="left"/>
      <w:pPr>
        <w:tabs>
          <w:tab w:val="num" w:pos="5181"/>
        </w:tabs>
        <w:ind w:left="3885" w:hanging="1224"/>
      </w:pPr>
    </w:lvl>
    <w:lvl w:ilvl="8">
      <w:start w:val="1"/>
      <w:numFmt w:val="decimal"/>
      <w:lvlText w:val="%1.%2.%3.%4.%5.%6.%7.%8.%9."/>
      <w:lvlJc w:val="left"/>
      <w:pPr>
        <w:tabs>
          <w:tab w:val="num" w:pos="5541"/>
        </w:tabs>
        <w:ind w:left="4461" w:hanging="1440"/>
      </w:pPr>
    </w:lvl>
  </w:abstractNum>
  <w:abstractNum w:abstractNumId="24" w15:restartNumberingAfterBreak="0">
    <w:nsid w:val="2413215A"/>
    <w:multiLevelType w:val="hybridMultilevel"/>
    <w:tmpl w:val="9AF2CBB6"/>
    <w:lvl w:ilvl="0" w:tplc="34529932">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5" w15:restartNumberingAfterBreak="0">
    <w:nsid w:val="37A039DB"/>
    <w:multiLevelType w:val="multilevel"/>
    <w:tmpl w:val="C4822634"/>
    <w:lvl w:ilvl="0">
      <w:start w:val="1"/>
      <w:numFmt w:val="lowerLetter"/>
      <w:lvlText w:val="%1)"/>
      <w:lvlJc w:val="left"/>
      <w:pPr>
        <w:ind w:left="720" w:firstLine="360"/>
      </w:pPr>
      <w:rPr>
        <w:rFonts w:ascii="Arial" w:eastAsia="Times New Roman" w:hAnsi="Arial" w:cs="Arial" w:hint="default"/>
        <w:b w:val="0"/>
        <w:sz w:val="24"/>
        <w:szCs w:val="24"/>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6" w15:restartNumberingAfterBreak="0">
    <w:nsid w:val="507C750F"/>
    <w:multiLevelType w:val="multilevel"/>
    <w:tmpl w:val="FDA065CC"/>
    <w:lvl w:ilvl="0">
      <w:start w:val="1"/>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1"/>
      <w:numFmt w:val="decimal"/>
      <w:pStyle w:val="a"/>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353717C"/>
    <w:multiLevelType w:val="hybridMultilevel"/>
    <w:tmpl w:val="9802FC02"/>
    <w:lvl w:ilvl="0" w:tplc="BE7088E8">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5A02359B"/>
    <w:multiLevelType w:val="hybridMultilevel"/>
    <w:tmpl w:val="4DAAF7D8"/>
    <w:lvl w:ilvl="0" w:tplc="7E527E7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15:restartNumberingAfterBreak="0">
    <w:nsid w:val="5F494AC6"/>
    <w:multiLevelType w:val="multilevel"/>
    <w:tmpl w:val="C32E66E2"/>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0" w15:restartNumberingAfterBreak="0">
    <w:nsid w:val="628973B3"/>
    <w:multiLevelType w:val="multilevel"/>
    <w:tmpl w:val="FAEE49E8"/>
    <w:lvl w:ilvl="0">
      <w:start w:val="1"/>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31" w15:restartNumberingAfterBreak="0">
    <w:nsid w:val="62D832B4"/>
    <w:multiLevelType w:val="hybridMultilevel"/>
    <w:tmpl w:val="8098C3DC"/>
    <w:lvl w:ilvl="0" w:tplc="08090011">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6A272253"/>
    <w:multiLevelType w:val="hybridMultilevel"/>
    <w:tmpl w:val="D452E08C"/>
    <w:lvl w:ilvl="0" w:tplc="B80078CE">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3"/>
  </w:num>
  <w:num w:numId="12">
    <w:abstractNumId w:val="14"/>
  </w:num>
  <w:num w:numId="13">
    <w:abstractNumId w:val="16"/>
  </w:num>
  <w:num w:numId="14">
    <w:abstractNumId w:val="26"/>
  </w:num>
  <w:num w:numId="15">
    <w:abstractNumId w:val="27"/>
  </w:num>
  <w:num w:numId="16">
    <w:abstractNumId w:val="15"/>
  </w:num>
  <w:num w:numId="17">
    <w:abstractNumId w:val="30"/>
  </w:num>
  <w:num w:numId="18">
    <w:abstractNumId w:val="19"/>
  </w:num>
  <w:num w:numId="19">
    <w:abstractNumId w:val="25"/>
  </w:num>
  <w:num w:numId="20">
    <w:abstractNumId w:val="12"/>
  </w:num>
  <w:num w:numId="21">
    <w:abstractNumId w:val="29"/>
  </w:num>
  <w:num w:numId="22">
    <w:abstractNumId w:val="32"/>
  </w:num>
  <w:num w:numId="23">
    <w:abstractNumId w:val="17"/>
  </w:num>
  <w:num w:numId="24">
    <w:abstractNumId w:val="24"/>
  </w:num>
  <w:num w:numId="25">
    <w:abstractNumId w:val="21"/>
  </w:num>
  <w:num w:numId="26">
    <w:abstractNumId w:val="31"/>
  </w:num>
  <w:num w:numId="27">
    <w:abstractNumId w:val="28"/>
  </w:num>
  <w:num w:numId="28">
    <w:abstractNumId w:val="18"/>
  </w:num>
  <w:num w:numId="29">
    <w:abstractNumId w:val="13"/>
  </w:num>
  <w:num w:numId="30">
    <w:abstractNumId w:val="10"/>
  </w:num>
  <w:num w:numId="31">
    <w:abstractNumId w:val="11"/>
  </w:num>
  <w:num w:numId="32">
    <w:abstractNumId w:val="20"/>
  </w:num>
  <w:num w:numId="33">
    <w:abstractNumId w:val="2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1&lt;/HyperlinksVisible&gt;&lt;EnableBibliographyCategories&gt;0&lt;/EnableBibliographyCategories&gt;&lt;/ENLayout&gt;"/>
    <w:docVar w:name="EN.Libraries" w:val="&lt;Libraries&gt;&lt;item db-id=&quot;9sarr2awb2fdr2efvxgvers4zsfta2z5azf9&quot;&gt;khalid&lt;record-ids&gt;&lt;item&gt;1&lt;/item&gt;&lt;item&gt;2&lt;/item&gt;&lt;item&gt;3&lt;/item&gt;&lt;item&gt;4&lt;/item&gt;&lt;item&gt;5&lt;/item&gt;&lt;item&gt;6&lt;/item&gt;&lt;item&gt;7&lt;/item&gt;&lt;item&gt;8&lt;/item&gt;&lt;item&gt;9&lt;/item&gt;&lt;item&gt;10&lt;/item&gt;&lt;item&gt;12&lt;/item&gt;&lt;item&gt;13&lt;/item&gt;&lt;item&gt;14&lt;/item&gt;&lt;item&gt;16&lt;/item&gt;&lt;item&gt;17&lt;/item&gt;&lt;item&gt;18&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6&lt;/item&gt;&lt;item&gt;68&lt;/item&gt;&lt;item&gt;73&lt;/item&gt;&lt;item&gt;74&lt;/item&gt;&lt;item&gt;75&lt;/item&gt;&lt;item&gt;76&lt;/item&gt;&lt;item&gt;84&lt;/item&gt;&lt;item&gt;85&lt;/item&gt;&lt;item&gt;86&lt;/item&gt;&lt;item&gt;87&lt;/item&gt;&lt;item&gt;89&lt;/item&gt;&lt;item&gt;90&lt;/item&gt;&lt;item&gt;91&lt;/item&gt;&lt;item&gt;92&lt;/item&gt;&lt;item&gt;94&lt;/item&gt;&lt;item&gt;95&lt;/item&gt;&lt;item&gt;98&lt;/item&gt;&lt;item&gt;99&lt;/item&gt;&lt;item&gt;100&lt;/item&gt;&lt;item&gt;101&lt;/item&gt;&lt;item&gt;102&lt;/item&gt;&lt;item&gt;103&lt;/item&gt;&lt;item&gt;104&lt;/item&gt;&lt;item&gt;105&lt;/item&gt;&lt;item&gt;106&lt;/item&gt;&lt;item&gt;109&lt;/item&gt;&lt;item&gt;114&lt;/item&gt;&lt;item&gt;118&lt;/item&gt;&lt;item&gt;119&lt;/item&gt;&lt;item&gt;120&lt;/item&gt;&lt;item&gt;121&lt;/item&gt;&lt;item&gt;123&lt;/item&gt;&lt;item&gt;126&lt;/item&gt;&lt;item&gt;128&lt;/item&gt;&lt;item&gt;138&lt;/item&gt;&lt;item&gt;140&lt;/item&gt;&lt;item&gt;146&lt;/item&gt;&lt;item&gt;148&lt;/item&gt;&lt;item&gt;150&lt;/item&gt;&lt;item&gt;155&lt;/item&gt;&lt;item&gt;156&lt;/item&gt;&lt;item&gt;157&lt;/item&gt;&lt;item&gt;159&lt;/item&gt;&lt;item&gt;164&lt;/item&gt;&lt;item&gt;169&lt;/item&gt;&lt;item&gt;170&lt;/item&gt;&lt;item&gt;173&lt;/item&gt;&lt;item&gt;177&lt;/item&gt;&lt;item&gt;178&lt;/item&gt;&lt;item&gt;179&lt;/item&gt;&lt;item&gt;180&lt;/item&gt;&lt;item&gt;181&lt;/item&gt;&lt;item&gt;183&lt;/item&gt;&lt;item&gt;184&lt;/item&gt;&lt;item&gt;185&lt;/item&gt;&lt;item&gt;186&lt;/item&gt;&lt;item&gt;187&lt;/item&gt;&lt;item&gt;191&lt;/item&gt;&lt;item&gt;192&lt;/item&gt;&lt;item&gt;193&lt;/item&gt;&lt;item&gt;194&lt;/item&gt;&lt;item&gt;195&lt;/item&gt;&lt;item&gt;196&lt;/item&gt;&lt;item&gt;197&lt;/item&gt;&lt;item&gt;200&lt;/item&gt;&lt;item&gt;203&lt;/item&gt;&lt;item&gt;204&lt;/item&gt;&lt;item&gt;205&lt;/item&gt;&lt;item&gt;206&lt;/item&gt;&lt;item&gt;207&lt;/item&gt;&lt;item&gt;208&lt;/item&gt;&lt;item&gt;209&lt;/item&gt;&lt;item&gt;212&lt;/item&gt;&lt;item&gt;213&lt;/item&gt;&lt;item&gt;218&lt;/item&gt;&lt;item&gt;220&lt;/item&gt;&lt;item&gt;221&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8&lt;/item&gt;&lt;item&gt;239&lt;/item&gt;&lt;item&gt;240&lt;/item&gt;&lt;/record-ids&gt;&lt;/item&gt;&lt;/Libraries&gt;"/>
  </w:docVars>
  <w:rsids>
    <w:rsidRoot w:val="00580B34"/>
    <w:rsid w:val="00000F39"/>
    <w:rsid w:val="00002DE5"/>
    <w:rsid w:val="000037C3"/>
    <w:rsid w:val="000040A5"/>
    <w:rsid w:val="000051CE"/>
    <w:rsid w:val="000052CA"/>
    <w:rsid w:val="000061C1"/>
    <w:rsid w:val="00010DF0"/>
    <w:rsid w:val="0001115D"/>
    <w:rsid w:val="0001197A"/>
    <w:rsid w:val="000127DB"/>
    <w:rsid w:val="0001293E"/>
    <w:rsid w:val="00013F4E"/>
    <w:rsid w:val="00015CCE"/>
    <w:rsid w:val="00017398"/>
    <w:rsid w:val="00017C72"/>
    <w:rsid w:val="00022AAD"/>
    <w:rsid w:val="00022C85"/>
    <w:rsid w:val="00031092"/>
    <w:rsid w:val="00034B48"/>
    <w:rsid w:val="00035279"/>
    <w:rsid w:val="00036F92"/>
    <w:rsid w:val="00037C17"/>
    <w:rsid w:val="0004059F"/>
    <w:rsid w:val="00042598"/>
    <w:rsid w:val="00042E02"/>
    <w:rsid w:val="0004461E"/>
    <w:rsid w:val="000464B6"/>
    <w:rsid w:val="00047853"/>
    <w:rsid w:val="00051368"/>
    <w:rsid w:val="0005419E"/>
    <w:rsid w:val="00054D71"/>
    <w:rsid w:val="00055BD6"/>
    <w:rsid w:val="00055CD9"/>
    <w:rsid w:val="0006035F"/>
    <w:rsid w:val="00060AD7"/>
    <w:rsid w:val="0006224E"/>
    <w:rsid w:val="00064C72"/>
    <w:rsid w:val="00075B2B"/>
    <w:rsid w:val="000761F4"/>
    <w:rsid w:val="00080675"/>
    <w:rsid w:val="00080B73"/>
    <w:rsid w:val="00080B78"/>
    <w:rsid w:val="00081732"/>
    <w:rsid w:val="00081F3C"/>
    <w:rsid w:val="00082720"/>
    <w:rsid w:val="000828E1"/>
    <w:rsid w:val="000829C9"/>
    <w:rsid w:val="00085329"/>
    <w:rsid w:val="00086331"/>
    <w:rsid w:val="00086410"/>
    <w:rsid w:val="000935BD"/>
    <w:rsid w:val="0009501B"/>
    <w:rsid w:val="0009558C"/>
    <w:rsid w:val="00096A22"/>
    <w:rsid w:val="00096A46"/>
    <w:rsid w:val="00096A8A"/>
    <w:rsid w:val="00096F36"/>
    <w:rsid w:val="000A17BB"/>
    <w:rsid w:val="000A2A01"/>
    <w:rsid w:val="000A47F4"/>
    <w:rsid w:val="000A531E"/>
    <w:rsid w:val="000B02F4"/>
    <w:rsid w:val="000B0B92"/>
    <w:rsid w:val="000B0D29"/>
    <w:rsid w:val="000B276C"/>
    <w:rsid w:val="000B351C"/>
    <w:rsid w:val="000B646A"/>
    <w:rsid w:val="000C085B"/>
    <w:rsid w:val="000C098D"/>
    <w:rsid w:val="000C18E8"/>
    <w:rsid w:val="000C1CDC"/>
    <w:rsid w:val="000C2844"/>
    <w:rsid w:val="000C438C"/>
    <w:rsid w:val="000C4552"/>
    <w:rsid w:val="000C53A8"/>
    <w:rsid w:val="000C69D2"/>
    <w:rsid w:val="000C7B64"/>
    <w:rsid w:val="000C7F72"/>
    <w:rsid w:val="000D1E1B"/>
    <w:rsid w:val="000D2218"/>
    <w:rsid w:val="000D3D20"/>
    <w:rsid w:val="000D5D57"/>
    <w:rsid w:val="000D7BD1"/>
    <w:rsid w:val="000D7C79"/>
    <w:rsid w:val="000E1085"/>
    <w:rsid w:val="000E311A"/>
    <w:rsid w:val="000E3401"/>
    <w:rsid w:val="000E45CD"/>
    <w:rsid w:val="000E4BF3"/>
    <w:rsid w:val="000E4EDA"/>
    <w:rsid w:val="000E59FA"/>
    <w:rsid w:val="000E7E64"/>
    <w:rsid w:val="000F432F"/>
    <w:rsid w:val="000F4BB6"/>
    <w:rsid w:val="000F7CFE"/>
    <w:rsid w:val="00100122"/>
    <w:rsid w:val="00100A9A"/>
    <w:rsid w:val="00101CCF"/>
    <w:rsid w:val="001022D4"/>
    <w:rsid w:val="00103E6A"/>
    <w:rsid w:val="00114ED1"/>
    <w:rsid w:val="00115894"/>
    <w:rsid w:val="001167B8"/>
    <w:rsid w:val="00121CB9"/>
    <w:rsid w:val="00122443"/>
    <w:rsid w:val="001234C9"/>
    <w:rsid w:val="001237FC"/>
    <w:rsid w:val="0012466F"/>
    <w:rsid w:val="00124734"/>
    <w:rsid w:val="00125C54"/>
    <w:rsid w:val="00127F6E"/>
    <w:rsid w:val="00134E5E"/>
    <w:rsid w:val="001364A6"/>
    <w:rsid w:val="00141D63"/>
    <w:rsid w:val="00141DBE"/>
    <w:rsid w:val="0014284C"/>
    <w:rsid w:val="001469E0"/>
    <w:rsid w:val="00151524"/>
    <w:rsid w:val="00153947"/>
    <w:rsid w:val="00154641"/>
    <w:rsid w:val="00154E0B"/>
    <w:rsid w:val="00156F32"/>
    <w:rsid w:val="00156F6A"/>
    <w:rsid w:val="00160880"/>
    <w:rsid w:val="00161891"/>
    <w:rsid w:val="00162050"/>
    <w:rsid w:val="00164E93"/>
    <w:rsid w:val="00165781"/>
    <w:rsid w:val="001671D3"/>
    <w:rsid w:val="00167BEC"/>
    <w:rsid w:val="00167CBF"/>
    <w:rsid w:val="00170ABF"/>
    <w:rsid w:val="001711B1"/>
    <w:rsid w:val="0017141B"/>
    <w:rsid w:val="00171FAB"/>
    <w:rsid w:val="001726BA"/>
    <w:rsid w:val="00172E65"/>
    <w:rsid w:val="00173F77"/>
    <w:rsid w:val="00174ACB"/>
    <w:rsid w:val="0017556B"/>
    <w:rsid w:val="00176FA7"/>
    <w:rsid w:val="00182293"/>
    <w:rsid w:val="00182896"/>
    <w:rsid w:val="00182FA8"/>
    <w:rsid w:val="00183126"/>
    <w:rsid w:val="00184E38"/>
    <w:rsid w:val="00185605"/>
    <w:rsid w:val="001869BA"/>
    <w:rsid w:val="00186E1F"/>
    <w:rsid w:val="00187B37"/>
    <w:rsid w:val="00190156"/>
    <w:rsid w:val="0019139A"/>
    <w:rsid w:val="001915B3"/>
    <w:rsid w:val="00192240"/>
    <w:rsid w:val="00194310"/>
    <w:rsid w:val="00195B89"/>
    <w:rsid w:val="00197E97"/>
    <w:rsid w:val="001A1106"/>
    <w:rsid w:val="001A21BE"/>
    <w:rsid w:val="001A2AF7"/>
    <w:rsid w:val="001A2C8A"/>
    <w:rsid w:val="001A48AB"/>
    <w:rsid w:val="001A4FA4"/>
    <w:rsid w:val="001A56C4"/>
    <w:rsid w:val="001A5A0B"/>
    <w:rsid w:val="001A7228"/>
    <w:rsid w:val="001A7402"/>
    <w:rsid w:val="001A78A7"/>
    <w:rsid w:val="001A7A95"/>
    <w:rsid w:val="001B0AEB"/>
    <w:rsid w:val="001B171C"/>
    <w:rsid w:val="001B306B"/>
    <w:rsid w:val="001B6D3F"/>
    <w:rsid w:val="001B6FB4"/>
    <w:rsid w:val="001C00DD"/>
    <w:rsid w:val="001C1866"/>
    <w:rsid w:val="001D08DA"/>
    <w:rsid w:val="001D4757"/>
    <w:rsid w:val="001D49F7"/>
    <w:rsid w:val="001E0F48"/>
    <w:rsid w:val="001E1755"/>
    <w:rsid w:val="001E2DED"/>
    <w:rsid w:val="001E2FD6"/>
    <w:rsid w:val="001E4CD5"/>
    <w:rsid w:val="001E61BD"/>
    <w:rsid w:val="001F21C2"/>
    <w:rsid w:val="001F33BD"/>
    <w:rsid w:val="001F5DB8"/>
    <w:rsid w:val="002010BA"/>
    <w:rsid w:val="00202D5D"/>
    <w:rsid w:val="00203416"/>
    <w:rsid w:val="0020436E"/>
    <w:rsid w:val="00212EED"/>
    <w:rsid w:val="00215DAE"/>
    <w:rsid w:val="002176CB"/>
    <w:rsid w:val="00222FBE"/>
    <w:rsid w:val="00226A70"/>
    <w:rsid w:val="00226FA5"/>
    <w:rsid w:val="0022710D"/>
    <w:rsid w:val="00227774"/>
    <w:rsid w:val="002339D9"/>
    <w:rsid w:val="00233AE7"/>
    <w:rsid w:val="00235B18"/>
    <w:rsid w:val="00235C59"/>
    <w:rsid w:val="002371E4"/>
    <w:rsid w:val="00237326"/>
    <w:rsid w:val="002374C5"/>
    <w:rsid w:val="00240A11"/>
    <w:rsid w:val="002411D4"/>
    <w:rsid w:val="002429A1"/>
    <w:rsid w:val="00242BBD"/>
    <w:rsid w:val="00242C4A"/>
    <w:rsid w:val="00246012"/>
    <w:rsid w:val="00246AAE"/>
    <w:rsid w:val="00246F07"/>
    <w:rsid w:val="0024755D"/>
    <w:rsid w:val="00253A4A"/>
    <w:rsid w:val="00253C72"/>
    <w:rsid w:val="00255326"/>
    <w:rsid w:val="00256F1C"/>
    <w:rsid w:val="00265420"/>
    <w:rsid w:val="00265924"/>
    <w:rsid w:val="0026738A"/>
    <w:rsid w:val="002679EA"/>
    <w:rsid w:val="00270063"/>
    <w:rsid w:val="00270430"/>
    <w:rsid w:val="00270C5D"/>
    <w:rsid w:val="00271258"/>
    <w:rsid w:val="00273280"/>
    <w:rsid w:val="00273660"/>
    <w:rsid w:val="00277EC9"/>
    <w:rsid w:val="00282604"/>
    <w:rsid w:val="00282648"/>
    <w:rsid w:val="002840F7"/>
    <w:rsid w:val="00285376"/>
    <w:rsid w:val="00286754"/>
    <w:rsid w:val="002869D7"/>
    <w:rsid w:val="00287991"/>
    <w:rsid w:val="0029197D"/>
    <w:rsid w:val="00297FD2"/>
    <w:rsid w:val="002A0F97"/>
    <w:rsid w:val="002A1222"/>
    <w:rsid w:val="002A1888"/>
    <w:rsid w:val="002A1BBE"/>
    <w:rsid w:val="002A373B"/>
    <w:rsid w:val="002A3D9B"/>
    <w:rsid w:val="002A4448"/>
    <w:rsid w:val="002A58CC"/>
    <w:rsid w:val="002A62C8"/>
    <w:rsid w:val="002A62D7"/>
    <w:rsid w:val="002A6336"/>
    <w:rsid w:val="002A6A12"/>
    <w:rsid w:val="002A76E1"/>
    <w:rsid w:val="002A7CD2"/>
    <w:rsid w:val="002B1267"/>
    <w:rsid w:val="002B1983"/>
    <w:rsid w:val="002B3B55"/>
    <w:rsid w:val="002B5697"/>
    <w:rsid w:val="002B5721"/>
    <w:rsid w:val="002B5AAF"/>
    <w:rsid w:val="002C013B"/>
    <w:rsid w:val="002C03B4"/>
    <w:rsid w:val="002C3774"/>
    <w:rsid w:val="002C4210"/>
    <w:rsid w:val="002C49CB"/>
    <w:rsid w:val="002C510E"/>
    <w:rsid w:val="002C65DD"/>
    <w:rsid w:val="002C696F"/>
    <w:rsid w:val="002C6B3C"/>
    <w:rsid w:val="002D1CF8"/>
    <w:rsid w:val="002D203F"/>
    <w:rsid w:val="002D24AB"/>
    <w:rsid w:val="002D56BD"/>
    <w:rsid w:val="002D5756"/>
    <w:rsid w:val="002D5B07"/>
    <w:rsid w:val="002D5E21"/>
    <w:rsid w:val="002D5F97"/>
    <w:rsid w:val="002E1E10"/>
    <w:rsid w:val="002E1FF3"/>
    <w:rsid w:val="002E2A88"/>
    <w:rsid w:val="002E42BF"/>
    <w:rsid w:val="002E6033"/>
    <w:rsid w:val="002E6DE5"/>
    <w:rsid w:val="002F334A"/>
    <w:rsid w:val="002F3ACB"/>
    <w:rsid w:val="002F4447"/>
    <w:rsid w:val="002F44A1"/>
    <w:rsid w:val="002F61FE"/>
    <w:rsid w:val="00301078"/>
    <w:rsid w:val="00301FB6"/>
    <w:rsid w:val="003051A7"/>
    <w:rsid w:val="00306F6F"/>
    <w:rsid w:val="0031089E"/>
    <w:rsid w:val="003128A5"/>
    <w:rsid w:val="00312EA6"/>
    <w:rsid w:val="0031422A"/>
    <w:rsid w:val="00321E68"/>
    <w:rsid w:val="00325859"/>
    <w:rsid w:val="00326D7E"/>
    <w:rsid w:val="003273A5"/>
    <w:rsid w:val="00332688"/>
    <w:rsid w:val="00332ADF"/>
    <w:rsid w:val="00332FC3"/>
    <w:rsid w:val="00333D07"/>
    <w:rsid w:val="0033609A"/>
    <w:rsid w:val="00336E2D"/>
    <w:rsid w:val="00337248"/>
    <w:rsid w:val="00337E8F"/>
    <w:rsid w:val="00340E34"/>
    <w:rsid w:val="003420C6"/>
    <w:rsid w:val="0034381A"/>
    <w:rsid w:val="003445ED"/>
    <w:rsid w:val="00344C5F"/>
    <w:rsid w:val="00344F7B"/>
    <w:rsid w:val="00346561"/>
    <w:rsid w:val="00347C93"/>
    <w:rsid w:val="00351BAA"/>
    <w:rsid w:val="00352293"/>
    <w:rsid w:val="00352BBA"/>
    <w:rsid w:val="0035300A"/>
    <w:rsid w:val="00353F19"/>
    <w:rsid w:val="00354BE9"/>
    <w:rsid w:val="00355FEA"/>
    <w:rsid w:val="00360727"/>
    <w:rsid w:val="0036119F"/>
    <w:rsid w:val="00361CBF"/>
    <w:rsid w:val="0036201D"/>
    <w:rsid w:val="00362C4F"/>
    <w:rsid w:val="0036601B"/>
    <w:rsid w:val="003661B5"/>
    <w:rsid w:val="00366FD8"/>
    <w:rsid w:val="00370E69"/>
    <w:rsid w:val="0037144C"/>
    <w:rsid w:val="0038088C"/>
    <w:rsid w:val="003809B6"/>
    <w:rsid w:val="00381D31"/>
    <w:rsid w:val="00383DD0"/>
    <w:rsid w:val="00383FB4"/>
    <w:rsid w:val="00386020"/>
    <w:rsid w:val="00386B35"/>
    <w:rsid w:val="00386FA4"/>
    <w:rsid w:val="00387612"/>
    <w:rsid w:val="00387B4B"/>
    <w:rsid w:val="00393A84"/>
    <w:rsid w:val="003950F9"/>
    <w:rsid w:val="00396414"/>
    <w:rsid w:val="00397021"/>
    <w:rsid w:val="00397F25"/>
    <w:rsid w:val="003A1404"/>
    <w:rsid w:val="003A24D5"/>
    <w:rsid w:val="003A3366"/>
    <w:rsid w:val="003A39D2"/>
    <w:rsid w:val="003A4769"/>
    <w:rsid w:val="003A53BB"/>
    <w:rsid w:val="003A63E3"/>
    <w:rsid w:val="003B1399"/>
    <w:rsid w:val="003B1C05"/>
    <w:rsid w:val="003B20F4"/>
    <w:rsid w:val="003B2491"/>
    <w:rsid w:val="003B2996"/>
    <w:rsid w:val="003B2A0D"/>
    <w:rsid w:val="003B2F22"/>
    <w:rsid w:val="003B308D"/>
    <w:rsid w:val="003B3933"/>
    <w:rsid w:val="003B3FFD"/>
    <w:rsid w:val="003B4331"/>
    <w:rsid w:val="003B4410"/>
    <w:rsid w:val="003B6C32"/>
    <w:rsid w:val="003C2673"/>
    <w:rsid w:val="003C273F"/>
    <w:rsid w:val="003C3411"/>
    <w:rsid w:val="003C38F0"/>
    <w:rsid w:val="003C4454"/>
    <w:rsid w:val="003C4A40"/>
    <w:rsid w:val="003C6087"/>
    <w:rsid w:val="003C6D0C"/>
    <w:rsid w:val="003C6F70"/>
    <w:rsid w:val="003C6FBA"/>
    <w:rsid w:val="003D2CAF"/>
    <w:rsid w:val="003D2D07"/>
    <w:rsid w:val="003D4BA8"/>
    <w:rsid w:val="003D5CF8"/>
    <w:rsid w:val="003D6920"/>
    <w:rsid w:val="003E349F"/>
    <w:rsid w:val="003E38B7"/>
    <w:rsid w:val="003E3D7A"/>
    <w:rsid w:val="003E4EF7"/>
    <w:rsid w:val="003F205B"/>
    <w:rsid w:val="003F2697"/>
    <w:rsid w:val="003F2973"/>
    <w:rsid w:val="003F30BD"/>
    <w:rsid w:val="003F33F3"/>
    <w:rsid w:val="003F3AB6"/>
    <w:rsid w:val="003F3C50"/>
    <w:rsid w:val="003F5A8F"/>
    <w:rsid w:val="003F60ED"/>
    <w:rsid w:val="003F653C"/>
    <w:rsid w:val="003F7785"/>
    <w:rsid w:val="003F7BBD"/>
    <w:rsid w:val="00402360"/>
    <w:rsid w:val="00402D54"/>
    <w:rsid w:val="00404AB3"/>
    <w:rsid w:val="00405989"/>
    <w:rsid w:val="00406CDC"/>
    <w:rsid w:val="00407917"/>
    <w:rsid w:val="0041039D"/>
    <w:rsid w:val="00410A49"/>
    <w:rsid w:val="00410D95"/>
    <w:rsid w:val="00412CB5"/>
    <w:rsid w:val="00413E73"/>
    <w:rsid w:val="004150B5"/>
    <w:rsid w:val="00415B33"/>
    <w:rsid w:val="00416024"/>
    <w:rsid w:val="0041641C"/>
    <w:rsid w:val="00416760"/>
    <w:rsid w:val="00421A1F"/>
    <w:rsid w:val="0042310E"/>
    <w:rsid w:val="00423F55"/>
    <w:rsid w:val="00425FD9"/>
    <w:rsid w:val="0042701D"/>
    <w:rsid w:val="0043043A"/>
    <w:rsid w:val="00430D62"/>
    <w:rsid w:val="00432B4D"/>
    <w:rsid w:val="00437989"/>
    <w:rsid w:val="00440791"/>
    <w:rsid w:val="0044098B"/>
    <w:rsid w:val="00442022"/>
    <w:rsid w:val="004438BD"/>
    <w:rsid w:val="0044642B"/>
    <w:rsid w:val="00451B4C"/>
    <w:rsid w:val="004526D7"/>
    <w:rsid w:val="00454847"/>
    <w:rsid w:val="0045694B"/>
    <w:rsid w:val="00461829"/>
    <w:rsid w:val="0046254B"/>
    <w:rsid w:val="0046399E"/>
    <w:rsid w:val="00465D51"/>
    <w:rsid w:val="004708A3"/>
    <w:rsid w:val="004709B4"/>
    <w:rsid w:val="004709E6"/>
    <w:rsid w:val="00471383"/>
    <w:rsid w:val="004722C0"/>
    <w:rsid w:val="0047302B"/>
    <w:rsid w:val="0047654D"/>
    <w:rsid w:val="004775DB"/>
    <w:rsid w:val="00480BE7"/>
    <w:rsid w:val="00483E3A"/>
    <w:rsid w:val="00485D4F"/>
    <w:rsid w:val="00486078"/>
    <w:rsid w:val="00490D82"/>
    <w:rsid w:val="00491A13"/>
    <w:rsid w:val="00491A97"/>
    <w:rsid w:val="004922A6"/>
    <w:rsid w:val="00492689"/>
    <w:rsid w:val="00493571"/>
    <w:rsid w:val="00496787"/>
    <w:rsid w:val="00497D65"/>
    <w:rsid w:val="00497D93"/>
    <w:rsid w:val="004A065B"/>
    <w:rsid w:val="004A10F2"/>
    <w:rsid w:val="004A1284"/>
    <w:rsid w:val="004A3652"/>
    <w:rsid w:val="004A4714"/>
    <w:rsid w:val="004A52C7"/>
    <w:rsid w:val="004A5DBC"/>
    <w:rsid w:val="004A6988"/>
    <w:rsid w:val="004B167E"/>
    <w:rsid w:val="004B2D2E"/>
    <w:rsid w:val="004B4529"/>
    <w:rsid w:val="004B48EA"/>
    <w:rsid w:val="004B5B2B"/>
    <w:rsid w:val="004B5E33"/>
    <w:rsid w:val="004B772C"/>
    <w:rsid w:val="004C11AA"/>
    <w:rsid w:val="004C2D09"/>
    <w:rsid w:val="004C42E1"/>
    <w:rsid w:val="004C5EC9"/>
    <w:rsid w:val="004C6817"/>
    <w:rsid w:val="004C6EF1"/>
    <w:rsid w:val="004C7B1A"/>
    <w:rsid w:val="004C7FE2"/>
    <w:rsid w:val="004D0A1D"/>
    <w:rsid w:val="004D2635"/>
    <w:rsid w:val="004D3A03"/>
    <w:rsid w:val="004D50E3"/>
    <w:rsid w:val="004D55C2"/>
    <w:rsid w:val="004D6986"/>
    <w:rsid w:val="004D6D17"/>
    <w:rsid w:val="004E05A3"/>
    <w:rsid w:val="004E2A32"/>
    <w:rsid w:val="004E36BA"/>
    <w:rsid w:val="004E3C4F"/>
    <w:rsid w:val="004E513E"/>
    <w:rsid w:val="004E5F43"/>
    <w:rsid w:val="004F044F"/>
    <w:rsid w:val="004F1FD0"/>
    <w:rsid w:val="004F5279"/>
    <w:rsid w:val="004F5E14"/>
    <w:rsid w:val="004F5EDA"/>
    <w:rsid w:val="004F7379"/>
    <w:rsid w:val="005014F7"/>
    <w:rsid w:val="00502940"/>
    <w:rsid w:val="00502A9A"/>
    <w:rsid w:val="00502F37"/>
    <w:rsid w:val="0050337A"/>
    <w:rsid w:val="00505DDD"/>
    <w:rsid w:val="005061D5"/>
    <w:rsid w:val="005064F3"/>
    <w:rsid w:val="00507AE4"/>
    <w:rsid w:val="00510358"/>
    <w:rsid w:val="00511091"/>
    <w:rsid w:val="005127D0"/>
    <w:rsid w:val="005145B0"/>
    <w:rsid w:val="00514A4B"/>
    <w:rsid w:val="00514E93"/>
    <w:rsid w:val="00521450"/>
    <w:rsid w:val="005214C0"/>
    <w:rsid w:val="00521A1D"/>
    <w:rsid w:val="00522CAA"/>
    <w:rsid w:val="005244F4"/>
    <w:rsid w:val="00526456"/>
    <w:rsid w:val="00526CBD"/>
    <w:rsid w:val="00530456"/>
    <w:rsid w:val="00532CD0"/>
    <w:rsid w:val="00535284"/>
    <w:rsid w:val="0053627C"/>
    <w:rsid w:val="00540AE9"/>
    <w:rsid w:val="005416DC"/>
    <w:rsid w:val="00542364"/>
    <w:rsid w:val="00543D15"/>
    <w:rsid w:val="00544C15"/>
    <w:rsid w:val="00546E30"/>
    <w:rsid w:val="005501C7"/>
    <w:rsid w:val="00552842"/>
    <w:rsid w:val="005532D2"/>
    <w:rsid w:val="005539EF"/>
    <w:rsid w:val="00555595"/>
    <w:rsid w:val="00555CD1"/>
    <w:rsid w:val="00562DB2"/>
    <w:rsid w:val="00564852"/>
    <w:rsid w:val="00567083"/>
    <w:rsid w:val="00567F6E"/>
    <w:rsid w:val="00572532"/>
    <w:rsid w:val="00573345"/>
    <w:rsid w:val="00573D25"/>
    <w:rsid w:val="0057459F"/>
    <w:rsid w:val="0057515D"/>
    <w:rsid w:val="00575BED"/>
    <w:rsid w:val="005776AC"/>
    <w:rsid w:val="00577AB8"/>
    <w:rsid w:val="00580B34"/>
    <w:rsid w:val="00583423"/>
    <w:rsid w:val="005860D0"/>
    <w:rsid w:val="00586198"/>
    <w:rsid w:val="00587E96"/>
    <w:rsid w:val="005906F1"/>
    <w:rsid w:val="00594990"/>
    <w:rsid w:val="00594A75"/>
    <w:rsid w:val="005957AC"/>
    <w:rsid w:val="005966E1"/>
    <w:rsid w:val="005976F9"/>
    <w:rsid w:val="005A061F"/>
    <w:rsid w:val="005A11E7"/>
    <w:rsid w:val="005A24E1"/>
    <w:rsid w:val="005A2987"/>
    <w:rsid w:val="005A2A57"/>
    <w:rsid w:val="005A38A9"/>
    <w:rsid w:val="005A44B6"/>
    <w:rsid w:val="005A4592"/>
    <w:rsid w:val="005A5BEF"/>
    <w:rsid w:val="005A7117"/>
    <w:rsid w:val="005B425B"/>
    <w:rsid w:val="005C2806"/>
    <w:rsid w:val="005C312C"/>
    <w:rsid w:val="005C5E48"/>
    <w:rsid w:val="005C5FC2"/>
    <w:rsid w:val="005C72FE"/>
    <w:rsid w:val="005C7AD1"/>
    <w:rsid w:val="005C7F96"/>
    <w:rsid w:val="005D26E2"/>
    <w:rsid w:val="005D33BD"/>
    <w:rsid w:val="005D3CB4"/>
    <w:rsid w:val="005D4CF3"/>
    <w:rsid w:val="005D6563"/>
    <w:rsid w:val="005E00AE"/>
    <w:rsid w:val="005E0192"/>
    <w:rsid w:val="005E174B"/>
    <w:rsid w:val="005E3373"/>
    <w:rsid w:val="005E3B8D"/>
    <w:rsid w:val="005E5125"/>
    <w:rsid w:val="005E58FC"/>
    <w:rsid w:val="005E68F5"/>
    <w:rsid w:val="005F0364"/>
    <w:rsid w:val="005F12B3"/>
    <w:rsid w:val="005F4726"/>
    <w:rsid w:val="005F600D"/>
    <w:rsid w:val="005F75FE"/>
    <w:rsid w:val="00600AA3"/>
    <w:rsid w:val="00602FAF"/>
    <w:rsid w:val="00603236"/>
    <w:rsid w:val="00603880"/>
    <w:rsid w:val="00607065"/>
    <w:rsid w:val="00610CCC"/>
    <w:rsid w:val="00610ED4"/>
    <w:rsid w:val="0061142D"/>
    <w:rsid w:val="006123BE"/>
    <w:rsid w:val="00614211"/>
    <w:rsid w:val="00614E8D"/>
    <w:rsid w:val="00615E31"/>
    <w:rsid w:val="00616581"/>
    <w:rsid w:val="00616C71"/>
    <w:rsid w:val="00617F70"/>
    <w:rsid w:val="006219EA"/>
    <w:rsid w:val="00621EEF"/>
    <w:rsid w:val="006220B9"/>
    <w:rsid w:val="00622FB9"/>
    <w:rsid w:val="006236C4"/>
    <w:rsid w:val="00624651"/>
    <w:rsid w:val="0062615F"/>
    <w:rsid w:val="006277F3"/>
    <w:rsid w:val="006303A1"/>
    <w:rsid w:val="00630BD3"/>
    <w:rsid w:val="00630FBD"/>
    <w:rsid w:val="00631664"/>
    <w:rsid w:val="00631C03"/>
    <w:rsid w:val="00631D41"/>
    <w:rsid w:val="00635000"/>
    <w:rsid w:val="00635829"/>
    <w:rsid w:val="0063782A"/>
    <w:rsid w:val="00640344"/>
    <w:rsid w:val="00640901"/>
    <w:rsid w:val="006418CF"/>
    <w:rsid w:val="00641E35"/>
    <w:rsid w:val="00642CD7"/>
    <w:rsid w:val="00645466"/>
    <w:rsid w:val="006461BC"/>
    <w:rsid w:val="00647336"/>
    <w:rsid w:val="0066166A"/>
    <w:rsid w:val="006666CD"/>
    <w:rsid w:val="006701E7"/>
    <w:rsid w:val="006704E8"/>
    <w:rsid w:val="00671876"/>
    <w:rsid w:val="00675548"/>
    <w:rsid w:val="00676006"/>
    <w:rsid w:val="0067757B"/>
    <w:rsid w:val="00677DBB"/>
    <w:rsid w:val="00680EB9"/>
    <w:rsid w:val="006818F1"/>
    <w:rsid w:val="0068295E"/>
    <w:rsid w:val="00682B81"/>
    <w:rsid w:val="00685BD0"/>
    <w:rsid w:val="00686C6E"/>
    <w:rsid w:val="00691AB8"/>
    <w:rsid w:val="00692C08"/>
    <w:rsid w:val="00693102"/>
    <w:rsid w:val="0069655A"/>
    <w:rsid w:val="00696BB5"/>
    <w:rsid w:val="006977B5"/>
    <w:rsid w:val="006A0609"/>
    <w:rsid w:val="006A1BC9"/>
    <w:rsid w:val="006A336B"/>
    <w:rsid w:val="006A4094"/>
    <w:rsid w:val="006A4F93"/>
    <w:rsid w:val="006A5D39"/>
    <w:rsid w:val="006B0DD0"/>
    <w:rsid w:val="006B0F90"/>
    <w:rsid w:val="006B170F"/>
    <w:rsid w:val="006B1F2C"/>
    <w:rsid w:val="006B2170"/>
    <w:rsid w:val="006B285C"/>
    <w:rsid w:val="006B2E5A"/>
    <w:rsid w:val="006B627B"/>
    <w:rsid w:val="006C0EC5"/>
    <w:rsid w:val="006C2973"/>
    <w:rsid w:val="006C32A3"/>
    <w:rsid w:val="006C38B2"/>
    <w:rsid w:val="006C6C3A"/>
    <w:rsid w:val="006D1283"/>
    <w:rsid w:val="006D14AA"/>
    <w:rsid w:val="006D1819"/>
    <w:rsid w:val="006D2768"/>
    <w:rsid w:val="006D389E"/>
    <w:rsid w:val="006D416C"/>
    <w:rsid w:val="006D474A"/>
    <w:rsid w:val="006D5A89"/>
    <w:rsid w:val="006D6C4A"/>
    <w:rsid w:val="006D7B17"/>
    <w:rsid w:val="006E277C"/>
    <w:rsid w:val="006E3AD3"/>
    <w:rsid w:val="006E3D45"/>
    <w:rsid w:val="006E4F2C"/>
    <w:rsid w:val="006E57F1"/>
    <w:rsid w:val="006E5B70"/>
    <w:rsid w:val="006E71E4"/>
    <w:rsid w:val="006F0208"/>
    <w:rsid w:val="006F269C"/>
    <w:rsid w:val="006F3564"/>
    <w:rsid w:val="006F36EE"/>
    <w:rsid w:val="006F4C5F"/>
    <w:rsid w:val="006F5054"/>
    <w:rsid w:val="006F5893"/>
    <w:rsid w:val="006F797A"/>
    <w:rsid w:val="006F7E77"/>
    <w:rsid w:val="0070001D"/>
    <w:rsid w:val="00701AD8"/>
    <w:rsid w:val="0070378F"/>
    <w:rsid w:val="0070407B"/>
    <w:rsid w:val="00704244"/>
    <w:rsid w:val="00704C2A"/>
    <w:rsid w:val="00706AED"/>
    <w:rsid w:val="00707632"/>
    <w:rsid w:val="00707B8A"/>
    <w:rsid w:val="00712563"/>
    <w:rsid w:val="0071417B"/>
    <w:rsid w:val="007144C5"/>
    <w:rsid w:val="00717620"/>
    <w:rsid w:val="00717BA0"/>
    <w:rsid w:val="007210F8"/>
    <w:rsid w:val="00722B0D"/>
    <w:rsid w:val="00722C53"/>
    <w:rsid w:val="0072363B"/>
    <w:rsid w:val="007237D0"/>
    <w:rsid w:val="00723F95"/>
    <w:rsid w:val="00724430"/>
    <w:rsid w:val="0072600D"/>
    <w:rsid w:val="00727AD2"/>
    <w:rsid w:val="0073184A"/>
    <w:rsid w:val="00731A06"/>
    <w:rsid w:val="00733835"/>
    <w:rsid w:val="007338E3"/>
    <w:rsid w:val="0073460C"/>
    <w:rsid w:val="00736A8C"/>
    <w:rsid w:val="00736B03"/>
    <w:rsid w:val="0074329C"/>
    <w:rsid w:val="00745C4C"/>
    <w:rsid w:val="00745FDC"/>
    <w:rsid w:val="007466EA"/>
    <w:rsid w:val="00747DFE"/>
    <w:rsid w:val="007500E2"/>
    <w:rsid w:val="00751518"/>
    <w:rsid w:val="00751FA1"/>
    <w:rsid w:val="00753D55"/>
    <w:rsid w:val="0075502F"/>
    <w:rsid w:val="00755304"/>
    <w:rsid w:val="0075685D"/>
    <w:rsid w:val="0076000C"/>
    <w:rsid w:val="00760D06"/>
    <w:rsid w:val="00761558"/>
    <w:rsid w:val="00764888"/>
    <w:rsid w:val="00765AD9"/>
    <w:rsid w:val="007678AF"/>
    <w:rsid w:val="00767D80"/>
    <w:rsid w:val="0077241E"/>
    <w:rsid w:val="007739AD"/>
    <w:rsid w:val="00782857"/>
    <w:rsid w:val="00782BA2"/>
    <w:rsid w:val="00782D43"/>
    <w:rsid w:val="00782E17"/>
    <w:rsid w:val="0078355A"/>
    <w:rsid w:val="00783F60"/>
    <w:rsid w:val="007864AD"/>
    <w:rsid w:val="0079042B"/>
    <w:rsid w:val="007917A7"/>
    <w:rsid w:val="00791BA4"/>
    <w:rsid w:val="00794483"/>
    <w:rsid w:val="0079449C"/>
    <w:rsid w:val="0079761F"/>
    <w:rsid w:val="007A07EE"/>
    <w:rsid w:val="007A0FCA"/>
    <w:rsid w:val="007A2554"/>
    <w:rsid w:val="007A3C31"/>
    <w:rsid w:val="007A45B7"/>
    <w:rsid w:val="007A4DD2"/>
    <w:rsid w:val="007A653B"/>
    <w:rsid w:val="007A66DF"/>
    <w:rsid w:val="007A6CFB"/>
    <w:rsid w:val="007B1128"/>
    <w:rsid w:val="007B2EC5"/>
    <w:rsid w:val="007B37F2"/>
    <w:rsid w:val="007B3EEB"/>
    <w:rsid w:val="007B3F82"/>
    <w:rsid w:val="007B5F68"/>
    <w:rsid w:val="007B789D"/>
    <w:rsid w:val="007C5887"/>
    <w:rsid w:val="007C69E8"/>
    <w:rsid w:val="007C74F8"/>
    <w:rsid w:val="007C7C7D"/>
    <w:rsid w:val="007D2C24"/>
    <w:rsid w:val="007D497A"/>
    <w:rsid w:val="007D5F92"/>
    <w:rsid w:val="007D6F83"/>
    <w:rsid w:val="007D735D"/>
    <w:rsid w:val="007D76E3"/>
    <w:rsid w:val="007D7EE0"/>
    <w:rsid w:val="007E149C"/>
    <w:rsid w:val="007E3F4E"/>
    <w:rsid w:val="007E5063"/>
    <w:rsid w:val="007E5650"/>
    <w:rsid w:val="007F11DD"/>
    <w:rsid w:val="007F5A8F"/>
    <w:rsid w:val="007F5C6F"/>
    <w:rsid w:val="007F61BF"/>
    <w:rsid w:val="007F64D7"/>
    <w:rsid w:val="007F6D90"/>
    <w:rsid w:val="00800AC5"/>
    <w:rsid w:val="00801758"/>
    <w:rsid w:val="00803DDB"/>
    <w:rsid w:val="0080401C"/>
    <w:rsid w:val="00804842"/>
    <w:rsid w:val="00804EA9"/>
    <w:rsid w:val="00807383"/>
    <w:rsid w:val="00811F17"/>
    <w:rsid w:val="00812397"/>
    <w:rsid w:val="00815482"/>
    <w:rsid w:val="00817C7C"/>
    <w:rsid w:val="00823E00"/>
    <w:rsid w:val="0082434C"/>
    <w:rsid w:val="00824B28"/>
    <w:rsid w:val="00827F2E"/>
    <w:rsid w:val="00836963"/>
    <w:rsid w:val="00837CAF"/>
    <w:rsid w:val="00845565"/>
    <w:rsid w:val="0084683B"/>
    <w:rsid w:val="008468D5"/>
    <w:rsid w:val="008471F7"/>
    <w:rsid w:val="00847D12"/>
    <w:rsid w:val="00847FC1"/>
    <w:rsid w:val="00851FCE"/>
    <w:rsid w:val="008524A2"/>
    <w:rsid w:val="008538CF"/>
    <w:rsid w:val="008552C2"/>
    <w:rsid w:val="0085615C"/>
    <w:rsid w:val="00860DBB"/>
    <w:rsid w:val="00861161"/>
    <w:rsid w:val="00862436"/>
    <w:rsid w:val="0086439C"/>
    <w:rsid w:val="00864F10"/>
    <w:rsid w:val="008705F4"/>
    <w:rsid w:val="0087202E"/>
    <w:rsid w:val="008746F5"/>
    <w:rsid w:val="008750C8"/>
    <w:rsid w:val="00877DEA"/>
    <w:rsid w:val="008803A1"/>
    <w:rsid w:val="008824A1"/>
    <w:rsid w:val="00883212"/>
    <w:rsid w:val="00891439"/>
    <w:rsid w:val="00891FFA"/>
    <w:rsid w:val="0089220B"/>
    <w:rsid w:val="00893DC6"/>
    <w:rsid w:val="008B7AC0"/>
    <w:rsid w:val="008C1AC4"/>
    <w:rsid w:val="008C1F14"/>
    <w:rsid w:val="008C5496"/>
    <w:rsid w:val="008C7A88"/>
    <w:rsid w:val="008D1708"/>
    <w:rsid w:val="008D4B01"/>
    <w:rsid w:val="008D5F2A"/>
    <w:rsid w:val="008D7E4E"/>
    <w:rsid w:val="008E02F8"/>
    <w:rsid w:val="008E141F"/>
    <w:rsid w:val="008E2F67"/>
    <w:rsid w:val="008E3242"/>
    <w:rsid w:val="008E3492"/>
    <w:rsid w:val="008E483A"/>
    <w:rsid w:val="008E50E7"/>
    <w:rsid w:val="008E5DDF"/>
    <w:rsid w:val="008E5F7F"/>
    <w:rsid w:val="008E782D"/>
    <w:rsid w:val="008E7C73"/>
    <w:rsid w:val="008F056D"/>
    <w:rsid w:val="008F0F1A"/>
    <w:rsid w:val="008F1E88"/>
    <w:rsid w:val="008F2824"/>
    <w:rsid w:val="008F3C0E"/>
    <w:rsid w:val="00902EAD"/>
    <w:rsid w:val="00902EE9"/>
    <w:rsid w:val="00903CCC"/>
    <w:rsid w:val="00905158"/>
    <w:rsid w:val="00905887"/>
    <w:rsid w:val="00905D81"/>
    <w:rsid w:val="0091172A"/>
    <w:rsid w:val="009124E1"/>
    <w:rsid w:val="00914577"/>
    <w:rsid w:val="00915BEC"/>
    <w:rsid w:val="00920D3D"/>
    <w:rsid w:val="009214AC"/>
    <w:rsid w:val="00921EC5"/>
    <w:rsid w:val="009225BC"/>
    <w:rsid w:val="00924DF7"/>
    <w:rsid w:val="0092557F"/>
    <w:rsid w:val="00926BDE"/>
    <w:rsid w:val="0093128E"/>
    <w:rsid w:val="009318DC"/>
    <w:rsid w:val="00937B3C"/>
    <w:rsid w:val="00937E0C"/>
    <w:rsid w:val="00940215"/>
    <w:rsid w:val="009404BD"/>
    <w:rsid w:val="00941019"/>
    <w:rsid w:val="00941110"/>
    <w:rsid w:val="009424A8"/>
    <w:rsid w:val="00942F15"/>
    <w:rsid w:val="009446B3"/>
    <w:rsid w:val="00945F1F"/>
    <w:rsid w:val="00947CBF"/>
    <w:rsid w:val="009503A6"/>
    <w:rsid w:val="00950B95"/>
    <w:rsid w:val="009519C6"/>
    <w:rsid w:val="00956416"/>
    <w:rsid w:val="00957127"/>
    <w:rsid w:val="0095781C"/>
    <w:rsid w:val="00957B9D"/>
    <w:rsid w:val="00961912"/>
    <w:rsid w:val="00961B44"/>
    <w:rsid w:val="00961CCC"/>
    <w:rsid w:val="00961D2E"/>
    <w:rsid w:val="00962412"/>
    <w:rsid w:val="00967D39"/>
    <w:rsid w:val="009714C3"/>
    <w:rsid w:val="00974892"/>
    <w:rsid w:val="009760DD"/>
    <w:rsid w:val="00976B89"/>
    <w:rsid w:val="009777D6"/>
    <w:rsid w:val="00977E8D"/>
    <w:rsid w:val="00980A30"/>
    <w:rsid w:val="00980BBB"/>
    <w:rsid w:val="009824BF"/>
    <w:rsid w:val="009843FD"/>
    <w:rsid w:val="009851D4"/>
    <w:rsid w:val="009864D3"/>
    <w:rsid w:val="00987115"/>
    <w:rsid w:val="0099028F"/>
    <w:rsid w:val="0099108B"/>
    <w:rsid w:val="009921E5"/>
    <w:rsid w:val="009924F6"/>
    <w:rsid w:val="00992755"/>
    <w:rsid w:val="00995ADB"/>
    <w:rsid w:val="009A027C"/>
    <w:rsid w:val="009A02DD"/>
    <w:rsid w:val="009A1686"/>
    <w:rsid w:val="009A262F"/>
    <w:rsid w:val="009A526E"/>
    <w:rsid w:val="009A7933"/>
    <w:rsid w:val="009B053D"/>
    <w:rsid w:val="009B0697"/>
    <w:rsid w:val="009B2F27"/>
    <w:rsid w:val="009B3B44"/>
    <w:rsid w:val="009B3CC6"/>
    <w:rsid w:val="009B4E53"/>
    <w:rsid w:val="009B5207"/>
    <w:rsid w:val="009B7691"/>
    <w:rsid w:val="009C2F36"/>
    <w:rsid w:val="009C3771"/>
    <w:rsid w:val="009C57E2"/>
    <w:rsid w:val="009C5AA4"/>
    <w:rsid w:val="009C6AC5"/>
    <w:rsid w:val="009C6E98"/>
    <w:rsid w:val="009C727A"/>
    <w:rsid w:val="009D109F"/>
    <w:rsid w:val="009D17CB"/>
    <w:rsid w:val="009D198B"/>
    <w:rsid w:val="009D228D"/>
    <w:rsid w:val="009D2515"/>
    <w:rsid w:val="009D71E4"/>
    <w:rsid w:val="009D7B45"/>
    <w:rsid w:val="009E1FE8"/>
    <w:rsid w:val="009E31B7"/>
    <w:rsid w:val="009E4C9A"/>
    <w:rsid w:val="009F022D"/>
    <w:rsid w:val="009F3E9A"/>
    <w:rsid w:val="009F47DE"/>
    <w:rsid w:val="00A02603"/>
    <w:rsid w:val="00A034FD"/>
    <w:rsid w:val="00A03DE0"/>
    <w:rsid w:val="00A04859"/>
    <w:rsid w:val="00A04B96"/>
    <w:rsid w:val="00A10DE2"/>
    <w:rsid w:val="00A112AE"/>
    <w:rsid w:val="00A12B85"/>
    <w:rsid w:val="00A14695"/>
    <w:rsid w:val="00A15210"/>
    <w:rsid w:val="00A15259"/>
    <w:rsid w:val="00A171C0"/>
    <w:rsid w:val="00A17926"/>
    <w:rsid w:val="00A20736"/>
    <w:rsid w:val="00A209A0"/>
    <w:rsid w:val="00A20EE2"/>
    <w:rsid w:val="00A23607"/>
    <w:rsid w:val="00A253AD"/>
    <w:rsid w:val="00A268AC"/>
    <w:rsid w:val="00A26D00"/>
    <w:rsid w:val="00A27440"/>
    <w:rsid w:val="00A276CB"/>
    <w:rsid w:val="00A27B23"/>
    <w:rsid w:val="00A30161"/>
    <w:rsid w:val="00A3042C"/>
    <w:rsid w:val="00A3073D"/>
    <w:rsid w:val="00A321AB"/>
    <w:rsid w:val="00A32348"/>
    <w:rsid w:val="00A3273F"/>
    <w:rsid w:val="00A32BC8"/>
    <w:rsid w:val="00A3328C"/>
    <w:rsid w:val="00A34ACD"/>
    <w:rsid w:val="00A36539"/>
    <w:rsid w:val="00A36DF9"/>
    <w:rsid w:val="00A40DE9"/>
    <w:rsid w:val="00A41685"/>
    <w:rsid w:val="00A4182C"/>
    <w:rsid w:val="00A4232A"/>
    <w:rsid w:val="00A42A46"/>
    <w:rsid w:val="00A42F43"/>
    <w:rsid w:val="00A434F8"/>
    <w:rsid w:val="00A445C2"/>
    <w:rsid w:val="00A44BFE"/>
    <w:rsid w:val="00A474DE"/>
    <w:rsid w:val="00A50F9E"/>
    <w:rsid w:val="00A51499"/>
    <w:rsid w:val="00A549F8"/>
    <w:rsid w:val="00A56309"/>
    <w:rsid w:val="00A5647D"/>
    <w:rsid w:val="00A56C99"/>
    <w:rsid w:val="00A61721"/>
    <w:rsid w:val="00A64F59"/>
    <w:rsid w:val="00A652F6"/>
    <w:rsid w:val="00A66DF5"/>
    <w:rsid w:val="00A66EC6"/>
    <w:rsid w:val="00A70060"/>
    <w:rsid w:val="00A70F56"/>
    <w:rsid w:val="00A71557"/>
    <w:rsid w:val="00A73C13"/>
    <w:rsid w:val="00A74365"/>
    <w:rsid w:val="00A74EFB"/>
    <w:rsid w:val="00A7565D"/>
    <w:rsid w:val="00A764DB"/>
    <w:rsid w:val="00A770FE"/>
    <w:rsid w:val="00A80E19"/>
    <w:rsid w:val="00A83A39"/>
    <w:rsid w:val="00A86B1B"/>
    <w:rsid w:val="00A86E7A"/>
    <w:rsid w:val="00A872B1"/>
    <w:rsid w:val="00A90A5E"/>
    <w:rsid w:val="00A93D38"/>
    <w:rsid w:val="00A95B21"/>
    <w:rsid w:val="00A96DF5"/>
    <w:rsid w:val="00AA0125"/>
    <w:rsid w:val="00AA05BB"/>
    <w:rsid w:val="00AA3BF5"/>
    <w:rsid w:val="00AA46FB"/>
    <w:rsid w:val="00AA5196"/>
    <w:rsid w:val="00AA615C"/>
    <w:rsid w:val="00AA651B"/>
    <w:rsid w:val="00AB0ADA"/>
    <w:rsid w:val="00AB0D26"/>
    <w:rsid w:val="00AB1138"/>
    <w:rsid w:val="00AB2C99"/>
    <w:rsid w:val="00AB45CA"/>
    <w:rsid w:val="00AB4CF3"/>
    <w:rsid w:val="00AB675B"/>
    <w:rsid w:val="00AC17BE"/>
    <w:rsid w:val="00AC4428"/>
    <w:rsid w:val="00AC4D8B"/>
    <w:rsid w:val="00AC5681"/>
    <w:rsid w:val="00AC6FC7"/>
    <w:rsid w:val="00AD21F2"/>
    <w:rsid w:val="00AD3976"/>
    <w:rsid w:val="00AD5977"/>
    <w:rsid w:val="00AD5B97"/>
    <w:rsid w:val="00AD6299"/>
    <w:rsid w:val="00AD6A02"/>
    <w:rsid w:val="00AD7431"/>
    <w:rsid w:val="00AD74C1"/>
    <w:rsid w:val="00AD7930"/>
    <w:rsid w:val="00AE025C"/>
    <w:rsid w:val="00AE2691"/>
    <w:rsid w:val="00AE2DF5"/>
    <w:rsid w:val="00AE48BC"/>
    <w:rsid w:val="00AE6883"/>
    <w:rsid w:val="00AE7B0D"/>
    <w:rsid w:val="00AF2EAA"/>
    <w:rsid w:val="00AF36DD"/>
    <w:rsid w:val="00AF3AA5"/>
    <w:rsid w:val="00AF42CF"/>
    <w:rsid w:val="00AF57B4"/>
    <w:rsid w:val="00B007C6"/>
    <w:rsid w:val="00B01F6C"/>
    <w:rsid w:val="00B02242"/>
    <w:rsid w:val="00B022C4"/>
    <w:rsid w:val="00B06554"/>
    <w:rsid w:val="00B069DE"/>
    <w:rsid w:val="00B077E8"/>
    <w:rsid w:val="00B11A23"/>
    <w:rsid w:val="00B13B99"/>
    <w:rsid w:val="00B148CB"/>
    <w:rsid w:val="00B15866"/>
    <w:rsid w:val="00B159FD"/>
    <w:rsid w:val="00B15BD8"/>
    <w:rsid w:val="00B166EA"/>
    <w:rsid w:val="00B204AF"/>
    <w:rsid w:val="00B20A7E"/>
    <w:rsid w:val="00B20D39"/>
    <w:rsid w:val="00B220FA"/>
    <w:rsid w:val="00B22220"/>
    <w:rsid w:val="00B22600"/>
    <w:rsid w:val="00B2417C"/>
    <w:rsid w:val="00B24B6D"/>
    <w:rsid w:val="00B25C69"/>
    <w:rsid w:val="00B26497"/>
    <w:rsid w:val="00B27332"/>
    <w:rsid w:val="00B27FB7"/>
    <w:rsid w:val="00B301F0"/>
    <w:rsid w:val="00B30F28"/>
    <w:rsid w:val="00B315B0"/>
    <w:rsid w:val="00B33D5D"/>
    <w:rsid w:val="00B365D8"/>
    <w:rsid w:val="00B3781F"/>
    <w:rsid w:val="00B40520"/>
    <w:rsid w:val="00B42198"/>
    <w:rsid w:val="00B44DEC"/>
    <w:rsid w:val="00B50781"/>
    <w:rsid w:val="00B51600"/>
    <w:rsid w:val="00B559DC"/>
    <w:rsid w:val="00B5703D"/>
    <w:rsid w:val="00B601D5"/>
    <w:rsid w:val="00B621DF"/>
    <w:rsid w:val="00B640CC"/>
    <w:rsid w:val="00B67B6A"/>
    <w:rsid w:val="00B67D00"/>
    <w:rsid w:val="00B702A5"/>
    <w:rsid w:val="00B72729"/>
    <w:rsid w:val="00B748CE"/>
    <w:rsid w:val="00B77411"/>
    <w:rsid w:val="00B82D51"/>
    <w:rsid w:val="00B84391"/>
    <w:rsid w:val="00B8779B"/>
    <w:rsid w:val="00B87E14"/>
    <w:rsid w:val="00B91CA6"/>
    <w:rsid w:val="00B92F65"/>
    <w:rsid w:val="00B9317A"/>
    <w:rsid w:val="00B94666"/>
    <w:rsid w:val="00B965EA"/>
    <w:rsid w:val="00B97787"/>
    <w:rsid w:val="00BA19C4"/>
    <w:rsid w:val="00BA39DF"/>
    <w:rsid w:val="00BA3AF6"/>
    <w:rsid w:val="00BA4E6D"/>
    <w:rsid w:val="00BA60F8"/>
    <w:rsid w:val="00BB3F32"/>
    <w:rsid w:val="00BB4C8A"/>
    <w:rsid w:val="00BB5850"/>
    <w:rsid w:val="00BC0583"/>
    <w:rsid w:val="00BC200F"/>
    <w:rsid w:val="00BC3556"/>
    <w:rsid w:val="00BC410E"/>
    <w:rsid w:val="00BC4D63"/>
    <w:rsid w:val="00BC6CBB"/>
    <w:rsid w:val="00BD01C7"/>
    <w:rsid w:val="00BD1246"/>
    <w:rsid w:val="00BD6799"/>
    <w:rsid w:val="00BD6F9E"/>
    <w:rsid w:val="00BD75B7"/>
    <w:rsid w:val="00BD7E7A"/>
    <w:rsid w:val="00BE05AE"/>
    <w:rsid w:val="00BE1AAB"/>
    <w:rsid w:val="00BE1CB2"/>
    <w:rsid w:val="00BE278D"/>
    <w:rsid w:val="00BE2AE3"/>
    <w:rsid w:val="00BE4904"/>
    <w:rsid w:val="00BE5CBB"/>
    <w:rsid w:val="00BE6775"/>
    <w:rsid w:val="00BE6AD6"/>
    <w:rsid w:val="00BF0DFE"/>
    <w:rsid w:val="00BF2C77"/>
    <w:rsid w:val="00BF57A8"/>
    <w:rsid w:val="00BF6D15"/>
    <w:rsid w:val="00C01D35"/>
    <w:rsid w:val="00C036A4"/>
    <w:rsid w:val="00C056EF"/>
    <w:rsid w:val="00C06DFA"/>
    <w:rsid w:val="00C073AE"/>
    <w:rsid w:val="00C07932"/>
    <w:rsid w:val="00C11A62"/>
    <w:rsid w:val="00C133E7"/>
    <w:rsid w:val="00C151E5"/>
    <w:rsid w:val="00C15E69"/>
    <w:rsid w:val="00C15F8E"/>
    <w:rsid w:val="00C161B5"/>
    <w:rsid w:val="00C16A97"/>
    <w:rsid w:val="00C16C91"/>
    <w:rsid w:val="00C17937"/>
    <w:rsid w:val="00C20280"/>
    <w:rsid w:val="00C225BE"/>
    <w:rsid w:val="00C2376F"/>
    <w:rsid w:val="00C23D2E"/>
    <w:rsid w:val="00C24DBA"/>
    <w:rsid w:val="00C26FBF"/>
    <w:rsid w:val="00C27A19"/>
    <w:rsid w:val="00C30454"/>
    <w:rsid w:val="00C31141"/>
    <w:rsid w:val="00C31AE1"/>
    <w:rsid w:val="00C3453B"/>
    <w:rsid w:val="00C4177C"/>
    <w:rsid w:val="00C42F7C"/>
    <w:rsid w:val="00C43752"/>
    <w:rsid w:val="00C44B6D"/>
    <w:rsid w:val="00C44BF1"/>
    <w:rsid w:val="00C564F4"/>
    <w:rsid w:val="00C62752"/>
    <w:rsid w:val="00C640E6"/>
    <w:rsid w:val="00C65F9F"/>
    <w:rsid w:val="00C7048E"/>
    <w:rsid w:val="00C71854"/>
    <w:rsid w:val="00C74A62"/>
    <w:rsid w:val="00C7678D"/>
    <w:rsid w:val="00C80013"/>
    <w:rsid w:val="00C8270A"/>
    <w:rsid w:val="00C82DDB"/>
    <w:rsid w:val="00C83BEB"/>
    <w:rsid w:val="00C83DA6"/>
    <w:rsid w:val="00C8475B"/>
    <w:rsid w:val="00C875EF"/>
    <w:rsid w:val="00C92651"/>
    <w:rsid w:val="00C9270D"/>
    <w:rsid w:val="00C932E8"/>
    <w:rsid w:val="00C93464"/>
    <w:rsid w:val="00C94DE1"/>
    <w:rsid w:val="00C9536D"/>
    <w:rsid w:val="00C96844"/>
    <w:rsid w:val="00C96C8C"/>
    <w:rsid w:val="00CA1B38"/>
    <w:rsid w:val="00CA3DB1"/>
    <w:rsid w:val="00CA42B4"/>
    <w:rsid w:val="00CA4DB1"/>
    <w:rsid w:val="00CB0541"/>
    <w:rsid w:val="00CB0CD9"/>
    <w:rsid w:val="00CB1817"/>
    <w:rsid w:val="00CB1EFD"/>
    <w:rsid w:val="00CB2600"/>
    <w:rsid w:val="00CB3F39"/>
    <w:rsid w:val="00CC129B"/>
    <w:rsid w:val="00CC3150"/>
    <w:rsid w:val="00CC3C41"/>
    <w:rsid w:val="00CC7BEB"/>
    <w:rsid w:val="00CD01D0"/>
    <w:rsid w:val="00CD1735"/>
    <w:rsid w:val="00CD2703"/>
    <w:rsid w:val="00CD3756"/>
    <w:rsid w:val="00CD39E3"/>
    <w:rsid w:val="00CD648C"/>
    <w:rsid w:val="00CE052D"/>
    <w:rsid w:val="00CE068D"/>
    <w:rsid w:val="00CE0BBC"/>
    <w:rsid w:val="00CE1B5A"/>
    <w:rsid w:val="00CE37F9"/>
    <w:rsid w:val="00CE46AE"/>
    <w:rsid w:val="00CE66EE"/>
    <w:rsid w:val="00CF097F"/>
    <w:rsid w:val="00CF29F2"/>
    <w:rsid w:val="00CF3551"/>
    <w:rsid w:val="00CF471F"/>
    <w:rsid w:val="00CF50D3"/>
    <w:rsid w:val="00CF5113"/>
    <w:rsid w:val="00CF54F5"/>
    <w:rsid w:val="00D0045E"/>
    <w:rsid w:val="00D00523"/>
    <w:rsid w:val="00D01530"/>
    <w:rsid w:val="00D065B8"/>
    <w:rsid w:val="00D0773A"/>
    <w:rsid w:val="00D07929"/>
    <w:rsid w:val="00D07938"/>
    <w:rsid w:val="00D100F6"/>
    <w:rsid w:val="00D1093F"/>
    <w:rsid w:val="00D10F85"/>
    <w:rsid w:val="00D12A7F"/>
    <w:rsid w:val="00D20DB1"/>
    <w:rsid w:val="00D21182"/>
    <w:rsid w:val="00D239F4"/>
    <w:rsid w:val="00D254DF"/>
    <w:rsid w:val="00D26D0F"/>
    <w:rsid w:val="00D27214"/>
    <w:rsid w:val="00D27D50"/>
    <w:rsid w:val="00D316D5"/>
    <w:rsid w:val="00D31B5D"/>
    <w:rsid w:val="00D333A7"/>
    <w:rsid w:val="00D35F92"/>
    <w:rsid w:val="00D37FAB"/>
    <w:rsid w:val="00D40F45"/>
    <w:rsid w:val="00D42439"/>
    <w:rsid w:val="00D42EAE"/>
    <w:rsid w:val="00D42F4C"/>
    <w:rsid w:val="00D46D37"/>
    <w:rsid w:val="00D52F0A"/>
    <w:rsid w:val="00D56F02"/>
    <w:rsid w:val="00D57565"/>
    <w:rsid w:val="00D601F5"/>
    <w:rsid w:val="00D60AE1"/>
    <w:rsid w:val="00D60F76"/>
    <w:rsid w:val="00D6149D"/>
    <w:rsid w:val="00D62283"/>
    <w:rsid w:val="00D6350D"/>
    <w:rsid w:val="00D63A19"/>
    <w:rsid w:val="00D65DAE"/>
    <w:rsid w:val="00D66173"/>
    <w:rsid w:val="00D72378"/>
    <w:rsid w:val="00D766E6"/>
    <w:rsid w:val="00D76E71"/>
    <w:rsid w:val="00D77733"/>
    <w:rsid w:val="00D80A6F"/>
    <w:rsid w:val="00D80BAF"/>
    <w:rsid w:val="00D83ACF"/>
    <w:rsid w:val="00D83BB1"/>
    <w:rsid w:val="00D83BF6"/>
    <w:rsid w:val="00D8432C"/>
    <w:rsid w:val="00D85FA6"/>
    <w:rsid w:val="00D90B53"/>
    <w:rsid w:val="00D92DEC"/>
    <w:rsid w:val="00D9474E"/>
    <w:rsid w:val="00D96D2F"/>
    <w:rsid w:val="00D979C9"/>
    <w:rsid w:val="00DA0C28"/>
    <w:rsid w:val="00DA1435"/>
    <w:rsid w:val="00DA20A2"/>
    <w:rsid w:val="00DA2E2C"/>
    <w:rsid w:val="00DA2E51"/>
    <w:rsid w:val="00DA3299"/>
    <w:rsid w:val="00DA4D92"/>
    <w:rsid w:val="00DA6697"/>
    <w:rsid w:val="00DA6978"/>
    <w:rsid w:val="00DB0145"/>
    <w:rsid w:val="00DB02C1"/>
    <w:rsid w:val="00DB146A"/>
    <w:rsid w:val="00DB1D1B"/>
    <w:rsid w:val="00DB2E61"/>
    <w:rsid w:val="00DB308B"/>
    <w:rsid w:val="00DB4691"/>
    <w:rsid w:val="00DB5AED"/>
    <w:rsid w:val="00DB6C49"/>
    <w:rsid w:val="00DC2382"/>
    <w:rsid w:val="00DC257C"/>
    <w:rsid w:val="00DC25ED"/>
    <w:rsid w:val="00DC3F59"/>
    <w:rsid w:val="00DC4D64"/>
    <w:rsid w:val="00DC6E86"/>
    <w:rsid w:val="00DC76E3"/>
    <w:rsid w:val="00DC78C1"/>
    <w:rsid w:val="00DD1023"/>
    <w:rsid w:val="00DD27A1"/>
    <w:rsid w:val="00DD3E84"/>
    <w:rsid w:val="00DD5B05"/>
    <w:rsid w:val="00DD6972"/>
    <w:rsid w:val="00DD6DC1"/>
    <w:rsid w:val="00DD7E52"/>
    <w:rsid w:val="00DE105B"/>
    <w:rsid w:val="00DE3B7D"/>
    <w:rsid w:val="00DE525D"/>
    <w:rsid w:val="00DE7486"/>
    <w:rsid w:val="00DE7957"/>
    <w:rsid w:val="00DF1A25"/>
    <w:rsid w:val="00DF3639"/>
    <w:rsid w:val="00DF3862"/>
    <w:rsid w:val="00DF392D"/>
    <w:rsid w:val="00DF4C24"/>
    <w:rsid w:val="00DF5E94"/>
    <w:rsid w:val="00DF6DC0"/>
    <w:rsid w:val="00DF6EAC"/>
    <w:rsid w:val="00DF7155"/>
    <w:rsid w:val="00DF75DE"/>
    <w:rsid w:val="00E010D6"/>
    <w:rsid w:val="00E019BF"/>
    <w:rsid w:val="00E03701"/>
    <w:rsid w:val="00E03B2F"/>
    <w:rsid w:val="00E04C3D"/>
    <w:rsid w:val="00E06955"/>
    <w:rsid w:val="00E10ECA"/>
    <w:rsid w:val="00E14E5A"/>
    <w:rsid w:val="00E14E6A"/>
    <w:rsid w:val="00E15151"/>
    <w:rsid w:val="00E155EB"/>
    <w:rsid w:val="00E161C5"/>
    <w:rsid w:val="00E16B26"/>
    <w:rsid w:val="00E171AC"/>
    <w:rsid w:val="00E17FAB"/>
    <w:rsid w:val="00E22283"/>
    <w:rsid w:val="00E23389"/>
    <w:rsid w:val="00E23556"/>
    <w:rsid w:val="00E24B58"/>
    <w:rsid w:val="00E2563B"/>
    <w:rsid w:val="00E25AE4"/>
    <w:rsid w:val="00E25AEE"/>
    <w:rsid w:val="00E271B0"/>
    <w:rsid w:val="00E30773"/>
    <w:rsid w:val="00E32069"/>
    <w:rsid w:val="00E340B4"/>
    <w:rsid w:val="00E4266D"/>
    <w:rsid w:val="00E42C90"/>
    <w:rsid w:val="00E43B25"/>
    <w:rsid w:val="00E46B22"/>
    <w:rsid w:val="00E53550"/>
    <w:rsid w:val="00E557B7"/>
    <w:rsid w:val="00E56F05"/>
    <w:rsid w:val="00E60D93"/>
    <w:rsid w:val="00E6396B"/>
    <w:rsid w:val="00E64221"/>
    <w:rsid w:val="00E64D17"/>
    <w:rsid w:val="00E67361"/>
    <w:rsid w:val="00E67569"/>
    <w:rsid w:val="00E67C1E"/>
    <w:rsid w:val="00E67C9C"/>
    <w:rsid w:val="00E70B3E"/>
    <w:rsid w:val="00E71B74"/>
    <w:rsid w:val="00E72617"/>
    <w:rsid w:val="00E7282E"/>
    <w:rsid w:val="00E72907"/>
    <w:rsid w:val="00E76416"/>
    <w:rsid w:val="00E77B18"/>
    <w:rsid w:val="00E805C3"/>
    <w:rsid w:val="00E8609A"/>
    <w:rsid w:val="00E86A92"/>
    <w:rsid w:val="00E8700C"/>
    <w:rsid w:val="00E87C7B"/>
    <w:rsid w:val="00E90168"/>
    <w:rsid w:val="00E90BF5"/>
    <w:rsid w:val="00E942A8"/>
    <w:rsid w:val="00E944E7"/>
    <w:rsid w:val="00E95F2E"/>
    <w:rsid w:val="00E97D05"/>
    <w:rsid w:val="00E97D5A"/>
    <w:rsid w:val="00E97F17"/>
    <w:rsid w:val="00EA14FC"/>
    <w:rsid w:val="00EA568A"/>
    <w:rsid w:val="00EB0588"/>
    <w:rsid w:val="00EB288F"/>
    <w:rsid w:val="00EB3FF2"/>
    <w:rsid w:val="00EB4852"/>
    <w:rsid w:val="00EB4B38"/>
    <w:rsid w:val="00EB6121"/>
    <w:rsid w:val="00EB6501"/>
    <w:rsid w:val="00EB6872"/>
    <w:rsid w:val="00EB721C"/>
    <w:rsid w:val="00EC1A9B"/>
    <w:rsid w:val="00EC226D"/>
    <w:rsid w:val="00EC22A9"/>
    <w:rsid w:val="00EC53F9"/>
    <w:rsid w:val="00EC67F8"/>
    <w:rsid w:val="00ED14D8"/>
    <w:rsid w:val="00ED39CF"/>
    <w:rsid w:val="00ED41C3"/>
    <w:rsid w:val="00ED47BA"/>
    <w:rsid w:val="00ED525F"/>
    <w:rsid w:val="00ED60ED"/>
    <w:rsid w:val="00ED782D"/>
    <w:rsid w:val="00ED7835"/>
    <w:rsid w:val="00ED7938"/>
    <w:rsid w:val="00EE06F4"/>
    <w:rsid w:val="00EE12EF"/>
    <w:rsid w:val="00EE263C"/>
    <w:rsid w:val="00EE339E"/>
    <w:rsid w:val="00EE392F"/>
    <w:rsid w:val="00EE4040"/>
    <w:rsid w:val="00EE44D4"/>
    <w:rsid w:val="00EE4979"/>
    <w:rsid w:val="00EE78C1"/>
    <w:rsid w:val="00EF0316"/>
    <w:rsid w:val="00EF28A6"/>
    <w:rsid w:val="00EF33A9"/>
    <w:rsid w:val="00EF433F"/>
    <w:rsid w:val="00EF61C9"/>
    <w:rsid w:val="00EF6BC4"/>
    <w:rsid w:val="00EF6CF5"/>
    <w:rsid w:val="00EF7398"/>
    <w:rsid w:val="00F032DF"/>
    <w:rsid w:val="00F038D6"/>
    <w:rsid w:val="00F03FF8"/>
    <w:rsid w:val="00F06279"/>
    <w:rsid w:val="00F06697"/>
    <w:rsid w:val="00F069FB"/>
    <w:rsid w:val="00F06EFF"/>
    <w:rsid w:val="00F10398"/>
    <w:rsid w:val="00F1084C"/>
    <w:rsid w:val="00F12B48"/>
    <w:rsid w:val="00F1313C"/>
    <w:rsid w:val="00F13B61"/>
    <w:rsid w:val="00F13CF7"/>
    <w:rsid w:val="00F13E9D"/>
    <w:rsid w:val="00F1521E"/>
    <w:rsid w:val="00F15826"/>
    <w:rsid w:val="00F1723D"/>
    <w:rsid w:val="00F20438"/>
    <w:rsid w:val="00F20AA3"/>
    <w:rsid w:val="00F24070"/>
    <w:rsid w:val="00F24AF4"/>
    <w:rsid w:val="00F25434"/>
    <w:rsid w:val="00F26308"/>
    <w:rsid w:val="00F264A3"/>
    <w:rsid w:val="00F26E65"/>
    <w:rsid w:val="00F30AD8"/>
    <w:rsid w:val="00F331D9"/>
    <w:rsid w:val="00F33213"/>
    <w:rsid w:val="00F33E8C"/>
    <w:rsid w:val="00F434BC"/>
    <w:rsid w:val="00F43524"/>
    <w:rsid w:val="00F4375E"/>
    <w:rsid w:val="00F4388C"/>
    <w:rsid w:val="00F43B3A"/>
    <w:rsid w:val="00F44549"/>
    <w:rsid w:val="00F47161"/>
    <w:rsid w:val="00F47ECE"/>
    <w:rsid w:val="00F5085A"/>
    <w:rsid w:val="00F50DE7"/>
    <w:rsid w:val="00F52590"/>
    <w:rsid w:val="00F557B5"/>
    <w:rsid w:val="00F5645D"/>
    <w:rsid w:val="00F57A79"/>
    <w:rsid w:val="00F61D41"/>
    <w:rsid w:val="00F62EC7"/>
    <w:rsid w:val="00F64E55"/>
    <w:rsid w:val="00F651F1"/>
    <w:rsid w:val="00F66BE5"/>
    <w:rsid w:val="00F739B5"/>
    <w:rsid w:val="00F73D3E"/>
    <w:rsid w:val="00F74767"/>
    <w:rsid w:val="00F75526"/>
    <w:rsid w:val="00F7718E"/>
    <w:rsid w:val="00F829BC"/>
    <w:rsid w:val="00F84E4E"/>
    <w:rsid w:val="00F853AC"/>
    <w:rsid w:val="00F864F5"/>
    <w:rsid w:val="00F86620"/>
    <w:rsid w:val="00F9099A"/>
    <w:rsid w:val="00F91A7D"/>
    <w:rsid w:val="00F93FF0"/>
    <w:rsid w:val="00F94832"/>
    <w:rsid w:val="00F94AD1"/>
    <w:rsid w:val="00F976F0"/>
    <w:rsid w:val="00FA04D6"/>
    <w:rsid w:val="00FA197C"/>
    <w:rsid w:val="00FA232F"/>
    <w:rsid w:val="00FA2F5D"/>
    <w:rsid w:val="00FA3229"/>
    <w:rsid w:val="00FA426E"/>
    <w:rsid w:val="00FA581E"/>
    <w:rsid w:val="00FB67B3"/>
    <w:rsid w:val="00FB6A4A"/>
    <w:rsid w:val="00FB6EB6"/>
    <w:rsid w:val="00FB718F"/>
    <w:rsid w:val="00FC00F5"/>
    <w:rsid w:val="00FC3F2E"/>
    <w:rsid w:val="00FC4385"/>
    <w:rsid w:val="00FC49E1"/>
    <w:rsid w:val="00FC4A24"/>
    <w:rsid w:val="00FC4F3F"/>
    <w:rsid w:val="00FC5A5F"/>
    <w:rsid w:val="00FC7986"/>
    <w:rsid w:val="00FC7E79"/>
    <w:rsid w:val="00FD35AD"/>
    <w:rsid w:val="00FD561E"/>
    <w:rsid w:val="00FE11EF"/>
    <w:rsid w:val="00FE1EA0"/>
    <w:rsid w:val="00FE4F07"/>
    <w:rsid w:val="00FE5FEC"/>
    <w:rsid w:val="00FE6981"/>
    <w:rsid w:val="00FE71CA"/>
    <w:rsid w:val="00FF3D17"/>
    <w:rsid w:val="00FF4579"/>
    <w:rsid w:val="00FF5984"/>
    <w:rsid w:val="00FF6277"/>
    <w:rsid w:val="00FF7B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22B2BEF-5F35-4A61-B24F-341977F0E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 Text body"/>
    <w:qFormat/>
    <w:rsid w:val="00BD01C7"/>
    <w:pPr>
      <w:spacing w:after="200" w:line="360" w:lineRule="auto"/>
      <w:jc w:val="both"/>
    </w:pPr>
    <w:rPr>
      <w:rFonts w:ascii="Arial" w:hAnsi="Arial" w:cs="Times New Roman"/>
      <w:sz w:val="24"/>
      <w:szCs w:val="24"/>
    </w:rPr>
  </w:style>
  <w:style w:type="paragraph" w:styleId="Heading1">
    <w:name w:val="heading 1"/>
    <w:aliases w:val="Shola 1"/>
    <w:basedOn w:val="Normal"/>
    <w:next w:val="Normal"/>
    <w:link w:val="Heading1Char1"/>
    <w:uiPriority w:val="9"/>
    <w:rsid w:val="002F334A"/>
    <w:pPr>
      <w:keepNext/>
      <w:keepLines/>
      <w:spacing w:before="240" w:after="0"/>
      <w:outlineLvl w:val="0"/>
    </w:pPr>
    <w:rPr>
      <w:rFonts w:eastAsiaTheme="majorEastAsia" w:cstheme="majorBidi"/>
      <w:b/>
      <w:sz w:val="28"/>
      <w:szCs w:val="32"/>
    </w:rPr>
  </w:style>
  <w:style w:type="paragraph" w:styleId="Heading2">
    <w:name w:val="heading 2"/>
    <w:aliases w:val="Heading 2 Char1,Heading 2 Char Char,Shola 2"/>
    <w:basedOn w:val="Normal"/>
    <w:next w:val="Normal"/>
    <w:link w:val="Heading2Char"/>
    <w:uiPriority w:val="9"/>
    <w:qFormat/>
    <w:rsid w:val="002F334A"/>
    <w:pPr>
      <w:keepNext/>
      <w:tabs>
        <w:tab w:val="num" w:pos="360"/>
      </w:tabs>
      <w:spacing w:before="240" w:after="60"/>
      <w:outlineLvl w:val="1"/>
    </w:pPr>
    <w:rPr>
      <w:rFonts w:eastAsia="Times New Roman" w:cs="Arial"/>
      <w:b/>
      <w:bCs/>
      <w:iCs/>
      <w:sz w:val="28"/>
      <w:szCs w:val="28"/>
      <w:lang w:eastAsia="en-GB"/>
    </w:rPr>
  </w:style>
  <w:style w:type="paragraph" w:styleId="Heading3">
    <w:name w:val="heading 3"/>
    <w:aliases w:val="Heading 3 Char Char,Shola 3"/>
    <w:basedOn w:val="Normal"/>
    <w:next w:val="Normal"/>
    <w:link w:val="Heading3Char1"/>
    <w:uiPriority w:val="9"/>
    <w:unhideWhenUsed/>
    <w:qFormat/>
    <w:rsid w:val="00580B34"/>
    <w:pPr>
      <w:keepNext/>
      <w:keepLines/>
      <w:spacing w:after="60"/>
      <w:outlineLvl w:val="2"/>
    </w:pPr>
    <w:rPr>
      <w:rFonts w:eastAsiaTheme="majorEastAsia" w:cstheme="majorBidi"/>
      <w:b/>
    </w:rPr>
  </w:style>
  <w:style w:type="paragraph" w:styleId="Heading4">
    <w:name w:val="heading 4"/>
    <w:aliases w:val="Heading 4 Char Char,Shola 4"/>
    <w:basedOn w:val="Normal"/>
    <w:next w:val="Normal"/>
    <w:link w:val="Heading4Char1"/>
    <w:uiPriority w:val="9"/>
    <w:unhideWhenUsed/>
    <w:qFormat/>
    <w:rsid w:val="00182293"/>
    <w:pPr>
      <w:keepNext/>
      <w:keepLines/>
      <w:spacing w:before="40" w:after="0"/>
      <w:outlineLvl w:val="3"/>
    </w:pPr>
    <w:rPr>
      <w:rFonts w:eastAsiaTheme="majorEastAsia" w:cstheme="majorBidi"/>
      <w:b/>
      <w:iCs/>
    </w:rPr>
  </w:style>
  <w:style w:type="paragraph" w:styleId="Heading5">
    <w:name w:val="heading 5"/>
    <w:basedOn w:val="Normal"/>
    <w:next w:val="Normal"/>
    <w:link w:val="Heading5Char"/>
    <w:uiPriority w:val="9"/>
    <w:qFormat/>
    <w:rsid w:val="002F334A"/>
    <w:pPr>
      <w:numPr>
        <w:ilvl w:val="4"/>
        <w:numId w:val="3"/>
      </w:numPr>
      <w:spacing w:before="240" w:after="60"/>
      <w:ind w:left="1008" w:hanging="432"/>
      <w:outlineLvl w:val="4"/>
    </w:pPr>
    <w:rPr>
      <w:rFonts w:eastAsia="Times New Roman"/>
      <w:b/>
      <w:i/>
      <w:sz w:val="26"/>
      <w:szCs w:val="26"/>
      <w:lang w:eastAsia="en-GB"/>
    </w:rPr>
  </w:style>
  <w:style w:type="paragraph" w:styleId="Heading6">
    <w:name w:val="heading 6"/>
    <w:basedOn w:val="Heading5"/>
    <w:next w:val="Normal"/>
    <w:link w:val="Heading6Char"/>
    <w:rsid w:val="002F334A"/>
    <w:pPr>
      <w:keepNext/>
      <w:numPr>
        <w:ilvl w:val="5"/>
      </w:numPr>
      <w:tabs>
        <w:tab w:val="left" w:pos="1247"/>
      </w:tabs>
      <w:spacing w:before="80" w:after="240"/>
      <w:ind w:left="1152" w:hanging="432"/>
      <w:outlineLvl w:val="5"/>
    </w:pPr>
    <w:rPr>
      <w:rFonts w:eastAsia="SimSun" w:cs="Arial"/>
      <w:bCs/>
      <w:i w:val="0"/>
      <w:color w:val="0000FF"/>
      <w:sz w:val="22"/>
      <w:szCs w:val="28"/>
      <w:lang w:eastAsia="zh-CN"/>
    </w:rPr>
  </w:style>
  <w:style w:type="paragraph" w:styleId="Heading7">
    <w:name w:val="heading 7"/>
    <w:basedOn w:val="Normal"/>
    <w:next w:val="Normal"/>
    <w:link w:val="Heading7Char"/>
    <w:rsid w:val="002F334A"/>
    <w:pPr>
      <w:numPr>
        <w:ilvl w:val="6"/>
        <w:numId w:val="3"/>
      </w:numPr>
      <w:spacing w:before="240" w:after="60"/>
      <w:ind w:left="1296" w:hanging="288"/>
      <w:outlineLvl w:val="6"/>
    </w:pPr>
    <w:rPr>
      <w:rFonts w:eastAsia="Times New Roman"/>
      <w:lang w:eastAsia="en-GB"/>
    </w:rPr>
  </w:style>
  <w:style w:type="paragraph" w:styleId="Heading8">
    <w:name w:val="heading 8"/>
    <w:basedOn w:val="Heading7"/>
    <w:next w:val="Normal"/>
    <w:link w:val="Heading8Char"/>
    <w:rsid w:val="002F334A"/>
    <w:pPr>
      <w:keepNext/>
      <w:numPr>
        <w:ilvl w:val="7"/>
      </w:numPr>
      <w:tabs>
        <w:tab w:val="left" w:pos="1588"/>
      </w:tabs>
      <w:spacing w:before="80" w:after="240"/>
      <w:ind w:left="1440" w:hanging="432"/>
      <w:outlineLvl w:val="7"/>
    </w:pPr>
    <w:rPr>
      <w:rFonts w:eastAsia="SimSun" w:cs="Arial"/>
      <w:b/>
      <w:bCs/>
      <w:color w:val="0000FF"/>
      <w:sz w:val="22"/>
      <w:szCs w:val="28"/>
      <w:lang w:eastAsia="zh-CN"/>
    </w:rPr>
  </w:style>
  <w:style w:type="paragraph" w:styleId="Heading9">
    <w:name w:val="heading 9"/>
    <w:basedOn w:val="Heading8"/>
    <w:next w:val="Normal"/>
    <w:link w:val="Heading9Char"/>
    <w:rsid w:val="002F334A"/>
    <w:pPr>
      <w:numPr>
        <w:ilvl w:val="0"/>
      </w:numPr>
      <w:tabs>
        <w:tab w:val="clear" w:pos="1588"/>
        <w:tab w:val="left" w:pos="1758"/>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aliases w:val="Figure1,Figure 1"/>
    <w:basedOn w:val="Normal"/>
    <w:next w:val="Normal"/>
    <w:link w:val="SubtitleChar"/>
    <w:autoRedefine/>
    <w:qFormat/>
    <w:rsid w:val="007B3EEB"/>
    <w:pPr>
      <w:numPr>
        <w:ilvl w:val="1"/>
      </w:numPr>
      <w:spacing w:after="0"/>
      <w:ind w:left="720"/>
    </w:pPr>
    <w:rPr>
      <w:rFonts w:eastAsia="Times New Roman" w:cs="Arial"/>
      <w:lang w:val="x-none" w:eastAsia="en-GB"/>
    </w:rPr>
  </w:style>
  <w:style w:type="character" w:customStyle="1" w:styleId="SubtitleChar">
    <w:name w:val="Subtitle Char"/>
    <w:aliases w:val="Figure1 Char,Figure 1 Char"/>
    <w:basedOn w:val="DefaultParagraphFont"/>
    <w:link w:val="Subtitle"/>
    <w:rsid w:val="007B3EEB"/>
    <w:rPr>
      <w:rFonts w:ascii="Arial" w:eastAsia="Times New Roman" w:hAnsi="Arial" w:cs="Arial"/>
      <w:sz w:val="24"/>
      <w:szCs w:val="24"/>
      <w:lang w:val="x-none" w:eastAsia="en-GB"/>
    </w:rPr>
  </w:style>
  <w:style w:type="character" w:customStyle="1" w:styleId="Heading1Char">
    <w:name w:val="Heading 1 Char"/>
    <w:basedOn w:val="DefaultParagraphFont"/>
    <w:link w:val="Heading11"/>
    <w:uiPriority w:val="9"/>
    <w:rsid w:val="002F334A"/>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Heading 2 Char1 Char,Heading 2 Char Char Char,Shola 2 Char"/>
    <w:basedOn w:val="DefaultParagraphFont"/>
    <w:link w:val="Heading2"/>
    <w:uiPriority w:val="9"/>
    <w:rsid w:val="002F334A"/>
    <w:rPr>
      <w:rFonts w:ascii="Arial" w:eastAsia="Times New Roman" w:hAnsi="Arial" w:cs="Arial"/>
      <w:b/>
      <w:bCs/>
      <w:iCs/>
      <w:color w:val="000000" w:themeColor="text1"/>
      <w:sz w:val="28"/>
      <w:szCs w:val="28"/>
      <w:lang w:eastAsia="en-GB"/>
    </w:rPr>
  </w:style>
  <w:style w:type="character" w:customStyle="1" w:styleId="Heading3Char">
    <w:name w:val="Heading 3 Char"/>
    <w:aliases w:val="Heading 3 Char1 Char,Heading 3 Char Char Char"/>
    <w:basedOn w:val="DefaultParagraphFont"/>
    <w:link w:val="Heading3CharChar1"/>
    <w:uiPriority w:val="9"/>
    <w:rsid w:val="002F334A"/>
    <w:rPr>
      <w:rFonts w:asciiTheme="majorHAnsi" w:eastAsiaTheme="majorEastAsia" w:hAnsiTheme="majorHAnsi" w:cstheme="majorBidi"/>
      <w:color w:val="1F4D78" w:themeColor="accent1" w:themeShade="7F"/>
      <w:sz w:val="24"/>
      <w:szCs w:val="24"/>
    </w:rPr>
  </w:style>
  <w:style w:type="character" w:customStyle="1" w:styleId="Heading4Char">
    <w:name w:val="Heading 4 Char"/>
    <w:aliases w:val="Heading 4 Char1 Char,Heading 4 Char Char Char"/>
    <w:basedOn w:val="DefaultParagraphFont"/>
    <w:link w:val="Heading4CharChar1"/>
    <w:uiPriority w:val="9"/>
    <w:rsid w:val="002F334A"/>
    <w:rPr>
      <w:rFonts w:asciiTheme="majorHAnsi" w:eastAsiaTheme="majorEastAsia" w:hAnsiTheme="majorHAnsi" w:cstheme="majorBidi"/>
      <w:i/>
      <w:iCs/>
      <w:color w:val="2E74B5" w:themeColor="accent1" w:themeShade="BF"/>
      <w:sz w:val="24"/>
    </w:rPr>
  </w:style>
  <w:style w:type="character" w:customStyle="1" w:styleId="Heading5Char">
    <w:name w:val="Heading 5 Char"/>
    <w:basedOn w:val="DefaultParagraphFont"/>
    <w:link w:val="Heading5"/>
    <w:uiPriority w:val="9"/>
    <w:rsid w:val="002F334A"/>
    <w:rPr>
      <w:rFonts w:ascii="Arial" w:eastAsia="Times New Roman" w:hAnsi="Arial" w:cs="Times New Roman"/>
      <w:b/>
      <w:i/>
      <w:sz w:val="26"/>
      <w:szCs w:val="26"/>
      <w:lang w:eastAsia="en-GB"/>
    </w:rPr>
  </w:style>
  <w:style w:type="character" w:customStyle="1" w:styleId="Heading6Char">
    <w:name w:val="Heading 6 Char"/>
    <w:basedOn w:val="DefaultParagraphFont"/>
    <w:link w:val="Heading6"/>
    <w:rsid w:val="002F334A"/>
    <w:rPr>
      <w:rFonts w:ascii="Arial" w:eastAsia="SimSun" w:hAnsi="Arial" w:cs="Arial"/>
      <w:b/>
      <w:bCs/>
      <w:color w:val="0000FF"/>
      <w:szCs w:val="28"/>
      <w:lang w:eastAsia="zh-CN"/>
    </w:rPr>
  </w:style>
  <w:style w:type="character" w:customStyle="1" w:styleId="Heading7Char">
    <w:name w:val="Heading 7 Char"/>
    <w:basedOn w:val="DefaultParagraphFont"/>
    <w:link w:val="Heading7"/>
    <w:rsid w:val="002F334A"/>
    <w:rPr>
      <w:rFonts w:ascii="Arial" w:eastAsia="Times New Roman" w:hAnsi="Arial" w:cs="Times New Roman"/>
      <w:sz w:val="24"/>
      <w:szCs w:val="24"/>
      <w:lang w:eastAsia="en-GB"/>
    </w:rPr>
  </w:style>
  <w:style w:type="character" w:customStyle="1" w:styleId="Heading8Char">
    <w:name w:val="Heading 8 Char"/>
    <w:basedOn w:val="DefaultParagraphFont"/>
    <w:link w:val="Heading8"/>
    <w:rsid w:val="002F334A"/>
    <w:rPr>
      <w:rFonts w:ascii="Arial" w:eastAsia="SimSun" w:hAnsi="Arial" w:cs="Arial"/>
      <w:b/>
      <w:bCs/>
      <w:color w:val="0000FF"/>
      <w:szCs w:val="28"/>
      <w:lang w:eastAsia="zh-CN"/>
    </w:rPr>
  </w:style>
  <w:style w:type="character" w:customStyle="1" w:styleId="Heading9Char">
    <w:name w:val="Heading 9 Char"/>
    <w:basedOn w:val="DefaultParagraphFont"/>
    <w:link w:val="Heading9"/>
    <w:rsid w:val="002F334A"/>
    <w:rPr>
      <w:rFonts w:ascii="Arial" w:eastAsia="SimSun" w:hAnsi="Arial" w:cs="Arial"/>
      <w:b/>
      <w:bCs/>
      <w:color w:val="0000FF"/>
      <w:szCs w:val="28"/>
      <w:lang w:eastAsia="zh-CN"/>
    </w:rPr>
  </w:style>
  <w:style w:type="paragraph" w:customStyle="1" w:styleId="Heading11">
    <w:name w:val="Heading 11"/>
    <w:basedOn w:val="Normal"/>
    <w:next w:val="Normal"/>
    <w:link w:val="Heading1Char"/>
    <w:uiPriority w:val="9"/>
    <w:rsid w:val="002F334A"/>
    <w:pPr>
      <w:keepNext/>
      <w:spacing w:before="240" w:after="60"/>
      <w:outlineLvl w:val="0"/>
    </w:pPr>
    <w:rPr>
      <w:rFonts w:asciiTheme="majorHAnsi" w:eastAsiaTheme="majorEastAsia" w:hAnsiTheme="majorHAnsi" w:cstheme="majorBidi"/>
      <w:color w:val="2E74B5" w:themeColor="accent1" w:themeShade="BF"/>
      <w:sz w:val="32"/>
      <w:szCs w:val="32"/>
    </w:rPr>
  </w:style>
  <w:style w:type="paragraph" w:customStyle="1" w:styleId="Heading3CharChar1">
    <w:name w:val="Heading 3 Char Char1"/>
    <w:basedOn w:val="Normal"/>
    <w:next w:val="Normal"/>
    <w:link w:val="Heading3Char"/>
    <w:rsid w:val="002F334A"/>
    <w:pPr>
      <w:keepNext/>
      <w:spacing w:before="240" w:after="60"/>
      <w:ind w:left="288"/>
      <w:outlineLvl w:val="2"/>
    </w:pPr>
    <w:rPr>
      <w:rFonts w:asciiTheme="majorHAnsi" w:eastAsiaTheme="majorEastAsia" w:hAnsiTheme="majorHAnsi" w:cstheme="majorBidi"/>
      <w:color w:val="1F4D78" w:themeColor="accent1" w:themeShade="7F"/>
    </w:rPr>
  </w:style>
  <w:style w:type="paragraph" w:customStyle="1" w:styleId="Heading4CharChar1">
    <w:name w:val="Heading 4 Char Char1"/>
    <w:basedOn w:val="Normal"/>
    <w:next w:val="Normal"/>
    <w:link w:val="Heading4Char"/>
    <w:uiPriority w:val="9"/>
    <w:rsid w:val="002F334A"/>
    <w:pPr>
      <w:keepNext/>
      <w:spacing w:before="240" w:after="60"/>
      <w:ind w:left="864"/>
      <w:outlineLvl w:val="3"/>
    </w:pPr>
    <w:rPr>
      <w:rFonts w:asciiTheme="majorHAnsi" w:eastAsiaTheme="majorEastAsia" w:hAnsiTheme="majorHAnsi" w:cstheme="majorBidi"/>
      <w:i/>
      <w:iCs/>
      <w:color w:val="2E74B5" w:themeColor="accent1" w:themeShade="BF"/>
    </w:rPr>
  </w:style>
  <w:style w:type="numbering" w:customStyle="1" w:styleId="NoList1">
    <w:name w:val="No List1"/>
    <w:next w:val="NoList"/>
    <w:uiPriority w:val="99"/>
    <w:semiHidden/>
    <w:unhideWhenUsed/>
    <w:rsid w:val="002F334A"/>
  </w:style>
  <w:style w:type="numbering" w:customStyle="1" w:styleId="NoList11">
    <w:name w:val="No List11"/>
    <w:next w:val="NoList"/>
    <w:semiHidden/>
    <w:rsid w:val="002F334A"/>
  </w:style>
  <w:style w:type="paragraph" w:styleId="BalloonText">
    <w:name w:val="Balloon Text"/>
    <w:basedOn w:val="Normal"/>
    <w:link w:val="BalloonTextChar"/>
    <w:uiPriority w:val="99"/>
    <w:semiHidden/>
    <w:rsid w:val="002F334A"/>
    <w:pPr>
      <w:spacing w:after="0"/>
    </w:pPr>
    <w:rPr>
      <w:rFonts w:ascii="Tahoma" w:eastAsia="Times New Roman" w:hAnsi="Tahoma" w:cs="Tahoma"/>
      <w:sz w:val="16"/>
      <w:szCs w:val="16"/>
      <w:lang w:eastAsia="en-GB"/>
    </w:rPr>
  </w:style>
  <w:style w:type="character" w:customStyle="1" w:styleId="BalloonTextChar">
    <w:name w:val="Balloon Text Char"/>
    <w:basedOn w:val="DefaultParagraphFont"/>
    <w:link w:val="BalloonText"/>
    <w:uiPriority w:val="99"/>
    <w:semiHidden/>
    <w:rsid w:val="002F334A"/>
    <w:rPr>
      <w:rFonts w:ascii="Tahoma" w:eastAsia="Times New Roman" w:hAnsi="Tahoma" w:cs="Tahoma"/>
      <w:color w:val="000000" w:themeColor="text1"/>
      <w:sz w:val="16"/>
      <w:szCs w:val="16"/>
      <w:lang w:eastAsia="en-GB"/>
    </w:rPr>
  </w:style>
  <w:style w:type="paragraph" w:customStyle="1" w:styleId="111">
    <w:name w:val="1.1.1"/>
    <w:basedOn w:val="Normal"/>
    <w:rsid w:val="002F334A"/>
    <w:pPr>
      <w:spacing w:before="360" w:after="360"/>
    </w:pPr>
    <w:rPr>
      <w:rFonts w:eastAsia="Times New Roman"/>
      <w:b/>
      <w:sz w:val="28"/>
      <w:lang w:eastAsia="en-GB"/>
    </w:rPr>
  </w:style>
  <w:style w:type="paragraph" w:customStyle="1" w:styleId="1111">
    <w:name w:val="1.1.1.1"/>
    <w:basedOn w:val="Normal"/>
    <w:rsid w:val="002F334A"/>
    <w:pPr>
      <w:spacing w:before="360" w:after="360"/>
    </w:pPr>
    <w:rPr>
      <w:rFonts w:eastAsia="Times New Roman"/>
      <w:b/>
      <w:sz w:val="26"/>
      <w:lang w:eastAsia="en-GB"/>
    </w:rPr>
  </w:style>
  <w:style w:type="paragraph" w:customStyle="1" w:styleId="11111">
    <w:name w:val="1.1.1.1.1"/>
    <w:basedOn w:val="Heading5"/>
    <w:rsid w:val="002F334A"/>
    <w:pPr>
      <w:numPr>
        <w:ilvl w:val="0"/>
        <w:numId w:val="0"/>
      </w:numPr>
      <w:tabs>
        <w:tab w:val="num" w:pos="360"/>
      </w:tabs>
      <w:ind w:left="1008" w:hanging="432"/>
    </w:pPr>
  </w:style>
  <w:style w:type="paragraph" w:styleId="Header">
    <w:name w:val="header"/>
    <w:basedOn w:val="Normal"/>
    <w:link w:val="HeaderChar"/>
    <w:uiPriority w:val="99"/>
    <w:rsid w:val="002F334A"/>
    <w:pPr>
      <w:tabs>
        <w:tab w:val="center" w:pos="4320"/>
        <w:tab w:val="right" w:pos="8640"/>
      </w:tabs>
      <w:spacing w:after="0"/>
    </w:pPr>
    <w:rPr>
      <w:rFonts w:eastAsia="Times New Roman"/>
      <w:lang w:eastAsia="en-GB"/>
    </w:rPr>
  </w:style>
  <w:style w:type="character" w:customStyle="1" w:styleId="HeaderChar">
    <w:name w:val="Header Char"/>
    <w:basedOn w:val="DefaultParagraphFont"/>
    <w:link w:val="Header"/>
    <w:uiPriority w:val="99"/>
    <w:rsid w:val="002F334A"/>
    <w:rPr>
      <w:rFonts w:ascii="Arial" w:eastAsia="Times New Roman" w:hAnsi="Arial" w:cs="Times New Roman"/>
      <w:color w:val="000000" w:themeColor="text1"/>
      <w:sz w:val="24"/>
      <w:szCs w:val="24"/>
      <w:lang w:eastAsia="en-GB"/>
    </w:rPr>
  </w:style>
  <w:style w:type="paragraph" w:styleId="Footer">
    <w:name w:val="footer"/>
    <w:basedOn w:val="Normal"/>
    <w:link w:val="FooterChar"/>
    <w:uiPriority w:val="99"/>
    <w:rsid w:val="002F334A"/>
    <w:pPr>
      <w:tabs>
        <w:tab w:val="center" w:pos="4320"/>
        <w:tab w:val="right" w:pos="8640"/>
      </w:tabs>
      <w:spacing w:after="0"/>
    </w:pPr>
    <w:rPr>
      <w:rFonts w:eastAsia="Times New Roman"/>
      <w:lang w:eastAsia="en-GB"/>
    </w:rPr>
  </w:style>
  <w:style w:type="character" w:customStyle="1" w:styleId="FooterChar">
    <w:name w:val="Footer Char"/>
    <w:basedOn w:val="DefaultParagraphFont"/>
    <w:link w:val="Footer"/>
    <w:uiPriority w:val="99"/>
    <w:rsid w:val="002F334A"/>
    <w:rPr>
      <w:rFonts w:ascii="Arial" w:eastAsia="Times New Roman" w:hAnsi="Arial" w:cs="Times New Roman"/>
      <w:color w:val="000000" w:themeColor="text1"/>
      <w:sz w:val="24"/>
      <w:szCs w:val="24"/>
      <w:lang w:eastAsia="en-GB"/>
    </w:rPr>
  </w:style>
  <w:style w:type="character" w:styleId="PageNumber">
    <w:name w:val="page number"/>
    <w:basedOn w:val="DefaultParagraphFont"/>
    <w:rsid w:val="002F334A"/>
  </w:style>
  <w:style w:type="paragraph" w:customStyle="1" w:styleId="Figures">
    <w:name w:val="Figures"/>
    <w:basedOn w:val="Normal"/>
    <w:rsid w:val="002F334A"/>
    <w:pPr>
      <w:spacing w:after="0"/>
    </w:pPr>
    <w:rPr>
      <w:rFonts w:eastAsia="Times New Roman"/>
      <w:b/>
      <w:i/>
      <w:lang w:eastAsia="en-GB"/>
    </w:rPr>
  </w:style>
  <w:style w:type="paragraph" w:styleId="TOC1">
    <w:name w:val="toc 1"/>
    <w:basedOn w:val="Normal"/>
    <w:next w:val="Normal"/>
    <w:autoRedefine/>
    <w:uiPriority w:val="39"/>
    <w:rsid w:val="000051CE"/>
    <w:pPr>
      <w:spacing w:before="120" w:after="120"/>
      <w:jc w:val="left"/>
    </w:pPr>
    <w:rPr>
      <w:rFonts w:asciiTheme="minorHAnsi" w:hAnsiTheme="minorHAnsi"/>
      <w:b/>
      <w:bCs/>
      <w:caps/>
      <w:sz w:val="20"/>
      <w:szCs w:val="20"/>
    </w:rPr>
  </w:style>
  <w:style w:type="paragraph" w:styleId="TOC3">
    <w:name w:val="toc 3"/>
    <w:basedOn w:val="Normal"/>
    <w:next w:val="Normal"/>
    <w:autoRedefine/>
    <w:uiPriority w:val="39"/>
    <w:qFormat/>
    <w:rsid w:val="002F334A"/>
    <w:pPr>
      <w:spacing w:after="0"/>
      <w:ind w:left="480"/>
      <w:jc w:val="left"/>
    </w:pPr>
    <w:rPr>
      <w:rFonts w:asciiTheme="minorHAnsi" w:hAnsiTheme="minorHAnsi"/>
      <w:i/>
      <w:iCs/>
      <w:sz w:val="20"/>
      <w:szCs w:val="20"/>
    </w:rPr>
  </w:style>
  <w:style w:type="paragraph" w:styleId="TOC2">
    <w:name w:val="toc 2"/>
    <w:basedOn w:val="Normal"/>
    <w:next w:val="Normal"/>
    <w:autoRedefine/>
    <w:uiPriority w:val="39"/>
    <w:qFormat/>
    <w:rsid w:val="002F334A"/>
    <w:pPr>
      <w:spacing w:after="0"/>
      <w:ind w:left="240"/>
      <w:jc w:val="left"/>
    </w:pPr>
    <w:rPr>
      <w:rFonts w:asciiTheme="minorHAnsi" w:hAnsiTheme="minorHAnsi"/>
      <w:smallCaps/>
      <w:sz w:val="20"/>
      <w:szCs w:val="20"/>
    </w:rPr>
  </w:style>
  <w:style w:type="character" w:styleId="Hyperlink">
    <w:name w:val="Hyperlink"/>
    <w:uiPriority w:val="99"/>
    <w:rsid w:val="002F334A"/>
    <w:rPr>
      <w:color w:val="0000FF"/>
      <w:u w:val="single"/>
    </w:rPr>
  </w:style>
  <w:style w:type="paragraph" w:styleId="DocumentMap">
    <w:name w:val="Document Map"/>
    <w:basedOn w:val="Normal"/>
    <w:link w:val="DocumentMapChar"/>
    <w:semiHidden/>
    <w:rsid w:val="002F334A"/>
    <w:pPr>
      <w:shd w:val="clear" w:color="auto" w:fill="000080"/>
      <w:spacing w:after="0"/>
    </w:pPr>
    <w:rPr>
      <w:rFonts w:ascii="Tahoma" w:eastAsia="Times New Roman" w:hAnsi="Tahoma"/>
      <w:szCs w:val="20"/>
    </w:rPr>
  </w:style>
  <w:style w:type="character" w:customStyle="1" w:styleId="DocumentMapChar">
    <w:name w:val="Document Map Char"/>
    <w:basedOn w:val="DefaultParagraphFont"/>
    <w:link w:val="DocumentMap"/>
    <w:semiHidden/>
    <w:rsid w:val="002F334A"/>
    <w:rPr>
      <w:rFonts w:ascii="Tahoma" w:eastAsia="Times New Roman" w:hAnsi="Tahoma" w:cs="Times New Roman"/>
      <w:color w:val="000000" w:themeColor="text1"/>
      <w:sz w:val="24"/>
      <w:szCs w:val="20"/>
      <w:shd w:val="clear" w:color="auto" w:fill="000080"/>
    </w:rPr>
  </w:style>
  <w:style w:type="paragraph" w:customStyle="1" w:styleId="ChapterSubtitle">
    <w:name w:val="Chapter Subtitle"/>
    <w:basedOn w:val="Normal"/>
    <w:next w:val="Normal"/>
    <w:semiHidden/>
    <w:rsid w:val="002F334A"/>
    <w:pPr>
      <w:keepNext/>
      <w:keepLines/>
      <w:tabs>
        <w:tab w:val="right" w:pos="8640"/>
      </w:tabs>
      <w:spacing w:after="280"/>
      <w:jc w:val="center"/>
    </w:pPr>
    <w:rPr>
      <w:rFonts w:ascii="Garamond" w:eastAsia="Times New Roman" w:hAnsi="Garamond"/>
      <w:spacing w:val="2"/>
      <w:kern w:val="28"/>
      <w:szCs w:val="20"/>
      <w:lang w:val="en-US" w:bidi="fa-IR"/>
    </w:rPr>
  </w:style>
  <w:style w:type="numbering" w:styleId="111111">
    <w:name w:val="Outline List 2"/>
    <w:basedOn w:val="NoList"/>
    <w:semiHidden/>
    <w:rsid w:val="002F334A"/>
    <w:pPr>
      <w:numPr>
        <w:numId w:val="11"/>
      </w:numPr>
    </w:pPr>
  </w:style>
  <w:style w:type="numbering" w:styleId="1ai">
    <w:name w:val="Outline List 1"/>
    <w:basedOn w:val="NoList"/>
    <w:semiHidden/>
    <w:rsid w:val="002F334A"/>
    <w:pPr>
      <w:numPr>
        <w:numId w:val="12"/>
      </w:numPr>
    </w:pPr>
  </w:style>
  <w:style w:type="character" w:customStyle="1" w:styleId="Heading1Char1">
    <w:name w:val="Heading 1 Char1"/>
    <w:aliases w:val="Shola 1 Char"/>
    <w:basedOn w:val="DefaultParagraphFont"/>
    <w:link w:val="Heading1"/>
    <w:uiPriority w:val="9"/>
    <w:rsid w:val="002F334A"/>
    <w:rPr>
      <w:rFonts w:ascii="Arial" w:eastAsiaTheme="majorEastAsia" w:hAnsi="Arial" w:cstheme="majorBidi"/>
      <w:b/>
      <w:color w:val="000000" w:themeColor="text1"/>
      <w:sz w:val="28"/>
      <w:szCs w:val="32"/>
    </w:rPr>
  </w:style>
  <w:style w:type="character" w:customStyle="1" w:styleId="Heading3Char1">
    <w:name w:val="Heading 3 Char1"/>
    <w:aliases w:val="Heading 3 Char Char Char1,Shola 3 Char"/>
    <w:basedOn w:val="DefaultParagraphFont"/>
    <w:link w:val="Heading3"/>
    <w:rsid w:val="00580B34"/>
    <w:rPr>
      <w:rFonts w:ascii="Arial" w:eastAsiaTheme="majorEastAsia" w:hAnsi="Arial" w:cstheme="majorBidi"/>
      <w:b/>
      <w:sz w:val="24"/>
      <w:szCs w:val="24"/>
    </w:rPr>
  </w:style>
  <w:style w:type="character" w:customStyle="1" w:styleId="Heading4Char1">
    <w:name w:val="Heading 4 Char1"/>
    <w:aliases w:val="Heading 4 Char Char Char1,Shola 4 Char"/>
    <w:basedOn w:val="DefaultParagraphFont"/>
    <w:link w:val="Heading4"/>
    <w:uiPriority w:val="9"/>
    <w:rsid w:val="00182293"/>
    <w:rPr>
      <w:rFonts w:ascii="Arial" w:eastAsiaTheme="majorEastAsia" w:hAnsi="Arial" w:cstheme="majorBidi"/>
      <w:b/>
      <w:iCs/>
      <w:color w:val="000000" w:themeColor="text1"/>
      <w:sz w:val="24"/>
    </w:rPr>
  </w:style>
  <w:style w:type="numbering" w:styleId="ArticleSection">
    <w:name w:val="Outline List 3"/>
    <w:basedOn w:val="NoList"/>
    <w:semiHidden/>
    <w:rsid w:val="002F334A"/>
    <w:pPr>
      <w:numPr>
        <w:numId w:val="13"/>
      </w:numPr>
    </w:pPr>
  </w:style>
  <w:style w:type="paragraph" w:styleId="BlockText">
    <w:name w:val="Block Text"/>
    <w:basedOn w:val="Normal"/>
    <w:semiHidden/>
    <w:rsid w:val="002F334A"/>
    <w:pPr>
      <w:spacing w:after="120"/>
      <w:ind w:left="1440" w:right="1440"/>
    </w:pPr>
    <w:rPr>
      <w:rFonts w:eastAsia="Times New Roman"/>
      <w:szCs w:val="20"/>
    </w:rPr>
  </w:style>
  <w:style w:type="character" w:customStyle="1" w:styleId="Figtext1">
    <w:name w:val="Fig. text1"/>
    <w:uiPriority w:val="20"/>
    <w:rsid w:val="002F334A"/>
    <w:rPr>
      <w:rFonts w:ascii="Arial" w:hAnsi="Arial" w:cs="Arial"/>
      <w:b w:val="0"/>
      <w:u w:val="none"/>
    </w:rPr>
  </w:style>
  <w:style w:type="paragraph" w:styleId="BodyTextIndent">
    <w:name w:val="Body Text Indent"/>
    <w:basedOn w:val="Normal"/>
    <w:link w:val="BodyTextIndentChar"/>
    <w:semiHidden/>
    <w:rsid w:val="002F334A"/>
    <w:pPr>
      <w:spacing w:after="120"/>
      <w:ind w:left="283"/>
    </w:pPr>
    <w:rPr>
      <w:rFonts w:eastAsia="Times New Roman"/>
      <w:szCs w:val="20"/>
    </w:rPr>
  </w:style>
  <w:style w:type="character" w:customStyle="1" w:styleId="BodyTextIndentChar">
    <w:name w:val="Body Text Indent Char"/>
    <w:basedOn w:val="DefaultParagraphFont"/>
    <w:link w:val="BodyTextIndent"/>
    <w:semiHidden/>
    <w:rsid w:val="002F334A"/>
    <w:rPr>
      <w:rFonts w:ascii="Arial" w:eastAsia="Times New Roman" w:hAnsi="Arial" w:cs="Times New Roman"/>
      <w:color w:val="000000" w:themeColor="text1"/>
      <w:sz w:val="24"/>
      <w:szCs w:val="20"/>
    </w:rPr>
  </w:style>
  <w:style w:type="paragraph" w:styleId="BodyTextFirstIndent2">
    <w:name w:val="Body Text First Indent 2"/>
    <w:basedOn w:val="Normal"/>
    <w:link w:val="BodyTextFirstIndent2Char"/>
    <w:semiHidden/>
    <w:rsid w:val="002F334A"/>
    <w:pPr>
      <w:spacing w:after="120"/>
      <w:ind w:left="283" w:firstLine="210"/>
    </w:pPr>
    <w:rPr>
      <w:rFonts w:eastAsia="Times New Roman"/>
      <w:szCs w:val="20"/>
    </w:rPr>
  </w:style>
  <w:style w:type="character" w:customStyle="1" w:styleId="BodyTextFirstIndent2Char">
    <w:name w:val="Body Text First Indent 2 Char"/>
    <w:basedOn w:val="BodyTextIndentChar"/>
    <w:link w:val="BodyTextFirstIndent2"/>
    <w:semiHidden/>
    <w:rsid w:val="002F334A"/>
    <w:rPr>
      <w:rFonts w:ascii="Arial" w:eastAsia="Times New Roman" w:hAnsi="Arial" w:cs="Times New Roman"/>
      <w:color w:val="000000" w:themeColor="text1"/>
      <w:sz w:val="24"/>
      <w:szCs w:val="20"/>
    </w:rPr>
  </w:style>
  <w:style w:type="paragraph" w:styleId="BodyTextIndent2">
    <w:name w:val="Body Text Indent 2"/>
    <w:basedOn w:val="Normal"/>
    <w:link w:val="BodyTextIndent2Char"/>
    <w:semiHidden/>
    <w:rsid w:val="002F334A"/>
    <w:pPr>
      <w:spacing w:after="120" w:line="480" w:lineRule="auto"/>
      <w:ind w:left="283"/>
    </w:pPr>
    <w:rPr>
      <w:rFonts w:eastAsia="Times New Roman"/>
      <w:szCs w:val="20"/>
    </w:rPr>
  </w:style>
  <w:style w:type="character" w:customStyle="1" w:styleId="BodyTextIndent2Char">
    <w:name w:val="Body Text Indent 2 Char"/>
    <w:basedOn w:val="DefaultParagraphFont"/>
    <w:link w:val="BodyTextIndent2"/>
    <w:semiHidden/>
    <w:rsid w:val="002F334A"/>
    <w:rPr>
      <w:rFonts w:ascii="Arial" w:eastAsia="Times New Roman" w:hAnsi="Arial" w:cs="Times New Roman"/>
      <w:color w:val="000000" w:themeColor="text1"/>
      <w:sz w:val="24"/>
      <w:szCs w:val="20"/>
    </w:rPr>
  </w:style>
  <w:style w:type="paragraph" w:styleId="BodyTextIndent3">
    <w:name w:val="Body Text Indent 3"/>
    <w:basedOn w:val="Normal"/>
    <w:link w:val="BodyTextIndent3Char"/>
    <w:semiHidden/>
    <w:rsid w:val="002F334A"/>
    <w:pPr>
      <w:spacing w:after="120"/>
      <w:ind w:left="283"/>
    </w:pPr>
    <w:rPr>
      <w:rFonts w:eastAsia="Times New Roman"/>
      <w:sz w:val="16"/>
      <w:szCs w:val="16"/>
    </w:rPr>
  </w:style>
  <w:style w:type="character" w:customStyle="1" w:styleId="BodyTextIndent3Char">
    <w:name w:val="Body Text Indent 3 Char"/>
    <w:basedOn w:val="DefaultParagraphFont"/>
    <w:link w:val="BodyTextIndent3"/>
    <w:semiHidden/>
    <w:rsid w:val="002F334A"/>
    <w:rPr>
      <w:rFonts w:ascii="Arial" w:eastAsia="Times New Roman" w:hAnsi="Arial" w:cs="Times New Roman"/>
      <w:color w:val="000000" w:themeColor="text1"/>
      <w:sz w:val="16"/>
      <w:szCs w:val="16"/>
    </w:rPr>
  </w:style>
  <w:style w:type="paragraph" w:customStyle="1" w:styleId="Fig-title1">
    <w:name w:val="Fig-title1"/>
    <w:basedOn w:val="Normal"/>
    <w:next w:val="Normal"/>
    <w:rsid w:val="002F334A"/>
    <w:pPr>
      <w:keepLines/>
      <w:spacing w:after="120"/>
    </w:pPr>
    <w:rPr>
      <w:rFonts w:ascii="Cambria" w:eastAsia="Times New Roman" w:hAnsi="Cambria"/>
      <w:b/>
      <w:bCs/>
      <w:iCs/>
      <w:szCs w:val="18"/>
      <w:lang w:eastAsia="en-GB"/>
    </w:rPr>
  </w:style>
  <w:style w:type="paragraph" w:styleId="Closing">
    <w:name w:val="Closing"/>
    <w:basedOn w:val="Normal"/>
    <w:link w:val="ClosingChar"/>
    <w:semiHidden/>
    <w:rsid w:val="002F334A"/>
    <w:pPr>
      <w:spacing w:after="0"/>
      <w:ind w:left="4252"/>
    </w:pPr>
    <w:rPr>
      <w:rFonts w:eastAsia="Times New Roman"/>
      <w:szCs w:val="20"/>
    </w:rPr>
  </w:style>
  <w:style w:type="character" w:customStyle="1" w:styleId="ClosingChar">
    <w:name w:val="Closing Char"/>
    <w:basedOn w:val="DefaultParagraphFont"/>
    <w:link w:val="Closing"/>
    <w:semiHidden/>
    <w:rsid w:val="002F334A"/>
    <w:rPr>
      <w:rFonts w:ascii="Arial" w:eastAsia="Times New Roman" w:hAnsi="Arial" w:cs="Times New Roman"/>
      <w:color w:val="000000" w:themeColor="text1"/>
      <w:sz w:val="24"/>
      <w:szCs w:val="20"/>
    </w:rPr>
  </w:style>
  <w:style w:type="paragraph" w:styleId="Date">
    <w:name w:val="Date"/>
    <w:basedOn w:val="Normal"/>
    <w:next w:val="Normal"/>
    <w:link w:val="DateChar"/>
    <w:semiHidden/>
    <w:rsid w:val="002F334A"/>
    <w:pPr>
      <w:spacing w:after="0"/>
    </w:pPr>
    <w:rPr>
      <w:rFonts w:eastAsia="Times New Roman"/>
      <w:szCs w:val="20"/>
    </w:rPr>
  </w:style>
  <w:style w:type="character" w:customStyle="1" w:styleId="DateChar">
    <w:name w:val="Date Char"/>
    <w:basedOn w:val="DefaultParagraphFont"/>
    <w:link w:val="Date"/>
    <w:semiHidden/>
    <w:rsid w:val="002F334A"/>
    <w:rPr>
      <w:rFonts w:ascii="Arial" w:eastAsia="Times New Roman" w:hAnsi="Arial" w:cs="Times New Roman"/>
      <w:color w:val="000000" w:themeColor="text1"/>
      <w:sz w:val="24"/>
      <w:szCs w:val="20"/>
    </w:rPr>
  </w:style>
  <w:style w:type="paragraph" w:styleId="E-mailSignature">
    <w:name w:val="E-mail Signature"/>
    <w:basedOn w:val="Normal"/>
    <w:link w:val="E-mailSignatureChar"/>
    <w:semiHidden/>
    <w:rsid w:val="002F334A"/>
    <w:pPr>
      <w:spacing w:after="0"/>
    </w:pPr>
    <w:rPr>
      <w:rFonts w:eastAsia="Times New Roman"/>
      <w:szCs w:val="20"/>
    </w:rPr>
  </w:style>
  <w:style w:type="character" w:customStyle="1" w:styleId="E-mailSignatureChar">
    <w:name w:val="E-mail Signature Char"/>
    <w:basedOn w:val="DefaultParagraphFont"/>
    <w:link w:val="E-mailSignature"/>
    <w:semiHidden/>
    <w:rsid w:val="002F334A"/>
    <w:rPr>
      <w:rFonts w:ascii="Arial" w:eastAsia="Times New Roman" w:hAnsi="Arial" w:cs="Times New Roman"/>
      <w:color w:val="000000" w:themeColor="text1"/>
      <w:sz w:val="24"/>
      <w:szCs w:val="20"/>
    </w:rPr>
  </w:style>
  <w:style w:type="character" w:styleId="EndnoteReference">
    <w:name w:val="endnote reference"/>
    <w:semiHidden/>
    <w:rsid w:val="002F334A"/>
    <w:rPr>
      <w:vertAlign w:val="superscript"/>
    </w:rPr>
  </w:style>
  <w:style w:type="paragraph" w:styleId="EndnoteText">
    <w:name w:val="endnote text"/>
    <w:basedOn w:val="Normal"/>
    <w:link w:val="EndnoteTextChar"/>
    <w:uiPriority w:val="99"/>
    <w:semiHidden/>
    <w:rsid w:val="002F334A"/>
    <w:pPr>
      <w:spacing w:after="0"/>
    </w:pPr>
    <w:rPr>
      <w:rFonts w:eastAsia="Times New Roman"/>
      <w:sz w:val="20"/>
      <w:szCs w:val="20"/>
    </w:rPr>
  </w:style>
  <w:style w:type="character" w:customStyle="1" w:styleId="EndnoteTextChar">
    <w:name w:val="Endnote Text Char"/>
    <w:basedOn w:val="DefaultParagraphFont"/>
    <w:link w:val="EndnoteText"/>
    <w:uiPriority w:val="99"/>
    <w:semiHidden/>
    <w:rsid w:val="002F334A"/>
    <w:rPr>
      <w:rFonts w:ascii="Arial" w:eastAsia="Times New Roman" w:hAnsi="Arial" w:cs="Times New Roman"/>
      <w:color w:val="000000" w:themeColor="text1"/>
      <w:sz w:val="20"/>
      <w:szCs w:val="20"/>
    </w:rPr>
  </w:style>
  <w:style w:type="paragraph" w:styleId="EnvelopeAddress">
    <w:name w:val="envelope address"/>
    <w:basedOn w:val="Normal"/>
    <w:semiHidden/>
    <w:rsid w:val="002F334A"/>
    <w:pPr>
      <w:framePr w:w="7920" w:h="1980" w:hRule="exact" w:hSpace="180" w:wrap="auto" w:hAnchor="page" w:xAlign="center" w:yAlign="bottom"/>
      <w:spacing w:after="0"/>
      <w:ind w:left="2880"/>
    </w:pPr>
    <w:rPr>
      <w:rFonts w:eastAsia="Times New Roman" w:cs="Arial"/>
      <w:szCs w:val="20"/>
    </w:rPr>
  </w:style>
  <w:style w:type="paragraph" w:styleId="EnvelopeReturn">
    <w:name w:val="envelope return"/>
    <w:basedOn w:val="Normal"/>
    <w:semiHidden/>
    <w:rsid w:val="002F334A"/>
    <w:pPr>
      <w:spacing w:after="0"/>
    </w:pPr>
    <w:rPr>
      <w:rFonts w:eastAsia="Times New Roman" w:cs="Arial"/>
      <w:sz w:val="20"/>
      <w:szCs w:val="20"/>
    </w:rPr>
  </w:style>
  <w:style w:type="character" w:styleId="FollowedHyperlink">
    <w:name w:val="FollowedHyperlink"/>
    <w:semiHidden/>
    <w:rsid w:val="002F334A"/>
    <w:rPr>
      <w:color w:val="FF0080"/>
      <w:u w:val="single"/>
    </w:rPr>
  </w:style>
  <w:style w:type="character" w:styleId="FootnoteReference">
    <w:name w:val="footnote reference"/>
    <w:semiHidden/>
    <w:rsid w:val="002F334A"/>
    <w:rPr>
      <w:vertAlign w:val="superscript"/>
    </w:rPr>
  </w:style>
  <w:style w:type="paragraph" w:styleId="FootnoteText">
    <w:name w:val="footnote text"/>
    <w:basedOn w:val="Normal"/>
    <w:link w:val="FootnoteTextChar"/>
    <w:semiHidden/>
    <w:rsid w:val="002F334A"/>
    <w:pPr>
      <w:spacing w:after="0"/>
    </w:pPr>
    <w:rPr>
      <w:rFonts w:eastAsia="Times New Roman"/>
      <w:sz w:val="20"/>
      <w:szCs w:val="20"/>
    </w:rPr>
  </w:style>
  <w:style w:type="character" w:customStyle="1" w:styleId="FootnoteTextChar">
    <w:name w:val="Footnote Text Char"/>
    <w:basedOn w:val="DefaultParagraphFont"/>
    <w:link w:val="FootnoteText"/>
    <w:semiHidden/>
    <w:rsid w:val="002F334A"/>
    <w:rPr>
      <w:rFonts w:ascii="Arial" w:eastAsia="Times New Roman" w:hAnsi="Arial" w:cs="Times New Roman"/>
      <w:color w:val="000000" w:themeColor="text1"/>
      <w:sz w:val="20"/>
      <w:szCs w:val="20"/>
    </w:rPr>
  </w:style>
  <w:style w:type="character" w:styleId="HTMLAcronym">
    <w:name w:val="HTML Acronym"/>
    <w:basedOn w:val="DefaultParagraphFont"/>
    <w:semiHidden/>
    <w:rsid w:val="002F334A"/>
  </w:style>
  <w:style w:type="paragraph" w:styleId="HTMLAddress">
    <w:name w:val="HTML Address"/>
    <w:basedOn w:val="Normal"/>
    <w:link w:val="HTMLAddressChar"/>
    <w:semiHidden/>
    <w:rsid w:val="002F334A"/>
    <w:pPr>
      <w:spacing w:after="0"/>
    </w:pPr>
    <w:rPr>
      <w:rFonts w:eastAsia="Times New Roman"/>
      <w:i/>
      <w:iCs/>
      <w:szCs w:val="20"/>
    </w:rPr>
  </w:style>
  <w:style w:type="character" w:customStyle="1" w:styleId="HTMLAddressChar">
    <w:name w:val="HTML Address Char"/>
    <w:basedOn w:val="DefaultParagraphFont"/>
    <w:link w:val="HTMLAddress"/>
    <w:semiHidden/>
    <w:rsid w:val="002F334A"/>
    <w:rPr>
      <w:rFonts w:ascii="Arial" w:eastAsia="Times New Roman" w:hAnsi="Arial" w:cs="Times New Roman"/>
      <w:i/>
      <w:iCs/>
      <w:color w:val="000000" w:themeColor="text1"/>
      <w:sz w:val="24"/>
      <w:szCs w:val="20"/>
    </w:rPr>
  </w:style>
  <w:style w:type="character" w:styleId="HTMLCite">
    <w:name w:val="HTML Cite"/>
    <w:uiPriority w:val="99"/>
    <w:semiHidden/>
    <w:rsid w:val="002F334A"/>
    <w:rPr>
      <w:i/>
      <w:iCs/>
    </w:rPr>
  </w:style>
  <w:style w:type="character" w:styleId="HTMLCode">
    <w:name w:val="HTML Code"/>
    <w:semiHidden/>
    <w:rsid w:val="002F334A"/>
    <w:rPr>
      <w:rFonts w:ascii="Courier New" w:hAnsi="Courier New" w:cs="Courier New"/>
      <w:sz w:val="20"/>
      <w:szCs w:val="20"/>
    </w:rPr>
  </w:style>
  <w:style w:type="character" w:styleId="HTMLDefinition">
    <w:name w:val="HTML Definition"/>
    <w:semiHidden/>
    <w:rsid w:val="002F334A"/>
    <w:rPr>
      <w:i/>
      <w:iCs/>
    </w:rPr>
  </w:style>
  <w:style w:type="character" w:styleId="HTMLKeyboard">
    <w:name w:val="HTML Keyboard"/>
    <w:semiHidden/>
    <w:rsid w:val="002F334A"/>
    <w:rPr>
      <w:rFonts w:ascii="Courier New" w:hAnsi="Courier New" w:cs="Courier New"/>
      <w:sz w:val="20"/>
      <w:szCs w:val="20"/>
    </w:rPr>
  </w:style>
  <w:style w:type="paragraph" w:styleId="HTMLPreformatted">
    <w:name w:val="HTML Preformatted"/>
    <w:basedOn w:val="Normal"/>
    <w:link w:val="HTMLPreformattedChar"/>
    <w:uiPriority w:val="99"/>
    <w:semiHidden/>
    <w:rsid w:val="002F334A"/>
    <w:pPr>
      <w:spacing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F334A"/>
    <w:rPr>
      <w:rFonts w:ascii="Courier New" w:eastAsia="Times New Roman" w:hAnsi="Courier New" w:cs="Courier New"/>
      <w:color w:val="000000" w:themeColor="text1"/>
      <w:sz w:val="20"/>
      <w:szCs w:val="20"/>
    </w:rPr>
  </w:style>
  <w:style w:type="character" w:styleId="HTMLSample">
    <w:name w:val="HTML Sample"/>
    <w:semiHidden/>
    <w:rsid w:val="002F334A"/>
    <w:rPr>
      <w:rFonts w:ascii="Courier New" w:hAnsi="Courier New" w:cs="Courier New"/>
    </w:rPr>
  </w:style>
  <w:style w:type="character" w:styleId="HTMLTypewriter">
    <w:name w:val="HTML Typewriter"/>
    <w:semiHidden/>
    <w:rsid w:val="002F334A"/>
    <w:rPr>
      <w:rFonts w:ascii="Courier New" w:hAnsi="Courier New" w:cs="Courier New"/>
      <w:sz w:val="20"/>
      <w:szCs w:val="20"/>
    </w:rPr>
  </w:style>
  <w:style w:type="character" w:styleId="HTMLVariable">
    <w:name w:val="HTML Variable"/>
    <w:semiHidden/>
    <w:rsid w:val="002F334A"/>
    <w:rPr>
      <w:i/>
      <w:iCs/>
    </w:rPr>
  </w:style>
  <w:style w:type="paragraph" w:styleId="List4">
    <w:name w:val="List 4"/>
    <w:basedOn w:val="Normal"/>
    <w:semiHidden/>
    <w:rsid w:val="002F334A"/>
    <w:pPr>
      <w:spacing w:after="0"/>
      <w:ind w:left="1132" w:hanging="283"/>
    </w:pPr>
    <w:rPr>
      <w:rFonts w:eastAsia="Times New Roman"/>
      <w:szCs w:val="20"/>
    </w:rPr>
  </w:style>
  <w:style w:type="paragraph" w:styleId="List5">
    <w:name w:val="List 5"/>
    <w:basedOn w:val="Normal"/>
    <w:semiHidden/>
    <w:rsid w:val="002F334A"/>
    <w:pPr>
      <w:spacing w:after="0"/>
      <w:ind w:left="1415" w:hanging="283"/>
    </w:pPr>
    <w:rPr>
      <w:rFonts w:eastAsia="Times New Roman"/>
      <w:szCs w:val="20"/>
    </w:rPr>
  </w:style>
  <w:style w:type="paragraph" w:styleId="ListBullet4">
    <w:name w:val="List Bullet 4"/>
    <w:basedOn w:val="Normal"/>
    <w:autoRedefine/>
    <w:semiHidden/>
    <w:rsid w:val="002F334A"/>
    <w:pPr>
      <w:numPr>
        <w:numId w:val="4"/>
      </w:numPr>
      <w:spacing w:after="0"/>
    </w:pPr>
    <w:rPr>
      <w:rFonts w:eastAsia="Times New Roman"/>
      <w:szCs w:val="20"/>
    </w:rPr>
  </w:style>
  <w:style w:type="paragraph" w:styleId="ListBullet5">
    <w:name w:val="List Bullet 5"/>
    <w:basedOn w:val="Normal"/>
    <w:autoRedefine/>
    <w:semiHidden/>
    <w:rsid w:val="002F334A"/>
    <w:pPr>
      <w:numPr>
        <w:numId w:val="5"/>
      </w:numPr>
      <w:spacing w:after="0"/>
    </w:pPr>
    <w:rPr>
      <w:rFonts w:eastAsia="Times New Roman"/>
      <w:szCs w:val="20"/>
    </w:rPr>
  </w:style>
  <w:style w:type="paragraph" w:styleId="ListContinue4">
    <w:name w:val="List Continue 4"/>
    <w:basedOn w:val="Normal"/>
    <w:semiHidden/>
    <w:rsid w:val="002F334A"/>
    <w:pPr>
      <w:spacing w:after="120"/>
      <w:ind w:left="1132"/>
    </w:pPr>
    <w:rPr>
      <w:rFonts w:eastAsia="Times New Roman"/>
      <w:szCs w:val="20"/>
    </w:rPr>
  </w:style>
  <w:style w:type="paragraph" w:styleId="ListContinue5">
    <w:name w:val="List Continue 5"/>
    <w:basedOn w:val="Normal"/>
    <w:semiHidden/>
    <w:rsid w:val="002F334A"/>
    <w:pPr>
      <w:spacing w:after="120"/>
      <w:ind w:left="1415"/>
    </w:pPr>
    <w:rPr>
      <w:rFonts w:eastAsia="Times New Roman"/>
      <w:szCs w:val="20"/>
    </w:rPr>
  </w:style>
  <w:style w:type="paragraph" w:styleId="ListNumber4">
    <w:name w:val="List Number 4"/>
    <w:basedOn w:val="Normal"/>
    <w:semiHidden/>
    <w:rsid w:val="002F334A"/>
    <w:pPr>
      <w:numPr>
        <w:numId w:val="9"/>
      </w:numPr>
      <w:spacing w:after="0"/>
    </w:pPr>
    <w:rPr>
      <w:rFonts w:eastAsia="Times New Roman"/>
      <w:szCs w:val="20"/>
    </w:rPr>
  </w:style>
  <w:style w:type="paragraph" w:styleId="ListNumber5">
    <w:name w:val="List Number 5"/>
    <w:basedOn w:val="Normal"/>
    <w:semiHidden/>
    <w:rsid w:val="002F334A"/>
    <w:pPr>
      <w:numPr>
        <w:numId w:val="10"/>
      </w:numPr>
      <w:spacing w:after="0"/>
    </w:pPr>
    <w:rPr>
      <w:rFonts w:eastAsia="Times New Roman"/>
      <w:szCs w:val="20"/>
    </w:rPr>
  </w:style>
  <w:style w:type="paragraph" w:styleId="MessageHeader">
    <w:name w:val="Message Header"/>
    <w:basedOn w:val="Normal"/>
    <w:link w:val="MessageHeaderChar"/>
    <w:semiHidden/>
    <w:rsid w:val="002F334A"/>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imes New Roman" w:cs="Arial"/>
      <w:szCs w:val="20"/>
    </w:rPr>
  </w:style>
  <w:style w:type="character" w:customStyle="1" w:styleId="MessageHeaderChar">
    <w:name w:val="Message Header Char"/>
    <w:basedOn w:val="DefaultParagraphFont"/>
    <w:link w:val="MessageHeader"/>
    <w:semiHidden/>
    <w:rsid w:val="002F334A"/>
    <w:rPr>
      <w:rFonts w:ascii="Arial" w:eastAsia="Times New Roman" w:hAnsi="Arial" w:cs="Arial"/>
      <w:color w:val="000000" w:themeColor="text1"/>
      <w:sz w:val="24"/>
      <w:szCs w:val="20"/>
      <w:shd w:val="pct20" w:color="auto" w:fill="auto"/>
    </w:rPr>
  </w:style>
  <w:style w:type="paragraph" w:styleId="Signature">
    <w:name w:val="Signature"/>
    <w:basedOn w:val="Normal"/>
    <w:link w:val="SignatureChar"/>
    <w:semiHidden/>
    <w:rsid w:val="002F334A"/>
    <w:pPr>
      <w:spacing w:after="0"/>
      <w:ind w:left="4252"/>
    </w:pPr>
    <w:rPr>
      <w:rFonts w:eastAsia="Times New Roman"/>
      <w:szCs w:val="20"/>
    </w:rPr>
  </w:style>
  <w:style w:type="character" w:customStyle="1" w:styleId="SignatureChar">
    <w:name w:val="Signature Char"/>
    <w:basedOn w:val="DefaultParagraphFont"/>
    <w:link w:val="Signature"/>
    <w:semiHidden/>
    <w:rsid w:val="002F334A"/>
    <w:rPr>
      <w:rFonts w:ascii="Arial" w:eastAsia="Times New Roman" w:hAnsi="Arial" w:cs="Times New Roman"/>
      <w:color w:val="000000" w:themeColor="text1"/>
      <w:sz w:val="24"/>
      <w:szCs w:val="20"/>
    </w:rPr>
  </w:style>
  <w:style w:type="character" w:customStyle="1" w:styleId="fig-Body1">
    <w:name w:val="fig-Body1"/>
    <w:rsid w:val="002F334A"/>
    <w:rPr>
      <w:rFonts w:ascii="TUOS Stephenson" w:hAnsi="TUOS Stephenson"/>
      <w:bCs/>
      <w:sz w:val="22"/>
    </w:rPr>
  </w:style>
  <w:style w:type="table" w:styleId="Table3Deffects1">
    <w:name w:val="Table 3D effects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ofFigures1">
    <w:name w:val="Table of Figures1"/>
    <w:basedOn w:val="Caption"/>
    <w:next w:val="Normal"/>
    <w:uiPriority w:val="99"/>
    <w:qFormat/>
    <w:rsid w:val="002F334A"/>
    <w:pPr>
      <w:keepLines/>
      <w:spacing w:after="0" w:line="360" w:lineRule="auto"/>
    </w:pPr>
    <w:rPr>
      <w:rFonts w:ascii="Cambria" w:eastAsia="Times New Roman" w:hAnsi="Cambria"/>
      <w:b/>
      <w:bCs/>
      <w:i w:val="0"/>
      <w:iCs w:val="0"/>
      <w:color w:val="auto"/>
      <w:sz w:val="22"/>
      <w:lang w:eastAsia="en-GB"/>
    </w:rPr>
  </w:style>
  <w:style w:type="paragraph" w:styleId="TOAHeading">
    <w:name w:val="toa heading"/>
    <w:basedOn w:val="Normal"/>
    <w:next w:val="Normal"/>
    <w:semiHidden/>
    <w:rsid w:val="002F334A"/>
    <w:pPr>
      <w:spacing w:before="120" w:after="0"/>
    </w:pPr>
    <w:rPr>
      <w:rFonts w:eastAsia="Times New Roman" w:cs="Arial"/>
      <w:b/>
      <w:bCs/>
      <w:szCs w:val="20"/>
    </w:rPr>
  </w:style>
  <w:style w:type="character" w:styleId="LineNumber">
    <w:name w:val="line number"/>
    <w:basedOn w:val="DefaultParagraphFont"/>
    <w:semiHidden/>
    <w:rsid w:val="002F334A"/>
  </w:style>
  <w:style w:type="paragraph" w:styleId="List2">
    <w:name w:val="List 2"/>
    <w:basedOn w:val="Normal"/>
    <w:semiHidden/>
    <w:rsid w:val="002F334A"/>
    <w:pPr>
      <w:spacing w:after="0"/>
      <w:ind w:left="566" w:hanging="283"/>
    </w:pPr>
    <w:rPr>
      <w:rFonts w:eastAsia="Times New Roman"/>
      <w:szCs w:val="20"/>
    </w:rPr>
  </w:style>
  <w:style w:type="paragraph" w:styleId="List3">
    <w:name w:val="List 3"/>
    <w:basedOn w:val="Normal"/>
    <w:semiHidden/>
    <w:rsid w:val="002F334A"/>
    <w:pPr>
      <w:spacing w:after="0"/>
      <w:ind w:left="849" w:hanging="283"/>
    </w:pPr>
    <w:rPr>
      <w:rFonts w:eastAsia="Times New Roman"/>
      <w:szCs w:val="20"/>
    </w:rPr>
  </w:style>
  <w:style w:type="paragraph" w:styleId="ListBullet2">
    <w:name w:val="List Bullet 2"/>
    <w:basedOn w:val="Normal"/>
    <w:autoRedefine/>
    <w:semiHidden/>
    <w:rsid w:val="002F334A"/>
    <w:pPr>
      <w:numPr>
        <w:numId w:val="2"/>
      </w:numPr>
      <w:spacing w:after="0"/>
    </w:pPr>
    <w:rPr>
      <w:rFonts w:eastAsia="Times New Roman"/>
      <w:szCs w:val="20"/>
    </w:rPr>
  </w:style>
  <w:style w:type="paragraph" w:styleId="ListBullet3">
    <w:name w:val="List Bullet 3"/>
    <w:basedOn w:val="Normal"/>
    <w:autoRedefine/>
    <w:semiHidden/>
    <w:rsid w:val="002F334A"/>
    <w:pPr>
      <w:tabs>
        <w:tab w:val="num" w:pos="926"/>
      </w:tabs>
      <w:spacing w:after="0"/>
      <w:ind w:left="926" w:hanging="360"/>
    </w:pPr>
    <w:rPr>
      <w:rFonts w:eastAsia="Times New Roman"/>
      <w:szCs w:val="20"/>
    </w:rPr>
  </w:style>
  <w:style w:type="paragraph" w:styleId="ListContinue2">
    <w:name w:val="List Continue 2"/>
    <w:basedOn w:val="Normal"/>
    <w:semiHidden/>
    <w:rsid w:val="002F334A"/>
    <w:pPr>
      <w:spacing w:after="120"/>
      <w:ind w:left="566"/>
    </w:pPr>
    <w:rPr>
      <w:rFonts w:eastAsia="Times New Roman"/>
      <w:szCs w:val="20"/>
    </w:rPr>
  </w:style>
  <w:style w:type="paragraph" w:styleId="ListContinue3">
    <w:name w:val="List Continue 3"/>
    <w:basedOn w:val="Normal"/>
    <w:semiHidden/>
    <w:rsid w:val="002F334A"/>
    <w:pPr>
      <w:spacing w:after="120"/>
      <w:ind w:left="849"/>
    </w:pPr>
    <w:rPr>
      <w:rFonts w:eastAsia="Times New Roman"/>
      <w:szCs w:val="20"/>
    </w:rPr>
  </w:style>
  <w:style w:type="paragraph" w:styleId="ListNumber2">
    <w:name w:val="List Number 2"/>
    <w:basedOn w:val="Normal"/>
    <w:semiHidden/>
    <w:rsid w:val="002F334A"/>
    <w:pPr>
      <w:numPr>
        <w:numId w:val="7"/>
      </w:numPr>
      <w:spacing w:after="0"/>
    </w:pPr>
    <w:rPr>
      <w:rFonts w:eastAsia="Times New Roman"/>
      <w:szCs w:val="20"/>
    </w:rPr>
  </w:style>
  <w:style w:type="paragraph" w:styleId="ListNumber3">
    <w:name w:val="List Number 3"/>
    <w:basedOn w:val="Normal"/>
    <w:semiHidden/>
    <w:rsid w:val="002F334A"/>
    <w:pPr>
      <w:numPr>
        <w:numId w:val="8"/>
      </w:numPr>
      <w:spacing w:after="0"/>
    </w:pPr>
    <w:rPr>
      <w:rFonts w:eastAsia="Times New Roman"/>
      <w:szCs w:val="20"/>
    </w:rPr>
  </w:style>
  <w:style w:type="paragraph" w:styleId="NoteHeading">
    <w:name w:val="Note Heading"/>
    <w:basedOn w:val="Normal"/>
    <w:next w:val="Normal"/>
    <w:link w:val="NoteHeadingChar"/>
    <w:semiHidden/>
    <w:rsid w:val="002F334A"/>
    <w:pPr>
      <w:spacing w:after="0"/>
    </w:pPr>
    <w:rPr>
      <w:rFonts w:eastAsia="Times New Roman"/>
      <w:szCs w:val="20"/>
    </w:rPr>
  </w:style>
  <w:style w:type="character" w:customStyle="1" w:styleId="NoteHeadingChar">
    <w:name w:val="Note Heading Char"/>
    <w:basedOn w:val="DefaultParagraphFont"/>
    <w:link w:val="NoteHeading"/>
    <w:semiHidden/>
    <w:rsid w:val="002F334A"/>
    <w:rPr>
      <w:rFonts w:ascii="Arial" w:eastAsia="Times New Roman" w:hAnsi="Arial" w:cs="Times New Roman"/>
      <w:color w:val="000000" w:themeColor="text1"/>
      <w:sz w:val="24"/>
      <w:szCs w:val="20"/>
    </w:rPr>
  </w:style>
  <w:style w:type="paragraph" w:styleId="PlainText">
    <w:name w:val="Plain Text"/>
    <w:basedOn w:val="Normal"/>
    <w:link w:val="PlainTextChar"/>
    <w:semiHidden/>
    <w:rsid w:val="002F334A"/>
    <w:pPr>
      <w:spacing w:after="0"/>
    </w:pPr>
    <w:rPr>
      <w:rFonts w:ascii="Courier New" w:eastAsia="Times New Roman" w:hAnsi="Courier New" w:cs="Courier New"/>
      <w:sz w:val="20"/>
      <w:szCs w:val="20"/>
    </w:rPr>
  </w:style>
  <w:style w:type="character" w:customStyle="1" w:styleId="PlainTextChar">
    <w:name w:val="Plain Text Char"/>
    <w:basedOn w:val="DefaultParagraphFont"/>
    <w:link w:val="PlainText"/>
    <w:semiHidden/>
    <w:rsid w:val="002F334A"/>
    <w:rPr>
      <w:rFonts w:ascii="Courier New" w:eastAsia="Times New Roman" w:hAnsi="Courier New" w:cs="Courier New"/>
      <w:color w:val="000000" w:themeColor="text1"/>
      <w:sz w:val="20"/>
      <w:szCs w:val="20"/>
    </w:rPr>
  </w:style>
  <w:style w:type="paragraph" w:styleId="Salutation">
    <w:name w:val="Salutation"/>
    <w:basedOn w:val="Normal"/>
    <w:next w:val="Normal"/>
    <w:link w:val="SalutationChar"/>
    <w:semiHidden/>
    <w:rsid w:val="002F334A"/>
    <w:pPr>
      <w:spacing w:after="0"/>
    </w:pPr>
    <w:rPr>
      <w:rFonts w:eastAsia="Times New Roman"/>
      <w:szCs w:val="20"/>
    </w:rPr>
  </w:style>
  <w:style w:type="character" w:customStyle="1" w:styleId="SalutationChar">
    <w:name w:val="Salutation Char"/>
    <w:basedOn w:val="DefaultParagraphFont"/>
    <w:link w:val="Salutation"/>
    <w:semiHidden/>
    <w:rsid w:val="002F334A"/>
    <w:rPr>
      <w:rFonts w:ascii="Arial" w:eastAsia="Times New Roman" w:hAnsi="Arial" w:cs="Times New Roman"/>
      <w:color w:val="000000" w:themeColor="text1"/>
      <w:sz w:val="24"/>
      <w:szCs w:val="20"/>
    </w:rPr>
  </w:style>
  <w:style w:type="table" w:styleId="TableClassic2">
    <w:name w:val="Table Classic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F334A"/>
    <w:pPr>
      <w:spacing w:after="0" w:line="240" w:lineRule="auto"/>
      <w:jc w:val="both"/>
    </w:pPr>
    <w:rPr>
      <w:rFonts w:ascii="Times New Roman" w:eastAsia="Times New Roman" w:hAnsi="Times New Roman" w:cs="Times New Roman"/>
      <w:color w:val="000080"/>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2">
    <w:name w:val="Table Colorful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2">
    <w:name w:val="Table Columns 2"/>
    <w:basedOn w:val="TableNormal"/>
    <w:semiHidden/>
    <w:rsid w:val="002F334A"/>
    <w:pPr>
      <w:spacing w:after="0" w:line="240" w:lineRule="auto"/>
      <w:jc w:val="both"/>
    </w:pPr>
    <w:rPr>
      <w:rFonts w:ascii="Times New Roman" w:eastAsia="Times New Roman" w:hAnsi="Times New Roman" w:cs="Times New Roman"/>
      <w:b/>
      <w:bCs/>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F334A"/>
    <w:pPr>
      <w:spacing w:after="0" w:line="240" w:lineRule="auto"/>
      <w:jc w:val="both"/>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1">
    <w:name w:val="Table Grid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F334A"/>
    <w:pPr>
      <w:spacing w:after="0" w:line="240" w:lineRule="auto"/>
      <w:jc w:val="both"/>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2">
    <w:name w:val="Table List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Simple2">
    <w:name w:val="Table Simple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2">
    <w:name w:val="Table Subtle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2">
    <w:name w:val="Table Web 2"/>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BodyText2">
    <w:name w:val="Body Text 2"/>
    <w:basedOn w:val="Normal"/>
    <w:link w:val="BodyText2Char"/>
    <w:semiHidden/>
    <w:rsid w:val="002F334A"/>
    <w:pPr>
      <w:spacing w:after="120" w:line="480" w:lineRule="auto"/>
    </w:pPr>
    <w:rPr>
      <w:rFonts w:eastAsia="Times New Roman"/>
      <w:szCs w:val="20"/>
    </w:rPr>
  </w:style>
  <w:style w:type="character" w:customStyle="1" w:styleId="BodyText2Char">
    <w:name w:val="Body Text 2 Char"/>
    <w:basedOn w:val="DefaultParagraphFont"/>
    <w:link w:val="BodyText2"/>
    <w:semiHidden/>
    <w:rsid w:val="002F334A"/>
    <w:rPr>
      <w:rFonts w:ascii="Arial" w:eastAsia="Times New Roman" w:hAnsi="Arial" w:cs="Times New Roman"/>
      <w:color w:val="000000" w:themeColor="text1"/>
      <w:sz w:val="24"/>
      <w:szCs w:val="20"/>
    </w:rPr>
  </w:style>
  <w:style w:type="paragraph" w:styleId="BodyText3">
    <w:name w:val="Body Text 3"/>
    <w:basedOn w:val="Normal"/>
    <w:link w:val="BodyText3Char"/>
    <w:semiHidden/>
    <w:rsid w:val="002F334A"/>
    <w:pPr>
      <w:spacing w:after="120"/>
    </w:pPr>
    <w:rPr>
      <w:rFonts w:eastAsia="Times New Roman"/>
      <w:sz w:val="16"/>
      <w:szCs w:val="16"/>
    </w:rPr>
  </w:style>
  <w:style w:type="character" w:customStyle="1" w:styleId="BodyText3Char">
    <w:name w:val="Body Text 3 Char"/>
    <w:basedOn w:val="DefaultParagraphFont"/>
    <w:link w:val="BodyText3"/>
    <w:semiHidden/>
    <w:rsid w:val="002F334A"/>
    <w:rPr>
      <w:rFonts w:ascii="Arial" w:eastAsia="Times New Roman" w:hAnsi="Arial" w:cs="Times New Roman"/>
      <w:color w:val="000000" w:themeColor="text1"/>
      <w:sz w:val="16"/>
      <w:szCs w:val="16"/>
    </w:rPr>
  </w:style>
  <w:style w:type="paragraph" w:styleId="ListContinue">
    <w:name w:val="List Continue"/>
    <w:basedOn w:val="Normal"/>
    <w:semiHidden/>
    <w:rsid w:val="002F334A"/>
    <w:pPr>
      <w:spacing w:after="120"/>
      <w:ind w:left="283"/>
    </w:pPr>
    <w:rPr>
      <w:rFonts w:eastAsia="Times New Roman"/>
      <w:szCs w:val="20"/>
    </w:rPr>
  </w:style>
  <w:style w:type="table" w:styleId="TableClassic1">
    <w:name w:val="Table Classic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1">
    <w:name w:val="Table Colorful 1"/>
    <w:basedOn w:val="TableNormal"/>
    <w:semiHidden/>
    <w:rsid w:val="002F334A"/>
    <w:pPr>
      <w:spacing w:after="0" w:line="240" w:lineRule="auto"/>
      <w:jc w:val="both"/>
    </w:pPr>
    <w:rPr>
      <w:rFonts w:ascii="Times New Roman" w:eastAsia="Times New Roman" w:hAnsi="Times New Roman" w:cs="Times New Roman"/>
      <w:color w:val="FFFFFF"/>
      <w:sz w:val="20"/>
      <w:szCs w:val="20"/>
      <w:lang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umns1">
    <w:name w:val="Table Columns 1"/>
    <w:basedOn w:val="TableNormal"/>
    <w:semiHidden/>
    <w:rsid w:val="002F334A"/>
    <w:pPr>
      <w:spacing w:after="0" w:line="240" w:lineRule="auto"/>
      <w:jc w:val="both"/>
    </w:pPr>
    <w:rPr>
      <w:rFonts w:ascii="Times New Roman" w:eastAsia="Times New Roman" w:hAnsi="Times New Roman" w:cs="Times New Roman"/>
      <w:b/>
      <w:bCs/>
      <w:sz w:val="20"/>
      <w:szCs w:val="20"/>
      <w:lang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2F334A"/>
    <w:pPr>
      <w:spacing w:after="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1">
    <w:name w:val="Table List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Professional">
    <w:name w:val="Table Professional"/>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ubtle1">
    <w:name w:val="Table Subtle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F334A"/>
    <w:pPr>
      <w:spacing w:after="0" w:line="240" w:lineRule="auto"/>
      <w:jc w:val="both"/>
    </w:pPr>
    <w:rPr>
      <w:rFonts w:ascii="Times New Roman" w:eastAsia="Times New Roman" w:hAnsi="Times New Roman" w:cs="Times New Roman"/>
      <w:sz w:val="20"/>
      <w:szCs w:val="20"/>
      <w:lang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1">
    <w:name w:val="Body Text1"/>
    <w:basedOn w:val="Normal"/>
    <w:next w:val="BodyText"/>
    <w:link w:val="BodyTextChar"/>
    <w:uiPriority w:val="99"/>
    <w:semiHidden/>
    <w:unhideWhenUsed/>
    <w:rsid w:val="002F334A"/>
    <w:pPr>
      <w:spacing w:after="120"/>
    </w:pPr>
  </w:style>
  <w:style w:type="character" w:customStyle="1" w:styleId="BodyTextChar">
    <w:name w:val="Body Text Char"/>
    <w:basedOn w:val="DefaultParagraphFont"/>
    <w:link w:val="BodyText1"/>
    <w:uiPriority w:val="99"/>
    <w:semiHidden/>
    <w:rsid w:val="002F334A"/>
    <w:rPr>
      <w:rFonts w:ascii="Arial" w:hAnsi="Arial" w:cs="Times New Roman"/>
      <w:color w:val="000000" w:themeColor="text1"/>
      <w:sz w:val="24"/>
      <w:szCs w:val="24"/>
    </w:rPr>
  </w:style>
  <w:style w:type="paragraph" w:styleId="BodyText">
    <w:name w:val="Body Text"/>
    <w:basedOn w:val="Normal"/>
    <w:link w:val="BodyTextChar1"/>
    <w:uiPriority w:val="99"/>
    <w:semiHidden/>
    <w:unhideWhenUsed/>
    <w:rsid w:val="002F334A"/>
    <w:pPr>
      <w:spacing w:after="120"/>
    </w:pPr>
  </w:style>
  <w:style w:type="character" w:customStyle="1" w:styleId="BodyTextChar1">
    <w:name w:val="Body Text Char1"/>
    <w:basedOn w:val="DefaultParagraphFont"/>
    <w:link w:val="BodyText"/>
    <w:uiPriority w:val="99"/>
    <w:semiHidden/>
    <w:rsid w:val="002F334A"/>
    <w:rPr>
      <w:rFonts w:ascii="Arial" w:hAnsi="Arial"/>
      <w:color w:val="000000" w:themeColor="text1"/>
      <w:sz w:val="24"/>
    </w:rPr>
  </w:style>
  <w:style w:type="paragraph" w:styleId="BodyTextFirstIndent">
    <w:name w:val="Body Text First Indent"/>
    <w:basedOn w:val="Normal"/>
    <w:link w:val="BodyTextFirstIndentChar"/>
    <w:semiHidden/>
    <w:rsid w:val="002F334A"/>
    <w:pPr>
      <w:spacing w:after="0"/>
      <w:ind w:firstLine="210"/>
    </w:pPr>
    <w:rPr>
      <w:rFonts w:eastAsia="Times New Roman"/>
      <w:lang w:eastAsia="en-GB"/>
    </w:rPr>
  </w:style>
  <w:style w:type="character" w:customStyle="1" w:styleId="BodyTextFirstIndentChar">
    <w:name w:val="Body Text First Indent Char"/>
    <w:basedOn w:val="BodyTextChar1"/>
    <w:link w:val="BodyTextFirstIndent"/>
    <w:semiHidden/>
    <w:rsid w:val="002F334A"/>
    <w:rPr>
      <w:rFonts w:ascii="Arial" w:eastAsia="Times New Roman" w:hAnsi="Arial" w:cs="Times New Roman"/>
      <w:color w:val="000000" w:themeColor="text1"/>
      <w:sz w:val="24"/>
      <w:szCs w:val="24"/>
      <w:lang w:eastAsia="en-GB"/>
    </w:rPr>
  </w:style>
  <w:style w:type="paragraph" w:styleId="List">
    <w:name w:val="List"/>
    <w:basedOn w:val="Normal"/>
    <w:semiHidden/>
    <w:rsid w:val="002F334A"/>
    <w:pPr>
      <w:spacing w:after="0"/>
      <w:ind w:left="283" w:hanging="283"/>
    </w:pPr>
    <w:rPr>
      <w:rFonts w:eastAsia="Times New Roman"/>
      <w:szCs w:val="20"/>
    </w:rPr>
  </w:style>
  <w:style w:type="paragraph" w:styleId="ListBullet">
    <w:name w:val="List Bullet"/>
    <w:basedOn w:val="Normal"/>
    <w:autoRedefine/>
    <w:semiHidden/>
    <w:rsid w:val="002F334A"/>
    <w:pPr>
      <w:numPr>
        <w:numId w:val="1"/>
      </w:numPr>
      <w:spacing w:after="0"/>
    </w:pPr>
    <w:rPr>
      <w:rFonts w:eastAsia="Times New Roman"/>
      <w:szCs w:val="20"/>
    </w:rPr>
  </w:style>
  <w:style w:type="paragraph" w:styleId="ListNumber">
    <w:name w:val="List Number"/>
    <w:basedOn w:val="Normal"/>
    <w:semiHidden/>
    <w:rsid w:val="002F334A"/>
    <w:pPr>
      <w:numPr>
        <w:numId w:val="6"/>
      </w:numPr>
      <w:spacing w:after="0"/>
    </w:pPr>
    <w:rPr>
      <w:rFonts w:eastAsia="Times New Roman"/>
      <w:szCs w:val="20"/>
    </w:rPr>
  </w:style>
  <w:style w:type="paragraph" w:styleId="NormalWeb">
    <w:name w:val="Normal (Web)"/>
    <w:basedOn w:val="Normal"/>
    <w:uiPriority w:val="99"/>
    <w:semiHidden/>
    <w:rsid w:val="002F334A"/>
    <w:pPr>
      <w:spacing w:after="0"/>
    </w:pPr>
    <w:rPr>
      <w:rFonts w:eastAsia="Times New Roman"/>
      <w:szCs w:val="20"/>
    </w:rPr>
  </w:style>
  <w:style w:type="paragraph" w:styleId="NormalIndent">
    <w:name w:val="Normal Indent"/>
    <w:basedOn w:val="Normal"/>
    <w:semiHidden/>
    <w:rsid w:val="002F334A"/>
    <w:pPr>
      <w:spacing w:after="0"/>
      <w:ind w:left="720"/>
    </w:pPr>
    <w:rPr>
      <w:rFonts w:eastAsia="Times New Roman"/>
      <w:szCs w:val="20"/>
    </w:rPr>
  </w:style>
  <w:style w:type="paragraph" w:styleId="TOC4">
    <w:name w:val="toc 4"/>
    <w:basedOn w:val="Normal"/>
    <w:next w:val="TOC5"/>
    <w:uiPriority w:val="39"/>
    <w:rsid w:val="002F334A"/>
    <w:pPr>
      <w:spacing w:after="0"/>
      <w:ind w:left="720"/>
      <w:jc w:val="left"/>
    </w:pPr>
    <w:rPr>
      <w:rFonts w:asciiTheme="minorHAnsi" w:hAnsiTheme="minorHAnsi"/>
      <w:sz w:val="18"/>
      <w:szCs w:val="18"/>
    </w:rPr>
  </w:style>
  <w:style w:type="paragraph" w:styleId="TOC5">
    <w:name w:val="toc 5"/>
    <w:basedOn w:val="Normal"/>
    <w:next w:val="TOC6"/>
    <w:uiPriority w:val="39"/>
    <w:rsid w:val="002F334A"/>
    <w:pPr>
      <w:spacing w:after="0"/>
      <w:ind w:left="960"/>
      <w:jc w:val="left"/>
    </w:pPr>
    <w:rPr>
      <w:rFonts w:asciiTheme="minorHAnsi" w:hAnsiTheme="minorHAnsi"/>
      <w:sz w:val="18"/>
      <w:szCs w:val="18"/>
    </w:rPr>
  </w:style>
  <w:style w:type="paragraph" w:styleId="TOC6">
    <w:name w:val="toc 6"/>
    <w:basedOn w:val="Normal"/>
    <w:next w:val="TOC7"/>
    <w:uiPriority w:val="39"/>
    <w:rsid w:val="002F334A"/>
    <w:pPr>
      <w:spacing w:after="0"/>
      <w:ind w:left="1200"/>
      <w:jc w:val="left"/>
    </w:pPr>
    <w:rPr>
      <w:rFonts w:asciiTheme="minorHAnsi" w:hAnsiTheme="minorHAnsi"/>
      <w:sz w:val="18"/>
      <w:szCs w:val="18"/>
    </w:rPr>
  </w:style>
  <w:style w:type="paragraph" w:styleId="TOC7">
    <w:name w:val="toc 7"/>
    <w:basedOn w:val="Normal"/>
    <w:next w:val="TOC8"/>
    <w:uiPriority w:val="39"/>
    <w:rsid w:val="002F334A"/>
    <w:pPr>
      <w:spacing w:after="0"/>
      <w:ind w:left="1440"/>
      <w:jc w:val="left"/>
    </w:pPr>
    <w:rPr>
      <w:rFonts w:asciiTheme="minorHAnsi" w:hAnsiTheme="minorHAnsi"/>
      <w:sz w:val="18"/>
      <w:szCs w:val="18"/>
    </w:rPr>
  </w:style>
  <w:style w:type="paragraph" w:styleId="TOC8">
    <w:name w:val="toc 8"/>
    <w:basedOn w:val="Normal"/>
    <w:next w:val="TOC9"/>
    <w:uiPriority w:val="39"/>
    <w:rsid w:val="002F334A"/>
    <w:pPr>
      <w:spacing w:after="0"/>
      <w:ind w:left="1680"/>
      <w:jc w:val="left"/>
    </w:pPr>
    <w:rPr>
      <w:rFonts w:asciiTheme="minorHAnsi" w:hAnsiTheme="minorHAnsi"/>
      <w:sz w:val="18"/>
      <w:szCs w:val="18"/>
    </w:rPr>
  </w:style>
  <w:style w:type="paragraph" w:styleId="TOC9">
    <w:name w:val="toc 9"/>
    <w:basedOn w:val="Normal"/>
    <w:next w:val="TOC1"/>
    <w:uiPriority w:val="39"/>
    <w:rsid w:val="002F334A"/>
    <w:pPr>
      <w:spacing w:after="0"/>
      <w:ind w:left="1920"/>
      <w:jc w:val="left"/>
    </w:pPr>
    <w:rPr>
      <w:rFonts w:asciiTheme="minorHAnsi" w:hAnsiTheme="minorHAnsi"/>
      <w:sz w:val="18"/>
      <w:szCs w:val="18"/>
    </w:rPr>
  </w:style>
  <w:style w:type="paragraph" w:customStyle="1" w:styleId="1">
    <w:name w:val="1"/>
    <w:basedOn w:val="Normal"/>
    <w:rsid w:val="002F334A"/>
    <w:pPr>
      <w:keepNext/>
      <w:tabs>
        <w:tab w:val="left" w:pos="285"/>
      </w:tabs>
      <w:spacing w:before="240" w:after="60"/>
      <w:jc w:val="center"/>
      <w:outlineLvl w:val="0"/>
    </w:pPr>
    <w:rPr>
      <w:rFonts w:eastAsia="Times New Roman"/>
      <w:b/>
      <w:bCs/>
      <w:kern w:val="32"/>
      <w:sz w:val="64"/>
      <w:szCs w:val="20"/>
      <w:lang w:eastAsia="en-GB"/>
    </w:rPr>
  </w:style>
  <w:style w:type="paragraph" w:customStyle="1" w:styleId="11">
    <w:name w:val="1.1"/>
    <w:basedOn w:val="Normal"/>
    <w:rsid w:val="002F334A"/>
    <w:pPr>
      <w:keepNext/>
      <w:spacing w:before="360" w:after="360"/>
      <w:outlineLvl w:val="0"/>
    </w:pPr>
    <w:rPr>
      <w:rFonts w:eastAsia="Times New Roman"/>
      <w:b/>
      <w:bCs/>
      <w:kern w:val="32"/>
      <w:sz w:val="32"/>
      <w:szCs w:val="20"/>
      <w:lang w:eastAsia="en-GB"/>
    </w:rPr>
  </w:style>
  <w:style w:type="paragraph" w:customStyle="1" w:styleId="a">
    <w:name w:val="سرد الفقرات"/>
    <w:basedOn w:val="Normal"/>
    <w:rsid w:val="002F334A"/>
    <w:pPr>
      <w:numPr>
        <w:ilvl w:val="2"/>
        <w:numId w:val="14"/>
      </w:numPr>
      <w:spacing w:before="360" w:after="360"/>
    </w:pPr>
    <w:rPr>
      <w:rFonts w:eastAsia="Times New Roman"/>
      <w:b/>
      <w:sz w:val="32"/>
      <w:szCs w:val="32"/>
      <w:lang w:eastAsia="en-GB"/>
    </w:rPr>
  </w:style>
  <w:style w:type="character" w:styleId="CommentReference">
    <w:name w:val="annotation reference"/>
    <w:basedOn w:val="DefaultParagraphFont"/>
    <w:uiPriority w:val="99"/>
    <w:semiHidden/>
    <w:unhideWhenUsed/>
    <w:rsid w:val="002F334A"/>
    <w:rPr>
      <w:sz w:val="16"/>
      <w:szCs w:val="16"/>
    </w:rPr>
  </w:style>
  <w:style w:type="paragraph" w:customStyle="1" w:styleId="CommentText1">
    <w:name w:val="Comment Text1"/>
    <w:basedOn w:val="Normal"/>
    <w:next w:val="CommentText"/>
    <w:link w:val="CommentTextChar"/>
    <w:uiPriority w:val="99"/>
    <w:semiHidden/>
    <w:unhideWhenUsed/>
    <w:rsid w:val="002F334A"/>
    <w:pPr>
      <w:spacing w:line="240" w:lineRule="auto"/>
    </w:pPr>
    <w:rPr>
      <w:sz w:val="20"/>
      <w:szCs w:val="20"/>
    </w:rPr>
  </w:style>
  <w:style w:type="character" w:customStyle="1" w:styleId="CommentTextChar">
    <w:name w:val="Comment Text Char"/>
    <w:basedOn w:val="DefaultParagraphFont"/>
    <w:link w:val="CommentText1"/>
    <w:uiPriority w:val="99"/>
    <w:semiHidden/>
    <w:rsid w:val="002F334A"/>
    <w:rPr>
      <w:rFonts w:ascii="Arial" w:hAnsi="Arial" w:cs="Times New Roman"/>
      <w:color w:val="000000" w:themeColor="text1"/>
      <w:sz w:val="20"/>
      <w:szCs w:val="20"/>
    </w:rPr>
  </w:style>
  <w:style w:type="paragraph" w:customStyle="1" w:styleId="CommentSubject1">
    <w:name w:val="Comment Subject1"/>
    <w:basedOn w:val="CommentText"/>
    <w:next w:val="CommentText"/>
    <w:uiPriority w:val="99"/>
    <w:semiHidden/>
    <w:unhideWhenUsed/>
    <w:rsid w:val="002F334A"/>
    <w:rPr>
      <w:b/>
      <w:bCs/>
    </w:rPr>
  </w:style>
  <w:style w:type="character" w:customStyle="1" w:styleId="CommentSubjectChar">
    <w:name w:val="Comment Subject Char"/>
    <w:basedOn w:val="CommentTextChar"/>
    <w:link w:val="CommentSubject"/>
    <w:uiPriority w:val="99"/>
    <w:semiHidden/>
    <w:rsid w:val="002F334A"/>
    <w:rPr>
      <w:rFonts w:ascii="Arial" w:hAnsi="Arial" w:cs="Times New Roman"/>
      <w:b/>
      <w:bCs/>
      <w:color w:val="000000" w:themeColor="text1"/>
      <w:sz w:val="20"/>
      <w:szCs w:val="20"/>
    </w:rPr>
  </w:style>
  <w:style w:type="paragraph" w:customStyle="1" w:styleId="TOCHeading1">
    <w:name w:val="TOC Heading1"/>
    <w:basedOn w:val="Heading1"/>
    <w:next w:val="Normal"/>
    <w:uiPriority w:val="39"/>
    <w:unhideWhenUsed/>
    <w:qFormat/>
    <w:rsid w:val="002F334A"/>
    <w:pPr>
      <w:spacing w:before="480"/>
      <w:outlineLvl w:val="9"/>
    </w:pPr>
    <w:rPr>
      <w:b w:val="0"/>
      <w:bCs/>
      <w:sz w:val="36"/>
      <w:szCs w:val="28"/>
      <w:lang w:val="en-US"/>
    </w:rPr>
  </w:style>
  <w:style w:type="paragraph" w:customStyle="1" w:styleId="Revision1">
    <w:name w:val="Revision1"/>
    <w:next w:val="Revision"/>
    <w:hidden/>
    <w:uiPriority w:val="99"/>
    <w:semiHidden/>
    <w:rsid w:val="002F334A"/>
    <w:pPr>
      <w:spacing w:after="0" w:line="240" w:lineRule="auto"/>
    </w:pPr>
  </w:style>
  <w:style w:type="paragraph" w:customStyle="1" w:styleId="ListParagraph1">
    <w:name w:val="List Paragraph1"/>
    <w:basedOn w:val="Normal"/>
    <w:next w:val="ListParagraph"/>
    <w:uiPriority w:val="34"/>
    <w:rsid w:val="002F334A"/>
    <w:pPr>
      <w:ind w:left="720"/>
      <w:contextualSpacing/>
    </w:pPr>
  </w:style>
  <w:style w:type="character" w:styleId="PlaceholderText">
    <w:name w:val="Placeholder Text"/>
    <w:basedOn w:val="DefaultParagraphFont"/>
    <w:uiPriority w:val="99"/>
    <w:semiHidden/>
    <w:rsid w:val="002F334A"/>
    <w:rPr>
      <w:color w:val="808080"/>
    </w:rPr>
  </w:style>
  <w:style w:type="paragraph" w:customStyle="1" w:styleId="EndNoteBibliographyTitle">
    <w:name w:val="EndNote Bibliography Title"/>
    <w:basedOn w:val="Normal"/>
    <w:link w:val="EndNoteBibliographyTitleChar"/>
    <w:rsid w:val="002F334A"/>
    <w:pPr>
      <w:spacing w:after="0"/>
      <w:jc w:val="center"/>
    </w:pPr>
    <w:rPr>
      <w:rFonts w:cs="Arial"/>
      <w:noProof/>
      <w:lang w:val="en-US"/>
    </w:rPr>
  </w:style>
  <w:style w:type="character" w:customStyle="1" w:styleId="EndNoteBibliographyTitleChar">
    <w:name w:val="EndNote Bibliography Title Char"/>
    <w:basedOn w:val="DefaultParagraphFont"/>
    <w:link w:val="EndNoteBibliographyTitle"/>
    <w:rsid w:val="002F334A"/>
    <w:rPr>
      <w:rFonts w:ascii="Arial" w:hAnsi="Arial" w:cs="Arial"/>
      <w:noProof/>
      <w:sz w:val="24"/>
      <w:szCs w:val="24"/>
      <w:lang w:val="en-US"/>
    </w:rPr>
  </w:style>
  <w:style w:type="paragraph" w:customStyle="1" w:styleId="EndNoteBibliography">
    <w:name w:val="EndNote Bibliography"/>
    <w:basedOn w:val="Normal"/>
    <w:link w:val="EndNoteBibliographyChar"/>
    <w:rsid w:val="002F334A"/>
    <w:pPr>
      <w:spacing w:line="240" w:lineRule="auto"/>
    </w:pPr>
    <w:rPr>
      <w:rFonts w:cs="Arial"/>
      <w:noProof/>
      <w:lang w:val="en-US"/>
    </w:rPr>
  </w:style>
  <w:style w:type="character" w:customStyle="1" w:styleId="EndNoteBibliographyChar">
    <w:name w:val="EndNote Bibliography Char"/>
    <w:basedOn w:val="DefaultParagraphFont"/>
    <w:link w:val="EndNoteBibliography"/>
    <w:rsid w:val="002F334A"/>
    <w:rPr>
      <w:rFonts w:ascii="Arial" w:hAnsi="Arial" w:cs="Arial"/>
      <w:noProof/>
      <w:sz w:val="24"/>
      <w:szCs w:val="24"/>
      <w:lang w:val="en-US"/>
    </w:rPr>
  </w:style>
  <w:style w:type="character" w:customStyle="1" w:styleId="IntenseReference1">
    <w:name w:val="Intense Reference1"/>
    <w:basedOn w:val="DefaultParagraphFont"/>
    <w:uiPriority w:val="32"/>
    <w:rsid w:val="002F334A"/>
    <w:rPr>
      <w:b/>
      <w:bCs/>
      <w:smallCaps/>
      <w:color w:val="C0504D"/>
      <w:spacing w:val="5"/>
      <w:u w:val="single"/>
    </w:rPr>
  </w:style>
  <w:style w:type="paragraph" w:customStyle="1" w:styleId="Default">
    <w:name w:val="Default"/>
    <w:rsid w:val="002F334A"/>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NoList2">
    <w:name w:val="No List2"/>
    <w:next w:val="NoList"/>
    <w:uiPriority w:val="99"/>
    <w:semiHidden/>
    <w:unhideWhenUsed/>
    <w:rsid w:val="002F334A"/>
  </w:style>
  <w:style w:type="numbering" w:customStyle="1" w:styleId="NoList111">
    <w:name w:val="No List111"/>
    <w:next w:val="NoList"/>
    <w:semiHidden/>
    <w:rsid w:val="002F334A"/>
  </w:style>
  <w:style w:type="numbering" w:customStyle="1" w:styleId="1111111">
    <w:name w:val="1 / 1.1 / 1.1.11"/>
    <w:basedOn w:val="NoList"/>
    <w:next w:val="111111"/>
    <w:semiHidden/>
    <w:rsid w:val="002F334A"/>
  </w:style>
  <w:style w:type="numbering" w:customStyle="1" w:styleId="1ai1">
    <w:name w:val="1 / a / i1"/>
    <w:basedOn w:val="NoList"/>
    <w:next w:val="1ai"/>
    <w:semiHidden/>
    <w:rsid w:val="002F334A"/>
  </w:style>
  <w:style w:type="numbering" w:customStyle="1" w:styleId="ArticleSection1">
    <w:name w:val="Article / Section1"/>
    <w:basedOn w:val="NoList"/>
    <w:next w:val="ArticleSection"/>
    <w:semiHidden/>
    <w:rsid w:val="002F334A"/>
  </w:style>
  <w:style w:type="paragraph" w:customStyle="1" w:styleId="Fig-tite1">
    <w:name w:val="Fig-tite1"/>
    <w:basedOn w:val="Normal"/>
    <w:next w:val="Normal"/>
    <w:uiPriority w:val="29"/>
    <w:rsid w:val="002F334A"/>
    <w:rPr>
      <w:rFonts w:ascii="Cambria" w:hAnsi="Cambria" w:cs="Cambria"/>
      <w:b/>
      <w:i/>
      <w:iCs/>
      <w:szCs w:val="28"/>
      <w:lang w:eastAsia="en-GB"/>
    </w:rPr>
  </w:style>
  <w:style w:type="character" w:customStyle="1" w:styleId="QuoteChar">
    <w:name w:val="Quote Char"/>
    <w:aliases w:val="Fig-tite Char,Fig. Text Char,.. Char"/>
    <w:basedOn w:val="DefaultParagraphFont"/>
    <w:link w:val="Quote"/>
    <w:uiPriority w:val="29"/>
    <w:rsid w:val="002F334A"/>
    <w:rPr>
      <w:rFonts w:ascii="Cambria" w:hAnsi="Cambria" w:cs="Cambria"/>
      <w:b/>
      <w:i/>
      <w:iCs/>
      <w:szCs w:val="28"/>
      <w:lang w:eastAsia="en-GB"/>
    </w:rPr>
  </w:style>
  <w:style w:type="paragraph" w:customStyle="1" w:styleId="Figtitle1">
    <w:name w:val="Fig title1"/>
    <w:basedOn w:val="Quote"/>
    <w:next w:val="Title"/>
    <w:uiPriority w:val="1"/>
    <w:rsid w:val="002F334A"/>
    <w:pPr>
      <w:spacing w:before="0" w:after="0" w:line="240" w:lineRule="auto"/>
      <w:ind w:left="0" w:right="0"/>
      <w:jc w:val="both"/>
    </w:pPr>
    <w:rPr>
      <w:i w:val="0"/>
    </w:rPr>
  </w:style>
  <w:style w:type="paragraph" w:customStyle="1" w:styleId="Title1">
    <w:name w:val="Title1"/>
    <w:basedOn w:val="Normal"/>
    <w:next w:val="Normal"/>
    <w:link w:val="TitleChar"/>
    <w:uiPriority w:val="10"/>
    <w:rsid w:val="002F334A"/>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en-GB"/>
    </w:rPr>
  </w:style>
  <w:style w:type="character" w:customStyle="1" w:styleId="TitleChar">
    <w:name w:val="Title Char"/>
    <w:basedOn w:val="DefaultParagraphFont"/>
    <w:link w:val="Title1"/>
    <w:uiPriority w:val="10"/>
    <w:rsid w:val="002F334A"/>
    <w:rPr>
      <w:rFonts w:ascii="Cambria" w:eastAsia="Times New Roman" w:hAnsi="Cambria" w:cs="Times New Roman"/>
      <w:color w:val="17365D"/>
      <w:spacing w:val="5"/>
      <w:kern w:val="28"/>
      <w:sz w:val="52"/>
      <w:szCs w:val="52"/>
      <w:lang w:eastAsia="en-GB"/>
    </w:rPr>
  </w:style>
  <w:style w:type="paragraph" w:customStyle="1" w:styleId="Table">
    <w:name w:val="Table"/>
    <w:basedOn w:val="ChapterSubtitle"/>
    <w:next w:val="Normal"/>
    <w:autoRedefine/>
    <w:qFormat/>
    <w:rsid w:val="00D316D5"/>
    <w:pPr>
      <w:spacing w:after="0"/>
      <w:jc w:val="both"/>
    </w:pPr>
    <w:rPr>
      <w:rFonts w:ascii="Arial" w:hAnsi="Arial"/>
      <w:b/>
      <w:i/>
      <w:iCs/>
      <w:color w:val="000000"/>
      <w:lang w:val="en-GB" w:eastAsia="ja-JP"/>
    </w:rPr>
  </w:style>
  <w:style w:type="table" w:customStyle="1" w:styleId="LightShading-Accent31">
    <w:name w:val="Light Shading - Accent 31"/>
    <w:basedOn w:val="TableNormal"/>
    <w:next w:val="LightShading-Accent3"/>
    <w:uiPriority w:val="60"/>
    <w:rsid w:val="002F334A"/>
    <w:pPr>
      <w:spacing w:after="0" w:line="240" w:lineRule="auto"/>
    </w:pPr>
    <w:rPr>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FigText10">
    <w:name w:val="Fig. Text1"/>
    <w:basedOn w:val="Normal"/>
    <w:next w:val="Normal"/>
    <w:uiPriority w:val="29"/>
    <w:rsid w:val="002F334A"/>
    <w:pPr>
      <w:spacing w:before="200"/>
      <w:ind w:left="864" w:right="864"/>
      <w:jc w:val="center"/>
    </w:pPr>
    <w:rPr>
      <w:rFonts w:ascii="Cambria" w:hAnsi="Cambria" w:cs="Cambria"/>
      <w:b/>
      <w:i/>
      <w:iCs/>
      <w:szCs w:val="28"/>
      <w:lang w:eastAsia="en-GB"/>
    </w:rPr>
  </w:style>
  <w:style w:type="character" w:customStyle="1" w:styleId="QuoteChar1">
    <w:name w:val="Quote Char1"/>
    <w:basedOn w:val="DefaultParagraphFont"/>
    <w:uiPriority w:val="29"/>
    <w:rsid w:val="002F334A"/>
    <w:rPr>
      <w:rFonts w:cs="Times New Roman"/>
      <w:i/>
      <w:iCs/>
      <w:color w:val="404040"/>
      <w:szCs w:val="24"/>
    </w:rPr>
  </w:style>
  <w:style w:type="paragraph" w:customStyle="1" w:styleId="Title2">
    <w:name w:val="Title2"/>
    <w:basedOn w:val="Normal"/>
    <w:next w:val="Normal"/>
    <w:link w:val="TitleChar1"/>
    <w:uiPriority w:val="10"/>
    <w:rsid w:val="002F334A"/>
    <w:pPr>
      <w:spacing w:after="0" w:line="240" w:lineRule="auto"/>
      <w:contextualSpacing/>
    </w:pPr>
    <w:rPr>
      <w:rFonts w:ascii="Cambria" w:eastAsia="Times New Roman" w:hAnsi="Cambria"/>
      <w:spacing w:val="-10"/>
      <w:kern w:val="28"/>
      <w:sz w:val="56"/>
      <w:szCs w:val="56"/>
    </w:rPr>
  </w:style>
  <w:style w:type="character" w:customStyle="1" w:styleId="TitleChar1">
    <w:name w:val="Title Char1"/>
    <w:basedOn w:val="DefaultParagraphFont"/>
    <w:link w:val="Title2"/>
    <w:uiPriority w:val="10"/>
    <w:rsid w:val="002F334A"/>
    <w:rPr>
      <w:rFonts w:ascii="Cambria" w:eastAsia="Times New Roman" w:hAnsi="Cambria" w:cs="Times New Roman"/>
      <w:color w:val="000000" w:themeColor="text1"/>
      <w:spacing w:val="-10"/>
      <w:kern w:val="28"/>
      <w:sz w:val="56"/>
      <w:szCs w:val="56"/>
    </w:rPr>
  </w:style>
  <w:style w:type="table" w:customStyle="1" w:styleId="LightShading-Accent32">
    <w:name w:val="Light Shading - Accent 32"/>
    <w:basedOn w:val="TableNormal"/>
    <w:next w:val="LightShading-Accent3"/>
    <w:uiPriority w:val="60"/>
    <w:semiHidden/>
    <w:unhideWhenUsed/>
    <w:rsid w:val="002F334A"/>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FigureTitle1">
    <w:name w:val="Figure Title1"/>
    <w:basedOn w:val="Quote"/>
    <w:next w:val="Title"/>
    <w:rsid w:val="002F334A"/>
    <w:pPr>
      <w:spacing w:before="0" w:after="0" w:line="240" w:lineRule="auto"/>
      <w:ind w:left="0" w:right="0"/>
      <w:jc w:val="left"/>
    </w:pPr>
    <w:rPr>
      <w:rFonts w:ascii="Arial" w:hAnsi="Arial" w:cs="Arial"/>
      <w:bCs/>
      <w:i w:val="0"/>
      <w:iCs w:val="0"/>
      <w:szCs w:val="20"/>
      <w:lang w:eastAsia="en-US"/>
    </w:rPr>
  </w:style>
  <w:style w:type="numbering" w:customStyle="1" w:styleId="NoList3">
    <w:name w:val="No List3"/>
    <w:next w:val="NoList"/>
    <w:uiPriority w:val="99"/>
    <w:semiHidden/>
    <w:unhideWhenUsed/>
    <w:rsid w:val="002F334A"/>
  </w:style>
  <w:style w:type="character" w:styleId="BookTitle">
    <w:name w:val="Book Title"/>
    <w:aliases w:val="dd"/>
    <w:basedOn w:val="BodyTextChar"/>
    <w:uiPriority w:val="33"/>
    <w:rsid w:val="002F334A"/>
    <w:rPr>
      <w:rFonts w:ascii="Arial" w:hAnsi="Arial" w:cs="Times New Roman"/>
      <w:smallCaps/>
      <w:color w:val="000000" w:themeColor="text1"/>
      <w:sz w:val="22"/>
      <w:szCs w:val="24"/>
    </w:rPr>
  </w:style>
  <w:style w:type="table" w:customStyle="1" w:styleId="TableGrid10">
    <w:name w:val="Table Grid1"/>
    <w:basedOn w:val="TableNormal"/>
    <w:next w:val="TableGrid"/>
    <w:uiPriority w:val="59"/>
    <w:rsid w:val="002F334A"/>
    <w:pPr>
      <w:spacing w:after="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2F33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rsid w:val="002F334A"/>
    <w:pPr>
      <w:pBdr>
        <w:bottom w:val="single" w:sz="4" w:space="4" w:color="4F81BD"/>
      </w:pBdr>
      <w:spacing w:before="200" w:after="280"/>
      <w:ind w:left="936" w:right="936"/>
    </w:pPr>
    <w:rPr>
      <w:bCs/>
      <w:iCs/>
    </w:rPr>
  </w:style>
  <w:style w:type="character" w:customStyle="1" w:styleId="IntenseQuoteChar">
    <w:name w:val="Intense Quote Char"/>
    <w:aliases w:val="Fig.Text Char"/>
    <w:basedOn w:val="DefaultParagraphFont"/>
    <w:link w:val="IntenseQuote"/>
    <w:uiPriority w:val="30"/>
    <w:rsid w:val="002F334A"/>
    <w:rPr>
      <w:rFonts w:ascii="Arial" w:hAnsi="Arial"/>
      <w:bCs/>
      <w:iCs/>
    </w:rPr>
  </w:style>
  <w:style w:type="character" w:customStyle="1" w:styleId="NoSpacingChar">
    <w:name w:val="No Spacing Char"/>
    <w:aliases w:val="Fig title Char,Figure Title Char"/>
    <w:basedOn w:val="DefaultParagraphFont"/>
    <w:link w:val="NoSpacing"/>
    <w:rsid w:val="002F334A"/>
    <w:rPr>
      <w:rFonts w:ascii="Cambria" w:hAnsi="Cambria"/>
      <w:b/>
      <w:bCs/>
      <w:szCs w:val="20"/>
    </w:rPr>
  </w:style>
  <w:style w:type="paragraph" w:customStyle="1" w:styleId="LegText">
    <w:name w:val="Leg Text"/>
    <w:basedOn w:val="NoSpacing"/>
    <w:qFormat/>
    <w:rsid w:val="002F334A"/>
    <w:pPr>
      <w:spacing w:after="60"/>
      <w:jc w:val="both"/>
    </w:pPr>
    <w:rPr>
      <w:rFonts w:ascii="Arial" w:eastAsia="Times New Roman" w:hAnsi="Arial" w:cs="Times New Roman"/>
      <w:b w:val="0"/>
      <w:bCs w:val="0"/>
      <w:color w:val="000000"/>
      <w:szCs w:val="22"/>
      <w:lang w:eastAsia="en-GB"/>
    </w:rPr>
  </w:style>
  <w:style w:type="table" w:customStyle="1" w:styleId="GridTable2-Accent51">
    <w:name w:val="Grid Table 2 - Accent 51"/>
    <w:basedOn w:val="TableNormal"/>
    <w:uiPriority w:val="47"/>
    <w:rsid w:val="002F334A"/>
    <w:pPr>
      <w:spacing w:after="0" w:line="240" w:lineRule="auto"/>
    </w:p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5Dark-Accent61">
    <w:name w:val="Grid Table 5 Dark - Accent 61"/>
    <w:basedOn w:val="TableNormal"/>
    <w:uiPriority w:val="50"/>
    <w:rsid w:val="002F334A"/>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PlainTable51">
    <w:name w:val="Plain Table 51"/>
    <w:basedOn w:val="TableNormal"/>
    <w:uiPriority w:val="45"/>
    <w:rsid w:val="002F334A"/>
    <w:pPr>
      <w:spacing w:after="0" w:line="240" w:lineRule="auto"/>
    </w:p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3-Accent51">
    <w:name w:val="Grid Table 3 - Accent 51"/>
    <w:basedOn w:val="TableNormal"/>
    <w:uiPriority w:val="48"/>
    <w:rsid w:val="002F334A"/>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2-Accent31">
    <w:name w:val="Grid Table 2 - Accent 31"/>
    <w:basedOn w:val="TableNormal"/>
    <w:next w:val="GridTable2-Accent32"/>
    <w:uiPriority w:val="47"/>
    <w:rsid w:val="002F334A"/>
    <w:pPr>
      <w:spacing w:after="0" w:line="240" w:lineRule="auto"/>
    </w:p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styleId="Emphasis">
    <w:name w:val="Emphasis"/>
    <w:aliases w:val="Fig. text"/>
    <w:basedOn w:val="DefaultParagraphFont"/>
    <w:uiPriority w:val="20"/>
    <w:qFormat/>
    <w:rsid w:val="002F334A"/>
    <w:rPr>
      <w:i/>
      <w:iCs/>
    </w:rPr>
  </w:style>
  <w:style w:type="character" w:styleId="Strong">
    <w:name w:val="Strong"/>
    <w:aliases w:val="fig-Body"/>
    <w:basedOn w:val="DefaultParagraphFont"/>
    <w:uiPriority w:val="22"/>
    <w:qFormat/>
    <w:rsid w:val="002F334A"/>
    <w:rPr>
      <w:b/>
      <w:bCs/>
    </w:rPr>
  </w:style>
  <w:style w:type="paragraph" w:styleId="Caption">
    <w:name w:val="caption"/>
    <w:aliases w:val="Fig-title,Fig- Title"/>
    <w:basedOn w:val="Normal"/>
    <w:next w:val="Normal"/>
    <w:unhideWhenUsed/>
    <w:rsid w:val="002F334A"/>
    <w:pPr>
      <w:spacing w:line="240" w:lineRule="auto"/>
    </w:pPr>
    <w:rPr>
      <w:i/>
      <w:iCs/>
      <w:color w:val="44546A" w:themeColor="text2"/>
      <w:sz w:val="18"/>
      <w:szCs w:val="18"/>
    </w:rPr>
  </w:style>
  <w:style w:type="paragraph" w:styleId="CommentText">
    <w:name w:val="annotation text"/>
    <w:basedOn w:val="Normal"/>
    <w:link w:val="CommentTextChar1"/>
    <w:uiPriority w:val="99"/>
    <w:semiHidden/>
    <w:unhideWhenUsed/>
    <w:rsid w:val="002F334A"/>
    <w:pPr>
      <w:spacing w:line="240" w:lineRule="auto"/>
    </w:pPr>
    <w:rPr>
      <w:sz w:val="20"/>
      <w:szCs w:val="20"/>
    </w:rPr>
  </w:style>
  <w:style w:type="character" w:customStyle="1" w:styleId="CommentTextChar1">
    <w:name w:val="Comment Text Char1"/>
    <w:basedOn w:val="DefaultParagraphFont"/>
    <w:link w:val="CommentText"/>
    <w:uiPriority w:val="99"/>
    <w:semiHidden/>
    <w:rsid w:val="002F334A"/>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2F334A"/>
    <w:rPr>
      <w:b/>
      <w:bCs/>
    </w:rPr>
  </w:style>
  <w:style w:type="character" w:customStyle="1" w:styleId="CommentSubjectChar1">
    <w:name w:val="Comment Subject Char1"/>
    <w:basedOn w:val="CommentTextChar1"/>
    <w:uiPriority w:val="99"/>
    <w:semiHidden/>
    <w:rsid w:val="002F334A"/>
    <w:rPr>
      <w:rFonts w:ascii="Arial" w:hAnsi="Arial"/>
      <w:b/>
      <w:bCs/>
      <w:color w:val="000000" w:themeColor="text1"/>
      <w:sz w:val="20"/>
      <w:szCs w:val="20"/>
    </w:rPr>
  </w:style>
  <w:style w:type="paragraph" w:styleId="Revision">
    <w:name w:val="Revision"/>
    <w:hidden/>
    <w:uiPriority w:val="99"/>
    <w:semiHidden/>
    <w:rsid w:val="002F334A"/>
    <w:pPr>
      <w:spacing w:after="0" w:line="240" w:lineRule="auto"/>
    </w:pPr>
  </w:style>
  <w:style w:type="paragraph" w:styleId="ListParagraph">
    <w:name w:val="List Paragraph"/>
    <w:basedOn w:val="Normal"/>
    <w:link w:val="ListParagraphChar"/>
    <w:uiPriority w:val="34"/>
    <w:rsid w:val="002F334A"/>
    <w:pPr>
      <w:ind w:left="720"/>
      <w:contextualSpacing/>
    </w:pPr>
  </w:style>
  <w:style w:type="character" w:styleId="IntenseReference">
    <w:name w:val="Intense Reference"/>
    <w:basedOn w:val="DefaultParagraphFont"/>
    <w:uiPriority w:val="32"/>
    <w:rsid w:val="002F334A"/>
    <w:rPr>
      <w:b/>
      <w:bCs/>
      <w:smallCaps/>
      <w:color w:val="5B9BD5" w:themeColor="accent1"/>
      <w:spacing w:val="5"/>
    </w:rPr>
  </w:style>
  <w:style w:type="paragraph" w:styleId="Quote">
    <w:name w:val="Quote"/>
    <w:aliases w:val="Fig-tite,Fig. Text,.."/>
    <w:basedOn w:val="Normal"/>
    <w:next w:val="Normal"/>
    <w:link w:val="QuoteChar"/>
    <w:uiPriority w:val="29"/>
    <w:rsid w:val="002F334A"/>
    <w:pPr>
      <w:spacing w:before="200"/>
      <w:ind w:left="864" w:right="864"/>
      <w:jc w:val="center"/>
    </w:pPr>
    <w:rPr>
      <w:rFonts w:ascii="Cambria" w:hAnsi="Cambria" w:cs="Cambria"/>
      <w:b/>
      <w:i/>
      <w:iCs/>
      <w:sz w:val="22"/>
      <w:szCs w:val="28"/>
      <w:lang w:eastAsia="en-GB"/>
    </w:rPr>
  </w:style>
  <w:style w:type="character" w:customStyle="1" w:styleId="QuoteChar2">
    <w:name w:val="Quote Char2"/>
    <w:basedOn w:val="DefaultParagraphFont"/>
    <w:uiPriority w:val="29"/>
    <w:rsid w:val="002F334A"/>
    <w:rPr>
      <w:rFonts w:ascii="Arial" w:hAnsi="Arial"/>
      <w:i/>
      <w:iCs/>
      <w:color w:val="404040" w:themeColor="text1" w:themeTint="BF"/>
      <w:sz w:val="24"/>
    </w:rPr>
  </w:style>
  <w:style w:type="paragraph" w:styleId="Title">
    <w:name w:val="Title"/>
    <w:basedOn w:val="Normal"/>
    <w:next w:val="Normal"/>
    <w:link w:val="TitleChar2"/>
    <w:uiPriority w:val="10"/>
    <w:rsid w:val="002F334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2">
    <w:name w:val="Title Char2"/>
    <w:basedOn w:val="DefaultParagraphFont"/>
    <w:link w:val="Title"/>
    <w:uiPriority w:val="10"/>
    <w:rsid w:val="002F334A"/>
    <w:rPr>
      <w:rFonts w:asciiTheme="majorHAnsi" w:eastAsiaTheme="majorEastAsia" w:hAnsiTheme="majorHAnsi" w:cstheme="majorBidi"/>
      <w:color w:val="000000" w:themeColor="text1"/>
      <w:spacing w:val="-10"/>
      <w:kern w:val="28"/>
      <w:sz w:val="56"/>
      <w:szCs w:val="56"/>
    </w:rPr>
  </w:style>
  <w:style w:type="table" w:styleId="LightShading-Accent3">
    <w:name w:val="Light Shading Accent 3"/>
    <w:basedOn w:val="TableNormal"/>
    <w:uiPriority w:val="60"/>
    <w:unhideWhenUsed/>
    <w:rsid w:val="002F334A"/>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IntenseQuote">
    <w:name w:val="Intense Quote"/>
    <w:aliases w:val="Fig.Text"/>
    <w:basedOn w:val="Normal"/>
    <w:next w:val="Normal"/>
    <w:link w:val="IntenseQuoteChar"/>
    <w:uiPriority w:val="30"/>
    <w:rsid w:val="002F334A"/>
    <w:pPr>
      <w:pBdr>
        <w:top w:val="single" w:sz="4" w:space="10" w:color="5B9BD5" w:themeColor="accent1"/>
        <w:bottom w:val="single" w:sz="4" w:space="10" w:color="5B9BD5" w:themeColor="accent1"/>
      </w:pBdr>
      <w:spacing w:before="360" w:after="360"/>
      <w:ind w:left="864" w:right="864"/>
      <w:jc w:val="center"/>
    </w:pPr>
    <w:rPr>
      <w:bCs/>
      <w:iCs/>
      <w:sz w:val="22"/>
    </w:rPr>
  </w:style>
  <w:style w:type="character" w:customStyle="1" w:styleId="IntenseQuoteChar1">
    <w:name w:val="Intense Quote Char1"/>
    <w:basedOn w:val="DefaultParagraphFont"/>
    <w:uiPriority w:val="30"/>
    <w:rsid w:val="002F334A"/>
    <w:rPr>
      <w:rFonts w:ascii="Arial" w:hAnsi="Arial"/>
      <w:i/>
      <w:iCs/>
      <w:color w:val="5B9BD5" w:themeColor="accent1"/>
      <w:sz w:val="24"/>
    </w:rPr>
  </w:style>
  <w:style w:type="paragraph" w:styleId="NoSpacing">
    <w:name w:val="No Spacing"/>
    <w:aliases w:val="Fig title,Figure Title"/>
    <w:link w:val="NoSpacingChar"/>
    <w:rsid w:val="002F334A"/>
    <w:pPr>
      <w:spacing w:after="0" w:line="240" w:lineRule="auto"/>
    </w:pPr>
    <w:rPr>
      <w:rFonts w:ascii="Cambria" w:hAnsi="Cambria"/>
      <w:b/>
      <w:bCs/>
      <w:szCs w:val="20"/>
    </w:rPr>
  </w:style>
  <w:style w:type="table" w:customStyle="1" w:styleId="GridTable2-Accent32">
    <w:name w:val="Grid Table 2 - Accent 32"/>
    <w:basedOn w:val="TableNormal"/>
    <w:uiPriority w:val="47"/>
    <w:rsid w:val="002F334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ableofFigures">
    <w:name w:val="table of figures"/>
    <w:basedOn w:val="Normal"/>
    <w:next w:val="Normal"/>
    <w:uiPriority w:val="99"/>
    <w:unhideWhenUsed/>
    <w:qFormat/>
    <w:rsid w:val="002F334A"/>
    <w:pPr>
      <w:spacing w:after="0"/>
    </w:pPr>
  </w:style>
  <w:style w:type="paragraph" w:styleId="TOCHeading">
    <w:name w:val="TOC Heading"/>
    <w:basedOn w:val="Heading1"/>
    <w:next w:val="Normal"/>
    <w:uiPriority w:val="39"/>
    <w:unhideWhenUsed/>
    <w:qFormat/>
    <w:rsid w:val="002F334A"/>
    <w:pPr>
      <w:outlineLvl w:val="9"/>
    </w:pPr>
    <w:rPr>
      <w:lang w:val="en-US"/>
    </w:rPr>
  </w:style>
  <w:style w:type="character" w:customStyle="1" w:styleId="ListParagraphChar">
    <w:name w:val="List Paragraph Char"/>
    <w:link w:val="ListParagraph"/>
    <w:uiPriority w:val="34"/>
    <w:rsid w:val="00430D62"/>
    <w:rPr>
      <w:rFonts w:ascii="Arial" w:hAnsi="Arial" w:cs="Times New Roman"/>
      <w:sz w:val="24"/>
      <w:szCs w:val="24"/>
    </w:rPr>
  </w:style>
  <w:style w:type="character" w:customStyle="1" w:styleId="st">
    <w:name w:val="st"/>
    <w:rsid w:val="00430D62"/>
  </w:style>
  <w:style w:type="character" w:customStyle="1" w:styleId="tgc">
    <w:name w:val="_tgc"/>
    <w:rsid w:val="00430D62"/>
  </w:style>
  <w:style w:type="character" w:customStyle="1" w:styleId="bkciteavail">
    <w:name w:val="bk_cite_avail"/>
    <w:basedOn w:val="DefaultParagraphFont"/>
    <w:rsid w:val="00430D62"/>
  </w:style>
  <w:style w:type="character" w:customStyle="1" w:styleId="exlresultdetails">
    <w:name w:val="exlresultdetails"/>
    <w:basedOn w:val="DefaultParagraphFont"/>
    <w:rsid w:val="00430D62"/>
  </w:style>
  <w:style w:type="character" w:customStyle="1" w:styleId="searchword">
    <w:name w:val="searchword"/>
    <w:basedOn w:val="DefaultParagraphFont"/>
    <w:rsid w:val="00430D62"/>
  </w:style>
  <w:style w:type="character" w:customStyle="1" w:styleId="citation">
    <w:name w:val="citation"/>
    <w:basedOn w:val="DefaultParagraphFont"/>
    <w:rsid w:val="00430D62"/>
  </w:style>
  <w:style w:type="character" w:customStyle="1" w:styleId="reference-text">
    <w:name w:val="reference-text"/>
    <w:basedOn w:val="DefaultParagraphFont"/>
    <w:rsid w:val="00430D62"/>
  </w:style>
  <w:style w:type="character" w:customStyle="1" w:styleId="exldetailsdisplayval">
    <w:name w:val="exldetailsdisplayval"/>
    <w:rsid w:val="00430D62"/>
  </w:style>
  <w:style w:type="character" w:customStyle="1" w:styleId="EndnoteTextChar1">
    <w:name w:val="Endnote Text Char1"/>
    <w:basedOn w:val="DefaultParagraphFont"/>
    <w:uiPriority w:val="99"/>
    <w:semiHidden/>
    <w:rsid w:val="00430D62"/>
    <w:rPr>
      <w:sz w:val="20"/>
      <w:szCs w:val="20"/>
    </w:rPr>
  </w:style>
  <w:style w:type="character" w:customStyle="1" w:styleId="sc">
    <w:name w:val="sc"/>
    <w:rsid w:val="00430D62"/>
  </w:style>
  <w:style w:type="paragraph" w:customStyle="1" w:styleId="style31">
    <w:name w:val="style31"/>
    <w:basedOn w:val="Normal"/>
    <w:rsid w:val="00430D62"/>
    <w:pPr>
      <w:spacing w:before="100" w:beforeAutospacing="1" w:after="100" w:afterAutospacing="1" w:line="240" w:lineRule="auto"/>
      <w:ind w:left="720"/>
      <w:jc w:val="left"/>
    </w:pPr>
    <w:rPr>
      <w:rFonts w:ascii="Times New Roman" w:eastAsia="Times New Roman" w:hAnsi="Times New Roman"/>
      <w:lang w:eastAsia="en-GB"/>
    </w:rPr>
  </w:style>
  <w:style w:type="paragraph" w:customStyle="1" w:styleId="style42">
    <w:name w:val="style42"/>
    <w:basedOn w:val="Normal"/>
    <w:rsid w:val="00430D62"/>
    <w:pPr>
      <w:spacing w:before="100" w:beforeAutospacing="1" w:after="100" w:afterAutospacing="1" w:line="240" w:lineRule="auto"/>
      <w:ind w:left="720"/>
      <w:jc w:val="left"/>
    </w:pPr>
    <w:rPr>
      <w:rFonts w:ascii="Times New Roman" w:eastAsia="Times New Roman" w:hAnsi="Times New Roman"/>
      <w:lang w:eastAsia="en-GB"/>
    </w:rPr>
  </w:style>
  <w:style w:type="character" w:customStyle="1" w:styleId="pubname">
    <w:name w:val="pubname"/>
    <w:basedOn w:val="DefaultParagraphFont"/>
    <w:rsid w:val="00430D62"/>
  </w:style>
  <w:style w:type="character" w:customStyle="1" w:styleId="pubtitle">
    <w:name w:val="pubtitle"/>
    <w:basedOn w:val="DefaultParagraphFont"/>
    <w:rsid w:val="00430D62"/>
  </w:style>
  <w:style w:type="character" w:customStyle="1" w:styleId="yht">
    <w:name w:val="_yht"/>
    <w:basedOn w:val="DefaultParagraphFont"/>
    <w:rsid w:val="0043043A"/>
  </w:style>
  <w:style w:type="numbering" w:customStyle="1" w:styleId="NoList4">
    <w:name w:val="No List4"/>
    <w:next w:val="NoList"/>
    <w:uiPriority w:val="99"/>
    <w:semiHidden/>
    <w:unhideWhenUsed/>
    <w:rsid w:val="00B022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5431124">
      <w:bodyDiv w:val="1"/>
      <w:marLeft w:val="0"/>
      <w:marRight w:val="0"/>
      <w:marTop w:val="0"/>
      <w:marBottom w:val="0"/>
      <w:divBdr>
        <w:top w:val="none" w:sz="0" w:space="0" w:color="auto"/>
        <w:left w:val="none" w:sz="0" w:space="0" w:color="auto"/>
        <w:bottom w:val="none" w:sz="0" w:space="0" w:color="auto"/>
        <w:right w:val="none" w:sz="0" w:space="0" w:color="auto"/>
      </w:divBdr>
    </w:div>
    <w:div w:id="693921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78.png"/><Relationship Id="rId21" Type="http://schemas.openxmlformats.org/officeDocument/2006/relationships/image" Target="media/image6.jpg"/><Relationship Id="rId42" Type="http://schemas.openxmlformats.org/officeDocument/2006/relationships/image" Target="media/image27.emf"/><Relationship Id="rId47" Type="http://schemas.openxmlformats.org/officeDocument/2006/relationships/oleObject" Target="embeddings/oleObject3.bin"/><Relationship Id="rId63" Type="http://schemas.openxmlformats.org/officeDocument/2006/relationships/image" Target="media/image39.emf"/><Relationship Id="rId68" Type="http://schemas.openxmlformats.org/officeDocument/2006/relationships/oleObject" Target="embeddings/oleObject12.bin"/><Relationship Id="rId84" Type="http://schemas.openxmlformats.org/officeDocument/2006/relationships/image" Target="media/image52.emf"/><Relationship Id="rId89" Type="http://schemas.openxmlformats.org/officeDocument/2006/relationships/image" Target="media/image55.png"/><Relationship Id="rId112" Type="http://schemas.openxmlformats.org/officeDocument/2006/relationships/image" Target="media/image74.png"/><Relationship Id="rId133" Type="http://schemas.openxmlformats.org/officeDocument/2006/relationships/image" Target="media/image91.emf"/><Relationship Id="rId138" Type="http://schemas.openxmlformats.org/officeDocument/2006/relationships/oleObject" Target="embeddings/oleObject29.bin"/><Relationship Id="rId16" Type="http://schemas.openxmlformats.org/officeDocument/2006/relationships/image" Target="media/image3.jpg"/><Relationship Id="rId107" Type="http://schemas.openxmlformats.org/officeDocument/2006/relationships/image" Target="media/image69.png"/><Relationship Id="rId11" Type="http://schemas.openxmlformats.org/officeDocument/2006/relationships/footer" Target="foot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3.jpg"/><Relationship Id="rId58" Type="http://schemas.openxmlformats.org/officeDocument/2006/relationships/oleObject" Target="embeddings/oleObject7.bin"/><Relationship Id="rId74" Type="http://schemas.openxmlformats.org/officeDocument/2006/relationships/image" Target="media/image45.png"/><Relationship Id="rId79" Type="http://schemas.openxmlformats.org/officeDocument/2006/relationships/image" Target="media/image49.png"/><Relationship Id="rId102" Type="http://schemas.openxmlformats.org/officeDocument/2006/relationships/image" Target="media/image64.png"/><Relationship Id="rId123" Type="http://schemas.openxmlformats.org/officeDocument/2006/relationships/image" Target="media/image84.png"/><Relationship Id="rId128" Type="http://schemas.openxmlformats.org/officeDocument/2006/relationships/oleObject" Target="embeddings/oleObject24.bin"/><Relationship Id="rId144" Type="http://schemas.openxmlformats.org/officeDocument/2006/relationships/package" Target="embeddings/Microsoft_Word_Document1.docx"/><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0.emf"/><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oleObject" Target="embeddings/oleObject1.bin"/><Relationship Id="rId48" Type="http://schemas.openxmlformats.org/officeDocument/2006/relationships/image" Target="media/image30.emf"/><Relationship Id="rId64" Type="http://schemas.openxmlformats.org/officeDocument/2006/relationships/oleObject" Target="embeddings/oleObject10.bin"/><Relationship Id="rId69" Type="http://schemas.openxmlformats.org/officeDocument/2006/relationships/image" Target="media/image42.emf"/><Relationship Id="rId113" Type="http://schemas.openxmlformats.org/officeDocument/2006/relationships/image" Target="media/image75.png"/><Relationship Id="rId118" Type="http://schemas.openxmlformats.org/officeDocument/2006/relationships/image" Target="media/image79.png"/><Relationship Id="rId134" Type="http://schemas.openxmlformats.org/officeDocument/2006/relationships/oleObject" Target="embeddings/oleObject27.bin"/><Relationship Id="rId139" Type="http://schemas.openxmlformats.org/officeDocument/2006/relationships/image" Target="media/image94.emf"/><Relationship Id="rId80" Type="http://schemas.openxmlformats.org/officeDocument/2006/relationships/image" Target="media/image50.emf"/><Relationship Id="rId85" Type="http://schemas.openxmlformats.org/officeDocument/2006/relationships/oleObject" Target="embeddings/oleObject18.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courses.lumenlearning.com/ap2/chapter/gross-anatomy-of-the-kidney/"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emf"/><Relationship Id="rId59" Type="http://schemas.openxmlformats.org/officeDocument/2006/relationships/image" Target="media/image37.emf"/><Relationship Id="rId67" Type="http://schemas.openxmlformats.org/officeDocument/2006/relationships/image" Target="media/image41.emf"/><Relationship Id="rId103" Type="http://schemas.openxmlformats.org/officeDocument/2006/relationships/image" Target="media/image65.png"/><Relationship Id="rId108" Type="http://schemas.openxmlformats.org/officeDocument/2006/relationships/image" Target="media/image70.png"/><Relationship Id="rId116" Type="http://schemas.openxmlformats.org/officeDocument/2006/relationships/image" Target="media/image77.tiff"/><Relationship Id="rId124" Type="http://schemas.openxmlformats.org/officeDocument/2006/relationships/image" Target="media/image85.png"/><Relationship Id="rId129" Type="http://schemas.openxmlformats.org/officeDocument/2006/relationships/image" Target="media/image89.emf"/><Relationship Id="rId137" Type="http://schemas.openxmlformats.org/officeDocument/2006/relationships/image" Target="media/image93.emf"/><Relationship Id="rId20" Type="http://schemas.openxmlformats.org/officeDocument/2006/relationships/image" Target="media/image5.jpg"/><Relationship Id="rId41" Type="http://schemas.openxmlformats.org/officeDocument/2006/relationships/image" Target="media/image26.jpeg"/><Relationship Id="rId54" Type="http://schemas.openxmlformats.org/officeDocument/2006/relationships/image" Target="media/image34.png"/><Relationship Id="rId62" Type="http://schemas.openxmlformats.org/officeDocument/2006/relationships/oleObject" Target="embeddings/oleObject9.bin"/><Relationship Id="rId70" Type="http://schemas.openxmlformats.org/officeDocument/2006/relationships/oleObject" Target="embeddings/oleObject13.bin"/><Relationship Id="rId75" Type="http://schemas.openxmlformats.org/officeDocument/2006/relationships/image" Target="media/image46.png"/><Relationship Id="rId83" Type="http://schemas.openxmlformats.org/officeDocument/2006/relationships/oleObject" Target="embeddings/oleObject17.bin"/><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oleObject" Target="embeddings/oleObject21.bin"/><Relationship Id="rId111" Type="http://schemas.openxmlformats.org/officeDocument/2006/relationships/image" Target="media/image73.png"/><Relationship Id="rId132" Type="http://schemas.openxmlformats.org/officeDocument/2006/relationships/oleObject" Target="embeddings/oleObject26.bin"/><Relationship Id="rId140" Type="http://schemas.openxmlformats.org/officeDocument/2006/relationships/oleObject" Target="embeddings/oleObject30.bin"/><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oleObject" Target="embeddings/oleObject4.bin"/><Relationship Id="rId57" Type="http://schemas.openxmlformats.org/officeDocument/2006/relationships/image" Target="media/image36.emf"/><Relationship Id="rId106" Type="http://schemas.openxmlformats.org/officeDocument/2006/relationships/image" Target="media/image68.png"/><Relationship Id="rId114" Type="http://schemas.openxmlformats.org/officeDocument/2006/relationships/image" Target="media/image76.emf"/><Relationship Id="rId119" Type="http://schemas.openxmlformats.org/officeDocument/2006/relationships/image" Target="media/image80.png"/><Relationship Id="rId127" Type="http://schemas.openxmlformats.org/officeDocument/2006/relationships/image" Target="media/image88.emf"/><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8.emf"/><Relationship Id="rId52" Type="http://schemas.openxmlformats.org/officeDocument/2006/relationships/image" Target="media/image32.png"/><Relationship Id="rId60" Type="http://schemas.openxmlformats.org/officeDocument/2006/relationships/oleObject" Target="embeddings/oleObject8.bin"/><Relationship Id="rId65" Type="http://schemas.openxmlformats.org/officeDocument/2006/relationships/image" Target="media/image40.emf"/><Relationship Id="rId73" Type="http://schemas.openxmlformats.org/officeDocument/2006/relationships/oleObject" Target="embeddings/oleObject14.bin"/><Relationship Id="rId78" Type="http://schemas.openxmlformats.org/officeDocument/2006/relationships/oleObject" Target="embeddings/oleObject15.bin"/><Relationship Id="rId81" Type="http://schemas.openxmlformats.org/officeDocument/2006/relationships/oleObject" Target="embeddings/oleObject16.bin"/><Relationship Id="rId86" Type="http://schemas.openxmlformats.org/officeDocument/2006/relationships/image" Target="media/image53.emf"/><Relationship Id="rId94" Type="http://schemas.openxmlformats.org/officeDocument/2006/relationships/image" Target="media/image59.png"/><Relationship Id="rId99" Type="http://schemas.openxmlformats.org/officeDocument/2006/relationships/oleObject" Target="embeddings/oleObject22.bin"/><Relationship Id="rId101" Type="http://schemas.openxmlformats.org/officeDocument/2006/relationships/hyperlink" Target="http://mhpl.facilities.northwestern.edu/files/2013/10/The-Science-and-Application-of-Hematoxylin-and-Eosin-Staining-6-5-2012.pdf" TargetMode="External"/><Relationship Id="rId122" Type="http://schemas.openxmlformats.org/officeDocument/2006/relationships/image" Target="media/image83.png"/><Relationship Id="rId130" Type="http://schemas.openxmlformats.org/officeDocument/2006/relationships/oleObject" Target="embeddings/oleObject25.bin"/><Relationship Id="rId135" Type="http://schemas.openxmlformats.org/officeDocument/2006/relationships/image" Target="media/image92.emf"/><Relationship Id="rId143" Type="http://schemas.openxmlformats.org/officeDocument/2006/relationships/image" Target="media/image96.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en.wikipedia.org/wiki/Kidney" TargetMode="External"/><Relationship Id="rId39" Type="http://schemas.openxmlformats.org/officeDocument/2006/relationships/image" Target="media/image24.jpeg"/><Relationship Id="rId109" Type="http://schemas.openxmlformats.org/officeDocument/2006/relationships/image" Target="media/image71.png"/><Relationship Id="rId34" Type="http://schemas.openxmlformats.org/officeDocument/2006/relationships/image" Target="media/image19.jpg"/><Relationship Id="rId50" Type="http://schemas.openxmlformats.org/officeDocument/2006/relationships/image" Target="media/image31.emf"/><Relationship Id="rId55" Type="http://schemas.openxmlformats.org/officeDocument/2006/relationships/image" Target="media/image35.emf"/><Relationship Id="rId76" Type="http://schemas.openxmlformats.org/officeDocument/2006/relationships/image" Target="media/image47.png"/><Relationship Id="rId97" Type="http://schemas.openxmlformats.org/officeDocument/2006/relationships/image" Target="media/image61.png"/><Relationship Id="rId104" Type="http://schemas.openxmlformats.org/officeDocument/2006/relationships/image" Target="media/image66.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95.emf"/><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8.emf"/><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gif"/><Relationship Id="rId40" Type="http://schemas.openxmlformats.org/officeDocument/2006/relationships/image" Target="media/image25.jpeg"/><Relationship Id="rId45" Type="http://schemas.openxmlformats.org/officeDocument/2006/relationships/oleObject" Target="embeddings/oleObject2.bin"/><Relationship Id="rId66" Type="http://schemas.openxmlformats.org/officeDocument/2006/relationships/oleObject" Target="embeddings/oleObject11.bin"/><Relationship Id="rId87" Type="http://schemas.openxmlformats.org/officeDocument/2006/relationships/oleObject" Target="embeddings/oleObject19.bin"/><Relationship Id="rId110" Type="http://schemas.openxmlformats.org/officeDocument/2006/relationships/image" Target="media/image72.png"/><Relationship Id="rId115" Type="http://schemas.openxmlformats.org/officeDocument/2006/relationships/oleObject" Target="embeddings/oleObject23.bin"/><Relationship Id="rId131" Type="http://schemas.openxmlformats.org/officeDocument/2006/relationships/image" Target="media/image90.emf"/><Relationship Id="rId136" Type="http://schemas.openxmlformats.org/officeDocument/2006/relationships/oleObject" Target="embeddings/oleObject28.bin"/><Relationship Id="rId61" Type="http://schemas.openxmlformats.org/officeDocument/2006/relationships/image" Target="media/image38.emf"/><Relationship Id="rId82" Type="http://schemas.openxmlformats.org/officeDocument/2006/relationships/image" Target="media/image51.emf"/><Relationship Id="rId19" Type="http://schemas.openxmlformats.org/officeDocument/2006/relationships/image" Target="media/image4.jpg"/><Relationship Id="rId14" Type="http://schemas.openxmlformats.org/officeDocument/2006/relationships/footer" Target="footer3.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oleObject" Target="embeddings/oleObject6.bin"/><Relationship Id="rId77" Type="http://schemas.openxmlformats.org/officeDocument/2006/relationships/image" Target="media/image48.emf"/><Relationship Id="rId100" Type="http://schemas.openxmlformats.org/officeDocument/2006/relationships/image" Target="media/image63.png"/><Relationship Id="rId105" Type="http://schemas.openxmlformats.org/officeDocument/2006/relationships/image" Target="media/image67.png"/><Relationship Id="rId126" Type="http://schemas.openxmlformats.org/officeDocument/2006/relationships/image" Target="media/image87.png"/><Relationship Id="rId8" Type="http://schemas.openxmlformats.org/officeDocument/2006/relationships/image" Target="media/image1.jpeg"/><Relationship Id="rId51" Type="http://schemas.openxmlformats.org/officeDocument/2006/relationships/oleObject" Target="embeddings/oleObject5.bin"/><Relationship Id="rId72" Type="http://schemas.openxmlformats.org/officeDocument/2006/relationships/image" Target="media/image44.emf"/><Relationship Id="rId93" Type="http://schemas.openxmlformats.org/officeDocument/2006/relationships/oleObject" Target="embeddings/oleObject20.bin"/><Relationship Id="rId98" Type="http://schemas.openxmlformats.org/officeDocument/2006/relationships/image" Target="media/image62.emf"/><Relationship Id="rId121" Type="http://schemas.openxmlformats.org/officeDocument/2006/relationships/image" Target="media/image82.png"/><Relationship Id="rId142" Type="http://schemas.openxmlformats.org/officeDocument/2006/relationships/oleObject" Target="embeddings/oleObject31.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hil\Documents\Custom%20Office%20Templates\thesis-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ACF7B17-BED8-4523-8CC7-9878F25CB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thesis-template</Template>
  <TotalTime>2394</TotalTime>
  <Pages>222</Pages>
  <Words>64641</Words>
  <Characters>368460</Characters>
  <Application>Microsoft Office Word</Application>
  <DocSecurity>0</DocSecurity>
  <Lines>3070</Lines>
  <Paragraphs>864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dc:creator>
  <cp:keywords/>
  <dc:description/>
  <cp:lastModifiedBy>UOS</cp:lastModifiedBy>
  <cp:revision>123</cp:revision>
  <cp:lastPrinted>2017-10-19T18:20:00Z</cp:lastPrinted>
  <dcterms:created xsi:type="dcterms:W3CDTF">2017-10-29T08:26:00Z</dcterms:created>
  <dcterms:modified xsi:type="dcterms:W3CDTF">2018-03-28T12:50:00Z</dcterms:modified>
</cp:coreProperties>
</file>